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乳山市城投置业有限公司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乳山市宫家村棚户区改造项目配套教育设施加装电梯项目</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WHJX-ZB-2026-053</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乳山市宫家村棚户区改造项目配套教育设施加装电梯项目（</w:t>
      </w:r>
      <w:r>
        <w:rPr>
          <w:rFonts w:hint="eastAsia" w:ascii="仿宋_GB2312" w:hAnsi="仿宋" w:eastAsia="仿宋_GB2312" w:cs="方正楷体简体"/>
          <w:color w:val="auto"/>
          <w:sz w:val="36"/>
          <w:szCs w:val="36"/>
          <w:lang w:val="en-US" w:eastAsia="zh-CN"/>
        </w:rPr>
        <w:t>第A包、共1包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6"/>
          <w:szCs w:val="36"/>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w:t>
      </w:r>
      <w:r>
        <w:rPr>
          <w:rFonts w:hint="eastAsia" w:ascii="仿宋_GB2312" w:hAnsi="仿宋" w:eastAsia="仿宋_GB2312" w:cs="方正楷体简体"/>
          <w:color w:val="auto"/>
          <w:sz w:val="36"/>
          <w:szCs w:val="36"/>
          <w:lang w:val="en-US" w:eastAsia="zh-CN"/>
        </w:rPr>
        <w:t>08</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8"/>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乳山市宫家村棚户区改造项目配套教育设施加装电梯项目</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乳山市宫家村棚户区改造项目配套教育设施加装电梯项目</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bookmarkStart w:id="555" w:name="_GoBack"/>
      <w:bookmarkEnd w:id="555"/>
      <w:r>
        <w:rPr>
          <w:rFonts w:hint="eastAsia" w:ascii="仿宋_GB2312" w:hAnsi="仿宋" w:eastAsia="仿宋_GB2312" w:cs="宋体"/>
          <w:color w:val="auto"/>
          <w:spacing w:val="8"/>
          <w:kern w:val="0"/>
          <w:sz w:val="28"/>
          <w:szCs w:val="28"/>
          <w:u w:val="single"/>
          <w:lang w:eastAsia="zh-CN"/>
        </w:rPr>
        <w:t>2026年09月03日09时00分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WHJX-ZB-2026-053</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乳山市宫家村棚户区改造项目配套教育设施加装电梯项目</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0"/>
        <w:tblW w:w="101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6"/>
        <w:gridCol w:w="2456"/>
        <w:gridCol w:w="742"/>
        <w:gridCol w:w="1635"/>
        <w:gridCol w:w="1444"/>
        <w:gridCol w:w="1744"/>
        <w:gridCol w:w="1237"/>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86"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456"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42"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635" w:type="dxa"/>
            <w:vAlign w:val="center"/>
          </w:tcPr>
          <w:p w14:paraId="7A25353B">
            <w:pPr>
              <w:widowControl/>
              <w:adjustRightInd w:val="0"/>
              <w:snapToGrid w:val="0"/>
              <w:jc w:val="center"/>
              <w:rPr>
                <w:rFonts w:hint="eastAsia" w:ascii="仿宋_GB2312" w:hAnsi="宋体" w:eastAsia="仿宋_GB2312" w:cs="宋体"/>
                <w:b/>
                <w:color w:val="auto"/>
                <w:kern w:val="0"/>
                <w:sz w:val="24"/>
              </w:rPr>
            </w:pPr>
            <w:r>
              <w:rPr>
                <w:rFonts w:hint="eastAsia" w:ascii="仿宋_GB2312" w:hAnsi="宋体" w:eastAsia="仿宋_GB2312" w:cs="宋体"/>
                <w:b/>
                <w:color w:val="auto"/>
                <w:kern w:val="0"/>
                <w:sz w:val="24"/>
                <w:lang w:val="en-US" w:eastAsia="zh-CN"/>
              </w:rPr>
              <w:t>包预算金额</w:t>
            </w:r>
          </w:p>
          <w:p w14:paraId="0DC990D4">
            <w:pPr>
              <w:widowControl/>
              <w:adjustRightInd w:val="0"/>
              <w:snapToGrid w:val="0"/>
              <w:jc w:val="center"/>
              <w:rPr>
                <w:rFonts w:hint="eastAsia" w:ascii="仿宋_GB2312" w:hAnsi="宋体" w:eastAsia="仿宋_GB2312" w:cs="宋体"/>
                <w:b/>
                <w:color w:val="auto"/>
                <w:kern w:val="0"/>
                <w:sz w:val="24"/>
              </w:rPr>
            </w:pPr>
            <w:r>
              <w:rPr>
                <w:rFonts w:hint="eastAsia" w:ascii="仿宋_GB2312" w:hAnsi="宋体" w:eastAsia="仿宋_GB2312" w:cs="宋体"/>
                <w:b/>
                <w:color w:val="auto"/>
                <w:kern w:val="0"/>
                <w:sz w:val="24"/>
                <w:lang w:val="en-US" w:eastAsia="zh-CN"/>
              </w:rPr>
              <w:t>（元）</w:t>
            </w:r>
          </w:p>
        </w:tc>
        <w:tc>
          <w:tcPr>
            <w:tcW w:w="1444"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744"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237"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86"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456"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乳山市宫家村棚户区改造项目配套教育设施加装电梯项目</w:t>
            </w:r>
          </w:p>
        </w:tc>
        <w:tc>
          <w:tcPr>
            <w:tcW w:w="742"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635" w:type="dxa"/>
            <w:vAlign w:val="center"/>
          </w:tcPr>
          <w:p w14:paraId="772CAA2A">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val="en-US" w:eastAsia="zh-CN"/>
              </w:rPr>
              <w:t>489000.00</w:t>
            </w:r>
          </w:p>
        </w:tc>
        <w:tc>
          <w:tcPr>
            <w:tcW w:w="1444"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489000.00</w:t>
            </w:r>
          </w:p>
        </w:tc>
        <w:tc>
          <w:tcPr>
            <w:tcW w:w="1744"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237"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具有建筑工程施工总承包三级及以上资质，同时具有安全生产许可证；</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拟派项目经理具有建筑工程二级及以上注册建造师执业资格，且同时具有安全生产考核合格证（B证）；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hint="eastAsia" w:ascii="仿宋_GB2312" w:hAnsi="黑体" w:eastAsia="仿宋_GB2312" w:cs="宋体"/>
          <w:color w:val="auto"/>
          <w:spacing w:val="8"/>
          <w:kern w:val="0"/>
          <w:sz w:val="28"/>
          <w:szCs w:val="28"/>
          <w:lang w:eastAsia="zh-CN"/>
        </w:rPr>
        <w:t>2026年08月21日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hint="eastAsia" w:ascii="仿宋_GB2312" w:hAnsi="黑体" w:eastAsia="仿宋_GB2312" w:cs="宋体"/>
          <w:color w:val="auto"/>
          <w:spacing w:val="8"/>
          <w:kern w:val="0"/>
          <w:sz w:val="28"/>
          <w:szCs w:val="28"/>
          <w:lang w:eastAsia="zh-CN"/>
        </w:rPr>
        <w:t>2026年08月28日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hint="eastAsia" w:ascii="仿宋_GB2312" w:hAnsi="仿宋" w:eastAsia="仿宋_GB2312" w:cs="宋体"/>
          <w:color w:val="auto"/>
          <w:spacing w:val="8"/>
          <w:kern w:val="0"/>
          <w:sz w:val="28"/>
          <w:szCs w:val="28"/>
          <w:lang w:eastAsia="zh-CN"/>
        </w:rPr>
        <w:t>2026年08月21日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hint="eastAsia" w:ascii="仿宋_GB2312" w:hAnsi="仿宋" w:eastAsia="仿宋_GB2312" w:cs="宋体"/>
          <w:color w:val="auto"/>
          <w:spacing w:val="8"/>
          <w:kern w:val="0"/>
          <w:sz w:val="28"/>
          <w:szCs w:val="28"/>
          <w:lang w:eastAsia="zh-CN"/>
        </w:rPr>
        <w:t>2026年09月03日09时00分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hint="eastAsia" w:ascii="仿宋_GB2312" w:hAnsi="仿宋" w:eastAsia="仿宋_GB2312" w:cs="宋体"/>
          <w:color w:val="auto"/>
          <w:spacing w:val="8"/>
          <w:kern w:val="0"/>
          <w:sz w:val="28"/>
          <w:szCs w:val="28"/>
          <w:lang w:eastAsia="zh-CN"/>
        </w:rPr>
        <w:t>2026年09月03日09时00分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乳山市城投置业有限公司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山东省威海市乳山市胜利街83号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13256812456</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刘宁</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hint="eastAsia" w:ascii="仿宋_GB2312" w:hAnsi="宋体" w:eastAsia="仿宋_GB2312" w:cs="宋体"/>
          <w:color w:val="auto"/>
          <w:kern w:val="0"/>
          <w:sz w:val="28"/>
          <w:szCs w:val="28"/>
          <w:lang w:eastAsia="zh-CN"/>
        </w:rPr>
        <w:t>2026年08月21日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乳山市宫家村棚户区改造项目配套教育设施加装电梯项目</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WHJX-ZB-2026-053</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乳山市城投置业有限公司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山东省威海市乳山市胜利街83号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宋韶峰</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13256812456</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刘宁</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rFonts w:hint="eastAsia" w:ascii="仿宋_GB2312" w:hAnsi="宋体" w:eastAsia="仿宋_GB2312"/>
                <w:color w:val="auto"/>
                <w:sz w:val="28"/>
                <w:szCs w:val="28"/>
              </w:rPr>
              <w:fldChar w:fldCharType="begin"/>
            </w:r>
            <w:r>
              <w:rPr>
                <w:rFonts w:hint="eastAsia" w:ascii="仿宋_GB2312" w:hAnsi="宋体" w:eastAsia="仿宋_GB2312"/>
                <w:color w:val="auto"/>
                <w:sz w:val="28"/>
                <w:szCs w:val="28"/>
              </w:rPr>
              <w:instrText xml:space="preserve"> HYPERLINK "http://rc.whggzyjy.cn/" </w:instrText>
            </w:r>
            <w:r>
              <w:rPr>
                <w:rFonts w:hint="eastAsia" w:ascii="仿宋_GB2312" w:hAnsi="宋体" w:eastAsia="仿宋_GB2312"/>
                <w:color w:val="auto"/>
                <w:sz w:val="28"/>
                <w:szCs w:val="28"/>
              </w:rPr>
              <w:fldChar w:fldCharType="separate"/>
            </w:r>
            <w:r>
              <w:rPr>
                <w:rFonts w:hint="eastAsia" w:ascii="仿宋_GB2312" w:hAnsi="宋体" w:eastAsia="仿宋_GB2312"/>
                <w:color w:val="auto"/>
                <w:sz w:val="28"/>
                <w:szCs w:val="28"/>
              </w:rPr>
              <w:t>http://ggzyjy.weihai.cn/rushan/</w:t>
            </w:r>
            <w:r>
              <w:rPr>
                <w:rFonts w:hint="eastAsia" w:ascii="仿宋_GB2312" w:hAnsi="宋体" w:eastAsia="仿宋_GB2312"/>
                <w:color w:val="auto"/>
                <w:sz w:val="28"/>
                <w:szCs w:val="28"/>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489000.00元</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lang w:eastAsia="zh-CN"/>
              </w:rPr>
              <w:t>2026年08月21日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hint="eastAsia" w:ascii="仿宋_GB2312" w:hAnsi="宋体" w:eastAsia="仿宋_GB2312"/>
                <w:color w:val="auto"/>
                <w:sz w:val="28"/>
                <w:szCs w:val="28"/>
                <w:lang w:eastAsia="zh-CN"/>
              </w:rPr>
              <w:t>2026年09月03日09时00分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hint="eastAsia" w:ascii="仿宋_GB2312" w:hAnsi="宋体" w:eastAsia="仿宋_GB2312"/>
                <w:color w:val="auto"/>
                <w:sz w:val="28"/>
                <w:szCs w:val="28"/>
                <w:lang w:eastAsia="zh-CN"/>
              </w:rPr>
              <w:t>2026年09月03日09时00分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工期：2026年9月底前完工</w:t>
            </w:r>
          </w:p>
          <w:p w14:paraId="796876A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48B482C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65"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285E37D6">
            <w:pPr>
              <w:spacing w:line="560" w:lineRule="exact"/>
              <w:ind w:firstLine="280" w:firstLineChars="100"/>
              <w:rPr>
                <w:rFonts w:hint="eastAsia"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54F9918A">
            <w:pPr>
              <w:spacing w:line="560" w:lineRule="exact"/>
              <w:rPr>
                <w:rFonts w:hint="eastAsia" w:ascii="仿宋_GB2312" w:hAnsi="宋体" w:eastAsia="仿宋_GB2312"/>
                <w:b/>
                <w:bCs/>
                <w:color w:val="auto"/>
                <w:sz w:val="28"/>
                <w:szCs w:val="28"/>
                <w:lang w:eastAsia="zh-CN"/>
              </w:rPr>
            </w:pPr>
            <w:r>
              <w:rPr>
                <w:rFonts w:hint="eastAsia" w:ascii="仿宋_GB2312" w:hAnsi="宋体" w:eastAsia="仿宋_GB2312"/>
                <w:b/>
                <w:bCs/>
                <w:color w:val="auto"/>
                <w:sz w:val="28"/>
                <w:szCs w:val="28"/>
                <w:lang w:eastAsia="zh-CN"/>
              </w:rPr>
              <w:t>本项目允许将电梯设备供货及电梯安装工程依法分包</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567AACEC">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5DECEF54">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569D7456">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0DFD8067">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按工程形象进度付款，按月计量，在建设期内支付30%，工程竣工验收合格支付到计量工程款或结算价款的50%，审计结束支付到结算价款的70%，剩余30%的结算价款分三年付清，每年支付10%。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04C7CE0A">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是否委托评审委员会确定成交投标人：</w:t>
            </w:r>
            <w:r>
              <w:rPr>
                <w:rFonts w:hint="eastAsia" w:ascii="仿宋_GB2312" w:hAnsi="宋体" w:eastAsia="仿宋_GB2312"/>
                <w:color w:val="auto"/>
                <w:sz w:val="28"/>
                <w:szCs w:val="28"/>
                <w:lang w:val="en-US" w:eastAsia="zh-CN"/>
              </w:rPr>
              <w:t>是</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08F949BA">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1A66FAE7">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shd w:val="clear" w:color="auto" w:fill="auto"/>
            <w:vAlign w:val="center"/>
          </w:tcPr>
          <w:p w14:paraId="6A5E7912">
            <w:pPr>
              <w:spacing w:line="560" w:lineRule="exact"/>
              <w:ind w:firstLine="280" w:firstLineChars="100"/>
              <w:rPr>
                <w:rFonts w:ascii="仿宋_GB2312" w:hAnsi="宋体" w:eastAsia="仿宋_GB2312" w:cs="Times New Roman"/>
                <w:color w:val="auto"/>
                <w:kern w:val="2"/>
                <w:sz w:val="28"/>
                <w:szCs w:val="28"/>
                <w:lang w:val="en-US" w:eastAsia="zh-CN" w:bidi="ar-SA"/>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4890</w:t>
            </w:r>
            <w:r>
              <w:rPr>
                <w:rFonts w:hint="eastAsia" w:ascii="仿宋_GB2312" w:hAnsi="宋体" w:eastAsia="仿宋_GB2312"/>
                <w:color w:val="auto"/>
                <w:sz w:val="28"/>
                <w:szCs w:val="28"/>
              </w:rPr>
              <w:t>.00元，由成交单位在签订合同前向采购代理机构缴纳，包含在报价中。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hint="default"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30</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61813A48">
      <w:pPr>
        <w:spacing w:line="560" w:lineRule="exact"/>
        <w:ind w:firstLine="560" w:firstLineChars="200"/>
        <w:jc w:val="left"/>
        <w:rPr>
          <w:rFonts w:ascii="仿宋_GB2312" w:hAnsi="宋体" w:eastAsia="仿宋_GB2312"/>
          <w:color w:val="auto"/>
          <w:sz w:val="28"/>
          <w:szCs w:val="28"/>
        </w:rPr>
      </w:pPr>
    </w:p>
    <w:p w14:paraId="7F2AE02A">
      <w:pPr>
        <w:pStyle w:val="26"/>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0"/>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1、法人或其他组织的营业执照等证明文件扫描件；（A）包</w:t>
            </w:r>
          </w:p>
          <w:p w14:paraId="62E7490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具有建筑工程施工总承包三级及以上资质，同时具有安全生产许可证；</w:t>
            </w:r>
            <w:r>
              <w:rPr>
                <w:rFonts w:ascii="仿宋_GB2312" w:hAnsi="宋体" w:eastAsia="仿宋_GB2312"/>
                <w:color w:val="auto"/>
                <w:sz w:val="28"/>
                <w:szCs w:val="28"/>
              </w:rPr>
              <w:t>（A）包</w:t>
            </w:r>
          </w:p>
          <w:p w14:paraId="5DE8656E">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项目负责人具有建筑工程二级及以上注册建造师执业资格，且同时具有安全生产考核合格证（B证）；</w:t>
            </w:r>
            <w:r>
              <w:rPr>
                <w:rFonts w:ascii="仿宋_GB2312" w:hAnsi="宋体" w:eastAsia="仿宋_GB2312"/>
                <w:color w:val="auto"/>
                <w:sz w:val="28"/>
                <w:szCs w:val="28"/>
              </w:rPr>
              <w:t>（A）包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若响应单位代表为企业法定代表人/单位负责人的，则只需提供企业法定代表人/单位负责人身份证扫描件；（A）包</w:t>
            </w:r>
          </w:p>
          <w:p w14:paraId="173F9FA5">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r>
              <w:rPr>
                <w:rFonts w:ascii="仿宋_GB2312" w:hAnsi="宋体" w:eastAsia="仿宋_GB2312"/>
                <w:color w:val="auto"/>
                <w:sz w:val="28"/>
                <w:szCs w:val="28"/>
              </w:rPr>
              <w:t>；（A）包</w:t>
            </w:r>
          </w:p>
          <w:p w14:paraId="7EDC45B1">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6、参加本项目报价前三年内无重大违法记录声明（格式自定）；（A）包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报价供应商及其法定代表人、授权委托人在“全国法院失信被执行人名单公布及查询（http://zxgk.court.gov.cn/shixin/）”网站截图；（A）包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52AF4D5B">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注：A、B两项提供任意一项均可。（A）包</w:t>
            </w:r>
          </w:p>
          <w:p w14:paraId="2A377B98">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9、具有履行合同所必需的设备和专业技术能力承诺函（格式自拟）；（A）包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3"/>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hint="eastAsia" w:ascii="仿宋_GB2312" w:hAnsi="仿宋" w:eastAsia="仿宋_GB2312" w:cs="宋体"/>
          <w:color w:val="auto"/>
          <w:sz w:val="28"/>
          <w:szCs w:val="28"/>
        </w:rPr>
      </w:pPr>
      <w:r>
        <w:rPr>
          <w:rFonts w:hint="eastAsia" w:ascii="仿宋_GB2312" w:hAnsi="仿宋" w:eastAsia="仿宋_GB2312" w:cs="宋体"/>
          <w:color w:val="auto"/>
          <w:sz w:val="28"/>
          <w:szCs w:val="28"/>
        </w:rPr>
        <w:t>（3）投标承诺函</w:t>
      </w:r>
      <w:r>
        <w:rPr>
          <w:rFonts w:hint="eastAsia" w:ascii="仿宋_GB2312" w:hAnsi="仿宋" w:eastAsia="仿宋_GB2312" w:cs="宋体"/>
          <w:color w:val="auto"/>
          <w:sz w:val="28"/>
          <w:szCs w:val="28"/>
          <w:lang w:eastAsia="zh-CN"/>
        </w:rPr>
        <w:t>、分包承诺函</w:t>
      </w:r>
      <w:r>
        <w:rPr>
          <w:rFonts w:hint="eastAsia" w:ascii="仿宋_GB2312" w:hAnsi="仿宋" w:eastAsia="仿宋_GB2312" w:cs="宋体"/>
          <w:color w:val="auto"/>
          <w:sz w:val="28"/>
          <w:szCs w:val="28"/>
        </w:rPr>
        <w:t>（格式见本文件第五章）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具有建筑工程施工总承包三级及以上资质，同时具有安全生产许可证；</w:t>
      </w:r>
    </w:p>
    <w:p w14:paraId="5A5EB5F6">
      <w:pPr>
        <w:snapToGrid w:val="0"/>
        <w:spacing w:line="560" w:lineRule="exact"/>
        <w:ind w:firstLine="562" w:firstLineChars="201"/>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③项目负责人具有建筑工程二级及以上注册建造师执业资格，且同时具有安全生产考核合格证（B证）</w:t>
      </w:r>
      <w:r>
        <w:rPr>
          <w:rFonts w:hint="eastAsia" w:ascii="仿宋_GB2312" w:hAnsi="宋体" w:eastAsia="仿宋_GB2312"/>
          <w:color w:val="auto"/>
          <w:sz w:val="28"/>
          <w:szCs w:val="28"/>
          <w:lang w:eastAsia="zh-CN"/>
        </w:rPr>
        <w:t>；</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w:t>
      </w:r>
      <w:r>
        <w:rPr>
          <w:rFonts w:hint="eastAsia" w:ascii="仿宋_GB2312" w:hAnsi="宋体" w:eastAsia="仿宋_GB2312"/>
          <w:color w:val="auto"/>
          <w:sz w:val="28"/>
          <w:szCs w:val="28"/>
        </w:rPr>
        <w:t>近期的完税凭证及交纳社保资金凭证的扫描件；</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3"/>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8"/>
        <w:spacing w:before="100" w:beforeAutospacing="1" w:after="100" w:afterAutospacing="1" w:line="415" w:lineRule="auto"/>
        <w:ind w:left="1440"/>
        <w:jc w:val="center"/>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乳山市宫家村棚户区改造项目配套教育设施加装电梯项目</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WHJX-ZB-2026-053</w:t>
      </w:r>
    </w:p>
    <w:p w14:paraId="2112C9A4">
      <w:pPr>
        <w:spacing w:line="560" w:lineRule="exact"/>
        <w:ind w:firstLine="560" w:firstLineChars="200"/>
        <w:rPr>
          <w:rFonts w:hint="eastAsia" w:ascii="仿宋_GB2312" w:hAnsi="宋体" w:eastAsia="仿宋_GB2312"/>
          <w:b/>
          <w:bCs/>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主要包括楼外加装电梯、墙体拆除、窗拆除、电气线路增设、消防应急线路灯增设等，具体内容详见工程量清单。</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6A34EE2D">
      <w:pPr>
        <w:pStyle w:val="61"/>
        <w:spacing w:line="560" w:lineRule="exact"/>
        <w:ind w:firstLine="560"/>
        <w:rPr>
          <w:rFonts w:hint="eastAsia" w:ascii="仿宋_GB2312" w:hAnsi="宋体" w:eastAsia="仿宋_GB2312"/>
          <w:color w:val="auto"/>
          <w:lang w:val="en-US" w:eastAsia="zh-CN"/>
        </w:rPr>
      </w:pPr>
      <w:r>
        <w:rPr>
          <w:rFonts w:hint="eastAsia" w:ascii="仿宋_GB2312" w:hAnsi="宋体" w:eastAsia="仿宋_GB2312"/>
          <w:color w:val="auto"/>
        </w:rPr>
        <w:t>采购标的需实现的功能或者目标：</w:t>
      </w:r>
      <w:r>
        <w:rPr>
          <w:rFonts w:hint="eastAsia" w:ascii="仿宋_GB2312" w:hAnsi="宋体" w:eastAsia="仿宋_GB2312"/>
          <w:color w:val="auto"/>
          <w:lang w:val="en-US" w:eastAsia="zh-CN"/>
        </w:rPr>
        <w:t>完成</w:t>
      </w:r>
      <w:r>
        <w:rPr>
          <w:rFonts w:hint="eastAsia" w:ascii="仿宋_GB2312" w:hAnsi="宋体" w:eastAsia="仿宋_GB2312"/>
          <w:color w:val="auto"/>
          <w:sz w:val="28"/>
          <w:szCs w:val="21"/>
          <w:lang w:eastAsia="zh-CN"/>
        </w:rPr>
        <w:t>乳山市宫家村棚户区改造项目配套教育设施加装电梯项目</w:t>
      </w: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489000.00元</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4"/>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0"/>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乳山市宫家村棚户区改造项目配套教育设施加装电梯项目</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jc w:val="center"/>
              <w:rPr>
                <w:rFonts w:hint="eastAsia" w:ascii="仿宋_GB2312" w:hAnsi="宋体" w:eastAsia="仿宋_GB2312"/>
                <w:color w:val="auto"/>
                <w:sz w:val="24"/>
                <w:lang w:eastAsia="zh-CN"/>
              </w:rPr>
            </w:pPr>
            <w:r>
              <w:rPr>
                <w:rFonts w:hint="eastAsia" w:ascii="仿宋_GB2312" w:hAnsi="宋体" w:eastAsia="仿宋_GB2312"/>
                <w:color w:val="auto"/>
                <w:sz w:val="24"/>
                <w:lang w:eastAsia="zh-CN"/>
              </w:rPr>
              <w:t>主要包括楼外加装电梯、墙体拆除、窗拆除、电气线路增设、消防应急线路灯增设等，具体内容详见工程量清单。</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default" w:ascii="仿宋_GB2312" w:hAnsi="宋体" w:eastAsia="仿宋_GB2312"/>
          <w:color w:val="auto"/>
          <w:sz w:val="28"/>
          <w:szCs w:val="21"/>
          <w:lang w:val="en-US"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工期：2026年9月底前完工</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 30%，工程竣工验收合格支付到计量工程款或结算价款的50%，审计结束支付到结算价款的70%，剩余30%的结算价款分三年付清，每年支付 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0F8F3AD7">
      <w:pPr>
        <w:spacing w:line="560" w:lineRule="exact"/>
        <w:ind w:firstLine="562" w:firstLineChars="200"/>
        <w:rPr>
          <w:rFonts w:hint="default" w:ascii="黑体" w:hAnsi="黑体" w:eastAsia="黑体"/>
          <w:b/>
          <w:color w:val="auto"/>
          <w:sz w:val="28"/>
          <w:szCs w:val="21"/>
          <w:lang w:val="en-US" w:eastAsia="zh-CN"/>
        </w:rPr>
      </w:pPr>
      <w:r>
        <w:rPr>
          <w:rFonts w:hint="eastAsia" w:ascii="黑体" w:hAnsi="黑体" w:eastAsia="黑体"/>
          <w:b/>
          <w:color w:val="auto"/>
          <w:sz w:val="28"/>
          <w:szCs w:val="21"/>
          <w:lang w:val="en-US" w:eastAsia="zh-CN"/>
        </w:rPr>
        <w:t>五、</w:t>
      </w:r>
      <w:r>
        <w:rPr>
          <w:rFonts w:hint="eastAsia" w:ascii="黑体" w:hAnsi="黑体" w:eastAsia="黑体"/>
          <w:b/>
          <w:color w:val="auto"/>
          <w:sz w:val="28"/>
          <w:szCs w:val="21"/>
        </w:rPr>
        <w:t>其他技术及服务要求</w:t>
      </w:r>
    </w:p>
    <w:p w14:paraId="0A2963C4">
      <w:pPr>
        <w:numPr>
          <w:ilvl w:val="0"/>
          <w:numId w:val="0"/>
        </w:numPr>
        <w:spacing w:line="560" w:lineRule="exact"/>
        <w:rPr>
          <w:rFonts w:hint="eastAsia"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1、投标人无需具备电梯特种设备安装资质，中标后可依法分包，分包单位需具备《中华人民共和国特种设备安装改造维修许可证》（级别须满足本次招标的电梯类别）和《中华人民共和国特种设备制造许可证》（电梯，及其许可明细表（级别须满足本次招标的电梯类别））或《中华人民共和国特种设备生产许可证》，许可项目为电梯制造（含安装、修理、改造），许可证的级别或许可参数须满足本次招标的电梯参数要求。</w:t>
      </w:r>
    </w:p>
    <w:p w14:paraId="22B05E15">
      <w:pPr>
        <w:numPr>
          <w:ilvl w:val="0"/>
          <w:numId w:val="0"/>
        </w:numPr>
        <w:spacing w:line="560" w:lineRule="exact"/>
        <w:rPr>
          <w:rFonts w:hint="default"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2、</w:t>
      </w:r>
      <w:r>
        <w:rPr>
          <w:rFonts w:hint="default" w:ascii="仿宋_GB2312" w:hAnsi="宋体" w:eastAsia="仿宋_GB2312" w:cs="Times New Roman"/>
          <w:b w:val="0"/>
          <w:bCs w:val="0"/>
          <w:color w:val="auto"/>
          <w:kern w:val="2"/>
          <w:sz w:val="28"/>
          <w:szCs w:val="28"/>
          <w:lang w:val="en-US" w:eastAsia="zh-CN" w:bidi="ar-SA"/>
        </w:rPr>
        <w:t>中标人应当统一负责项目总体协调、现场管理、竣工验收、资料汇总、对外协调，承担总包总责。</w:t>
      </w:r>
    </w:p>
    <w:p w14:paraId="332A748C">
      <w:pPr>
        <w:numPr>
          <w:ilvl w:val="0"/>
          <w:numId w:val="0"/>
        </w:numPr>
        <w:spacing w:line="560" w:lineRule="exact"/>
        <w:rPr>
          <w:rFonts w:hint="default"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3、</w:t>
      </w:r>
      <w:r>
        <w:rPr>
          <w:rFonts w:hint="default" w:ascii="仿宋_GB2312" w:hAnsi="宋体" w:eastAsia="仿宋_GB2312" w:cs="Times New Roman"/>
          <w:b w:val="0"/>
          <w:bCs w:val="0"/>
          <w:color w:val="auto"/>
          <w:kern w:val="2"/>
          <w:sz w:val="28"/>
          <w:szCs w:val="28"/>
          <w:lang w:val="en-US" w:eastAsia="zh-CN" w:bidi="ar-SA"/>
        </w:rPr>
        <w:t>中标人签订分包合同前须将分包单位资质资料报送招标人及监理单位审核同意后方可进场。</w:t>
      </w:r>
    </w:p>
    <w:p w14:paraId="38F7F806">
      <w:pPr>
        <w:numPr>
          <w:ilvl w:val="0"/>
          <w:numId w:val="0"/>
        </w:numPr>
        <w:spacing w:line="560" w:lineRule="exact"/>
        <w:rPr>
          <w:rFonts w:hint="eastAsia"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4、本项目土方运输所涉及手续（包括但不限于土石方利用方案编制及送审、砂石平台交易等）需由中标单位负责办理及承担费用。</w:t>
      </w:r>
    </w:p>
    <w:p w14:paraId="7241250C">
      <w:pPr>
        <w:numPr>
          <w:ilvl w:val="0"/>
          <w:numId w:val="0"/>
        </w:numPr>
        <w:spacing w:line="560" w:lineRule="exact"/>
        <w:rPr>
          <w:rFonts w:hint="default" w:ascii="仿宋_GB2312" w:hAnsi="宋体" w:eastAsia="仿宋_GB2312" w:cs="Times New Roman"/>
          <w:b w:val="0"/>
          <w:bCs w:val="0"/>
          <w:color w:val="auto"/>
          <w:kern w:val="2"/>
          <w:sz w:val="28"/>
          <w:szCs w:val="28"/>
          <w:lang w:val="en-US" w:eastAsia="zh-CN" w:bidi="ar-SA"/>
        </w:rPr>
      </w:pPr>
      <w:r>
        <w:rPr>
          <w:rFonts w:hint="eastAsia" w:ascii="仿宋_GB2312" w:hAnsi="宋体" w:eastAsia="仿宋_GB2312" w:cs="Times New Roman"/>
          <w:b w:val="0"/>
          <w:bCs w:val="0"/>
          <w:color w:val="auto"/>
          <w:kern w:val="2"/>
          <w:sz w:val="28"/>
          <w:szCs w:val="28"/>
          <w:lang w:val="en-US" w:eastAsia="zh-CN" w:bidi="ar-SA"/>
        </w:rPr>
        <w:t>5、工程产生的检测费用一切由中标单位承担。</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乳山市城投置业有限公司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山东省威海市乳山市胜利街83号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宋韶峰</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13256812456</w:t>
      </w:r>
    </w:p>
    <w:p w14:paraId="3D7D9632">
      <w:pPr>
        <w:rPr>
          <w:b/>
          <w:bCs/>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5040ED55">
      <w:pPr>
        <w:jc w:val="center"/>
        <w:rPr>
          <w:b/>
          <w:bCs/>
          <w:color w:val="auto"/>
          <w:spacing w:val="-24"/>
          <w:sz w:val="44"/>
          <w:szCs w:val="44"/>
        </w:rPr>
      </w:pPr>
      <w:r>
        <w:rPr>
          <w:b/>
          <w:bCs/>
          <w:color w:val="auto"/>
          <w:spacing w:val="-24"/>
          <w:sz w:val="44"/>
          <w:szCs w:val="44"/>
        </w:rPr>
        <w:t>清单编制总说明</w:t>
      </w:r>
    </w:p>
    <w:p w14:paraId="1C20E674">
      <w:pPr>
        <w:autoSpaceDE w:val="0"/>
        <w:autoSpaceDN w:val="0"/>
        <w:adjustRightInd w:val="0"/>
        <w:snapToGrid w:val="0"/>
        <w:rPr>
          <w:rFonts w:hint="eastAsia" w:eastAsia="宋体"/>
          <w:b/>
          <w:bCs/>
          <w:color w:val="auto"/>
          <w:sz w:val="24"/>
          <w:lang w:eastAsia="zh-CN"/>
        </w:rPr>
      </w:pPr>
      <w:r>
        <w:rPr>
          <w:b/>
          <w:color w:val="auto"/>
          <w:spacing w:val="5"/>
          <w:kern w:val="2"/>
          <w:sz w:val="24"/>
        </w:rPr>
        <w:t>工程名称：</w:t>
      </w:r>
      <w:r>
        <w:rPr>
          <w:rFonts w:hint="eastAsia"/>
          <w:b/>
          <w:color w:val="auto"/>
          <w:spacing w:val="5"/>
          <w:kern w:val="2"/>
          <w:sz w:val="24"/>
          <w:lang w:eastAsia="zh-CN"/>
        </w:rPr>
        <w:t>乳山市宫家村棚户区改造项目配套教育设施加装电梯项目</w:t>
      </w:r>
    </w:p>
    <w:tbl>
      <w:tblPr>
        <w:tblStyle w:val="30"/>
        <w:tblW w:w="0" w:type="auto"/>
        <w:tblInd w:w="-1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5"/>
      </w:tblGrid>
      <w:tr w14:paraId="6F07B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58" w:hRule="atLeast"/>
        </w:trPr>
        <w:tc>
          <w:tcPr>
            <w:tcW w:w="9995" w:type="dxa"/>
            <w:tcBorders>
              <w:top w:val="single" w:color="auto" w:sz="4" w:space="0"/>
              <w:left w:val="single" w:color="auto" w:sz="4" w:space="0"/>
              <w:right w:val="single" w:color="auto" w:sz="4" w:space="0"/>
            </w:tcBorders>
            <w:noWrap w:val="0"/>
            <w:vAlign w:val="top"/>
          </w:tcPr>
          <w:p w14:paraId="5D5E5BE6">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一、投标人须知：</w:t>
            </w:r>
          </w:p>
          <w:p w14:paraId="0D113B5F">
            <w:pPr>
              <w:spacing w:line="460" w:lineRule="exact"/>
              <w:ind w:left="561" w:leftChars="267"/>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1、应按工程量清单及其计价格式规定的内容进行编制、填写、签字、盖章。</w:t>
            </w:r>
          </w:p>
          <w:p w14:paraId="68F14B66">
            <w:pPr>
              <w:spacing w:line="460" w:lineRule="exact"/>
              <w:ind w:left="561" w:leftChars="267"/>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2、工程量清单及其计价格式中的任何内容不得随意删除或涂改。</w:t>
            </w:r>
          </w:p>
          <w:p w14:paraId="0D72B46F">
            <w:pPr>
              <w:spacing w:line="460" w:lineRule="exact"/>
              <w:ind w:left="561" w:leftChars="267"/>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3、工程量清单计价格式中列明的所有需要填报的单价和合价，投标人均应填报，未填报的单价和合价，视为此项费用已包含在工程量清单的其他单价和合价。</w:t>
            </w:r>
          </w:p>
          <w:p w14:paraId="7BC6A605">
            <w:pPr>
              <w:spacing w:line="460" w:lineRule="exact"/>
              <w:ind w:left="561" w:leftChars="267"/>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4、金额（价格）均以人民币表示。</w:t>
            </w:r>
          </w:p>
          <w:p w14:paraId="6D420C81">
            <w:pPr>
              <w:spacing w:line="460" w:lineRule="exact"/>
              <w:ind w:left="523" w:hanging="523" w:hangingChars="218"/>
              <w:jc w:val="left"/>
              <w:rPr>
                <w:rFonts w:hint="eastAsia" w:ascii="宋体" w:hAnsi="宋体" w:eastAsia="宋体" w:cs="Times New Roman"/>
                <w:color w:val="auto"/>
                <w:sz w:val="24"/>
                <w:szCs w:val="24"/>
                <w:highlight w:val="yellow"/>
              </w:rPr>
            </w:pPr>
            <w:r>
              <w:rPr>
                <w:rFonts w:hint="eastAsia" w:ascii="宋体" w:hAnsi="宋体" w:eastAsia="宋体" w:cs="Times New Roman"/>
                <w:color w:val="auto"/>
                <w:sz w:val="24"/>
                <w:szCs w:val="24"/>
              </w:rPr>
              <w:t>二、工程概况：</w:t>
            </w:r>
            <w:r>
              <w:rPr>
                <w:rFonts w:hint="eastAsia" w:ascii="宋体" w:hAnsi="宋体" w:eastAsia="宋体" w:cs="楷体_GB2312"/>
                <w:color w:val="auto"/>
                <w:sz w:val="24"/>
                <w:szCs w:val="24"/>
              </w:rPr>
              <w:t>该工程为</w:t>
            </w:r>
            <w:r>
              <w:rPr>
                <w:rFonts w:hint="eastAsia" w:ascii="宋体" w:hAnsi="宋体" w:eastAsia="宋体" w:cs="Times New Roman"/>
                <w:color w:val="auto"/>
                <w:sz w:val="24"/>
                <w:szCs w:val="24"/>
              </w:rPr>
              <w:t>乳山市宫家村棚户区改造项目配套教育设施加装电梯项目。</w:t>
            </w:r>
          </w:p>
          <w:p w14:paraId="11FDF045">
            <w:pPr>
              <w:spacing w:line="460" w:lineRule="exact"/>
              <w:ind w:left="523" w:hanging="523" w:hangingChars="218"/>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三、工程招标范围：主要包括楼外加装电梯、墙体拆除、窗拆除、电气线路增设、消防应急线路灯增设等</w:t>
            </w:r>
            <w:r>
              <w:rPr>
                <w:rFonts w:hint="eastAsia" w:ascii="宋体" w:hAnsi="宋体" w:eastAsia="宋体" w:cs="宋体"/>
                <w:color w:val="auto"/>
                <w:kern w:val="0"/>
                <w:sz w:val="24"/>
                <w:szCs w:val="24"/>
                <w:lang w:bidi="ar"/>
              </w:rPr>
              <w:t>，</w:t>
            </w:r>
            <w:r>
              <w:rPr>
                <w:rFonts w:hint="eastAsia" w:ascii="宋体" w:hAnsi="宋体" w:eastAsia="宋体" w:cs="Times New Roman"/>
                <w:color w:val="auto"/>
                <w:sz w:val="24"/>
                <w:szCs w:val="24"/>
              </w:rPr>
              <w:t>具体内容详见工程量清单。</w:t>
            </w:r>
          </w:p>
          <w:p w14:paraId="1B0F6833">
            <w:pPr>
              <w:spacing w:line="460" w:lineRule="exact"/>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四、</w:t>
            </w:r>
            <w:r>
              <w:rPr>
                <w:rFonts w:hint="eastAsia" w:ascii="宋体" w:hAnsi="宋体" w:eastAsia="宋体" w:cs="宋体"/>
                <w:color w:val="auto"/>
                <w:sz w:val="24"/>
                <w:szCs w:val="24"/>
              </w:rPr>
              <w:t>工程质量：达到国家验收规范合格标准。</w:t>
            </w:r>
          </w:p>
          <w:p w14:paraId="0122789C">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五、工程量清单编制依据：</w:t>
            </w:r>
          </w:p>
          <w:p w14:paraId="00CC5CF6">
            <w:pPr>
              <w:snapToGrid w:val="0"/>
              <w:spacing w:line="460" w:lineRule="exact"/>
              <w:ind w:left="719" w:leftChars="228" w:hanging="240" w:hangingChars="100"/>
              <w:rPr>
                <w:rFonts w:hint="eastAsia" w:ascii="宋体" w:hAnsi="宋体" w:eastAsia="宋体" w:cs="Times New Roman"/>
                <w:color w:val="auto"/>
                <w:sz w:val="24"/>
                <w:szCs w:val="24"/>
              </w:rPr>
            </w:pPr>
            <w:r>
              <w:rPr>
                <w:rFonts w:hint="eastAsia" w:ascii="宋体" w:hAnsi="宋体" w:eastAsia="宋体" w:cs="Times New Roman"/>
                <w:color w:val="auto"/>
                <w:sz w:val="24"/>
                <w:szCs w:val="24"/>
              </w:rPr>
              <w:t>1.建设部《建设工程工程量清单计价标准》(GB/T50500-2024)；</w:t>
            </w:r>
          </w:p>
          <w:p w14:paraId="7B2857C4">
            <w:pPr>
              <w:snapToGrid w:val="0"/>
              <w:spacing w:line="460" w:lineRule="exact"/>
              <w:ind w:left="479" w:leftChars="228"/>
              <w:rPr>
                <w:rFonts w:hint="eastAsia" w:ascii="宋体" w:hAnsi="宋体" w:eastAsia="宋体" w:cs="Times New Roman"/>
                <w:color w:val="auto"/>
                <w:sz w:val="24"/>
                <w:szCs w:val="24"/>
              </w:rPr>
            </w:pPr>
            <w:r>
              <w:rPr>
                <w:rFonts w:hint="eastAsia" w:ascii="宋体" w:hAnsi="宋体" w:eastAsia="宋体" w:cs="Times New Roman"/>
                <w:color w:val="auto"/>
                <w:sz w:val="24"/>
                <w:szCs w:val="24"/>
              </w:rPr>
              <w:t>2.省和市建设主管部门颁发的计价定额和计价管理办法及有关计价要求；</w:t>
            </w:r>
          </w:p>
          <w:p w14:paraId="71B19424">
            <w:pPr>
              <w:spacing w:line="46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 xml:space="preserve">3.招标单位提供的图纸、资料； </w:t>
            </w:r>
          </w:p>
          <w:p w14:paraId="5317CB0B">
            <w:pPr>
              <w:snapToGrid w:val="0"/>
              <w:spacing w:line="460" w:lineRule="exact"/>
              <w:ind w:left="479" w:leftChars="228"/>
              <w:rPr>
                <w:rFonts w:hint="eastAsia" w:ascii="宋体" w:hAnsi="宋体" w:eastAsia="宋体" w:cs="Times New Roman"/>
                <w:color w:val="auto"/>
                <w:sz w:val="24"/>
                <w:szCs w:val="24"/>
              </w:rPr>
            </w:pPr>
            <w:r>
              <w:rPr>
                <w:rFonts w:hint="eastAsia" w:ascii="宋体" w:hAnsi="宋体" w:eastAsia="宋体" w:cs="Times New Roman"/>
                <w:color w:val="auto"/>
                <w:sz w:val="24"/>
                <w:szCs w:val="24"/>
              </w:rPr>
              <w:t>4.与建设项目相关的标准设计图集、规范、技术资料等。</w:t>
            </w:r>
          </w:p>
          <w:p w14:paraId="026AF82C">
            <w:pPr>
              <w:spacing w:line="46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5.建筑市场情况。</w:t>
            </w:r>
          </w:p>
          <w:p w14:paraId="2749F1D6">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六、清单项目中凡注明“以下、以内、小于”字样者，均包括本身；注明“以上、以外、大于”字样者，均不包括本身。</w:t>
            </w:r>
          </w:p>
          <w:p w14:paraId="6FF488C3">
            <w:pPr>
              <w:spacing w:line="460" w:lineRule="exact"/>
              <w:ind w:left="480" w:hanging="480" w:hangingChars="200"/>
              <w:jc w:val="left"/>
              <w:rPr>
                <w:rFonts w:hint="eastAsia" w:ascii="宋体" w:hAnsi="宋体" w:eastAsia="宋体" w:cs="宋体"/>
                <w:color w:val="auto"/>
                <w:sz w:val="24"/>
                <w:szCs w:val="24"/>
              </w:rPr>
            </w:pPr>
            <w:r>
              <w:rPr>
                <w:rFonts w:hint="eastAsia" w:ascii="宋体" w:hAnsi="宋体" w:eastAsia="宋体" w:cs="Times New Roman"/>
                <w:color w:val="auto"/>
                <w:sz w:val="24"/>
                <w:szCs w:val="24"/>
              </w:rPr>
              <w:t>七、</w:t>
            </w:r>
            <w:r>
              <w:rPr>
                <w:rFonts w:hint="eastAsia" w:ascii="宋体" w:hAnsi="宋体" w:eastAsia="宋体" w:cs="宋体"/>
                <w:color w:val="auto"/>
                <w:sz w:val="24"/>
                <w:szCs w:val="24"/>
              </w:rPr>
              <w:t>投标单位在投标报价时，应根据现场条件、招标文件要求，按照《建设工程工程量清单计价标准》、《</w:t>
            </w:r>
            <w:r>
              <w:rPr>
                <w:rFonts w:ascii="宋体" w:hAnsi="宋体" w:eastAsia="宋体" w:cs="宋体"/>
                <w:color w:val="auto"/>
                <w:sz w:val="24"/>
                <w:szCs w:val="24"/>
              </w:rPr>
              <w:t>山东省建设工程费用项目组成及计算规则</w:t>
            </w:r>
            <w:r>
              <w:rPr>
                <w:rFonts w:hint="eastAsia" w:ascii="宋体" w:hAnsi="宋体" w:eastAsia="宋体" w:cs="宋体"/>
                <w:color w:val="auto"/>
                <w:sz w:val="24"/>
                <w:szCs w:val="24"/>
              </w:rPr>
              <w:t>》、本清单说明及子目规定的计算规则，结合施工方案、技术规范、技术装备、技术能力、施工管理经验及市场行情等规定综合</w:t>
            </w:r>
          </w:p>
          <w:p w14:paraId="01427821">
            <w:pPr>
              <w:snapToGrid w:val="0"/>
              <w:spacing w:line="460" w:lineRule="exact"/>
              <w:ind w:firstLine="480" w:firstLineChars="200"/>
              <w:jc w:val="left"/>
              <w:rPr>
                <w:rFonts w:hint="eastAsia" w:ascii="宋体" w:hAnsi="宋体" w:eastAsia="宋体" w:cs="Times New Roman"/>
                <w:color w:val="auto"/>
                <w:sz w:val="24"/>
                <w:szCs w:val="24"/>
              </w:rPr>
            </w:pPr>
            <w:r>
              <w:rPr>
                <w:rFonts w:hint="eastAsia" w:ascii="宋体" w:hAnsi="宋体" w:eastAsia="宋体" w:cs="宋体"/>
                <w:color w:val="auto"/>
                <w:sz w:val="24"/>
                <w:szCs w:val="24"/>
              </w:rPr>
              <w:t>分析及测算，在保证成本且有适当利润的前提下填报</w:t>
            </w:r>
            <w:r>
              <w:rPr>
                <w:rFonts w:hint="eastAsia" w:ascii="宋体" w:hAnsi="宋体" w:eastAsia="宋体" w:cs="Times New Roman"/>
                <w:color w:val="auto"/>
                <w:sz w:val="24"/>
                <w:szCs w:val="24"/>
              </w:rPr>
              <w:t>。</w:t>
            </w:r>
          </w:p>
          <w:p w14:paraId="720B78CE">
            <w:pPr>
              <w:snapToGrid w:val="0"/>
              <w:spacing w:line="460" w:lineRule="exact"/>
              <w:ind w:left="420" w:hanging="420" w:hangingChars="175"/>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八、分部分项工程量清单中没有明确描述的项目特征，投标单位应充分考虑图纸、设计规范等相关要求结合本工程的实际情况进行报价。</w:t>
            </w:r>
          </w:p>
          <w:p w14:paraId="0F07E9C3">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九、投标单位要充分考虑与其他施工单位之间相互配合而发生的费用，结算时不再增加此项费用。</w:t>
            </w:r>
          </w:p>
          <w:p w14:paraId="2FFD9BA7">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十、投标单位为本工程提供的各类构件费用，包括运输、拆卸、拼装、吊装，交通标识牌、警示牌等所有费用，应包括在工程量清单报价中，结算时不单独列项。</w:t>
            </w:r>
          </w:p>
          <w:p w14:paraId="487A43E6">
            <w:pPr>
              <w:spacing w:line="460" w:lineRule="exact"/>
              <w:ind w:left="480" w:hanging="480" w:hangingChars="200"/>
              <w:rPr>
                <w:rFonts w:ascii="宋体" w:hAnsi="宋体" w:eastAsia="宋体" w:cs="Times New Roman"/>
                <w:color w:val="auto"/>
                <w:sz w:val="24"/>
                <w:szCs w:val="24"/>
              </w:rPr>
            </w:pPr>
            <w:r>
              <w:rPr>
                <w:rFonts w:hint="eastAsia" w:ascii="宋体" w:hAnsi="宋体" w:eastAsia="宋体" w:cs="Times New Roman"/>
                <w:color w:val="auto"/>
                <w:sz w:val="24"/>
                <w:szCs w:val="24"/>
              </w:rPr>
              <w:t>十一、投标单位在投标报价时，应根据企业自身实力结合市场信息，充分考虑市场竞争因素和市场风险进行自主报价。</w:t>
            </w:r>
            <w:r>
              <w:rPr>
                <w:rFonts w:ascii="宋体" w:hAnsi="宋体" w:eastAsia="宋体" w:cs="Times New Roman"/>
                <w:color w:val="auto"/>
                <w:sz w:val="24"/>
                <w:szCs w:val="24"/>
              </w:rPr>
              <w:t>工程量清单计价表中的</w:t>
            </w:r>
            <w:r>
              <w:rPr>
                <w:rFonts w:hint="eastAsia" w:ascii="宋体" w:hAnsi="宋体" w:eastAsia="宋体" w:cs="Times New Roman"/>
                <w:color w:val="auto"/>
                <w:sz w:val="24"/>
                <w:szCs w:val="24"/>
              </w:rPr>
              <w:t>清单项目综合单价包括人工费、材料费、施工机具使用费、管理费、利润和一定范围内的风险费用，不包括增值税</w:t>
            </w:r>
            <w:r>
              <w:rPr>
                <w:rFonts w:ascii="宋体" w:hAnsi="宋体" w:eastAsia="宋体" w:cs="Times New Roman"/>
                <w:color w:val="auto"/>
                <w:sz w:val="24"/>
                <w:szCs w:val="24"/>
              </w:rPr>
              <w:t>。</w:t>
            </w:r>
          </w:p>
          <w:p w14:paraId="1CB4899F">
            <w:pPr>
              <w:spacing w:line="460" w:lineRule="exact"/>
              <w:ind w:left="480" w:hanging="480" w:hanging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十二、措施项目(除安全文明措施费外)包干计价。措施项目除因工程变更、工期实质性延长(缩短)引起措施费调整外，其他情形不作调整。采用费率计价的安全文明措施费，根据计费基础变化情况重新计算。清单项目综合单价包括人工费、材料费、施工机具使用费、管理费、利润和一定范围内的风险费用，不包括增值税。投标单位应根据招标文件、技术要求及自身拟订的本工程施工组织设计、施工方案以及工程现场的实际情况和投标单位的施工经验、投标单位本企业的实际情况等自主报价，未单独列项的措施费用视为已包括在相应的分部分项单价内，结算不再增加。综合考虑技术标准规范、施工工期、施工顺序、施工条件、地理气候等影响因素以及约定范围与解内的风险,完成一个单位数量工程量清单项目所需的费用。</w:t>
            </w:r>
          </w:p>
          <w:p w14:paraId="60FAA100">
            <w:pPr>
              <w:spacing w:line="460" w:lineRule="exact"/>
              <w:ind w:left="480" w:hanging="480" w:hangingChars="200"/>
              <w:jc w:val="left"/>
              <w:rPr>
                <w:rFonts w:hint="eastAsia" w:ascii="宋体" w:hAnsi="宋体" w:eastAsia="宋体" w:cs="Times New Roman"/>
                <w:color w:val="auto"/>
                <w:sz w:val="24"/>
                <w:szCs w:val="24"/>
              </w:rPr>
            </w:pPr>
            <w:r>
              <w:rPr>
                <w:rFonts w:hint="eastAsia" w:ascii="宋体" w:hAnsi="宋体" w:eastAsia="宋体" w:cs="Times New Roman"/>
                <w:color w:val="auto"/>
                <w:sz w:val="24"/>
                <w:szCs w:val="24"/>
              </w:rPr>
              <w:t>十三、本工程按照增值税一般的计价依据执行。投标报价中的税金为不可竞争费用，应按相应规定足额计取。</w:t>
            </w:r>
          </w:p>
          <w:p w14:paraId="4A9EBCD6">
            <w:pPr>
              <w:spacing w:line="460" w:lineRule="exact"/>
              <w:ind w:left="480" w:hanging="480" w:hangingChars="200"/>
              <w:rPr>
                <w:rFonts w:hint="eastAsia" w:ascii="宋体" w:hAnsi="宋体" w:eastAsia="宋体" w:cs="宋体"/>
                <w:color w:val="auto"/>
                <w:sz w:val="24"/>
                <w:szCs w:val="24"/>
              </w:rPr>
            </w:pPr>
            <w:r>
              <w:rPr>
                <w:rFonts w:hint="eastAsia" w:ascii="宋体" w:hAnsi="宋体" w:eastAsia="宋体" w:cs="Times New Roman"/>
                <w:color w:val="auto"/>
                <w:sz w:val="24"/>
                <w:szCs w:val="24"/>
              </w:rPr>
              <w:t>十四、</w:t>
            </w:r>
            <w:r>
              <w:rPr>
                <w:rFonts w:hint="eastAsia" w:ascii="宋体" w:hAnsi="宋体" w:eastAsia="宋体" w:cs="宋体"/>
                <w:color w:val="auto"/>
                <w:sz w:val="24"/>
                <w:szCs w:val="24"/>
              </w:rPr>
              <w:t>投标单位在投标报价时，应综合考虑以下费用：</w:t>
            </w:r>
          </w:p>
          <w:p w14:paraId="3213A4F9">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kern w:val="0"/>
                <w:sz w:val="24"/>
                <w:szCs w:val="24"/>
              </w:rPr>
              <w:t>图纸与清单不符的以清单为准</w:t>
            </w:r>
            <w:r>
              <w:rPr>
                <w:rFonts w:hint="eastAsia" w:ascii="宋体" w:hAnsi="宋体" w:eastAsia="宋体" w:cs="宋体"/>
                <w:color w:val="auto"/>
                <w:sz w:val="24"/>
                <w:szCs w:val="24"/>
              </w:rPr>
              <w:t>。</w:t>
            </w:r>
          </w:p>
          <w:p w14:paraId="24E32DAE">
            <w:pPr>
              <w:numPr>
                <w:ilvl w:val="0"/>
                <w:numId w:val="1"/>
              </w:numPr>
              <w:spacing w:line="460" w:lineRule="exact"/>
              <w:ind w:firstLine="480" w:firstLineChars="200"/>
              <w:rPr>
                <w:rFonts w:ascii="宋体" w:hAnsi="宋体" w:eastAsia="宋体" w:cs="宋体"/>
                <w:color w:val="auto"/>
                <w:sz w:val="24"/>
                <w:szCs w:val="24"/>
              </w:rPr>
            </w:pPr>
            <w:r>
              <w:rPr>
                <w:rFonts w:hint="eastAsia" w:ascii="宋体" w:hAnsi="宋体" w:eastAsia="宋体" w:cs="宋体"/>
                <w:color w:val="auto"/>
                <w:sz w:val="24"/>
                <w:szCs w:val="24"/>
              </w:rPr>
              <w:t>工程量清单中的工作内容和项目特征描述，均为分部分项清单项目的主要内容。结算时对清单特征描述中未施工的部分予以相应的扣除。</w:t>
            </w:r>
          </w:p>
          <w:p w14:paraId="7A9E1BE0">
            <w:pPr>
              <w:numPr>
                <w:ilvl w:val="0"/>
                <w:numId w:val="1"/>
              </w:numPr>
              <w:spacing w:line="46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报价单位应充分考虑垃圾、土方外运过程中，为避免影响环境所发生的各种费用；以及垃圾、土方弃土地点的道路畅通，避免垃圾、土方堆放存在的安全隐患所发生的各种费用（包括弃垃圾场地的修路，挖掘机堆土）；结算时不再增加此部分费用。</w:t>
            </w:r>
          </w:p>
          <w:p w14:paraId="634CA014">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投标单位应仔细阅读技术协议中相关做法及技术要求。</w:t>
            </w:r>
          </w:p>
          <w:p w14:paraId="26E689D7">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单位在投标报价时需要综合考虑检查、临时封堵、技术参数测定等为完成本工程项目而发生的所有费用。有清单子目的单独报价，没有单列清单项目的应综合考虑在相应的清单报价中，结算时不再增加此类费用。</w:t>
            </w:r>
          </w:p>
          <w:p w14:paraId="348A77F6">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投标报价要充分考虑施工过程中不可避免的赶工期增加费，结算不予调整。</w:t>
            </w:r>
          </w:p>
          <w:p w14:paraId="4F84866F">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清单单价应综合考虑各种管洞、箱体的预留及箱体的刷油防腐、管洞堵漏等工作内容。</w:t>
            </w:r>
          </w:p>
          <w:p w14:paraId="63EADB2B">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报价时应包含竣工验收时的所有材料检验、检测、验收费用及配合工程调试等相关费用，结算时不再增加此类费用。</w:t>
            </w:r>
          </w:p>
          <w:p w14:paraId="6DA5321D">
            <w:pPr>
              <w:numPr>
                <w:ilvl w:val="0"/>
                <w:numId w:val="1"/>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报价时应包括材料、半成品构件和成品构件运至工地现场堆放点的场外运输费用及从堆放点至施工点的场内运输费用；吊装点不能堆放构件时，构件的场内运输费用；构件运输过程中，如遇路桥限载（限高）而发生的加固、拓宽等有关费用均应包括在工程清单报价中，结算时无论何种情况均不再做调整。</w:t>
            </w:r>
          </w:p>
          <w:p w14:paraId="547D4C2B">
            <w:pPr>
              <w:spacing w:line="460" w:lineRule="exact"/>
              <w:rPr>
                <w:rFonts w:hint="eastAsia" w:ascii="宋体" w:hAnsi="宋体" w:eastAsia="宋体" w:cs="宋体"/>
                <w:color w:val="auto"/>
                <w:sz w:val="24"/>
                <w:szCs w:val="24"/>
              </w:rPr>
            </w:pPr>
            <w:r>
              <w:rPr>
                <w:rFonts w:hint="eastAsia" w:ascii="宋体" w:hAnsi="宋体" w:eastAsia="宋体" w:cs="宋体"/>
                <w:color w:val="auto"/>
                <w:sz w:val="24"/>
                <w:szCs w:val="24"/>
              </w:rPr>
              <w:t>十五、投标人在投标报价时，应考虑以下几点：</w:t>
            </w:r>
          </w:p>
          <w:p w14:paraId="1A7B5DA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投标人在施工期间需注意施工安全，并确保本工程不发生重大安全事故。若因中标人原因发生安全责任事故，中标人承担全部责任和经济损失，若对发包人造成损失，赔偿相应的金额。</w:t>
            </w:r>
          </w:p>
          <w:p w14:paraId="09C80B5E">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进出工地运输的各种散装或粉尘类的建筑材料应采取覆盖措施，防止因泼（扬）洒，泄漏对城市道路或环境造成污染，此部分的费用也包含在投标报价中。</w:t>
            </w:r>
          </w:p>
          <w:p w14:paraId="7D342CC0">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Times New Roman"/>
                <w:color w:val="auto"/>
                <w:sz w:val="24"/>
                <w:szCs w:val="24"/>
              </w:rPr>
              <w:t>在施工过程中可能产生的扬尘、噪音、车辆进出等因素，不得对周围居民的安全、财产及正常生活等造成影响，需采取的措施、监测设备（如扬尘噪音检测仪等）及相关费用均需考虑在投标报价当中；若因此引起纠纷及损失，均由投标单位自行解决。</w:t>
            </w:r>
          </w:p>
          <w:p w14:paraId="2C763A21">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投标人需严格按照相关规定弃土，严禁随意倾倒建筑垃圾、土石方等，如违反规定产生的费用由中标人承担。</w:t>
            </w:r>
          </w:p>
          <w:p w14:paraId="11B3F0D1">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投标人应遵守交通法规，因各种违规行为所产生的费用由中标人承担。</w:t>
            </w:r>
          </w:p>
          <w:p w14:paraId="342D786A">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投标人自行选定的弃土点的费用及沿途行驶产生的费用，需包含在投标报价中。</w:t>
            </w:r>
          </w:p>
          <w:p w14:paraId="05FB484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投标人应做好土方、建筑垃圾现场及运输途中的洒水保洁工作，防止扬尘。</w:t>
            </w:r>
          </w:p>
          <w:p w14:paraId="44F5C843">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投标人应充分考虑施工设计说明及施工规范要求的相关做法以及编制清单综合单价的要求，并应综合考虑实际可能发生的施工工艺与设计部分的因素，结算时不再因施工工艺的原因调整综合单价。</w:t>
            </w:r>
          </w:p>
          <w:p w14:paraId="34D30064">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所有砂浆项目的报价应结合本工程的实际情况和政府的相关规定考虑砂浆的施工方式，无论采用何种搅拌、运输方式，结算时均不调整报价中的综合单价。</w:t>
            </w:r>
          </w:p>
          <w:p w14:paraId="5DBD1226">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投标人应综合考虑材料运杂费、运输损耗费、检测实验费、采购及保管费、施工中的二次搬运费用、材料及构件的水平垂直运输等所有费用及在合同期内的所有风险，结算不再另行增加。</w:t>
            </w:r>
          </w:p>
          <w:p w14:paraId="39B64059">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报价均考虑构件可能发生的脚手架搭拆及水平垂直运输等所有费用。</w:t>
            </w:r>
          </w:p>
          <w:p w14:paraId="39BF32A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投标人应充分考虑施工过程中不论什么原因发生的各种机械多次进出场和机械停滞的费用及风险费用，结算时不再增加此部分费用。</w:t>
            </w:r>
          </w:p>
          <w:p w14:paraId="41AF5A2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施工现场临时场地、临时水电及施工过程中水、电费用由投标人自行解决，所需费用全部包含在相应的投标报价中，发包人不再另行考虑。</w:t>
            </w:r>
          </w:p>
          <w:p w14:paraId="3F7FFF24">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施工各专业施工应互相配合，由于交叉施工造成的一切费用，应考虑在清单报价中，结算时不做调整，本工程如与道路施工或周边环境等所产生的配合或其它费用，由中标人进行协调，费用包含在投标报价中，结算时不另行增加。</w:t>
            </w:r>
          </w:p>
          <w:p w14:paraId="0F6F2D9E">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报价中应包括安全警示标志、文明用语标志、围挡等措施，以保证过往行人及车辆安全，结算时不再调整。</w:t>
            </w:r>
          </w:p>
          <w:p w14:paraId="395BA5B5">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投标报价要充分考虑施工过程中不可避免的赶工期增加费，结算不予调整。</w:t>
            </w:r>
          </w:p>
          <w:p w14:paraId="166DACC0">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投标人应根据现场实际情况，自行考虑临时设施的搭建位置，但必须符合规定。无论场内、场外，结算时不再增加此部分费用。</w:t>
            </w:r>
          </w:p>
          <w:p w14:paraId="6DBC8151">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在施工过程中可能产生的扬尘、噪音、车辆进出等因素，不得对周围居民的安全、财产及正常生活等造成影响，需采取的措施及费用均需考虑在投标报价当中；若因此引起纠纷及损失，均由投标人自行解决。</w:t>
            </w:r>
          </w:p>
          <w:p w14:paraId="1CD7B12F">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材料价格应包含材料费、采保费、检验试验费、材料损耗、场外、场内运输费即购买、运输至现场并使用的费用等。</w:t>
            </w:r>
          </w:p>
          <w:p w14:paraId="474B83AD">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所有自主报价主材的选用应符合国标，且使用前应提供样品由发包人单位确认，否则发包人有提出更换的权利，由此所增加的费用不予认可。</w:t>
            </w:r>
          </w:p>
          <w:p w14:paraId="13ADEC1A">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投标人在报价时应根据实际情况考虑主要材料的损耗率，并按规定格式填报在相应报价表中，在未来结算中，不再考虑损耗因素影响的单价变化，投标人应考虑此因素。</w:t>
            </w:r>
          </w:p>
          <w:p w14:paraId="522CA755">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投标单位应充分仔细阅读图纸，报价时应综合考虑不同安装位置及安装高度所增加的降效费用，结算时不论采用何种方案，均不得调整。</w:t>
            </w:r>
          </w:p>
          <w:p w14:paraId="6A912F88">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涂料及油漆等涂刷项目均满足规范及质量要求,按成活报价,结算时不因涂刷次数增加而调整费用。现场施工时,招标单位有权根据观感要求投标单位增减涂刷遍数。</w:t>
            </w:r>
          </w:p>
          <w:p w14:paraId="44B4A38D">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各作业面完毕后,中标单位要按招标单位要求清理现场,竣工清理费用报价均应包含在报价中,结算时不增加此部分费用。</w:t>
            </w:r>
          </w:p>
          <w:p w14:paraId="4C749EE7">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中标单位应按建设单位要求按时提交符合城建档案要求的竣工资料，并配合建设单位归档。</w:t>
            </w:r>
          </w:p>
          <w:p w14:paraId="40E6B0D2">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在施工过程中产生的观摩和学习等费用，应在投标报价中综合考虑，结算时不再增加此部分费用。</w:t>
            </w:r>
          </w:p>
          <w:p w14:paraId="55F698F7">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施工过程中本单位施工范围内的成品保护及因施工影响需要进行第三方单位的财产保护工作费用，应在投标报价中综合考虑，结算时不再增加此部分费用。</w:t>
            </w:r>
          </w:p>
          <w:p w14:paraId="4C5236AF">
            <w:pPr>
              <w:numPr>
                <w:ilvl w:val="0"/>
                <w:numId w:val="2"/>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若投标人有不平衡报价的单项产生了做法或材质变更，结算价格以清单控制价的单价为基准来调差。变更导致实际完成的工程量超过已标价工程量清单工程量15%的，招标人有权将实际完成的工程量超过已标价工程量清单工程量15%以外部分单价重新组价。</w:t>
            </w:r>
          </w:p>
          <w:p w14:paraId="6FC0265E">
            <w:pPr>
              <w:spacing w:line="460" w:lineRule="exact"/>
              <w:ind w:left="420" w:leftChars="200"/>
              <w:rPr>
                <w:rFonts w:ascii="宋体" w:hAnsi="宋体" w:eastAsia="宋体" w:cs="宋体"/>
                <w:color w:val="auto"/>
                <w:sz w:val="24"/>
                <w:szCs w:val="24"/>
              </w:rPr>
            </w:pPr>
            <w:r>
              <w:rPr>
                <w:rFonts w:hint="eastAsia" w:ascii="宋体" w:hAnsi="宋体" w:eastAsia="宋体" w:cs="宋体"/>
                <w:color w:val="auto"/>
                <w:sz w:val="24"/>
                <w:szCs w:val="24"/>
              </w:rPr>
              <w:t>十六、土建、装饰工程报价时，投标单位应注意：</w:t>
            </w:r>
          </w:p>
          <w:p w14:paraId="23EE8A94">
            <w:pPr>
              <w:numPr>
                <w:ilvl w:val="0"/>
                <w:numId w:val="3"/>
              </w:numPr>
              <w:snapToGrid w:val="0"/>
              <w:spacing w:line="400" w:lineRule="exact"/>
              <w:ind w:firstLine="480" w:firstLineChars="200"/>
              <w:rPr>
                <w:rFonts w:hint="eastAsia" w:ascii="Times New Roman" w:hAnsi="宋体" w:eastAsia="宋体" w:cs="Times New Roman"/>
                <w:color w:val="auto"/>
                <w:sz w:val="24"/>
                <w:szCs w:val="24"/>
              </w:rPr>
            </w:pPr>
            <w:r>
              <w:rPr>
                <w:rFonts w:hint="eastAsia" w:ascii="宋体" w:hAnsi="宋体" w:eastAsia="宋体" w:cs="Times New Roman"/>
                <w:color w:val="auto"/>
                <w:sz w:val="24"/>
                <w:szCs w:val="24"/>
              </w:rPr>
              <w:t>所有涉及砂浆项目的报价应结合本工程的实际情况和政府的相关规定考虑砂浆的施工方式,实际施工中无论是否采用预拌、现场搅拌或成品砂浆,结算中均不调整报价中的单价。砂浆价格应综合考虑砂浆罐的租赁费,结算时不增加此部分费用。结算时砂浆的品种及标号与清单不一致,可找补不同标号的差价,差价只计取税金。</w:t>
            </w:r>
          </w:p>
          <w:p w14:paraId="40F26797">
            <w:pPr>
              <w:numPr>
                <w:ilvl w:val="0"/>
                <w:numId w:val="3"/>
              </w:numPr>
              <w:snapToGrid w:val="0"/>
              <w:spacing w:line="400" w:lineRule="exact"/>
              <w:ind w:firstLine="480" w:firstLineChars="200"/>
              <w:rPr>
                <w:rFonts w:hint="eastAsia" w:ascii="Times New Roman" w:hAnsi="Times New Roman" w:eastAsia="宋体" w:cs="Times New Roman"/>
                <w:color w:val="auto"/>
                <w:szCs w:val="24"/>
              </w:rPr>
            </w:pPr>
            <w:r>
              <w:rPr>
                <w:rFonts w:hint="eastAsia" w:ascii="Times New Roman" w:hAnsi="宋体" w:eastAsia="宋体" w:cs="Times New Roman"/>
                <w:color w:val="auto"/>
                <w:sz w:val="24"/>
                <w:szCs w:val="24"/>
              </w:rPr>
              <w:t>桩的计算规则按现场实际测量数据计算桩长。桩基础的报价应综合考虑现场自己发电、场地平整、排水降水、地下障碍物处理、制作、运输等进出场及安装定位清理及试桩等相关费用,结算时不增加此部分费用。</w:t>
            </w:r>
          </w:p>
          <w:p w14:paraId="318E9796">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油漆、腻子施工时，报价应考虑施工过程中必要的遮挡保护措施，结算时此部分费用不另增加。</w:t>
            </w:r>
          </w:p>
          <w:p w14:paraId="6748C962">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各作业面完毕后,投标单位要按招标单位要求清理现场。</w:t>
            </w:r>
          </w:p>
          <w:p w14:paraId="032B4AA4">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各种阴角结合处,白色硅胶或玻璃胶填缝等均已包含在各项清单单价中,不单独计价。各种边缝处理均视为已包含在报价中,结算时不增加此部分费用。</w:t>
            </w:r>
          </w:p>
          <w:p w14:paraId="03EF76CA">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块料面层下结合层应包括基层清理、素水泥浆等工序,厚度满足施工要求,达到验收标准。瓷砖套割、阴阳角处的倒角、对缝等应考虑在相应项报价中,结算时不再增加此项费用；点缀及拼花等的人工费增加、材料损耗费等应考虑在相关项目的清单报价中,结算时不增加此部分费用。但设计有特殊要求的切割缝除外。</w:t>
            </w:r>
          </w:p>
          <w:p w14:paraId="081DB971">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石材项目报价应考虑石材的磨边、倒角、现场切割、现场套割、擦缝、表面打蜡、成品保护、六面防护、背胶、加背筋等费用。结算时不增加此部分费用。</w:t>
            </w:r>
          </w:p>
          <w:p w14:paraId="51602EEF">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地面块料镶贴,考虑块料本身的性质选择适当黏贴材料和适当比例（如白色块料等）。</w:t>
            </w:r>
          </w:p>
          <w:p w14:paraId="07B0E3BA">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地面、墙面块料面层综合单价包括磨边、倒角、切割及套割等所有费用。</w:t>
            </w:r>
          </w:p>
          <w:p w14:paraId="7910656A">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地面材料充分考虑施工期间的损耗和设计造型等,严格按照设计图纸和相关规范铺贴,期间造成的材料损耗等增加费用,结算时不增加此部分费用。</w:t>
            </w:r>
          </w:p>
          <w:p w14:paraId="6CA41692">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墙地面块料面层的规格、材质变更,给予调整块料面层的材料差价，差价只计税金。</w:t>
            </w:r>
          </w:p>
          <w:p w14:paraId="54331C3F">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墙面粉刷项目报价应考虑墙面刷墙固的费用。结算时不增加此部分费用。</w:t>
            </w:r>
          </w:p>
          <w:p w14:paraId="0C9643BD">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各种阴角结合处,白色硅胶或玻璃胶填缝均已包含在各项清单单价中,不单独计价。各种边缝处理均视为已包含在报价中,结算时不增加此部分费用。</w:t>
            </w:r>
          </w:p>
          <w:p w14:paraId="10B60831">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腻子、乳胶漆、涂料及油漆等涂刷项目均满足规范及质量要求,按成活报价。现场施工时,招标单位有权根据观感要求投标单位增减涂刷遍数。</w:t>
            </w:r>
          </w:p>
          <w:p w14:paraId="424F202B">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墙面检修口、天棚开灯孔、检修口、风口、喷淋孔、空调设备、音响设备等各种孔洞施工应综合考虑中在相应清单单价中，结算时不增加此部分费用。</w:t>
            </w:r>
          </w:p>
          <w:p w14:paraId="46A6062D">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各作业面完毕后,中标单位要按招标单位要求清理现场,竣工清理费用报价均应包含在报价中,结算时不增加此部分费用。</w:t>
            </w:r>
          </w:p>
          <w:p w14:paraId="4EA86C40">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用于该工程项目的所有砌筑材料（包括但不限于砌块、小砖、砌筑砂浆等）必须符合现行相关规范标准要求，报价时综合考虑，结算时不因图纸设计或清单描述缺陷而调整该费用。所有填充墙顶部、底部砌体材质及砌筑要求均采用新标准。</w:t>
            </w:r>
          </w:p>
          <w:p w14:paraId="392D30D2">
            <w:pPr>
              <w:numPr>
                <w:ilvl w:val="0"/>
                <w:numId w:val="3"/>
              </w:numPr>
              <w:snapToGrid w:val="0"/>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工程施工中砼的报价应包含混凝土材料费、运输费、各种方式的泵送费、添加剂等费用。商品砼的泵送时产生的组管、洗管、配合泵送的所有材料及人工机械费,各种泵的电费燃料费等,投标报价中应综合考虑,结算时与此有关的费用不另外调整。结算时混凝土标号与清单不一致,可找补不同标号的差价，差价只计税金；综合考虑实际施工中如果采用非泵送商品砼所发生的垂直运输费,结算时不增加此部分费用。</w:t>
            </w:r>
          </w:p>
          <w:p w14:paraId="4FCAC411">
            <w:pPr>
              <w:numPr>
                <w:ilvl w:val="0"/>
                <w:numId w:val="3"/>
              </w:numPr>
              <w:snapToGrid w:val="0"/>
              <w:spacing w:line="400" w:lineRule="exact"/>
              <w:ind w:firstLine="480" w:firstLineChars="200"/>
              <w:rPr>
                <w:rFonts w:ascii="宋体" w:hAnsi="宋体" w:eastAsia="宋体" w:cs="Times New Roman"/>
                <w:color w:val="auto"/>
                <w:sz w:val="24"/>
                <w:szCs w:val="24"/>
              </w:rPr>
            </w:pPr>
            <w:r>
              <w:rPr>
                <w:rFonts w:hint="eastAsia" w:ascii="宋体" w:hAnsi="宋体" w:eastAsia="宋体" w:cs="Times New Roman"/>
                <w:color w:val="auto"/>
                <w:sz w:val="24"/>
                <w:szCs w:val="24"/>
              </w:rPr>
              <w:t>防水工程量按照实际的防水面积计算,清单报价中应综合考虑附加层、阴阳角等各叠加位置、防水接头处理（如刷聚氨酯等）、施工损耗及压条、各类套管端口防水处理等费用,结算时不增加此部分费用。</w:t>
            </w:r>
          </w:p>
          <w:p w14:paraId="003FB0AB">
            <w:pPr>
              <w:numPr>
                <w:ilvl w:val="0"/>
                <w:numId w:val="3"/>
              </w:numPr>
              <w:snapToGrid w:val="0"/>
              <w:spacing w:line="400" w:lineRule="exact"/>
              <w:ind w:firstLine="480" w:firstLineChars="200"/>
              <w:rPr>
                <w:rFonts w:ascii="宋体" w:hAnsi="宋体" w:eastAsia="宋体" w:cs="Times New Roman"/>
                <w:color w:val="auto"/>
                <w:sz w:val="24"/>
                <w:szCs w:val="24"/>
              </w:rPr>
            </w:pPr>
            <w:r>
              <w:rPr>
                <w:rFonts w:hint="eastAsia" w:ascii="宋体" w:hAnsi="宋体" w:eastAsia="宋体" w:cs="Times New Roman"/>
                <w:color w:val="auto"/>
                <w:sz w:val="24"/>
                <w:szCs w:val="24"/>
              </w:rPr>
              <w:t>施工中要注意成品保护，</w:t>
            </w:r>
            <w:r>
              <w:rPr>
                <w:rFonts w:ascii="宋体" w:hAnsi="宋体" w:eastAsia="宋体" w:cs="Times New Roman"/>
                <w:color w:val="auto"/>
                <w:sz w:val="24"/>
                <w:szCs w:val="24"/>
              </w:rPr>
              <w:t>因为施工</w:t>
            </w:r>
            <w:r>
              <w:rPr>
                <w:rFonts w:hint="eastAsia" w:ascii="宋体" w:hAnsi="宋体" w:eastAsia="宋体" w:cs="Times New Roman"/>
                <w:color w:val="auto"/>
                <w:sz w:val="24"/>
                <w:szCs w:val="24"/>
              </w:rPr>
              <w:t>中</w:t>
            </w:r>
            <w:r>
              <w:rPr>
                <w:rFonts w:ascii="宋体" w:hAnsi="宋体" w:eastAsia="宋体" w:cs="Times New Roman"/>
                <w:color w:val="auto"/>
                <w:sz w:val="24"/>
                <w:szCs w:val="24"/>
              </w:rPr>
              <w:t>造成破坏增加</w:t>
            </w:r>
            <w:r>
              <w:rPr>
                <w:rFonts w:hint="eastAsia" w:ascii="宋体" w:hAnsi="宋体" w:eastAsia="宋体" w:cs="Times New Roman"/>
                <w:color w:val="auto"/>
                <w:sz w:val="24"/>
                <w:szCs w:val="24"/>
              </w:rPr>
              <w:t>恢复</w:t>
            </w:r>
            <w:r>
              <w:rPr>
                <w:rFonts w:ascii="宋体" w:hAnsi="宋体" w:eastAsia="宋体" w:cs="Times New Roman"/>
                <w:color w:val="auto"/>
                <w:sz w:val="24"/>
                <w:szCs w:val="24"/>
              </w:rPr>
              <w:t>的费用</w:t>
            </w:r>
            <w:r>
              <w:rPr>
                <w:rFonts w:hint="eastAsia" w:ascii="宋体" w:hAnsi="宋体" w:eastAsia="宋体" w:cs="Times New Roman"/>
                <w:color w:val="auto"/>
                <w:sz w:val="24"/>
                <w:szCs w:val="24"/>
              </w:rPr>
              <w:t>由施工单位自行承担。</w:t>
            </w:r>
          </w:p>
          <w:p w14:paraId="145F2735">
            <w:pPr>
              <w:spacing w:line="400" w:lineRule="exact"/>
              <w:rPr>
                <w:rFonts w:hint="eastAsia" w:ascii="宋体" w:hAnsi="宋体" w:eastAsia="宋体" w:cs="Times New Roman"/>
                <w:color w:val="auto"/>
                <w:sz w:val="24"/>
                <w:szCs w:val="24"/>
              </w:rPr>
            </w:pPr>
            <w:r>
              <w:rPr>
                <w:rFonts w:hint="eastAsia" w:ascii="宋体" w:hAnsi="宋体" w:eastAsia="宋体" w:cs="Times New Roman"/>
                <w:color w:val="auto"/>
                <w:sz w:val="24"/>
                <w:szCs w:val="24"/>
              </w:rPr>
              <w:t>二十一、安装工程报价时，投标单位应注意：</w:t>
            </w:r>
          </w:p>
          <w:p w14:paraId="54D6FE26">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安装工程材料价格由投标单位自主报价，应严格符合国家质量标准。。</w:t>
            </w:r>
          </w:p>
          <w:p w14:paraId="35C4730A">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安装工程中配电箱（柜）包含焊压接线端子、无端子外部接线及基础型钢制作安装等。</w:t>
            </w:r>
          </w:p>
          <w:p w14:paraId="74BF4013">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所有灯具、开关、插座等小电器的清单项目均包含安装、接线、单体调试和材料费及抠眼打洞恢复费用等与之相关的所有工作内容，结算时均不调整。</w:t>
            </w:r>
          </w:p>
          <w:p w14:paraId="635F43AF">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电缆敷设工程量是按设计图示尺寸实际长度计算，包括水平、垂直走向、各处预留长度及附加长度，敷设方式不论是沿桥架还是穿管敷设，结算时均不因敷设方式不同而调整。</w:t>
            </w:r>
          </w:p>
          <w:p w14:paraId="2106ECDB">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法兰阀门、法兰的安装包括配套螺栓、螺母的安装，报价时综合考虑在相应的清单中，结算时不再增加此部分费用。</w:t>
            </w:r>
          </w:p>
          <w:p w14:paraId="45D82066">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未单独列项的一般钢套管、管件、支吊架、打洞、过墙保温、防腐、防水封堵、防火封堵等相关工作内容均综合在各分部分项工程量清单中综合报价，结算时不再调整。</w:t>
            </w:r>
          </w:p>
          <w:p w14:paraId="145EC85B">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投标报价要充分考虑施工过程中不可避免的赶工期增加费，结算不予调整。</w:t>
            </w:r>
          </w:p>
          <w:p w14:paraId="183AFF77">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各类标志费用应综合考虑在清单报价中，结算时不再计取。</w:t>
            </w:r>
          </w:p>
          <w:p w14:paraId="0C9CF530">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综合单价应综合不同安装操作高度增加费用，结算不予另计。</w:t>
            </w:r>
          </w:p>
          <w:p w14:paraId="0A332D45">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各种管道的剔槽恢复在报价时应综合考虑到相关清单子目中，结算不予另计。</w:t>
            </w:r>
          </w:p>
          <w:p w14:paraId="527D6BE8">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清单单价应综合考虑各种管洞、桥架洞、各种箱体洞口预留及箱体的刷油防腐、管洞、桥架洞堵漏等工作内容，结算不再增加此部分内容。</w:t>
            </w:r>
          </w:p>
          <w:p w14:paraId="249FE3D2">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本工程的防雷检测费及验收费应在报价中综合考虑，结算时不再增加此类费用。</w:t>
            </w:r>
          </w:p>
          <w:p w14:paraId="63034A6E">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消防系统报价时应包含通过消防验收的威海市建筑电气设施消防安全检测费（电检费）、消防安全远程监控入网服务费、监测检验及综合验收费、所有消防标示色环等费用及配合本项目其他标段消防工程调试等相关费用，结算时不再增加此类费用。</w:t>
            </w:r>
          </w:p>
          <w:p w14:paraId="276E9883">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本项目设备本体调试、系统调试及联动调试费用，应依据施工规范及技术要求进行报价。有清单子目的单独报价，没有单列清单项目的应综合考虑在相应的清单报价中，结算时不再增加此类费用。</w:t>
            </w:r>
          </w:p>
          <w:p w14:paraId="5D729164">
            <w:pPr>
              <w:numPr>
                <w:ilvl w:val="0"/>
                <w:numId w:val="4"/>
              </w:numPr>
              <w:spacing w:line="400" w:lineRule="exact"/>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清单单价应综合考虑各种管洞、桥架洞、各种箱体洞口预留及及箱体的刷油防腐、管洞、桥架洞堵漏等工作内容。</w:t>
            </w:r>
          </w:p>
          <w:p w14:paraId="5E9841EB">
            <w:pPr>
              <w:numPr>
                <w:ilvl w:val="0"/>
                <w:numId w:val="4"/>
              </w:numPr>
              <w:spacing w:line="400" w:lineRule="exact"/>
              <w:ind w:firstLine="480" w:firstLineChars="200"/>
              <w:rPr>
                <w:rFonts w:ascii="宋体" w:hAnsi="宋体" w:eastAsia="宋体" w:cs="Times New Roman"/>
                <w:color w:val="auto"/>
                <w:sz w:val="24"/>
                <w:szCs w:val="24"/>
              </w:rPr>
            </w:pPr>
            <w:r>
              <w:rPr>
                <w:rFonts w:hint="eastAsia" w:ascii="宋体" w:hAnsi="宋体" w:eastAsia="宋体" w:cs="Times New Roman"/>
                <w:color w:val="auto"/>
                <w:sz w:val="24"/>
                <w:szCs w:val="24"/>
              </w:rPr>
              <w:t>智能弱电系统报价时应包含竣工验收时的所有材料检验、检测、验收费用，结算时不再增加此类费用。</w:t>
            </w:r>
          </w:p>
          <w:p w14:paraId="47B64B65">
            <w:pPr>
              <w:spacing w:line="400" w:lineRule="exact"/>
              <w:ind w:left="17" w:leftChars="8" w:firstLine="458" w:firstLineChars="191"/>
              <w:rPr>
                <w:rFonts w:hint="eastAsia" w:ascii="宋体" w:hAnsi="宋体" w:eastAsia="宋体" w:cs="宋体"/>
                <w:color w:val="auto"/>
                <w:sz w:val="24"/>
                <w:szCs w:val="24"/>
              </w:rPr>
            </w:pPr>
            <w:r>
              <w:rPr>
                <w:rFonts w:hint="eastAsia" w:ascii="宋体" w:hAnsi="宋体" w:eastAsia="宋体" w:cs="Times New Roman"/>
                <w:color w:val="auto"/>
                <w:sz w:val="24"/>
                <w:szCs w:val="24"/>
              </w:rPr>
              <w:t>十七、工程主要材料和设备及相关配件报价中所选用的品牌档次应不低于中档品牌以上的性能标准，</w:t>
            </w:r>
            <w:r>
              <w:rPr>
                <w:rFonts w:ascii="宋体" w:hAnsi="宋体" w:eastAsia="宋体" w:cs="Times New Roman"/>
                <w:color w:val="auto"/>
                <w:sz w:val="24"/>
                <w:szCs w:val="24"/>
              </w:rPr>
              <w:t xml:space="preserve">开关插座 公牛、德力西、正泰等同档次品牌 </w:t>
            </w:r>
            <w:r>
              <w:rPr>
                <w:rFonts w:hint="eastAsia" w:ascii="宋体" w:hAnsi="宋体" w:eastAsia="宋体" w:cs="Times New Roman"/>
                <w:color w:val="auto"/>
                <w:sz w:val="24"/>
                <w:szCs w:val="24"/>
              </w:rPr>
              <w:t>。电梯</w:t>
            </w:r>
            <w:r>
              <w:rPr>
                <w:rFonts w:ascii="宋体" w:hAnsi="宋体" w:eastAsia="宋体" w:cs="Times New Roman"/>
                <w:color w:val="auto"/>
                <w:sz w:val="24"/>
                <w:szCs w:val="24"/>
              </w:rPr>
              <w:t>西奥 沃克斯迅达等同档次品牌</w:t>
            </w:r>
            <w:r>
              <w:rPr>
                <w:rFonts w:hint="eastAsia" w:ascii="宋体" w:hAnsi="宋体" w:eastAsia="宋体" w:cs="Times New Roman"/>
                <w:color w:val="auto"/>
                <w:sz w:val="24"/>
                <w:szCs w:val="24"/>
              </w:rPr>
              <w:t>。</w:t>
            </w:r>
          </w:p>
          <w:p w14:paraId="74D53969">
            <w:pPr>
              <w:spacing w:line="460" w:lineRule="exact"/>
              <w:ind w:left="420" w:leftChars="200"/>
              <w:rPr>
                <w:rFonts w:hint="eastAsia" w:ascii="宋体" w:hAnsi="宋体" w:eastAsia="宋体" w:cs="宋体"/>
                <w:color w:val="auto"/>
                <w:sz w:val="24"/>
                <w:szCs w:val="24"/>
              </w:rPr>
            </w:pPr>
            <w:r>
              <w:rPr>
                <w:rFonts w:hint="eastAsia" w:ascii="宋体" w:hAnsi="宋体" w:eastAsia="宋体" w:cs="宋体"/>
                <w:color w:val="auto"/>
                <w:sz w:val="24"/>
                <w:szCs w:val="24"/>
              </w:rPr>
              <w:t>十八、特别说明：</w:t>
            </w:r>
          </w:p>
          <w:p w14:paraId="1F71E3C3">
            <w:pPr>
              <w:numPr>
                <w:ilvl w:val="0"/>
                <w:numId w:val="5"/>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投标单位投标时应充分了解本说明与合同样本所有条款，对于有矛盾的条款，须在投标报价前提出，由发包人解答。对于未及时提出的不明确或矛盾条款，风险由投标人承担。</w:t>
            </w:r>
          </w:p>
          <w:p w14:paraId="45DF9324">
            <w:pPr>
              <w:numPr>
                <w:ilvl w:val="0"/>
                <w:numId w:val="5"/>
              </w:numPr>
              <w:snapToGrid w:val="0"/>
              <w:spacing w:line="360" w:lineRule="auto"/>
              <w:ind w:firstLine="480" w:firstLineChars="200"/>
              <w:rPr>
                <w:rFonts w:hint="eastAsia" w:ascii="宋体" w:hAnsi="宋体" w:eastAsia="宋体" w:cs="Times New Roman"/>
                <w:color w:val="auto"/>
                <w:sz w:val="24"/>
                <w:szCs w:val="24"/>
              </w:rPr>
            </w:pPr>
            <w:r>
              <w:rPr>
                <w:rFonts w:hint="eastAsia" w:ascii="宋体" w:hAnsi="宋体" w:eastAsia="宋体" w:cs="Times New Roman"/>
                <w:color w:val="auto"/>
                <w:sz w:val="24"/>
                <w:szCs w:val="24"/>
              </w:rPr>
              <w:t>本项目共有两套表格,一套为工程量清单表,一套为投标报价样表；投标人必须严格按照投标报价表样顺序逐一填报。其中投标报价表样中给定了暂列金金额和专业工程暂估价的,投标单位应按照给定的金额正常计取税金后计入投标总价中,不得任意删除或者更改金额,否则视为否决投标；材料暂估价按照样表中给定的价格计入，不得任意删除或者更改金额，否则视为否决投标；</w:t>
            </w:r>
          </w:p>
          <w:p w14:paraId="70A94A11">
            <w:pPr>
              <w:numPr>
                <w:ilvl w:val="0"/>
                <w:numId w:val="5"/>
              </w:numPr>
              <w:spacing w:line="460" w:lineRule="exact"/>
              <w:ind w:firstLine="480" w:firstLineChars="200"/>
              <w:rPr>
                <w:rFonts w:hint="eastAsia" w:ascii="宋体" w:hAnsi="宋体" w:eastAsia="宋体" w:cs="宋体"/>
                <w:color w:val="auto"/>
                <w:sz w:val="24"/>
                <w:szCs w:val="24"/>
              </w:rPr>
            </w:pPr>
            <w:r>
              <w:rPr>
                <w:rFonts w:hint="eastAsia" w:ascii="宋体" w:hAnsi="宋体" w:eastAsia="宋体" w:cs="Times New Roman"/>
                <w:color w:val="auto"/>
                <w:sz w:val="24"/>
                <w:szCs w:val="24"/>
              </w:rPr>
              <w:t xml:space="preserve">暂列金为 </w:t>
            </w:r>
            <w:r>
              <w:rPr>
                <w:rFonts w:hint="eastAsia" w:ascii="宋体" w:hAnsi="宋体" w:eastAsia="宋体" w:cs="Times New Roman"/>
                <w:color w:val="auto"/>
                <w:sz w:val="24"/>
                <w:szCs w:val="24"/>
                <w:lang w:val="en-US" w:eastAsia="zh-CN"/>
              </w:rPr>
              <w:t>21350.95</w:t>
            </w:r>
            <w:r>
              <w:rPr>
                <w:rFonts w:hint="eastAsia" w:ascii="宋体" w:hAnsi="宋体" w:eastAsia="宋体" w:cs="Times New Roman"/>
                <w:color w:val="auto"/>
                <w:sz w:val="24"/>
                <w:szCs w:val="24"/>
              </w:rPr>
              <w:t>元</w:t>
            </w:r>
            <w:r>
              <w:rPr>
                <w:rFonts w:hint="eastAsia" w:ascii="宋体" w:hAnsi="宋体" w:eastAsia="宋体" w:cs="宋体"/>
                <w:color w:val="auto"/>
                <w:sz w:val="24"/>
                <w:szCs w:val="24"/>
              </w:rPr>
              <w:t xml:space="preserve">。 </w:t>
            </w:r>
          </w:p>
          <w:p w14:paraId="2F657782">
            <w:pPr>
              <w:snapToGrid w:val="0"/>
              <w:spacing w:line="360" w:lineRule="auto"/>
              <w:rPr>
                <w:b/>
                <w:bCs/>
                <w:color w:val="auto"/>
                <w:sz w:val="24"/>
              </w:rPr>
            </w:pPr>
            <w:r>
              <w:rPr>
                <w:rFonts w:hint="eastAsia" w:ascii="宋体" w:hAnsi="宋体" w:eastAsia="宋体" w:cs="Times New Roman"/>
                <w:color w:val="auto"/>
                <w:sz w:val="24"/>
                <w:szCs w:val="24"/>
              </w:rPr>
              <w:t>关于补充清单工程量计算规则说明：补充清单子目项目特征内有工程量计算规则说明的，按清单项目特征说明的计算规则计算工程量，补充清单子目项目特征无工程量计算规则说明的，均按山东省消耗量定额计算规则计算工程量。</w:t>
            </w:r>
          </w:p>
        </w:tc>
      </w:tr>
    </w:tbl>
    <w:p w14:paraId="052A84E6">
      <w:pPr>
        <w:pStyle w:val="28"/>
        <w:spacing w:before="100" w:beforeAutospacing="1" w:after="100" w:afterAutospacing="1" w:line="415" w:lineRule="auto"/>
        <w:rPr>
          <w:rFonts w:hint="eastAsia" w:ascii="宋体" w:hAnsi="宋体" w:cs="宋体"/>
          <w:color w:val="auto"/>
          <w:sz w:val="44"/>
          <w:szCs w:val="44"/>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744C065D">
      <w:pPr>
        <w:pStyle w:val="28"/>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0"/>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1"/>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1"/>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1"/>
              <w:ind w:firstLine="0"/>
              <w:jc w:val="center"/>
              <w:rPr>
                <w:rFonts w:ascii="仿宋_GB2312" w:hAnsi="宋体" w:eastAsia="仿宋_GB2312"/>
                <w:color w:val="auto"/>
                <w:sz w:val="24"/>
                <w:szCs w:val="24"/>
              </w:rPr>
            </w:pPr>
          </w:p>
          <w:p w14:paraId="7AE8932D">
            <w:pPr>
              <w:pStyle w:val="11"/>
              <w:ind w:firstLine="0"/>
              <w:jc w:val="center"/>
              <w:rPr>
                <w:rFonts w:hint="eastAsia" w:eastAsia="宋体"/>
                <w:color w:val="auto"/>
                <w:lang w:val="en-US" w:eastAsia="zh-CN"/>
              </w:rPr>
            </w:pPr>
            <w:r>
              <w:rPr>
                <w:rFonts w:hint="eastAsia" w:ascii="仿宋_GB2312" w:hAnsi="宋体" w:eastAsia="仿宋_GB2312"/>
                <w:color w:val="auto"/>
                <w:sz w:val="24"/>
                <w:szCs w:val="24"/>
                <w:lang w:val="en-US" w:eastAsia="zh-CN"/>
              </w:rPr>
              <w:t>2</w:t>
            </w:r>
          </w:p>
        </w:tc>
        <w:tc>
          <w:tcPr>
            <w:tcW w:w="773" w:type="dxa"/>
            <w:vAlign w:val="center"/>
          </w:tcPr>
          <w:p w14:paraId="445E2ED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2B9C3116">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1、投标人的报价超过采购控制价，作无效报价处理。</w:t>
            </w:r>
          </w:p>
          <w:p w14:paraId="2213E14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2、报价与评标基准价一致的，得最高分</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w:t>
            </w:r>
          </w:p>
          <w:p w14:paraId="6FB7054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在评标基准价以上，每提高一个百分点，在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分基础上减0.1分；</w:t>
            </w:r>
          </w:p>
          <w:p w14:paraId="5B53ACB2">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在评标基准价以下，每减少一个百分点，在</w:t>
            </w:r>
            <w:r>
              <w:rPr>
                <w:rFonts w:hint="eastAsia" w:ascii="仿宋_GB2312" w:hAnsi="宋体" w:eastAsia="仿宋_GB2312"/>
                <w:color w:val="auto"/>
                <w:sz w:val="24"/>
                <w:szCs w:val="24"/>
                <w:lang w:val="en-US" w:eastAsia="zh-CN"/>
              </w:rPr>
              <w:t>55</w:t>
            </w:r>
            <w:r>
              <w:rPr>
                <w:rFonts w:ascii="仿宋_GB2312" w:hAnsi="宋体" w:eastAsia="仿宋_GB2312"/>
                <w:color w:val="auto"/>
                <w:sz w:val="24"/>
                <w:szCs w:val="24"/>
              </w:rPr>
              <w:t>分的基础上减0.1分，扣完为止。</w:t>
            </w:r>
          </w:p>
          <w:p w14:paraId="34151264">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不足</w:t>
            </w:r>
            <w:r>
              <w:rPr>
                <w:rFonts w:ascii="仿宋_GB2312" w:hAnsi="宋体" w:eastAsia="仿宋_GB2312"/>
                <w:color w:val="auto"/>
                <w:sz w:val="24"/>
                <w:szCs w:val="24"/>
              </w:rPr>
              <w:t>1％，内插。报价分值计算保留小数点后两位。</w:t>
            </w:r>
          </w:p>
          <w:p w14:paraId="276F451F">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评标基准价计算方法</w:t>
            </w:r>
            <w:r>
              <w:rPr>
                <w:rFonts w:ascii="仿宋_GB2312" w:hAnsi="宋体" w:eastAsia="仿宋_GB2312"/>
                <w:color w:val="auto"/>
                <w:sz w:val="24"/>
                <w:szCs w:val="24"/>
              </w:rPr>
              <w:t>:</w:t>
            </w:r>
          </w:p>
          <w:p w14:paraId="72BB71FA">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当n（有效投标人个数，以下相同）＜5时，评标基准价=所有报价价的算术平均值；</w:t>
            </w:r>
          </w:p>
          <w:p w14:paraId="1C107B1C">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当5≤n＜9时，评标基准价=所有报价中去掉1个最高价、1个最低价后的算术平均值；</w:t>
            </w:r>
          </w:p>
          <w:p w14:paraId="6EA15142">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 xml:space="preserve">    当n≥9时，</w:t>
            </w:r>
            <w:r>
              <w:rPr>
                <w:rFonts w:hint="eastAsia" w:ascii="仿宋_GB2312" w:hAnsi="宋体" w:eastAsia="仿宋_GB2312"/>
                <w:color w:val="auto"/>
                <w:sz w:val="24"/>
                <w:szCs w:val="24"/>
              </w:rPr>
              <w:t>评标基准价</w:t>
            </w:r>
            <w:r>
              <w:rPr>
                <w:rFonts w:ascii="仿宋_GB2312" w:hAnsi="宋体" w:eastAsia="仿宋_GB2312"/>
                <w:color w:val="auto"/>
                <w:sz w:val="24"/>
                <w:szCs w:val="24"/>
              </w:rPr>
              <w:t>=所有报价中去掉2个最高价、2个最低价后的算术平均值。</w:t>
            </w:r>
          </w:p>
        </w:tc>
        <w:tc>
          <w:tcPr>
            <w:tcW w:w="1026" w:type="dxa"/>
            <w:vAlign w:val="center"/>
          </w:tcPr>
          <w:p w14:paraId="3CDFB471">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1"/>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1"/>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1"/>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报价供应商近3年（指从开标日向前推算，精确到日，以此类推，以合同签订时间为准）完成类似业绩（建筑工程）每有一项得1分，最高得3分；</w:t>
            </w:r>
          </w:p>
          <w:p w14:paraId="796237A2">
            <w:pPr>
              <w:pStyle w:val="11"/>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1"/>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1"/>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1"/>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建筑工程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1"/>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1"/>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1"/>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1"/>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1"/>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1"/>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1"/>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1"/>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乳山市宫家村棚户区改造项目配套教育设施加装电梯项目</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WHJX-ZB-2026-053</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WHJX-ZB-2026-053</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乳山市宫家村棚户区改造项目配套教育设施加装电梯项目</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24BBA050">
      <w:pPr>
        <w:keepNext/>
        <w:keepLines/>
        <w:spacing w:before="120" w:after="120" w:line="560" w:lineRule="exact"/>
        <w:jc w:val="center"/>
        <w:outlineLvl w:val="1"/>
        <w:rPr>
          <w:rFonts w:hint="eastAsia"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分包承诺函</w:t>
      </w:r>
    </w:p>
    <w:p w14:paraId="479C6BC0">
      <w:pPr>
        <w:spacing w:line="560" w:lineRule="exact"/>
        <w:rPr>
          <w:rFonts w:hint="eastAsia" w:ascii="仿宋_GB2312" w:hAnsi="仿宋" w:eastAsia="仿宋_GB2312"/>
          <w:color w:val="auto"/>
          <w:kern w:val="0"/>
          <w:sz w:val="30"/>
          <w:szCs w:val="30"/>
          <w:lang w:val="en-US" w:eastAsia="zh-CN"/>
        </w:rPr>
      </w:pPr>
      <w:r>
        <w:rPr>
          <w:rFonts w:hint="eastAsia" w:ascii="仿宋_GB2312" w:hAnsi="仿宋" w:eastAsia="仿宋_GB2312"/>
          <w:color w:val="auto"/>
          <w:kern w:val="0"/>
          <w:sz w:val="30"/>
          <w:szCs w:val="30"/>
          <w:lang w:val="en-US" w:eastAsia="zh-CN"/>
        </w:rPr>
        <w:t>威海市嘉鑫工程检测鉴定有限公司：</w:t>
      </w:r>
    </w:p>
    <w:p w14:paraId="2E34A53B">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lang w:val="en-US" w:eastAsia="zh-CN"/>
        </w:rPr>
        <w:t>我方如中标乳山市宫家村棚户区改造项目配套教育设施加装电梯项目，郑重承诺：</w:t>
      </w:r>
    </w:p>
    <w:p w14:paraId="7783E2C1">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我方具备建筑工程施工总承包资质，自行实施本项目土建改造、拆除、电气、消防配套等全部建筑工程施工内容；</w:t>
      </w:r>
    </w:p>
    <w:p w14:paraId="21A0BA89">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电梯设备供货及电梯本体安装工程，中标后依法分包给满足市场监管部门特种设备相关规定的单位；</w:t>
      </w:r>
    </w:p>
    <w:p w14:paraId="3138383C">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分包方案、分包单位资质报招标人、监理审核通过后实施；</w:t>
      </w:r>
    </w:p>
    <w:p w14:paraId="172AB1E9">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我方承担总承包管理责任，对分包工程质量、安全、进度负总责；</w:t>
      </w:r>
    </w:p>
    <w:p w14:paraId="4EFAF9DA">
      <w:pPr>
        <w:spacing w:line="560" w:lineRule="exact"/>
        <w:ind w:firstLine="600" w:firstLineChars="200"/>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rPr>
        <w:t>不存在转包、违法分包情形。</w:t>
      </w:r>
    </w:p>
    <w:p w14:paraId="7D2CF2A4">
      <w:pPr>
        <w:spacing w:line="560" w:lineRule="exact"/>
        <w:ind w:firstLine="600" w:firstLineChars="200"/>
        <w:jc w:val="right"/>
        <w:rPr>
          <w:rFonts w:hint="eastAsia" w:ascii="仿宋_GB2312" w:hAnsi="仿宋" w:eastAsia="仿宋_GB2312"/>
          <w:color w:val="auto"/>
          <w:kern w:val="0"/>
          <w:sz w:val="30"/>
          <w:szCs w:val="30"/>
          <w:lang w:val="en-US" w:eastAsia="zh-CN"/>
        </w:rPr>
      </w:pPr>
    </w:p>
    <w:p w14:paraId="40DB0D53">
      <w:pPr>
        <w:spacing w:line="560" w:lineRule="exact"/>
        <w:ind w:firstLine="600" w:firstLineChars="200"/>
        <w:jc w:val="right"/>
        <w:rPr>
          <w:rFonts w:hint="eastAsia" w:ascii="仿宋_GB2312" w:hAnsi="仿宋" w:eastAsia="仿宋_GB2312"/>
          <w:color w:val="auto"/>
          <w:kern w:val="0"/>
          <w:sz w:val="30"/>
          <w:szCs w:val="30"/>
          <w:lang w:val="en-US" w:eastAsia="zh-CN"/>
        </w:rPr>
      </w:pPr>
      <w:r>
        <w:rPr>
          <w:rFonts w:hint="eastAsia" w:ascii="仿宋_GB2312" w:hAnsi="仿宋" w:eastAsia="仿宋_GB2312"/>
          <w:color w:val="auto"/>
          <w:kern w:val="0"/>
          <w:sz w:val="30"/>
          <w:szCs w:val="30"/>
          <w:lang w:val="en-US" w:eastAsia="zh-CN"/>
        </w:rPr>
        <w:t xml:space="preserve">投标人（盖章）： </w:t>
      </w:r>
    </w:p>
    <w:p w14:paraId="1C33C164">
      <w:pPr>
        <w:spacing w:line="560" w:lineRule="exact"/>
        <w:ind w:firstLine="600" w:firstLineChars="200"/>
        <w:jc w:val="right"/>
        <w:rPr>
          <w:rFonts w:hint="eastAsia" w:ascii="仿宋_GB2312" w:hAnsi="仿宋" w:eastAsia="仿宋_GB2312"/>
          <w:color w:val="auto"/>
          <w:kern w:val="0"/>
          <w:sz w:val="30"/>
          <w:szCs w:val="30"/>
        </w:rPr>
      </w:pPr>
      <w:r>
        <w:rPr>
          <w:rFonts w:hint="eastAsia" w:ascii="仿宋_GB2312" w:hAnsi="仿宋" w:eastAsia="仿宋_GB2312"/>
          <w:color w:val="auto"/>
          <w:kern w:val="0"/>
          <w:sz w:val="30"/>
          <w:szCs w:val="30"/>
          <w:lang w:val="en-US" w:eastAsia="zh-CN"/>
        </w:rPr>
        <w:t>日期：</w:t>
      </w:r>
    </w:p>
    <w:p w14:paraId="0B37F302">
      <w:pPr>
        <w:rPr>
          <w:rFonts w:hint="eastAsia" w:ascii="Arial" w:hAnsi="Arial" w:eastAsia="黑体"/>
          <w:bCs/>
          <w:color w:val="auto"/>
          <w:sz w:val="44"/>
          <w:szCs w:val="32"/>
        </w:rPr>
      </w:pPr>
    </w:p>
    <w:p w14:paraId="48D27C78">
      <w:pPr>
        <w:rPr>
          <w:rFonts w:hint="eastAsia" w:ascii="Arial" w:hAnsi="Arial" w:eastAsia="黑体"/>
          <w:bCs/>
          <w:color w:val="auto"/>
          <w:sz w:val="44"/>
          <w:szCs w:val="32"/>
        </w:rPr>
      </w:pPr>
      <w:r>
        <w:rPr>
          <w:rFonts w:hint="eastAsia" w:ascii="Arial" w:hAnsi="Arial" w:eastAsia="黑体"/>
          <w:bCs/>
          <w:color w:val="auto"/>
          <w:sz w:val="44"/>
          <w:szCs w:val="32"/>
        </w:rPr>
        <w:br w:type="page"/>
      </w:r>
    </w:p>
    <w:p w14:paraId="5CBED3FF">
      <w:pPr>
        <w:keepNext/>
        <w:keepLines/>
        <w:spacing w:before="120" w:after="120" w:line="560" w:lineRule="exact"/>
        <w:jc w:val="center"/>
        <w:outlineLvl w:val="1"/>
        <w:rPr>
          <w:rFonts w:hint="eastAsia" w:ascii="Arial" w:hAnsi="Arial" w:eastAsia="黑体"/>
          <w:bCs/>
          <w:color w:val="auto"/>
          <w:sz w:val="44"/>
          <w:szCs w:val="32"/>
        </w:rPr>
      </w:pP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WHJX-ZB-2026-053</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0"/>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乳山市城投置业有限公司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乳山市宫家村棚户区改造项目配套教育设施加装电梯项目</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0"/>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0"/>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676FCA18">
      <w:pPr>
        <w:keepNext/>
        <w:keepLines/>
        <w:spacing w:before="120" w:after="120" w:line="560" w:lineRule="exact"/>
        <w:jc w:val="center"/>
        <w:outlineLvl w:val="2"/>
        <w:rPr>
          <w:rFonts w:hint="eastAsia" w:ascii="黑体" w:hAnsi="黑体" w:eastAsia="黑体" w:cs="Times New Roman"/>
          <w:color w:val="auto"/>
          <w:sz w:val="32"/>
          <w:szCs w:val="32"/>
          <w:lang w:val="en-US" w:eastAsia="zh-CN"/>
        </w:rPr>
      </w:pPr>
      <w:r>
        <w:rPr>
          <w:color w:val="auto"/>
        </w:rPr>
        <w:br w:type="page"/>
      </w:r>
      <w:r>
        <w:rPr>
          <w:rFonts w:hint="eastAsia" w:ascii="黑体" w:hAnsi="黑体" w:eastAsia="黑体" w:cs="Times New Roman"/>
          <w:color w:val="auto"/>
          <w:sz w:val="32"/>
          <w:szCs w:val="32"/>
          <w:lang w:val="en-US" w:eastAsia="zh-CN"/>
        </w:rPr>
        <w:t>工程量清单</w:t>
      </w:r>
    </w:p>
    <w:p w14:paraId="4ADA6170">
      <w:pPr>
        <w:rPr>
          <w:rFonts w:hint="eastAsia" w:ascii="黑体" w:hAnsi="黑体" w:eastAsia="黑体" w:cs="Times New Roman"/>
          <w:color w:val="auto"/>
          <w:sz w:val="32"/>
          <w:szCs w:val="32"/>
          <w:lang w:val="en-US" w:eastAsia="zh-CN"/>
        </w:rPr>
      </w:pPr>
      <w:r>
        <w:rPr>
          <w:rFonts w:hint="eastAsia" w:ascii="黑体" w:hAnsi="黑体" w:eastAsia="黑体" w:cs="Times New Roman"/>
          <w:color w:val="auto"/>
          <w:sz w:val="32"/>
          <w:szCs w:val="32"/>
          <w:lang w:val="en-US" w:eastAsia="zh-CN"/>
        </w:rPr>
        <w:br w:type="page"/>
      </w:r>
    </w:p>
    <w:p w14:paraId="3CE5F688">
      <w:pPr>
        <w:keepNext/>
        <w:keepLines/>
        <w:spacing w:before="120" w:after="120" w:line="560" w:lineRule="exact"/>
        <w:jc w:val="center"/>
        <w:outlineLvl w:val="2"/>
        <w:rPr>
          <w:rFonts w:hint="eastAsia" w:ascii="黑体" w:hAnsi="黑体" w:eastAsia="黑体" w:cs="Times New Roman"/>
          <w:color w:val="auto"/>
          <w:sz w:val="32"/>
          <w:szCs w:val="32"/>
        </w:rPr>
      </w:pPr>
      <w:r>
        <w:rPr>
          <w:rFonts w:hint="eastAsia" w:ascii="黑体" w:hAnsi="黑体" w:eastAsia="黑体" w:cs="Times New Roman"/>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0"/>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0"/>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8"/>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6"/>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WHJX-ZB-2026-053</w:t>
      </w:r>
    </w:p>
    <w:p w14:paraId="5C077C3F">
      <w:pPr>
        <w:pStyle w:val="29"/>
        <w:rPr>
          <w:rFonts w:ascii="仿宋_GB2312" w:eastAsia="仿宋_GB2312"/>
          <w:color w:val="auto"/>
        </w:rPr>
      </w:pPr>
    </w:p>
    <w:p w14:paraId="26367047">
      <w:pPr>
        <w:pStyle w:val="29"/>
        <w:rPr>
          <w:rFonts w:ascii="仿宋_GB2312" w:eastAsia="仿宋_GB2312"/>
          <w:color w:val="auto"/>
        </w:rPr>
      </w:pPr>
    </w:p>
    <w:p w14:paraId="117E2325">
      <w:pPr>
        <w:pStyle w:val="29"/>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乳山市宫家村棚户区改造项目配套教育设施加装电梯项目</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29"/>
        <w:rPr>
          <w:rFonts w:ascii="仿宋_GB2312" w:eastAsia="仿宋_GB2312"/>
          <w:color w:val="auto"/>
        </w:rPr>
      </w:pPr>
    </w:p>
    <w:p w14:paraId="41FDF64C">
      <w:pPr>
        <w:pStyle w:val="29"/>
        <w:rPr>
          <w:rFonts w:ascii="仿宋_GB2312" w:eastAsia="仿宋_GB2312"/>
          <w:color w:val="auto"/>
        </w:rPr>
      </w:pPr>
    </w:p>
    <w:p w14:paraId="46DE9514">
      <w:pPr>
        <w:pStyle w:val="29"/>
        <w:rPr>
          <w:rFonts w:ascii="仿宋_GB2312" w:eastAsia="仿宋_GB2312"/>
          <w:color w:val="auto"/>
        </w:rPr>
      </w:pPr>
    </w:p>
    <w:p w14:paraId="640A0771">
      <w:pPr>
        <w:pStyle w:val="29"/>
        <w:rPr>
          <w:rFonts w:ascii="仿宋_GB2312" w:eastAsia="仿宋_GB2312"/>
          <w:color w:val="auto"/>
        </w:rPr>
      </w:pPr>
    </w:p>
    <w:p w14:paraId="6FCC5875">
      <w:pPr>
        <w:pStyle w:val="29"/>
        <w:rPr>
          <w:rFonts w:ascii="仿宋_GB2312" w:eastAsia="仿宋_GB2312"/>
          <w:color w:val="auto"/>
        </w:rPr>
      </w:pPr>
    </w:p>
    <w:p w14:paraId="0D6A7B9D">
      <w:pPr>
        <w:pStyle w:val="29"/>
        <w:rPr>
          <w:rFonts w:ascii="仿宋_GB2312" w:eastAsia="仿宋_GB2312"/>
          <w:color w:val="auto"/>
        </w:rPr>
      </w:pPr>
    </w:p>
    <w:p w14:paraId="4914FA4B">
      <w:pPr>
        <w:pStyle w:val="29"/>
        <w:rPr>
          <w:rFonts w:ascii="仿宋_GB2312" w:eastAsia="仿宋_GB2312"/>
          <w:color w:val="auto"/>
        </w:rPr>
      </w:pPr>
    </w:p>
    <w:p w14:paraId="44D2FB4B">
      <w:pPr>
        <w:pStyle w:val="29"/>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乳山市城投置业有限公司</w:t>
      </w:r>
    </w:p>
    <w:p w14:paraId="17C35095">
      <w:pPr>
        <w:pStyle w:val="29"/>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29"/>
        <w:rPr>
          <w:rFonts w:ascii="仿宋_GB2312" w:hAnsi="宋体" w:eastAsia="仿宋_GB2312"/>
          <w:color w:val="auto"/>
        </w:rPr>
      </w:pPr>
    </w:p>
    <w:p w14:paraId="33CF68A3">
      <w:pPr>
        <w:pStyle w:val="29"/>
        <w:rPr>
          <w:rFonts w:ascii="仿宋_GB2312" w:hAnsi="宋体" w:eastAsia="仿宋_GB2312"/>
          <w:color w:val="auto"/>
        </w:rPr>
      </w:pPr>
    </w:p>
    <w:p w14:paraId="36EE10EE">
      <w:pPr>
        <w:pStyle w:val="29"/>
        <w:rPr>
          <w:rFonts w:ascii="仿宋_GB2312" w:hAnsi="宋体" w:eastAsia="仿宋_GB2312"/>
          <w:color w:val="auto"/>
        </w:rPr>
      </w:pPr>
    </w:p>
    <w:p w14:paraId="660C3A86">
      <w:pPr>
        <w:pStyle w:val="29"/>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4"/>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乳山市城投置业有限公司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乳山市宫家村棚户区改造项目配套教育设施加装电梯项目</w:t>
      </w:r>
      <w:r>
        <w:rPr>
          <w:rFonts w:hint="eastAsia" w:ascii="仿宋" w:hAnsi="仿宋" w:eastAsia="仿宋" w:cs="仿宋"/>
          <w:color w:val="auto"/>
          <w:sz w:val="28"/>
          <w:szCs w:val="24"/>
        </w:rPr>
        <w:t>及有关事项协商一致，共同达成如下协议：</w:t>
      </w:r>
    </w:p>
    <w:p w14:paraId="4CCF8035">
      <w:pPr>
        <w:pStyle w:val="5"/>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乳山市宫家村棚户区改造项目配套教育设施加装电梯项目</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拟在春风里小学南东里村河新建设长约10米，宽约31米桥梁。</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w:t>
      </w:r>
      <w:r>
        <w:rPr>
          <w:rFonts w:hint="eastAsia" w:ascii="仿宋" w:hAnsi="仿宋" w:eastAsia="仿宋" w:cs="仿宋"/>
          <w:b w:val="0"/>
          <w:color w:val="auto"/>
          <w:u w:val="single"/>
          <w:lang w:val="en-US" w:eastAsia="zh-CN"/>
        </w:rPr>
        <w:t>11</w:t>
      </w:r>
      <w:r>
        <w:rPr>
          <w:rFonts w:hint="eastAsia" w:ascii="仿宋" w:hAnsi="仿宋" w:eastAsia="仿宋" w:cs="仿宋"/>
          <w:b w:val="0"/>
          <w:color w:val="auto"/>
          <w:u w:val="single"/>
        </w:rPr>
        <w:t>月</w:t>
      </w:r>
      <w:r>
        <w:rPr>
          <w:rFonts w:hint="eastAsia" w:ascii="仿宋" w:hAnsi="仿宋" w:eastAsia="仿宋" w:cs="仿宋"/>
          <w:b w:val="0"/>
          <w:color w:val="auto"/>
          <w:u w:val="single"/>
          <w:lang w:val="en-US" w:eastAsia="zh-CN"/>
        </w:rPr>
        <w:t>10</w:t>
      </w:r>
      <w:r>
        <w:rPr>
          <w:rFonts w:hint="eastAsia" w:ascii="仿宋" w:hAnsi="仿宋" w:eastAsia="仿宋" w:cs="仿宋"/>
          <w:b w:val="0"/>
          <w:color w:val="auto"/>
          <w:u w:val="single"/>
        </w:rPr>
        <w:t>日</w:t>
      </w:r>
      <w:r>
        <w:rPr>
          <w:rFonts w:hint="eastAsia" w:ascii="仿宋" w:hAnsi="仿宋" w:eastAsia="仿宋" w:cs="仿宋"/>
          <w:b w:val="0"/>
          <w:color w:val="auto"/>
        </w:rPr>
        <w:t>。</w:t>
      </w:r>
    </w:p>
    <w:p w14:paraId="55A8D0DA">
      <w:pPr>
        <w:pStyle w:val="5"/>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5"/>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5"/>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5"/>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5"/>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5"/>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5"/>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5"/>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5"/>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5"/>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5"/>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乳山市城投置业有限公司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4"/>
        <w:spacing w:line="440" w:lineRule="exact"/>
        <w:ind w:firstLine="2554" w:firstLineChars="795"/>
        <w:rPr>
          <w:rFonts w:ascii="仿宋" w:hAnsi="仿宋" w:eastAsia="仿宋" w:cs="仿宋"/>
          <w:color w:val="auto"/>
        </w:rPr>
      </w:pPr>
      <w:bookmarkStart w:id="14" w:name="_Toc351203494"/>
      <w:bookmarkStart w:id="15" w:name="_Toc11188081"/>
      <w:bookmarkStart w:id="16" w:name="_Toc30214"/>
      <w:bookmarkStart w:id="17" w:name="_Toc384733604"/>
      <w:bookmarkStart w:id="18" w:name="_Toc29007"/>
      <w:r>
        <w:rPr>
          <w:rFonts w:hint="eastAsia" w:ascii="仿宋" w:hAnsi="仿宋" w:eastAsia="仿宋" w:cs="仿宋"/>
          <w:color w:val="auto"/>
        </w:rPr>
        <w:t>第二部分 通用合同条款</w:t>
      </w:r>
      <w:bookmarkEnd w:id="14"/>
    </w:p>
    <w:bookmarkEnd w:id="15"/>
    <w:bookmarkEnd w:id="16"/>
    <w:bookmarkEnd w:id="17"/>
    <w:bookmarkEnd w:id="18"/>
    <w:p w14:paraId="7C4E795A">
      <w:pPr>
        <w:pStyle w:val="4"/>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25666"/>
      <w:bookmarkStart w:id="20" w:name="_Toc384733605"/>
      <w:bookmarkStart w:id="21" w:name="_Toc8295"/>
      <w:bookmarkStart w:id="22" w:name="_Toc11188082"/>
      <w:r>
        <w:rPr>
          <w:rFonts w:ascii="仿宋" w:hAnsi="仿宋" w:eastAsia="仿宋" w:cs="仿宋"/>
          <w:b/>
          <w:bCs/>
          <w:color w:val="auto"/>
          <w:szCs w:val="21"/>
        </w:rPr>
        <w:br w:type="page"/>
      </w:r>
    </w:p>
    <w:p w14:paraId="4FE5EB34">
      <w:pPr>
        <w:pStyle w:val="4"/>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5"/>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6346657"/>
      <w:bookmarkStart w:id="25" w:name="_Toc297120456"/>
      <w:bookmarkStart w:id="26" w:name="_Toc292559361"/>
      <w:bookmarkStart w:id="27" w:name="_Toc296347155"/>
      <w:bookmarkStart w:id="28" w:name="_Toc296891196"/>
      <w:bookmarkStart w:id="29" w:name="_Toc296944495"/>
      <w:bookmarkStart w:id="30" w:name="_Toc292559866"/>
      <w:bookmarkStart w:id="31" w:name="_Toc297048342"/>
      <w:bookmarkStart w:id="32" w:name="_Toc296503156"/>
      <w:bookmarkStart w:id="33" w:name="_Toc296890984"/>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山东华正建筑设计咨询有限公司</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北方工程设计研究院有限公司</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03539100"/>
      <w:bookmarkStart w:id="35" w:name="_Toc300934943"/>
      <w:bookmarkStart w:id="36" w:name="_Toc312677986"/>
      <w:bookmarkStart w:id="37" w:name="_Toc304295521"/>
      <w:bookmarkStart w:id="38" w:name="_Toc318581155"/>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12677987"/>
      <w:bookmarkStart w:id="40" w:name="_Toc300934944"/>
      <w:bookmarkStart w:id="41" w:name="_Toc303539101"/>
      <w:bookmarkStart w:id="42" w:name="_Toc304295522"/>
      <w:bookmarkStart w:id="43" w:name="_Toc318581156"/>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5"/>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6891197"/>
      <w:bookmarkStart w:id="47" w:name="_Toc296346658"/>
      <w:bookmarkStart w:id="48" w:name="_Toc297120457"/>
      <w:bookmarkStart w:id="49" w:name="_Toc296890985"/>
      <w:bookmarkStart w:id="50" w:name="_Toc292559867"/>
      <w:bookmarkStart w:id="51" w:name="_Toc296944496"/>
      <w:bookmarkStart w:id="52" w:name="_Toc297048343"/>
      <w:bookmarkStart w:id="53" w:name="_Toc296347156"/>
      <w:bookmarkStart w:id="54" w:name="_Toc292559362"/>
      <w:bookmarkStart w:id="55" w:name="_Toc296503157"/>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5"/>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6346659"/>
      <w:bookmarkStart w:id="58" w:name="_Toc297120458"/>
      <w:bookmarkStart w:id="59" w:name="_Toc292559868"/>
      <w:bookmarkStart w:id="60" w:name="_Toc296891198"/>
      <w:bookmarkStart w:id="61" w:name="_Toc292559363"/>
      <w:bookmarkStart w:id="62" w:name="_Toc296944497"/>
      <w:bookmarkStart w:id="63" w:name="_Toc296347157"/>
      <w:bookmarkStart w:id="64" w:name="_Toc296503158"/>
      <w:bookmarkStart w:id="65" w:name="_Toc297048344"/>
      <w:bookmarkStart w:id="66" w:name="_Toc296890986"/>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本项目土方运输所涉及手续（包括但不限于土石方利用方案编制及送审、砂石平台交易等）需由中标单位负责办理及承担费用</w:t>
      </w:r>
      <w:r>
        <w:rPr>
          <w:rFonts w:hint="eastAsia" w:ascii="仿宋" w:hAnsi="仿宋" w:eastAsia="仿宋" w:cs="仿宋"/>
          <w:color w:val="auto"/>
          <w:sz w:val="28"/>
          <w:szCs w:val="24"/>
          <w:u w:val="single"/>
          <w:lang w:eastAsia="zh-CN"/>
        </w:rPr>
        <w:t>、工程产生的检测费用一切由乙方承担</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304295523"/>
      <w:bookmarkStart w:id="68" w:name="_Toc292559869"/>
      <w:bookmarkStart w:id="69" w:name="_Toc312677988"/>
      <w:bookmarkStart w:id="70" w:name="_Toc297216151"/>
      <w:bookmarkStart w:id="71" w:name="_Toc297120459"/>
      <w:bookmarkStart w:id="72" w:name="_Toc300934945"/>
      <w:bookmarkStart w:id="73" w:name="_Toc297123492"/>
      <w:bookmarkStart w:id="74" w:name="_Toc296944498"/>
      <w:bookmarkStart w:id="75" w:name="_Toc303539102"/>
      <w:bookmarkStart w:id="76" w:name="_Toc296890987"/>
      <w:bookmarkStart w:id="77" w:name="_Toc296891199"/>
      <w:bookmarkStart w:id="78" w:name="_Toc297048345"/>
      <w:bookmarkStart w:id="79" w:name="_Toc296347158"/>
      <w:bookmarkStart w:id="80" w:name="_Toc292559364"/>
      <w:bookmarkStart w:id="81" w:name="_Toc296346660"/>
      <w:bookmarkStart w:id="82" w:name="_Toc296503159"/>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2559870"/>
      <w:bookmarkStart w:id="84" w:name="_Toc297216152"/>
      <w:bookmarkStart w:id="85" w:name="_Toc296944499"/>
      <w:bookmarkStart w:id="86" w:name="_Toc297123493"/>
      <w:bookmarkStart w:id="87" w:name="_Toc297120460"/>
      <w:bookmarkStart w:id="88" w:name="_Toc304295524"/>
      <w:bookmarkStart w:id="89" w:name="_Toc296346661"/>
      <w:bookmarkStart w:id="90" w:name="_Toc296891200"/>
      <w:bookmarkStart w:id="91" w:name="_Toc296347159"/>
      <w:bookmarkStart w:id="92" w:name="_Toc292559365"/>
      <w:bookmarkStart w:id="93" w:name="_Toc296890988"/>
      <w:bookmarkStart w:id="94" w:name="_Toc303539103"/>
      <w:bookmarkStart w:id="95" w:name="_Toc297048346"/>
      <w:bookmarkStart w:id="96" w:name="_Toc296503160"/>
      <w:bookmarkStart w:id="97" w:name="_Toc300934946"/>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除专业性如防水、保温、地暖、门窗</w:t>
      </w:r>
      <w:r>
        <w:rPr>
          <w:rFonts w:hint="eastAsia" w:ascii="仿宋" w:hAnsi="仿宋" w:eastAsia="仿宋" w:cs="仿宋"/>
          <w:color w:val="auto"/>
          <w:sz w:val="28"/>
          <w:szCs w:val="24"/>
          <w:u w:val="single"/>
          <w:lang w:eastAsia="zh-CN"/>
        </w:rPr>
        <w:t>、</w:t>
      </w:r>
      <w:r>
        <w:rPr>
          <w:rFonts w:hint="eastAsia" w:ascii="仿宋" w:hAnsi="仿宋" w:eastAsia="仿宋" w:cs="仿宋"/>
          <w:color w:val="auto"/>
          <w:sz w:val="28"/>
          <w:szCs w:val="24"/>
          <w:u w:val="single"/>
          <w:lang w:val="en-US" w:eastAsia="zh-CN"/>
        </w:rPr>
        <w:t>电梯安装</w:t>
      </w:r>
      <w:r>
        <w:rPr>
          <w:rFonts w:hint="eastAsia" w:ascii="仿宋" w:hAnsi="仿宋" w:eastAsia="仿宋" w:cs="仿宋"/>
          <w:color w:val="auto"/>
          <w:sz w:val="28"/>
          <w:szCs w:val="24"/>
          <w:u w:val="single"/>
        </w:rPr>
        <w:t xml:space="preserve">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6890989"/>
      <w:bookmarkStart w:id="101" w:name="_Toc297216153"/>
      <w:bookmarkStart w:id="102" w:name="_Toc296944500"/>
      <w:bookmarkStart w:id="103" w:name="_Toc296891201"/>
      <w:bookmarkStart w:id="104" w:name="_Toc296346662"/>
      <w:bookmarkStart w:id="105" w:name="_Toc303539104"/>
      <w:bookmarkStart w:id="106" w:name="_Toc300934947"/>
      <w:bookmarkStart w:id="107" w:name="_Toc296347160"/>
      <w:bookmarkStart w:id="108" w:name="_Toc296503161"/>
      <w:bookmarkStart w:id="109" w:name="_Toc304295525"/>
      <w:bookmarkStart w:id="110" w:name="_Toc297123494"/>
      <w:bookmarkStart w:id="111" w:name="_Toc297120461"/>
      <w:bookmarkStart w:id="112" w:name="_Toc297048347"/>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8581159"/>
      <w:bookmarkStart w:id="114" w:name="_Toc312677990"/>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防水、保温、地暖、门窗</w:t>
      </w:r>
      <w:r>
        <w:rPr>
          <w:rFonts w:hint="eastAsia" w:ascii="仿宋" w:hAnsi="仿宋" w:eastAsia="仿宋" w:cs="仿宋"/>
          <w:color w:val="auto"/>
          <w:sz w:val="28"/>
          <w:szCs w:val="24"/>
          <w:u w:val="single"/>
          <w:lang w:eastAsia="zh-CN"/>
        </w:rPr>
        <w:t>、</w:t>
      </w:r>
      <w:r>
        <w:rPr>
          <w:rFonts w:hint="eastAsia" w:ascii="仿宋" w:hAnsi="仿宋" w:eastAsia="仿宋" w:cs="仿宋"/>
          <w:color w:val="auto"/>
          <w:sz w:val="28"/>
          <w:szCs w:val="24"/>
          <w:u w:val="single"/>
          <w:lang w:val="en-US" w:eastAsia="zh-CN"/>
        </w:rPr>
        <w:t>电梯安装</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5"/>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6944501"/>
      <w:bookmarkStart w:id="117" w:name="_Toc296503162"/>
      <w:bookmarkStart w:id="118" w:name="_Toc297048348"/>
      <w:bookmarkStart w:id="119" w:name="_Toc296346663"/>
      <w:bookmarkStart w:id="120" w:name="_Toc292559366"/>
      <w:bookmarkStart w:id="121" w:name="_Toc296891202"/>
      <w:bookmarkStart w:id="122" w:name="_Toc296347161"/>
      <w:bookmarkStart w:id="123" w:name="_Toc296890990"/>
      <w:bookmarkStart w:id="124" w:name="_Toc267251413"/>
      <w:bookmarkStart w:id="125" w:name="_Toc297120462"/>
      <w:bookmarkStart w:id="126" w:name="_Toc292559871"/>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5"/>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6891203"/>
      <w:bookmarkStart w:id="130" w:name="_Toc297120463"/>
      <w:bookmarkStart w:id="131" w:name="_Toc296944502"/>
      <w:bookmarkStart w:id="132" w:name="_Toc292559872"/>
      <w:bookmarkStart w:id="133" w:name="_Toc296503163"/>
      <w:bookmarkStart w:id="134" w:name="_Toc296890991"/>
      <w:bookmarkStart w:id="135" w:name="_Toc297048349"/>
      <w:bookmarkStart w:id="136" w:name="_Toc296346664"/>
      <w:bookmarkStart w:id="137" w:name="_Toc292559367"/>
      <w:bookmarkStart w:id="138" w:name="_Toc296347162"/>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12677997"/>
      <w:bookmarkStart w:id="140" w:name="_Toc300934949"/>
      <w:bookmarkStart w:id="141" w:name="_Toc297216155"/>
      <w:bookmarkStart w:id="142" w:name="_Toc303539106"/>
      <w:bookmarkStart w:id="143" w:name="_Toc304295527"/>
      <w:bookmarkStart w:id="144" w:name="_Toc297123496"/>
      <w:bookmarkStart w:id="145" w:name="_Toc318581164"/>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5"/>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开工后三天内编制完成施工场地治安管理计划</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5"/>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297123514"/>
      <w:bookmarkStart w:id="149" w:name="_Toc300934966"/>
      <w:bookmarkStart w:id="150" w:name="_Toc312677479"/>
      <w:bookmarkStart w:id="151" w:name="_Toc303539123"/>
      <w:bookmarkStart w:id="152" w:name="_Toc304295541"/>
      <w:bookmarkStart w:id="153" w:name="_Toc312678005"/>
      <w:bookmarkStart w:id="154" w:name="_Toc297216173"/>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F695188">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8F330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关于承包人应完成的其他开工准备工作及期限：</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12678010"/>
      <w:bookmarkStart w:id="156" w:name="_Toc312677484"/>
      <w:bookmarkStart w:id="157" w:name="_Toc297216175"/>
      <w:bookmarkStart w:id="158" w:name="_Toc303539125"/>
      <w:bookmarkStart w:id="159" w:name="_Toc297123516"/>
      <w:bookmarkStart w:id="160" w:name="_Toc300934968"/>
      <w:bookmarkStart w:id="161" w:name="_Toc304295546"/>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2678012"/>
      <w:bookmarkStart w:id="163" w:name="_Toc312677486"/>
      <w:bookmarkStart w:id="164" w:name="_Toc318581169"/>
      <w:bookmarkStart w:id="165" w:name="_Toc303539127"/>
      <w:bookmarkStart w:id="166" w:name="_Toc297123518"/>
      <w:bookmarkStart w:id="167" w:name="_Toc300934970"/>
      <w:bookmarkStart w:id="168" w:name="_Toc304295548"/>
      <w:bookmarkStart w:id="169" w:name="_Toc297216177"/>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7487"/>
      <w:bookmarkStart w:id="171" w:name="_Toc312678013"/>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2678014"/>
      <w:bookmarkStart w:id="174" w:name="_Toc318581171"/>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312678015"/>
      <w:bookmarkStart w:id="176" w:name="_Toc303539128"/>
      <w:bookmarkStart w:id="177" w:name="_Toc297123519"/>
      <w:bookmarkStart w:id="178" w:name="_Toc304295549"/>
      <w:bookmarkStart w:id="179" w:name="_Toc300934971"/>
      <w:bookmarkStart w:id="180" w:name="_Toc297216178"/>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297216179"/>
      <w:bookmarkStart w:id="182" w:name="_Toc297123520"/>
      <w:bookmarkStart w:id="183" w:name="_Toc304295550"/>
      <w:bookmarkStart w:id="184" w:name="_Toc300934972"/>
      <w:bookmarkStart w:id="185" w:name="_Toc303539129"/>
      <w:bookmarkStart w:id="186" w:name="_Toc312678016"/>
      <w:bookmarkStart w:id="187" w:name="_Toc318581172"/>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297216180"/>
      <w:bookmarkStart w:id="189" w:name="_Toc312678017"/>
      <w:bookmarkStart w:id="190" w:name="_Toc304295551"/>
      <w:bookmarkStart w:id="191" w:name="_Toc303539130"/>
      <w:bookmarkStart w:id="192" w:name="_Toc297123521"/>
      <w:bookmarkStart w:id="193" w:name="_Toc300934973"/>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5"/>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300934979"/>
      <w:bookmarkStart w:id="196" w:name="_Toc292559372"/>
      <w:bookmarkStart w:id="197" w:name="_Toc280868654"/>
      <w:bookmarkStart w:id="198" w:name="_Toc296891207"/>
      <w:bookmarkStart w:id="199" w:name="_Toc296503167"/>
      <w:bookmarkStart w:id="200" w:name="_Toc304295556"/>
      <w:bookmarkStart w:id="201" w:name="_Toc303539136"/>
      <w:bookmarkStart w:id="202" w:name="_Toc296346668"/>
      <w:bookmarkStart w:id="203" w:name="_Toc292559877"/>
      <w:bookmarkStart w:id="204" w:name="_Toc297048353"/>
      <w:bookmarkStart w:id="205" w:name="_Toc297120467"/>
      <w:bookmarkStart w:id="206" w:name="_Toc296890995"/>
      <w:bookmarkStart w:id="207" w:name="_Toc312678019"/>
      <w:bookmarkStart w:id="208" w:name="_Toc297216186"/>
      <w:bookmarkStart w:id="209" w:name="_Toc297123527"/>
      <w:bookmarkStart w:id="210" w:name="_Toc296347166"/>
      <w:bookmarkStart w:id="211" w:name="_Toc312677493"/>
      <w:bookmarkStart w:id="212" w:name="_Toc296944506"/>
      <w:bookmarkStart w:id="213" w:name="_Toc280868656"/>
      <w:bookmarkStart w:id="214" w:name="_Toc280868655"/>
      <w:bookmarkStart w:id="215" w:name="_Toc267251424"/>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878"/>
      <w:bookmarkStart w:id="217" w:name="_Toc292559373"/>
      <w:bookmarkStart w:id="218" w:name="_Toc304295557"/>
      <w:bookmarkStart w:id="219" w:name="_Toc318581173"/>
      <w:bookmarkStart w:id="220" w:name="_Toc296346669"/>
      <w:bookmarkStart w:id="221" w:name="_Toc296503168"/>
      <w:bookmarkStart w:id="222" w:name="_Toc296890996"/>
      <w:bookmarkStart w:id="223" w:name="_Toc296891208"/>
      <w:bookmarkStart w:id="224" w:name="_Toc296347167"/>
      <w:bookmarkStart w:id="225" w:name="_Toc297216187"/>
      <w:bookmarkStart w:id="226" w:name="_Toc312677494"/>
      <w:bookmarkStart w:id="227" w:name="_Toc297048354"/>
      <w:bookmarkStart w:id="228" w:name="_Toc312678020"/>
      <w:bookmarkStart w:id="229" w:name="_Toc303539137"/>
      <w:bookmarkStart w:id="230" w:name="_Toc297123528"/>
      <w:bookmarkStart w:id="231" w:name="_Toc297120468"/>
      <w:bookmarkStart w:id="232" w:name="_Toc296944507"/>
      <w:bookmarkStart w:id="233" w:name="_Toc300934980"/>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5"/>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297216192"/>
      <w:bookmarkStart w:id="236" w:name="_Toc303539139"/>
      <w:bookmarkStart w:id="237" w:name="_Toc312677495"/>
      <w:bookmarkStart w:id="238" w:name="_Toc304295559"/>
      <w:bookmarkStart w:id="239" w:name="_Toc312678021"/>
      <w:bookmarkStart w:id="240" w:name="_Toc297123533"/>
      <w:bookmarkStart w:id="241" w:name="_Toc300934982"/>
      <w:bookmarkStart w:id="242" w:name="_Toc297120473"/>
      <w:bookmarkStart w:id="243" w:name="_Toc296944512"/>
      <w:bookmarkStart w:id="244" w:name="_Toc296503173"/>
      <w:bookmarkStart w:id="245" w:name="_Toc296346674"/>
      <w:bookmarkStart w:id="246" w:name="_Toc292559378"/>
      <w:bookmarkStart w:id="247" w:name="_Toc296891213"/>
      <w:bookmarkStart w:id="248" w:name="_Toc297048359"/>
      <w:bookmarkStart w:id="249" w:name="_Toc296891001"/>
      <w:bookmarkStart w:id="250" w:name="_Toc292559883"/>
      <w:bookmarkStart w:id="251" w:name="_Toc267251428"/>
      <w:bookmarkStart w:id="252" w:name="_Toc267251427"/>
      <w:bookmarkStart w:id="253" w:name="_Toc296347172"/>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297216193"/>
      <w:bookmarkStart w:id="255" w:name="_Toc312678022"/>
      <w:bookmarkStart w:id="256" w:name="_Toc300934983"/>
      <w:bookmarkStart w:id="257" w:name="_Toc297123534"/>
      <w:bookmarkStart w:id="258" w:name="_Toc304295560"/>
      <w:bookmarkStart w:id="259" w:name="_Toc312677496"/>
      <w:bookmarkStart w:id="260" w:name="_Toc303539140"/>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312678023"/>
      <w:bookmarkStart w:id="262" w:name="_Toc304295561"/>
      <w:bookmarkStart w:id="263" w:name="_Toc300934984"/>
      <w:bookmarkStart w:id="264" w:name="_Toc297123535"/>
      <w:bookmarkStart w:id="265" w:name="_Toc312677497"/>
      <w:bookmarkStart w:id="266" w:name="_Toc303539141"/>
      <w:bookmarkStart w:id="267" w:name="_Toc297216194"/>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303539142"/>
      <w:bookmarkStart w:id="270" w:name="_Toc304295562"/>
      <w:bookmarkStart w:id="271" w:name="_Toc297123536"/>
      <w:bookmarkStart w:id="272" w:name="_Toc297216195"/>
      <w:bookmarkStart w:id="273" w:name="_Toc300934985"/>
      <w:bookmarkStart w:id="274" w:name="_Toc312678024"/>
      <w:bookmarkStart w:id="275" w:name="_Toc312677498"/>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5"/>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7123540"/>
      <w:bookmarkStart w:id="278" w:name="_Toc296503193"/>
      <w:bookmarkStart w:id="279" w:name="_Toc296891233"/>
      <w:bookmarkStart w:id="280" w:name="_Toc296944532"/>
      <w:bookmarkStart w:id="281" w:name="_Toc296346694"/>
      <w:bookmarkStart w:id="282" w:name="_Toc297120493"/>
      <w:bookmarkStart w:id="283" w:name="_Toc296347192"/>
      <w:bookmarkStart w:id="284" w:name="_Toc304295566"/>
      <w:bookmarkStart w:id="285" w:name="_Toc297048379"/>
      <w:bookmarkStart w:id="286" w:name="_Toc292559398"/>
      <w:bookmarkStart w:id="287" w:name="_Toc303539146"/>
      <w:bookmarkStart w:id="288" w:name="_Toc292559903"/>
      <w:bookmarkStart w:id="289" w:name="_Toc296891021"/>
      <w:bookmarkStart w:id="290" w:name="_Toc297216199"/>
      <w:bookmarkStart w:id="291" w:name="_Toc300934989"/>
      <w:bookmarkStart w:id="292" w:name="_Toc312677499"/>
      <w:bookmarkStart w:id="293" w:name="_Toc312678025"/>
      <w:bookmarkStart w:id="294" w:name="_Toc267251437"/>
      <w:bookmarkStart w:id="295" w:name="_Toc267251441"/>
      <w:bookmarkStart w:id="296" w:name="_Toc267251433"/>
      <w:bookmarkStart w:id="297" w:name="_Toc267251440"/>
      <w:bookmarkStart w:id="298" w:name="_Toc267251439"/>
      <w:bookmarkStart w:id="299" w:name="_Toc267251435"/>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303539147"/>
      <w:bookmarkStart w:id="302" w:name="_Toc297120494"/>
      <w:bookmarkStart w:id="303" w:name="_Toc296347193"/>
      <w:bookmarkStart w:id="304" w:name="_Toc296891234"/>
      <w:bookmarkStart w:id="305" w:name="_Toc300934990"/>
      <w:bookmarkStart w:id="306" w:name="_Toc296346695"/>
      <w:bookmarkStart w:id="307" w:name="_Toc296944533"/>
      <w:bookmarkStart w:id="308" w:name="_Toc297123541"/>
      <w:bookmarkStart w:id="309" w:name="_Toc296891022"/>
      <w:bookmarkStart w:id="310" w:name="_Toc304295567"/>
      <w:bookmarkStart w:id="311" w:name="_Toc296503194"/>
      <w:bookmarkStart w:id="312" w:name="_Toc312677500"/>
      <w:bookmarkStart w:id="313" w:name="_Toc297048380"/>
      <w:bookmarkStart w:id="314" w:name="_Toc297216200"/>
      <w:bookmarkStart w:id="315" w:name="_Toc292559399"/>
      <w:bookmarkStart w:id="316" w:name="_Toc312678026"/>
      <w:bookmarkStart w:id="317" w:name="_Toc292559904"/>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303539150"/>
      <w:bookmarkStart w:id="319" w:name="_Toc296891025"/>
      <w:bookmarkStart w:id="320" w:name="_Toc296891237"/>
      <w:bookmarkStart w:id="321" w:name="_Toc296503197"/>
      <w:bookmarkStart w:id="322" w:name="_Toc296347196"/>
      <w:bookmarkStart w:id="323" w:name="_Toc297120497"/>
      <w:bookmarkStart w:id="324" w:name="_Toc296944536"/>
      <w:bookmarkStart w:id="325" w:name="_Toc297123544"/>
      <w:bookmarkStart w:id="326" w:name="_Toc296346698"/>
      <w:bookmarkStart w:id="327" w:name="_Toc297048383"/>
      <w:bookmarkStart w:id="328" w:name="_Toc297216203"/>
      <w:bookmarkStart w:id="329" w:name="_Toc300934993"/>
      <w:bookmarkStart w:id="330" w:name="_Toc292559907"/>
      <w:bookmarkStart w:id="331" w:name="_Toc292559402"/>
      <w:bookmarkStart w:id="332" w:name="_Toc304295570"/>
      <w:bookmarkStart w:id="333" w:name="_Toc312678029"/>
      <w:bookmarkStart w:id="334" w:name="_Toc312677503"/>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2559913"/>
      <w:bookmarkStart w:id="336" w:name="_Toc300934994"/>
      <w:bookmarkStart w:id="337" w:name="_Toc297120503"/>
      <w:bookmarkStart w:id="338" w:name="_Toc296891243"/>
      <w:bookmarkStart w:id="339" w:name="_Toc292559408"/>
      <w:bookmarkStart w:id="340" w:name="_Toc297216204"/>
      <w:bookmarkStart w:id="341" w:name="_Toc297048389"/>
      <w:bookmarkStart w:id="342" w:name="_Toc296944542"/>
      <w:bookmarkStart w:id="343" w:name="_Toc296346704"/>
      <w:bookmarkStart w:id="344" w:name="_Toc296891031"/>
      <w:bookmarkStart w:id="345" w:name="_Toc297123545"/>
      <w:bookmarkStart w:id="346" w:name="_Toc296347202"/>
      <w:bookmarkStart w:id="347" w:name="_Toc296503203"/>
      <w:bookmarkStart w:id="348" w:name="_Toc303539151"/>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292559409"/>
      <w:bookmarkStart w:id="350" w:name="_Toc318581175"/>
      <w:bookmarkStart w:id="351" w:name="_Toc296503204"/>
      <w:bookmarkStart w:id="352" w:name="_Toc297048390"/>
      <w:bookmarkStart w:id="353" w:name="_Toc312678030"/>
      <w:bookmarkStart w:id="354" w:name="_Toc297120504"/>
      <w:bookmarkStart w:id="355" w:name="_Toc296346705"/>
      <w:bookmarkStart w:id="356" w:name="_Toc297216205"/>
      <w:bookmarkStart w:id="357" w:name="_Toc296891032"/>
      <w:bookmarkStart w:id="358" w:name="_Toc296891244"/>
      <w:bookmarkStart w:id="359" w:name="_Toc312677504"/>
      <w:bookmarkStart w:id="360" w:name="_Toc297123546"/>
      <w:bookmarkStart w:id="361" w:name="_Toc296347203"/>
      <w:bookmarkStart w:id="362" w:name="_Toc300934995"/>
      <w:bookmarkStart w:id="363" w:name="_Toc292559914"/>
      <w:bookmarkStart w:id="364" w:name="_Toc296944543"/>
      <w:bookmarkStart w:id="365" w:name="_Toc303539152"/>
      <w:bookmarkStart w:id="366" w:name="_Toc304295571"/>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297048385"/>
      <w:bookmarkStart w:id="368" w:name="_Toc296346700"/>
      <w:bookmarkStart w:id="369" w:name="_Toc296944538"/>
      <w:bookmarkStart w:id="370" w:name="_Toc297216207"/>
      <w:bookmarkStart w:id="371" w:name="_Toc296891027"/>
      <w:bookmarkStart w:id="372" w:name="_Toc303539154"/>
      <w:bookmarkStart w:id="373" w:name="_Toc300934997"/>
      <w:bookmarkStart w:id="374" w:name="_Toc312678033"/>
      <w:bookmarkStart w:id="375" w:name="_Toc292559404"/>
      <w:bookmarkStart w:id="376" w:name="_Toc304295574"/>
      <w:bookmarkStart w:id="377" w:name="_Toc296347198"/>
      <w:bookmarkStart w:id="378" w:name="_Toc297123548"/>
      <w:bookmarkStart w:id="379" w:name="_Toc296503199"/>
      <w:bookmarkStart w:id="380" w:name="_Toc292559909"/>
      <w:bookmarkStart w:id="381" w:name="_Toc297120499"/>
      <w:bookmarkStart w:id="382" w:name="_Toc296891239"/>
      <w:bookmarkStart w:id="383" w:name="_Toc312677507"/>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8581176"/>
      <w:bookmarkStart w:id="385" w:name="_Toc312677508"/>
      <w:bookmarkStart w:id="386" w:name="_Toc312678034"/>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2678035"/>
      <w:bookmarkStart w:id="388" w:name="_Toc318581177"/>
      <w:bookmarkStart w:id="389" w:name="_Toc312677509"/>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5"/>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7216209"/>
      <w:bookmarkStart w:id="392" w:name="_Toc303539157"/>
      <w:bookmarkStart w:id="393" w:name="_Toc300935000"/>
      <w:bookmarkStart w:id="394" w:name="_Toc297048387"/>
      <w:bookmarkStart w:id="395" w:name="_Toc296347200"/>
      <w:bookmarkStart w:id="396" w:name="_Toc292559406"/>
      <w:bookmarkStart w:id="397" w:name="_Toc296346702"/>
      <w:bookmarkStart w:id="398" w:name="_Toc296891029"/>
      <w:bookmarkStart w:id="399" w:name="_Toc296503201"/>
      <w:bookmarkStart w:id="400" w:name="_Toc297123550"/>
      <w:bookmarkStart w:id="401" w:name="_Toc312678039"/>
      <w:bookmarkStart w:id="402" w:name="_Toc304295577"/>
      <w:bookmarkStart w:id="403" w:name="_Toc296891241"/>
      <w:bookmarkStart w:id="404" w:name="_Toc297120501"/>
      <w:bookmarkStart w:id="405" w:name="_Toc296944540"/>
      <w:bookmarkStart w:id="406" w:name="_Toc292559911"/>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5"/>
        <w:spacing w:before="120" w:after="120" w:line="440" w:lineRule="exact"/>
        <w:rPr>
          <w:rFonts w:ascii="仿宋" w:hAnsi="仿宋" w:eastAsia="仿宋" w:cs="仿宋"/>
          <w:b w:val="0"/>
          <w:color w:val="auto"/>
        </w:rPr>
      </w:pPr>
      <w:bookmarkStart w:id="407" w:name="_Toc297048391"/>
      <w:bookmarkStart w:id="408" w:name="_Toc296891245"/>
      <w:bookmarkStart w:id="409" w:name="_Toc292559915"/>
      <w:bookmarkStart w:id="410" w:name="_Toc296891033"/>
      <w:bookmarkStart w:id="411" w:name="_Toc297120505"/>
      <w:bookmarkStart w:id="412" w:name="_Toc292559410"/>
      <w:bookmarkStart w:id="413" w:name="_Toc296503205"/>
      <w:bookmarkStart w:id="414" w:name="_Toc296346706"/>
      <w:bookmarkStart w:id="415" w:name="_Toc296347204"/>
      <w:bookmarkStart w:id="416" w:name="_Toc296944544"/>
      <w:bookmarkStart w:id="417" w:name="_Toc351203644"/>
      <w:bookmarkStart w:id="418" w:name="_Toc304295579"/>
      <w:bookmarkStart w:id="419" w:name="_Toc300935002"/>
      <w:bookmarkStart w:id="420" w:name="_Toc297123552"/>
      <w:bookmarkStart w:id="421" w:name="_Toc303539159"/>
      <w:bookmarkStart w:id="422" w:name="_Toc312678040"/>
      <w:bookmarkStart w:id="423" w:name="_Toc297216211"/>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67251461"/>
      <w:bookmarkStart w:id="425" w:name="_Toc292559411"/>
      <w:bookmarkStart w:id="426" w:name="_Toc292559916"/>
      <w:bookmarkStart w:id="427" w:name="_Toc296944545"/>
      <w:bookmarkStart w:id="428" w:name="_Toc296891246"/>
      <w:bookmarkStart w:id="429" w:name="_Toc297048392"/>
      <w:bookmarkStart w:id="430" w:name="_Toc296347205"/>
      <w:bookmarkStart w:id="431" w:name="_Toc296346707"/>
      <w:bookmarkStart w:id="432" w:name="_Toc296891034"/>
      <w:bookmarkStart w:id="433" w:name="_Toc297120506"/>
      <w:bookmarkStart w:id="434" w:name="_Toc296503206"/>
      <w:bookmarkStart w:id="435" w:name="_Toc300935003"/>
      <w:bookmarkStart w:id="436" w:name="_Toc297123553"/>
      <w:bookmarkStart w:id="437" w:name="_Toc304295580"/>
      <w:bookmarkStart w:id="438" w:name="_Toc297216212"/>
      <w:bookmarkStart w:id="439" w:name="_Toc303539160"/>
      <w:bookmarkStart w:id="440" w:name="_Toc312678041"/>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304295581"/>
      <w:bookmarkStart w:id="442" w:name="_Toc300935004"/>
      <w:bookmarkStart w:id="443" w:name="_Toc297123554"/>
      <w:bookmarkStart w:id="444" w:name="_Toc303539161"/>
      <w:bookmarkStart w:id="445" w:name="_Toc297216213"/>
      <w:bookmarkStart w:id="446" w:name="_Toc312678042"/>
      <w:bookmarkStart w:id="447" w:name="_Toc297120507"/>
      <w:bookmarkStart w:id="448" w:name="_Toc296891247"/>
      <w:bookmarkStart w:id="449" w:name="_Toc296347206"/>
      <w:bookmarkStart w:id="450" w:name="_Toc296891035"/>
      <w:bookmarkStart w:id="451" w:name="_Toc292559412"/>
      <w:bookmarkStart w:id="452" w:name="_Toc297048393"/>
      <w:bookmarkStart w:id="453" w:name="_Toc296346708"/>
      <w:bookmarkStart w:id="454" w:name="_Toc296503207"/>
      <w:bookmarkStart w:id="455" w:name="_Toc292559917"/>
      <w:bookmarkStart w:id="456" w:name="_Toc296944546"/>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6503211"/>
      <w:bookmarkStart w:id="458" w:name="_Toc297120511"/>
      <w:bookmarkStart w:id="459" w:name="_Toc297048397"/>
      <w:bookmarkStart w:id="460" w:name="_Toc296347210"/>
      <w:bookmarkStart w:id="461" w:name="_Toc297216215"/>
      <w:bookmarkStart w:id="462" w:name="_Toc296346712"/>
      <w:bookmarkStart w:id="463" w:name="_Toc292559921"/>
      <w:bookmarkStart w:id="464" w:name="_Toc292559416"/>
      <w:bookmarkStart w:id="465" w:name="_Toc300935006"/>
      <w:bookmarkStart w:id="466" w:name="_Toc296944550"/>
      <w:bookmarkStart w:id="467" w:name="_Toc297123556"/>
      <w:bookmarkStart w:id="468" w:name="_Toc303539163"/>
      <w:bookmarkStart w:id="469" w:name="_Toc296891039"/>
      <w:bookmarkStart w:id="470" w:name="_Toc296891251"/>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 30%，工程竣工验收合格支付到计量工程款或结算价款的50%，审计结束支付到结算价款的70%，剩余30%的结算价款分三年付清，每年支付 10%。</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6EDB14F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发包人完成审批并签发进度款支付证书的期限：</w:t>
      </w:r>
      <w:r>
        <w:rPr>
          <w:rFonts w:hint="eastAsia" w:ascii="仿宋" w:hAnsi="仿宋" w:eastAsia="仿宋" w:cs="仿宋"/>
          <w:color w:val="auto"/>
          <w:sz w:val="28"/>
          <w:szCs w:val="24"/>
          <w:u w:val="single"/>
        </w:rPr>
        <w:t xml:space="preserve">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6346720"/>
      <w:bookmarkStart w:id="473" w:name="_Toc297048405"/>
      <w:bookmarkStart w:id="474" w:name="_Toc303539172"/>
      <w:bookmarkStart w:id="475" w:name="_Toc296891259"/>
      <w:bookmarkStart w:id="476" w:name="_Toc296503219"/>
      <w:bookmarkStart w:id="477" w:name="_Toc297120519"/>
      <w:bookmarkStart w:id="478" w:name="_Toc312678053"/>
      <w:bookmarkStart w:id="479" w:name="_Toc296944558"/>
      <w:bookmarkStart w:id="480" w:name="_Toc297123564"/>
      <w:bookmarkStart w:id="481" w:name="_Toc296891047"/>
      <w:bookmarkStart w:id="482" w:name="_Toc297216223"/>
      <w:bookmarkStart w:id="483" w:name="_Toc300935015"/>
      <w:bookmarkStart w:id="484" w:name="_Toc292559424"/>
      <w:bookmarkStart w:id="485" w:name="_Toc304295593"/>
      <w:bookmarkStart w:id="486" w:name="_Toc292559929"/>
      <w:bookmarkStart w:id="487" w:name="_Toc296347218"/>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6891051"/>
      <w:bookmarkStart w:id="489" w:name="_Toc296347222"/>
      <w:bookmarkStart w:id="490" w:name="_Toc300935016"/>
      <w:bookmarkStart w:id="491" w:name="_Toc312678056"/>
      <w:bookmarkStart w:id="492" w:name="_Toc303539173"/>
      <w:bookmarkStart w:id="493" w:name="_Toc297048409"/>
      <w:bookmarkStart w:id="494" w:name="_Toc297120523"/>
      <w:bookmarkStart w:id="495" w:name="_Toc296944562"/>
      <w:bookmarkStart w:id="496" w:name="_Toc292559933"/>
      <w:bookmarkStart w:id="497" w:name="_Toc292559428"/>
      <w:bookmarkStart w:id="498" w:name="_Toc296503223"/>
      <w:bookmarkStart w:id="499" w:name="_Toc297123565"/>
      <w:bookmarkStart w:id="500" w:name="_Toc296346724"/>
      <w:bookmarkStart w:id="501" w:name="_Toc297216224"/>
      <w:bookmarkStart w:id="502" w:name="_Toc304295596"/>
      <w:bookmarkStart w:id="503" w:name="_Toc296891263"/>
      <w:bookmarkStart w:id="504" w:name="_Toc267251473"/>
      <w:bookmarkStart w:id="505" w:name="_Toc267251474"/>
      <w:bookmarkStart w:id="506" w:name="_Toc267251471"/>
      <w:bookmarkStart w:id="507" w:name="_Toc267251475"/>
      <w:bookmarkStart w:id="508" w:name="_Toc267251476"/>
      <w:bookmarkStart w:id="509" w:name="_Toc267251472"/>
      <w:bookmarkStart w:id="510" w:name="_Toc267251470"/>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5"/>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2"/>
      <w:bookmarkStart w:id="521" w:name="_Toc267251484"/>
      <w:bookmarkStart w:id="522" w:name="_Toc267251485"/>
      <w:bookmarkStart w:id="523" w:name="_Toc267251488"/>
      <w:bookmarkStart w:id="524" w:name="_Toc267251489"/>
      <w:bookmarkStart w:id="525" w:name="_Toc267251490"/>
      <w:bookmarkStart w:id="526" w:name="_Toc267251486"/>
      <w:bookmarkStart w:id="527" w:name="_Toc267251497"/>
      <w:bookmarkStart w:id="528" w:name="_Toc267251494"/>
      <w:bookmarkStart w:id="529" w:name="_Toc267251491"/>
      <w:bookmarkStart w:id="530" w:name="_Toc267251502"/>
      <w:bookmarkStart w:id="531" w:name="_Toc267251496"/>
      <w:bookmarkStart w:id="532" w:name="_Toc267251499"/>
      <w:bookmarkStart w:id="533" w:name="_Toc267251493"/>
      <w:bookmarkStart w:id="534" w:name="_Toc267251501"/>
      <w:bookmarkStart w:id="535" w:name="_Toc267251492"/>
      <w:bookmarkStart w:id="536" w:name="_Toc267251503"/>
      <w:bookmarkStart w:id="537" w:name="_Toc267251498"/>
      <w:bookmarkStart w:id="538" w:name="_Toc267251495"/>
      <w:bookmarkStart w:id="539" w:name="_Toc267251506"/>
      <w:bookmarkStart w:id="540" w:name="_Toc267251504"/>
      <w:bookmarkStart w:id="541" w:name="_Toc267251507"/>
      <w:bookmarkStart w:id="542" w:name="_Toc267251508"/>
      <w:bookmarkStart w:id="543" w:name="_Toc267251513"/>
      <w:bookmarkStart w:id="544" w:name="_Toc267251511"/>
      <w:bookmarkStart w:id="545" w:name="_Toc267251510"/>
      <w:bookmarkStart w:id="546" w:name="_Toc267251509"/>
      <w:bookmarkStart w:id="547" w:name="_Toc267251515"/>
      <w:bookmarkStart w:id="548" w:name="_Toc267251514"/>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5"/>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5"/>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5"/>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5"/>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0"/>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5"/>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5"/>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5"/>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5"/>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5"/>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5"/>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5"/>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5"/>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5"/>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5"/>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5"/>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5"/>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5"/>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5"/>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5"/>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5"/>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5"/>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5"/>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5"/>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5"/>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5"/>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5"/>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5"/>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5"/>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5"/>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5"/>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5"/>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5"/>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5"/>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5"/>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5"/>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5"/>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5"/>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5"/>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5"/>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0"/>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5"/>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5"/>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5"/>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5"/>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5"/>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5"/>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5"/>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5"/>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5"/>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5"/>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5"/>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5"/>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5"/>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5"/>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5"/>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5"/>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5"/>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5"/>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5"/>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5"/>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5"/>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5"/>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5"/>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5"/>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5"/>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5"/>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5"/>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5"/>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5"/>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5"/>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5"/>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5"/>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9669973">
      <w:pPr>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乳山市宫家村棚户区改造项目配套教育设施加装电梯项目</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89"/>
        <w:gridCol w:w="468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乳山市城投置业有限公司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5"/>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5"/>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5"/>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5"/>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5"/>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5"/>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5"/>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5"/>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5"/>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5"/>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5"/>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5"/>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5"/>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5"/>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5"/>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5"/>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5"/>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5"/>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5"/>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5"/>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5"/>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5"/>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5"/>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5"/>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5"/>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5"/>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5"/>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5"/>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5"/>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5"/>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5"/>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5"/>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5"/>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5"/>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5"/>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5"/>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5"/>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5"/>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5"/>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5"/>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5"/>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5"/>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5"/>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5"/>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5"/>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5"/>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5"/>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5"/>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5"/>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5"/>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5"/>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5"/>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5"/>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5"/>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5"/>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5"/>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5"/>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5"/>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5"/>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5"/>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5"/>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5"/>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5"/>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5"/>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5"/>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5"/>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5"/>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5"/>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5"/>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5"/>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5"/>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5"/>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5"/>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5"/>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0"/>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5"/>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5"/>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5"/>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5"/>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5"/>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5"/>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5"/>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5"/>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5"/>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5"/>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5"/>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5"/>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5"/>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5"/>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5"/>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5"/>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5"/>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5"/>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5"/>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5"/>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5"/>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5"/>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5"/>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5"/>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5"/>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5"/>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5"/>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5"/>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5"/>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5"/>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5"/>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5"/>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5"/>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5"/>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5"/>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5"/>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5"/>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5"/>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5"/>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乳山市宫家村棚户区改造项目配套教育设施加装电梯项目</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乳山市宫家村棚户区改造项目配套教育设施加装电梯项目</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乳山市城投置业有限公司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乳山市宫家村棚户区改造项目配套教育设施加装电梯项目</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5"/>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5"/>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5"/>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5"/>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5"/>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5"/>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5"/>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5"/>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5"/>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5"/>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5"/>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5"/>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5"/>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5"/>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5"/>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5"/>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5"/>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5"/>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5"/>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5"/>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5"/>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5"/>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5"/>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5"/>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5"/>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5"/>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5"/>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5"/>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5"/>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5"/>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5"/>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5"/>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5"/>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5"/>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5"/>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5"/>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5"/>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5"/>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5"/>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5"/>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5"/>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5"/>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5"/>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5"/>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5"/>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5"/>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5"/>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5"/>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5"/>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5"/>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5"/>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5"/>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5"/>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5"/>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5"/>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5"/>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5"/>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5"/>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5"/>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5"/>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5"/>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5"/>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5"/>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5"/>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5"/>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5"/>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5"/>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5"/>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5"/>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CD455F4">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5"/>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5"/>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5"/>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5"/>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5"/>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5383D4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5"/>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5"/>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5"/>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5"/>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5"/>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5"/>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5"/>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5"/>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5"/>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5"/>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5"/>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5"/>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5"/>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03416BF8">
            <w:pPr>
              <w:pStyle w:val="15"/>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5"/>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5"/>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5"/>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5"/>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361" w:bottom="1418" w:left="1383"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B0EAD537-47B8-48A0-AF88-3E6DE9118ED5}"/>
  </w:font>
  <w:font w:name="黑体">
    <w:panose1 w:val="02010609060101010101"/>
    <w:charset w:val="86"/>
    <w:family w:val="auto"/>
    <w:pitch w:val="default"/>
    <w:sig w:usb0="800002BF" w:usb1="38CF7CFA" w:usb2="00000016" w:usb3="00000000" w:csb0="00040001" w:csb1="00000000"/>
    <w:embedRegular r:id="rId2" w:fontKey="{EE59A138-21DB-441C-8E42-9525B56CB82A}"/>
  </w:font>
  <w:font w:name="Courier New">
    <w:panose1 w:val="02070309020205020404"/>
    <w:charset w:val="01"/>
    <w:family w:val="modern"/>
    <w:pitch w:val="default"/>
    <w:sig w:usb0="E0002EFF" w:usb1="C0007843" w:usb2="00000009" w:usb3="00000000" w:csb0="400001FF" w:csb1="FFFF0000"/>
    <w:embedRegular r:id="rId3" w:fontKey="{C7EAA295-F0AB-47AC-9289-3FCC3C2A6C13}"/>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0E63C29E-A928-40BC-8CA1-0A92A42E1553}"/>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10600010101010101"/>
    <w:charset w:val="86"/>
    <w:family w:val="script"/>
    <w:pitch w:val="default"/>
    <w:sig w:usb0="00000001" w:usb1="080E0000" w:usb2="00000000" w:usb3="00000000" w:csb0="00040000" w:csb1="00000000"/>
    <w:embedRegular r:id="rId5" w:fontKey="{BAE30966-1036-4ED6-8468-3B39B734EDB4}"/>
  </w:font>
  <w:font w:name="仿宋_GB2312">
    <w:panose1 w:val="02010609030101010101"/>
    <w:charset w:val="86"/>
    <w:family w:val="modern"/>
    <w:pitch w:val="default"/>
    <w:sig w:usb0="00000001" w:usb1="080E0000" w:usb2="00000000" w:usb3="00000000" w:csb0="00040000" w:csb1="00000000"/>
    <w:embedRegular r:id="rId6" w:fontKey="{AF369DCE-8520-4751-A90A-C846646171AA}"/>
  </w:font>
  <w:font w:name="仿宋">
    <w:panose1 w:val="02010609060101010101"/>
    <w:charset w:val="86"/>
    <w:family w:val="modern"/>
    <w:pitch w:val="default"/>
    <w:sig w:usb0="800002BF" w:usb1="38CF7CFA" w:usb2="00000016" w:usb3="00000000" w:csb0="00040001" w:csb1="00000000"/>
    <w:embedRegular r:id="rId7" w:fontKey="{F813214E-5AE8-406A-A717-A4942782145F}"/>
  </w:font>
  <w:font w:name="方正楷体简体">
    <w:panose1 w:val="02000000000000000000"/>
    <w:charset w:val="86"/>
    <w:family w:val="auto"/>
    <w:pitch w:val="default"/>
    <w:sig w:usb0="A00002BF" w:usb1="184F6CFA" w:usb2="00000012" w:usb3="00000000" w:csb0="00040001" w:csb1="00000000"/>
    <w:embedRegular r:id="rId8" w:fontKey="{6074F806-7A6F-4CCE-B34E-B9A0F65DFC74}"/>
  </w:font>
  <w:font w:name="楷体_GB2312">
    <w:altName w:val="楷体"/>
    <w:panose1 w:val="00000000000000000000"/>
    <w:charset w:val="86"/>
    <w:family w:val="modern"/>
    <w:pitch w:val="default"/>
    <w:sig w:usb0="00000000" w:usb1="00000000" w:usb2="00000010" w:usb3="00000000" w:csb0="00040000" w:csb1="00000000"/>
    <w:embedRegular r:id="rId9" w:fontKey="{E70EEB75-4E53-4912-B52D-E6D0449C4E0D}"/>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embedRegular r:id="rId10" w:fontKey="{2D2A1E36-A9D8-4862-B1F7-FCB5F3FA9B56}"/>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0"/>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0"/>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0"/>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0"/>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0"/>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0"/>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0"/>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0"/>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0"/>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0"/>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0"/>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0"/>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5"/>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0"/>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0"/>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5"/>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0"/>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0"/>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0"/>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0"/>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0"/>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0"/>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0"/>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0"/>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1"/>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1"/>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1"/>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1"/>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68CDFF"/>
    <w:multiLevelType w:val="singleLevel"/>
    <w:tmpl w:val="8568CDFF"/>
    <w:lvl w:ilvl="0" w:tentative="0">
      <w:start w:val="1"/>
      <w:numFmt w:val="decimal"/>
      <w:suff w:val="nothing"/>
      <w:lvlText w:val="%1．"/>
      <w:lvlJc w:val="left"/>
      <w:pPr>
        <w:ind w:left="0" w:firstLine="400"/>
      </w:pPr>
      <w:rPr>
        <w:rFonts w:hint="default"/>
      </w:rPr>
    </w:lvl>
  </w:abstractNum>
  <w:abstractNum w:abstractNumId="1">
    <w:nsid w:val="98C7C03A"/>
    <w:multiLevelType w:val="singleLevel"/>
    <w:tmpl w:val="98C7C03A"/>
    <w:lvl w:ilvl="0" w:tentative="0">
      <w:start w:val="1"/>
      <w:numFmt w:val="decimal"/>
      <w:suff w:val="nothing"/>
      <w:lvlText w:val="%1．"/>
      <w:lvlJc w:val="left"/>
      <w:pPr>
        <w:ind w:left="0" w:firstLine="400"/>
      </w:pPr>
      <w:rPr>
        <w:rFonts w:hint="default"/>
      </w:rPr>
    </w:lvl>
  </w:abstractNum>
  <w:abstractNum w:abstractNumId="2">
    <w:nsid w:val="4807C642"/>
    <w:multiLevelType w:val="singleLevel"/>
    <w:tmpl w:val="4807C642"/>
    <w:lvl w:ilvl="0" w:tentative="0">
      <w:start w:val="1"/>
      <w:numFmt w:val="decimal"/>
      <w:suff w:val="nothing"/>
      <w:lvlText w:val="%1．"/>
      <w:lvlJc w:val="left"/>
      <w:pPr>
        <w:ind w:left="0" w:firstLine="400"/>
      </w:pPr>
      <w:rPr>
        <w:rFonts w:hint="default"/>
      </w:rPr>
    </w:lvl>
  </w:abstractNum>
  <w:abstractNum w:abstractNumId="3">
    <w:nsid w:val="4D1F0738"/>
    <w:multiLevelType w:val="singleLevel"/>
    <w:tmpl w:val="4D1F0738"/>
    <w:lvl w:ilvl="0" w:tentative="0">
      <w:start w:val="1"/>
      <w:numFmt w:val="decimal"/>
      <w:suff w:val="nothing"/>
      <w:lvlText w:val="%1．"/>
      <w:lvlJc w:val="left"/>
      <w:pPr>
        <w:ind w:left="0" w:firstLine="400"/>
      </w:pPr>
      <w:rPr>
        <w:rFonts w:hint="default"/>
      </w:rPr>
    </w:lvl>
  </w:abstractNum>
  <w:abstractNum w:abstractNumId="4">
    <w:nsid w:val="5F16535C"/>
    <w:multiLevelType w:val="singleLevel"/>
    <w:tmpl w:val="5F16535C"/>
    <w:lvl w:ilvl="0" w:tentative="0">
      <w:start w:val="1"/>
      <w:numFmt w:val="decimal"/>
      <w:suff w:val="nothing"/>
      <w:lvlText w:val="%1．"/>
      <w:lvlJc w:val="left"/>
      <w:pPr>
        <w:ind w:left="0" w:firstLine="400"/>
      </w:pPr>
      <w:rPr>
        <w:rFonts w:hint="default"/>
      </w:rPr>
    </w:lvl>
  </w:abstractNum>
  <w:num w:numId="1">
    <w:abstractNumId w:val="1"/>
  </w:num>
  <w:num w:numId="2">
    <w:abstractNumId w:val="3"/>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65225"/>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2B0537A"/>
    <w:rsid w:val="02D05560"/>
    <w:rsid w:val="044E44C6"/>
    <w:rsid w:val="04C5780A"/>
    <w:rsid w:val="05D55E68"/>
    <w:rsid w:val="074B1659"/>
    <w:rsid w:val="0C14470F"/>
    <w:rsid w:val="0ED10695"/>
    <w:rsid w:val="0F4A09BE"/>
    <w:rsid w:val="104A1F3F"/>
    <w:rsid w:val="10BE667A"/>
    <w:rsid w:val="13391ACD"/>
    <w:rsid w:val="13B93471"/>
    <w:rsid w:val="14314A06"/>
    <w:rsid w:val="14B04C3E"/>
    <w:rsid w:val="15AB77B5"/>
    <w:rsid w:val="17043BFD"/>
    <w:rsid w:val="17594F70"/>
    <w:rsid w:val="189C5C61"/>
    <w:rsid w:val="18BA466F"/>
    <w:rsid w:val="1AA475A6"/>
    <w:rsid w:val="1AC7537C"/>
    <w:rsid w:val="1B7E3953"/>
    <w:rsid w:val="1B953884"/>
    <w:rsid w:val="1C4A5F2B"/>
    <w:rsid w:val="1E2107FB"/>
    <w:rsid w:val="1EE943AA"/>
    <w:rsid w:val="21936EBE"/>
    <w:rsid w:val="21ED247B"/>
    <w:rsid w:val="22433200"/>
    <w:rsid w:val="22CA6E9F"/>
    <w:rsid w:val="22F12E07"/>
    <w:rsid w:val="274F1267"/>
    <w:rsid w:val="2A6F2E24"/>
    <w:rsid w:val="2D6A4302"/>
    <w:rsid w:val="2EB37960"/>
    <w:rsid w:val="3046411B"/>
    <w:rsid w:val="31104BF6"/>
    <w:rsid w:val="314F45E0"/>
    <w:rsid w:val="319663D0"/>
    <w:rsid w:val="32787A33"/>
    <w:rsid w:val="35F51A63"/>
    <w:rsid w:val="392519B3"/>
    <w:rsid w:val="3BB84807"/>
    <w:rsid w:val="3D1B4F89"/>
    <w:rsid w:val="3EB5609C"/>
    <w:rsid w:val="3F1441AF"/>
    <w:rsid w:val="40175FA1"/>
    <w:rsid w:val="42A258CA"/>
    <w:rsid w:val="447424DD"/>
    <w:rsid w:val="47612FBF"/>
    <w:rsid w:val="479C322F"/>
    <w:rsid w:val="47A90842"/>
    <w:rsid w:val="4AF071A8"/>
    <w:rsid w:val="4FEA33AB"/>
    <w:rsid w:val="50A70C7B"/>
    <w:rsid w:val="5260377C"/>
    <w:rsid w:val="534A6576"/>
    <w:rsid w:val="537A78FD"/>
    <w:rsid w:val="53CE4005"/>
    <w:rsid w:val="54EB7D04"/>
    <w:rsid w:val="56CC3C8A"/>
    <w:rsid w:val="59851D75"/>
    <w:rsid w:val="5BEE664E"/>
    <w:rsid w:val="5CA05EEB"/>
    <w:rsid w:val="5CD90CFC"/>
    <w:rsid w:val="5E2C27BF"/>
    <w:rsid w:val="5F45170A"/>
    <w:rsid w:val="5F84662B"/>
    <w:rsid w:val="602F4685"/>
    <w:rsid w:val="61C83EDD"/>
    <w:rsid w:val="624A590A"/>
    <w:rsid w:val="63540AEC"/>
    <w:rsid w:val="635903CE"/>
    <w:rsid w:val="640D13A4"/>
    <w:rsid w:val="65994739"/>
    <w:rsid w:val="66630D48"/>
    <w:rsid w:val="66644AC0"/>
    <w:rsid w:val="674B2E8A"/>
    <w:rsid w:val="67510D27"/>
    <w:rsid w:val="691E7B1B"/>
    <w:rsid w:val="692F6E7D"/>
    <w:rsid w:val="69457691"/>
    <w:rsid w:val="69525DEF"/>
    <w:rsid w:val="69C579E6"/>
    <w:rsid w:val="6A60519F"/>
    <w:rsid w:val="6E8A0EFA"/>
    <w:rsid w:val="6F0352FF"/>
    <w:rsid w:val="708D5EC9"/>
    <w:rsid w:val="70BF6446"/>
    <w:rsid w:val="717C1858"/>
    <w:rsid w:val="73B662C5"/>
    <w:rsid w:val="74E01608"/>
    <w:rsid w:val="74F91BBA"/>
    <w:rsid w:val="76EB412E"/>
    <w:rsid w:val="7834638C"/>
    <w:rsid w:val="791365FE"/>
    <w:rsid w:val="79F907CF"/>
    <w:rsid w:val="7A1B069D"/>
    <w:rsid w:val="7A592736"/>
    <w:rsid w:val="7AF91823"/>
    <w:rsid w:val="7B0C00A5"/>
    <w:rsid w:val="7C3E4B07"/>
    <w:rsid w:val="7C614FB6"/>
    <w:rsid w:val="7D5E4F10"/>
    <w:rsid w:val="7DDF773C"/>
    <w:rsid w:val="7E9B03AD"/>
    <w:rsid w:val="7EAB7A48"/>
    <w:rsid w:val="7EF97D3C"/>
    <w:rsid w:val="7F484DF2"/>
    <w:rsid w:val="7FE82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next w:val="1"/>
    <w:link w:val="48"/>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49"/>
    <w:qFormat/>
    <w:uiPriority w:val="0"/>
    <w:rPr>
      <w:rFonts w:ascii="宋体"/>
      <w:sz w:val="18"/>
      <w:szCs w:val="18"/>
    </w:rPr>
  </w:style>
  <w:style w:type="paragraph" w:styleId="14">
    <w:name w:val="annotation text"/>
    <w:basedOn w:val="1"/>
    <w:link w:val="50"/>
    <w:qFormat/>
    <w:uiPriority w:val="0"/>
    <w:pPr>
      <w:jc w:val="left"/>
    </w:pPr>
    <w:rPr>
      <w:kern w:val="0"/>
      <w:sz w:val="28"/>
      <w:szCs w:val="28"/>
    </w:rPr>
  </w:style>
  <w:style w:type="paragraph" w:styleId="15">
    <w:name w:val="Body Text"/>
    <w:basedOn w:val="1"/>
    <w:next w:val="1"/>
    <w:link w:val="51"/>
    <w:qFormat/>
    <w:uiPriority w:val="0"/>
    <w:pPr>
      <w:spacing w:line="420" w:lineRule="auto"/>
    </w:pPr>
    <w:rPr>
      <w:kern w:val="0"/>
      <w:sz w:val="24"/>
      <w:szCs w:val="24"/>
    </w:rPr>
  </w:style>
  <w:style w:type="paragraph" w:styleId="16">
    <w:name w:val="Body Text Indent"/>
    <w:basedOn w:val="1"/>
    <w:link w:val="52"/>
    <w:qFormat/>
    <w:uiPriority w:val="0"/>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53"/>
    <w:qFormat/>
    <w:uiPriority w:val="0"/>
    <w:rPr>
      <w:rFonts w:ascii="宋体" w:hAnsi="Courier New"/>
      <w:kern w:val="0"/>
      <w:szCs w:val="21"/>
    </w:rPr>
  </w:style>
  <w:style w:type="paragraph" w:styleId="19">
    <w:name w:val="Balloon Text"/>
    <w:basedOn w:val="1"/>
    <w:link w:val="54"/>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Body Text Indent 3"/>
    <w:basedOn w:val="1"/>
    <w:link w:val="57"/>
    <w:qFormat/>
    <w:uiPriority w:val="0"/>
    <w:pPr>
      <w:spacing w:after="120"/>
      <w:ind w:left="420" w:leftChars="200"/>
    </w:pPr>
    <w:rPr>
      <w:kern w:val="0"/>
      <w:sz w:val="16"/>
      <w:szCs w:val="16"/>
    </w:rPr>
  </w:style>
  <w:style w:type="paragraph" w:styleId="25">
    <w:name w:val="Body Text 2"/>
    <w:basedOn w:val="1"/>
    <w:link w:val="58"/>
    <w:qFormat/>
    <w:uiPriority w:val="0"/>
    <w:pPr>
      <w:spacing w:after="120" w:line="480" w:lineRule="auto"/>
    </w:pPr>
    <w:rPr>
      <w:kern w:val="0"/>
      <w:sz w:val="24"/>
      <w:szCs w:val="24"/>
    </w:rPr>
  </w:style>
  <w:style w:type="paragraph" w:styleId="26">
    <w:name w:val="Normal (Web)"/>
    <w:basedOn w:val="1"/>
    <w:qFormat/>
    <w:uiPriority w:val="0"/>
    <w:rPr>
      <w:sz w:val="24"/>
      <w:szCs w:val="24"/>
    </w:rPr>
  </w:style>
  <w:style w:type="paragraph" w:styleId="27">
    <w:name w:val="index 1"/>
    <w:basedOn w:val="1"/>
    <w:next w:val="1"/>
    <w:qFormat/>
    <w:uiPriority w:val="0"/>
  </w:style>
  <w:style w:type="paragraph" w:styleId="28">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29">
    <w:name w:val="Body Text First Indent 2"/>
    <w:basedOn w:val="16"/>
    <w:link w:val="60"/>
    <w:unhideWhenUsed/>
    <w:qFormat/>
    <w:uiPriority w:val="99"/>
    <w:pPr>
      <w:spacing w:after="120"/>
      <w:ind w:left="420" w:leftChars="200" w:firstLine="420" w:firstLineChars="200"/>
    </w:pPr>
    <w:rPr>
      <w:kern w:val="2"/>
      <w:sz w:val="21"/>
      <w:szCs w:val="22"/>
    </w:rPr>
  </w:style>
  <w:style w:type="table" w:styleId="31">
    <w:name w:val="Table Grid"/>
    <w:basedOn w:val="30"/>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3">
    <w:name w:val="Strong"/>
    <w:qFormat/>
    <w:uiPriority w:val="0"/>
    <w:rPr>
      <w:b/>
      <w:bCs/>
    </w:rPr>
  </w:style>
  <w:style w:type="character" w:styleId="34">
    <w:name w:val="page number"/>
    <w:qFormat/>
    <w:uiPriority w:val="0"/>
  </w:style>
  <w:style w:type="character" w:styleId="35">
    <w:name w:val="FollowedHyperlink"/>
    <w:qFormat/>
    <w:uiPriority w:val="0"/>
    <w:rPr>
      <w:color w:val="800080"/>
      <w:u w:val="single"/>
    </w:rPr>
  </w:style>
  <w:style w:type="character" w:styleId="36">
    <w:name w:val="Hyperlink"/>
    <w:qFormat/>
    <w:uiPriority w:val="0"/>
    <w:rPr>
      <w:color w:val="0000FF"/>
      <w:u w:val="single"/>
    </w:rPr>
  </w:style>
  <w:style w:type="character" w:styleId="37">
    <w:name w:val="annotation reference"/>
    <w:qFormat/>
    <w:uiPriority w:val="0"/>
    <w:rPr>
      <w:sz w:val="21"/>
      <w:szCs w:val="21"/>
    </w:rPr>
  </w:style>
  <w:style w:type="paragraph" w:customStyle="1" w:styleId="38">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39">
    <w:name w:val="标题 1 字符"/>
    <w:link w:val="2"/>
    <w:qFormat/>
    <w:uiPriority w:val="9"/>
    <w:rPr>
      <w:rFonts w:ascii="Times New Roman" w:hAnsi="Times New Roman" w:eastAsia="宋体" w:cs="Times New Roman"/>
      <w:b/>
      <w:bCs/>
      <w:kern w:val="44"/>
      <w:sz w:val="44"/>
      <w:szCs w:val="44"/>
    </w:rPr>
  </w:style>
  <w:style w:type="character" w:customStyle="1" w:styleId="40">
    <w:name w:val="标题 2 字符"/>
    <w:link w:val="3"/>
    <w:qFormat/>
    <w:uiPriority w:val="0"/>
    <w:rPr>
      <w:rFonts w:ascii="Cambria" w:hAnsi="Cambria" w:eastAsia="宋体" w:cs="Times New Roman"/>
      <w:b/>
      <w:bCs/>
      <w:kern w:val="0"/>
      <w:sz w:val="28"/>
      <w:szCs w:val="28"/>
    </w:rPr>
  </w:style>
  <w:style w:type="character" w:customStyle="1" w:styleId="41">
    <w:name w:val="标题 3 字符"/>
    <w:link w:val="4"/>
    <w:qFormat/>
    <w:uiPriority w:val="0"/>
    <w:rPr>
      <w:rFonts w:ascii="Times New Roman" w:hAnsi="Times New Roman" w:eastAsia="宋体" w:cs="Times New Roman"/>
      <w:b/>
      <w:bCs/>
      <w:kern w:val="0"/>
      <w:sz w:val="32"/>
      <w:szCs w:val="32"/>
    </w:rPr>
  </w:style>
  <w:style w:type="character" w:customStyle="1" w:styleId="42">
    <w:name w:val="标题 4 字符"/>
    <w:link w:val="5"/>
    <w:qFormat/>
    <w:uiPriority w:val="0"/>
    <w:rPr>
      <w:rFonts w:ascii="Cambria" w:hAnsi="Cambria" w:eastAsia="宋体" w:cs="Times New Roman"/>
      <w:b/>
      <w:bCs/>
      <w:kern w:val="0"/>
      <w:sz w:val="28"/>
      <w:szCs w:val="28"/>
    </w:rPr>
  </w:style>
  <w:style w:type="character" w:customStyle="1" w:styleId="43">
    <w:name w:val="标题 5 字符"/>
    <w:link w:val="6"/>
    <w:qFormat/>
    <w:uiPriority w:val="0"/>
    <w:rPr>
      <w:rFonts w:ascii="Times New Roman" w:hAnsi="Times New Roman" w:eastAsia="宋体" w:cs="Times New Roman"/>
      <w:b/>
      <w:bCs/>
      <w:kern w:val="0"/>
      <w:sz w:val="28"/>
      <w:szCs w:val="28"/>
    </w:rPr>
  </w:style>
  <w:style w:type="character" w:customStyle="1" w:styleId="44">
    <w:name w:val="标题 6 字符"/>
    <w:link w:val="7"/>
    <w:qFormat/>
    <w:uiPriority w:val="9"/>
    <w:rPr>
      <w:rFonts w:ascii="Arial" w:hAnsi="Arial" w:eastAsia="黑体" w:cs="Times New Roman"/>
      <w:b/>
      <w:bCs/>
      <w:kern w:val="0"/>
      <w:sz w:val="24"/>
      <w:szCs w:val="24"/>
    </w:rPr>
  </w:style>
  <w:style w:type="character" w:customStyle="1" w:styleId="45">
    <w:name w:val="标题 7 字符"/>
    <w:link w:val="8"/>
    <w:qFormat/>
    <w:uiPriority w:val="0"/>
    <w:rPr>
      <w:rFonts w:ascii="Times New Roman" w:hAnsi="Times New Roman" w:eastAsia="宋体" w:cs="Times New Roman"/>
      <w:b/>
      <w:bCs/>
      <w:kern w:val="0"/>
      <w:sz w:val="24"/>
      <w:szCs w:val="24"/>
    </w:rPr>
  </w:style>
  <w:style w:type="character" w:customStyle="1" w:styleId="46">
    <w:name w:val="标题 8 字符"/>
    <w:link w:val="9"/>
    <w:qFormat/>
    <w:uiPriority w:val="0"/>
    <w:rPr>
      <w:rFonts w:ascii="Arial" w:hAnsi="Arial" w:eastAsia="黑体" w:cs="Times New Roman"/>
      <w:kern w:val="0"/>
      <w:sz w:val="24"/>
      <w:szCs w:val="24"/>
    </w:rPr>
  </w:style>
  <w:style w:type="character" w:customStyle="1" w:styleId="47">
    <w:name w:val="标题 9 字符"/>
    <w:link w:val="10"/>
    <w:qFormat/>
    <w:uiPriority w:val="0"/>
    <w:rPr>
      <w:rFonts w:ascii="Arial" w:hAnsi="Arial" w:eastAsia="黑体" w:cs="Times New Roman"/>
      <w:kern w:val="0"/>
      <w:sz w:val="20"/>
      <w:szCs w:val="20"/>
    </w:rPr>
  </w:style>
  <w:style w:type="character" w:customStyle="1" w:styleId="48">
    <w:name w:val="正文缩进 字符"/>
    <w:link w:val="11"/>
    <w:qFormat/>
    <w:locked/>
    <w:uiPriority w:val="0"/>
    <w:rPr>
      <w:rFonts w:ascii="Times New Roman" w:hAnsi="Times New Roman" w:eastAsia="宋体" w:cs="Times New Roman"/>
      <w:szCs w:val="21"/>
    </w:rPr>
  </w:style>
  <w:style w:type="character" w:customStyle="1" w:styleId="49">
    <w:name w:val="文档结构图 字符"/>
    <w:link w:val="13"/>
    <w:qFormat/>
    <w:uiPriority w:val="0"/>
    <w:rPr>
      <w:rFonts w:ascii="宋体" w:hAnsi="Times New Roman" w:eastAsia="宋体" w:cs="Times New Roman"/>
      <w:sz w:val="18"/>
      <w:szCs w:val="18"/>
    </w:rPr>
  </w:style>
  <w:style w:type="character" w:customStyle="1" w:styleId="50">
    <w:name w:val="批注文字 字符"/>
    <w:link w:val="14"/>
    <w:qFormat/>
    <w:uiPriority w:val="0"/>
    <w:rPr>
      <w:rFonts w:ascii="Times New Roman" w:hAnsi="Times New Roman" w:eastAsia="宋体" w:cs="Times New Roman"/>
      <w:kern w:val="0"/>
      <w:sz w:val="28"/>
      <w:szCs w:val="28"/>
    </w:rPr>
  </w:style>
  <w:style w:type="character" w:customStyle="1" w:styleId="51">
    <w:name w:val="正文文本 字符"/>
    <w:link w:val="15"/>
    <w:qFormat/>
    <w:uiPriority w:val="0"/>
    <w:rPr>
      <w:rFonts w:ascii="Times New Roman" w:hAnsi="Times New Roman" w:eastAsia="宋体" w:cs="Times New Roman"/>
      <w:kern w:val="0"/>
      <w:sz w:val="24"/>
      <w:szCs w:val="24"/>
    </w:rPr>
  </w:style>
  <w:style w:type="character" w:customStyle="1" w:styleId="52">
    <w:name w:val="正文文本缩进 字符"/>
    <w:link w:val="16"/>
    <w:qFormat/>
    <w:uiPriority w:val="0"/>
    <w:rPr>
      <w:rFonts w:ascii="Times New Roman" w:hAnsi="Times New Roman" w:eastAsia="宋体" w:cs="Times New Roman"/>
      <w:kern w:val="0"/>
      <w:sz w:val="20"/>
      <w:szCs w:val="20"/>
    </w:rPr>
  </w:style>
  <w:style w:type="character" w:customStyle="1" w:styleId="53">
    <w:name w:val="纯文本 字符"/>
    <w:link w:val="18"/>
    <w:qFormat/>
    <w:uiPriority w:val="0"/>
    <w:rPr>
      <w:rFonts w:ascii="宋体" w:hAnsi="Courier New" w:eastAsia="宋体" w:cs="Times New Roman"/>
      <w:kern w:val="0"/>
      <w:szCs w:val="21"/>
    </w:rPr>
  </w:style>
  <w:style w:type="character" w:customStyle="1" w:styleId="54">
    <w:name w:val="批注框文本 字符"/>
    <w:link w:val="19"/>
    <w:qFormat/>
    <w:uiPriority w:val="0"/>
    <w:rPr>
      <w:rFonts w:ascii="Times New Roman" w:hAnsi="Times New Roman" w:eastAsia="宋体" w:cs="Times New Roman"/>
      <w:kern w:val="0"/>
      <w:sz w:val="18"/>
      <w:szCs w:val="18"/>
    </w:rPr>
  </w:style>
  <w:style w:type="character" w:customStyle="1" w:styleId="55">
    <w:name w:val="页脚 字符"/>
    <w:link w:val="20"/>
    <w:qFormat/>
    <w:uiPriority w:val="99"/>
    <w:rPr>
      <w:rFonts w:ascii="Times New Roman" w:hAnsi="Times New Roman" w:eastAsia="宋体" w:cs="Times New Roman"/>
      <w:kern w:val="0"/>
      <w:sz w:val="18"/>
      <w:szCs w:val="18"/>
    </w:rPr>
  </w:style>
  <w:style w:type="character" w:customStyle="1" w:styleId="56">
    <w:name w:val="页眉 字符"/>
    <w:link w:val="21"/>
    <w:qFormat/>
    <w:uiPriority w:val="0"/>
    <w:rPr>
      <w:rFonts w:ascii="Times New Roman" w:hAnsi="Times New Roman" w:eastAsia="宋体" w:cs="Times New Roman"/>
      <w:kern w:val="0"/>
      <w:sz w:val="18"/>
      <w:szCs w:val="18"/>
    </w:rPr>
  </w:style>
  <w:style w:type="character" w:customStyle="1" w:styleId="57">
    <w:name w:val="正文文本缩进 3 字符"/>
    <w:link w:val="24"/>
    <w:qFormat/>
    <w:uiPriority w:val="0"/>
    <w:rPr>
      <w:rFonts w:ascii="Times New Roman" w:hAnsi="Times New Roman" w:eastAsia="宋体" w:cs="Times New Roman"/>
      <w:kern w:val="0"/>
      <w:sz w:val="16"/>
      <w:szCs w:val="16"/>
    </w:rPr>
  </w:style>
  <w:style w:type="character" w:customStyle="1" w:styleId="58">
    <w:name w:val="正文文本 2 字符"/>
    <w:link w:val="25"/>
    <w:qFormat/>
    <w:uiPriority w:val="0"/>
    <w:rPr>
      <w:rFonts w:ascii="Times New Roman" w:hAnsi="Times New Roman" w:eastAsia="宋体" w:cs="Times New Roman"/>
      <w:kern w:val="0"/>
      <w:sz w:val="24"/>
      <w:szCs w:val="24"/>
    </w:rPr>
  </w:style>
  <w:style w:type="character" w:customStyle="1" w:styleId="59">
    <w:name w:val="标题 字符"/>
    <w:link w:val="28"/>
    <w:qFormat/>
    <w:uiPriority w:val="0"/>
    <w:rPr>
      <w:rFonts w:ascii="Cambria" w:hAnsi="Cambria" w:eastAsia="宋体" w:cs="Times New Roman"/>
      <w:b/>
      <w:bCs/>
      <w:kern w:val="0"/>
      <w:sz w:val="32"/>
      <w:szCs w:val="32"/>
    </w:rPr>
  </w:style>
  <w:style w:type="character" w:customStyle="1" w:styleId="60">
    <w:name w:val="正文文本首行缩进 2 字符"/>
    <w:link w:val="29"/>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0"/>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136</Pages>
  <Words>24434</Words>
  <Characters>26170</Characters>
  <Lines>895</Lines>
  <Paragraphs>2075</Paragraphs>
  <TotalTime>14</TotalTime>
  <ScaleCrop>false</ScaleCrop>
  <LinksUpToDate>false</LinksUpToDate>
  <CharactersWithSpaces>26274</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2026-08-21T03:00:12Z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0B75257D9E8846038F6C7451398858F5_13</vt:lpwstr>
  </property>
  <property fmtid="{D5CDD505-2E9C-101B-9397-08002B2CF9AE}" pid="4" name="KSOTemplateDocerSaveRecord">
    <vt:lpwstr>eyJoZGlkIjoiZjY0MTQ2NDk3NTNiNjJkMTBiNTBhNzNkOTJmMjVmOWIiLCJ1c2VySWQiOiI4NTE2NTIxOTAifQ==</vt:lpwstr>
  </property>
</Properties>
</file>