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B4BCDE">
      <w:pPr>
        <w:tabs>
          <w:tab w:val="left" w:pos="7740"/>
        </w:tabs>
        <w:jc w:val="center"/>
        <w:rPr>
          <w:rFonts w:ascii="仿宋_GB2312" w:hAnsi="宋体" w:eastAsia="仿宋_GB2312"/>
          <w:color w:val="000000" w:themeColor="text1"/>
          <w:sz w:val="52"/>
          <w:highlight w:val="none"/>
          <w14:textFill>
            <w14:solidFill>
              <w14:schemeClr w14:val="tx1"/>
            </w14:solidFill>
          </w14:textFill>
        </w:rPr>
      </w:pPr>
      <w:bookmarkStart w:id="0" w:name="_Hlk44653633"/>
    </w:p>
    <w:p w14:paraId="09986236">
      <w:pPr>
        <w:tabs>
          <w:tab w:val="left" w:pos="7740"/>
        </w:tabs>
        <w:jc w:val="center"/>
        <w:rPr>
          <w:rFonts w:ascii="仿宋_GB2312" w:hAnsi="宋体" w:eastAsia="仿宋_GB2312"/>
          <w:color w:val="000000" w:themeColor="text1"/>
          <w:sz w:val="52"/>
          <w:highlight w:val="none"/>
          <w14:textFill>
            <w14:solidFill>
              <w14:schemeClr w14:val="tx1"/>
            </w14:solidFill>
          </w14:textFill>
        </w:rPr>
      </w:pPr>
    </w:p>
    <w:bookmarkEnd w:id="0"/>
    <w:p w14:paraId="0C4C045C">
      <w:pPr>
        <w:tabs>
          <w:tab w:val="left" w:pos="7740"/>
        </w:tabs>
        <w:jc w:val="center"/>
        <w:rPr>
          <w:rFonts w:ascii="仿宋_GB2312" w:hAnsi="宋体" w:eastAsia="仿宋_GB2312"/>
          <w:b/>
          <w:bCs/>
          <w:color w:val="000000" w:themeColor="text1"/>
          <w:sz w:val="84"/>
          <w:highlight w:val="none"/>
          <w14:textFill>
            <w14:solidFill>
              <w14:schemeClr w14:val="tx1"/>
            </w14:solidFill>
          </w14:textFill>
        </w:rPr>
      </w:pPr>
      <w:r>
        <w:rPr>
          <w:rFonts w:hint="eastAsia" w:ascii="仿宋_GB2312" w:hAnsi="宋体" w:eastAsia="仿宋_GB2312"/>
          <w:color w:val="000000" w:themeColor="text1"/>
          <w:sz w:val="52"/>
          <w:highlight w:val="none"/>
          <w:lang w:eastAsia="zh-CN"/>
          <w14:textFill>
            <w14:solidFill>
              <w14:schemeClr w14:val="tx1"/>
            </w14:solidFill>
          </w14:textFill>
        </w:rPr>
        <w:t>荣成市土地发展集团有限公司</w:t>
      </w:r>
      <w:r>
        <w:rPr>
          <w:rFonts w:hint="eastAsia" w:ascii="仿宋_GB2312" w:hAnsi="宋体" w:eastAsia="仿宋_GB2312"/>
          <w:color w:val="000000" w:themeColor="text1"/>
          <w:sz w:val="52"/>
          <w:highlight w:val="none"/>
          <w14:textFill>
            <w14:solidFill>
              <w14:schemeClr w14:val="tx1"/>
            </w14:solidFill>
          </w14:textFill>
        </w:rPr>
        <w:cr/>
      </w:r>
      <w:r>
        <w:rPr>
          <w:rFonts w:hint="eastAsia" w:ascii="仿宋_GB2312" w:hAnsi="宋体" w:eastAsia="仿宋_GB2312"/>
          <w:b/>
          <w:bCs/>
          <w:color w:val="000000" w:themeColor="text1"/>
          <w:sz w:val="84"/>
          <w:highlight w:val="none"/>
          <w14:textFill>
            <w14:solidFill>
              <w14:schemeClr w14:val="tx1"/>
            </w14:solidFill>
          </w14:textFill>
        </w:rPr>
        <w:t>招 标 文 件</w:t>
      </w:r>
      <w:r>
        <w:rPr>
          <w:rFonts w:hint="eastAsia" w:ascii="仿宋_GB2312" w:hAnsi="宋体" w:eastAsia="仿宋_GB2312"/>
          <w:b/>
          <w:bCs/>
          <w:color w:val="000000" w:themeColor="text1"/>
          <w:sz w:val="84"/>
          <w:highlight w:val="none"/>
          <w14:textFill>
            <w14:solidFill>
              <w14:schemeClr w14:val="tx1"/>
            </w14:solidFill>
          </w14:textFill>
        </w:rPr>
        <w:cr/>
      </w:r>
    </w:p>
    <w:p w14:paraId="3D3F58FA">
      <w:pPr>
        <w:tabs>
          <w:tab w:val="left" w:pos="7740"/>
        </w:tabs>
        <w:ind w:left="1436" w:leftChars="684" w:firstLine="5040" w:firstLineChars="700"/>
        <w:jc w:val="left"/>
        <w:rPr>
          <w:rFonts w:ascii="仿宋_GB2312" w:hAnsi="宋体" w:eastAsia="仿宋_GB2312"/>
          <w:bCs/>
          <w:color w:val="000000" w:themeColor="text1"/>
          <w:sz w:val="36"/>
          <w:highlight w:val="none"/>
          <w14:textFill>
            <w14:solidFill>
              <w14:schemeClr w14:val="tx1"/>
            </w14:solidFill>
          </w14:textFill>
        </w:rPr>
      </w:pPr>
      <w:r>
        <w:rPr>
          <w:rFonts w:hint="eastAsia" w:ascii="仿宋_GB2312" w:hAnsi="宋体" w:eastAsia="仿宋_GB2312"/>
          <w:color w:val="000000" w:themeColor="text1"/>
          <w:sz w:val="72"/>
          <w:highlight w:val="none"/>
          <w14:textFill>
            <w14:solidFill>
              <w14:schemeClr w14:val="tx1"/>
            </w14:solidFill>
          </w14:textFill>
        </w:rPr>
        <w:cr/>
      </w:r>
      <w:r>
        <w:rPr>
          <w:rFonts w:hint="eastAsia" w:ascii="仿宋_GB2312" w:hAnsi="宋体" w:eastAsia="仿宋_GB2312"/>
          <w:b/>
          <w:bCs/>
          <w:color w:val="000000" w:themeColor="text1"/>
          <w:sz w:val="36"/>
          <w:highlight w:val="none"/>
          <w14:textFill>
            <w14:solidFill>
              <w14:schemeClr w14:val="tx1"/>
            </w14:solidFill>
          </w14:textFill>
        </w:rPr>
        <w:t>采购编号：</w:t>
      </w:r>
      <w:bookmarkStart w:id="1" w:name="OLE_LINK2"/>
      <w:r>
        <w:rPr>
          <w:rFonts w:hint="eastAsia" w:ascii="仿宋_GB2312" w:hAnsi="宋体" w:eastAsia="仿宋_GB2312"/>
          <w:bCs/>
          <w:color w:val="000000" w:themeColor="text1"/>
          <w:sz w:val="36"/>
          <w:highlight w:val="none"/>
          <w:lang w:eastAsia="zh-CN"/>
          <w14:textFill>
            <w14:solidFill>
              <w14:schemeClr w14:val="tx1"/>
            </w14:solidFill>
          </w14:textFill>
        </w:rPr>
        <w:t>RCTDFZ2026-006</w:t>
      </w:r>
      <w:r>
        <w:rPr>
          <w:rFonts w:hint="eastAsia" w:ascii="仿宋_GB2312" w:hAnsi="宋体" w:eastAsia="仿宋_GB2312"/>
          <w:bCs/>
          <w:color w:val="000000" w:themeColor="text1"/>
          <w:sz w:val="36"/>
          <w:highlight w:val="none"/>
          <w14:textFill>
            <w14:solidFill>
              <w14:schemeClr w14:val="tx1"/>
            </w14:solidFill>
          </w14:textFill>
        </w:rPr>
        <w:cr/>
      </w:r>
      <w:bookmarkEnd w:id="1"/>
      <w:r>
        <w:rPr>
          <w:rFonts w:hint="eastAsia" w:ascii="仿宋_GB2312" w:hAnsi="宋体" w:eastAsia="仿宋_GB2312"/>
          <w:b/>
          <w:bCs/>
          <w:color w:val="000000" w:themeColor="text1"/>
          <w:sz w:val="36"/>
          <w:highlight w:val="none"/>
          <w14:textFill>
            <w14:solidFill>
              <w14:schemeClr w14:val="tx1"/>
            </w14:solidFill>
          </w14:textFill>
        </w:rPr>
        <w:t>采购项目：</w:t>
      </w:r>
      <w:r>
        <w:rPr>
          <w:rFonts w:hint="eastAsia" w:ascii="仿宋_GB2312" w:hAnsi="宋体" w:eastAsia="仿宋_GB2312"/>
          <w:color w:val="000000" w:themeColor="text1"/>
          <w:sz w:val="36"/>
          <w:highlight w:val="none"/>
          <w:lang w:val="en-US" w:eastAsia="zh-CN"/>
          <w14:textFill>
            <w14:solidFill>
              <w14:schemeClr w14:val="tx1"/>
            </w14:solidFill>
          </w14:textFill>
        </w:rPr>
        <w:t>荣成市城市数智化转型与数字生态建设</w:t>
      </w:r>
    </w:p>
    <w:p w14:paraId="42CC724D">
      <w:pPr>
        <w:tabs>
          <w:tab w:val="left" w:pos="7740"/>
        </w:tabs>
        <w:ind w:firstLine="1428" w:firstLineChars="395"/>
        <w:jc w:val="left"/>
        <w:rPr>
          <w:rFonts w:ascii="仿宋_GB2312" w:hAnsi="宋体" w:eastAsia="仿宋_GB2312"/>
          <w:color w:val="000000" w:themeColor="text1"/>
          <w:sz w:val="44"/>
          <w:highlight w:val="none"/>
          <w14:textFill>
            <w14:solidFill>
              <w14:schemeClr w14:val="tx1"/>
            </w14:solidFill>
          </w14:textFill>
        </w:rPr>
      </w:pPr>
      <w:r>
        <w:rPr>
          <w:rFonts w:hint="eastAsia" w:ascii="仿宋_GB2312" w:hAnsi="宋体" w:eastAsia="仿宋_GB2312"/>
          <w:b/>
          <w:bCs/>
          <w:color w:val="000000" w:themeColor="text1"/>
          <w:sz w:val="36"/>
          <w:highlight w:val="none"/>
          <w14:textFill>
            <w14:solidFill>
              <w14:schemeClr w14:val="tx1"/>
            </w14:solidFill>
          </w14:textFill>
        </w:rPr>
        <w:t>采购方式：</w:t>
      </w:r>
      <w:r>
        <w:rPr>
          <w:rFonts w:hint="eastAsia" w:ascii="仿宋_GB2312" w:hAnsi="宋体" w:eastAsia="仿宋_GB2312"/>
          <w:color w:val="000000" w:themeColor="text1"/>
          <w:sz w:val="36"/>
          <w:highlight w:val="none"/>
          <w14:textFill>
            <w14:solidFill>
              <w14:schemeClr w14:val="tx1"/>
            </w14:solidFill>
          </w14:textFill>
        </w:rPr>
        <w:t>公开招标</w:t>
      </w:r>
      <w:r>
        <w:rPr>
          <w:rFonts w:hint="eastAsia" w:ascii="仿宋_GB2312" w:hAnsi="宋体" w:eastAsia="仿宋_GB2312"/>
          <w:color w:val="000000" w:themeColor="text1"/>
          <w:sz w:val="36"/>
          <w:highlight w:val="none"/>
          <w14:textFill>
            <w14:solidFill>
              <w14:schemeClr w14:val="tx1"/>
            </w14:solidFill>
          </w14:textFill>
        </w:rPr>
        <w:cr/>
      </w:r>
      <w:r>
        <w:rPr>
          <w:rFonts w:hint="eastAsia" w:ascii="仿宋_GB2312" w:hAnsi="宋体" w:eastAsia="仿宋_GB2312"/>
          <w:color w:val="000000" w:themeColor="text1"/>
          <w:sz w:val="44"/>
          <w:highlight w:val="none"/>
          <w14:textFill>
            <w14:solidFill>
              <w14:schemeClr w14:val="tx1"/>
            </w14:solidFill>
          </w14:textFill>
        </w:rPr>
        <w:cr/>
      </w:r>
    </w:p>
    <w:p w14:paraId="44F0EBAC">
      <w:pPr>
        <w:pStyle w:val="13"/>
        <w:rPr>
          <w:color w:val="000000" w:themeColor="text1"/>
          <w:highlight w:val="none"/>
          <w14:textFill>
            <w14:solidFill>
              <w14:schemeClr w14:val="tx1"/>
            </w14:solidFill>
          </w14:textFill>
        </w:rPr>
      </w:pPr>
    </w:p>
    <w:p w14:paraId="04C0E005">
      <w:pPr>
        <w:pStyle w:val="13"/>
        <w:rPr>
          <w:color w:val="000000" w:themeColor="text1"/>
          <w:highlight w:val="none"/>
          <w14:textFill>
            <w14:solidFill>
              <w14:schemeClr w14:val="tx1"/>
            </w14:solidFill>
          </w14:textFill>
        </w:rPr>
      </w:pPr>
    </w:p>
    <w:p w14:paraId="62AA9E4A">
      <w:pPr>
        <w:pStyle w:val="13"/>
        <w:rPr>
          <w:color w:val="000000" w:themeColor="text1"/>
          <w:highlight w:val="none"/>
          <w14:textFill>
            <w14:solidFill>
              <w14:schemeClr w14:val="tx1"/>
            </w14:solidFill>
          </w14:textFill>
        </w:rPr>
      </w:pPr>
    </w:p>
    <w:p w14:paraId="637B199B">
      <w:pPr>
        <w:pStyle w:val="13"/>
        <w:ind w:firstLine="0"/>
        <w:rPr>
          <w:color w:val="000000" w:themeColor="text1"/>
          <w:highlight w:val="none"/>
          <w14:textFill>
            <w14:solidFill>
              <w14:schemeClr w14:val="tx1"/>
            </w14:solidFill>
          </w14:textFill>
        </w:rPr>
      </w:pPr>
    </w:p>
    <w:p w14:paraId="6AB04CC3">
      <w:pPr>
        <w:ind w:firstLine="2880" w:firstLineChars="800"/>
        <w:rPr>
          <w:rFonts w:ascii="仿宋_GB2312" w:hAnsi="宋体" w:eastAsia="仿宋_GB2312"/>
          <w:color w:val="000000" w:themeColor="text1"/>
          <w:sz w:val="36"/>
          <w:highlight w:val="none"/>
          <w14:textFill>
            <w14:solidFill>
              <w14:schemeClr w14:val="tx1"/>
            </w14:solidFill>
          </w14:textFill>
        </w:rPr>
      </w:pPr>
      <w:r>
        <w:rPr>
          <w:rFonts w:hint="eastAsia" w:ascii="仿宋_GB2312" w:hAnsi="宋体" w:eastAsia="仿宋_GB2312"/>
          <w:color w:val="000000" w:themeColor="text1"/>
          <w:sz w:val="36"/>
          <w:highlight w:val="none"/>
          <w14:textFill>
            <w14:solidFill>
              <w14:schemeClr w14:val="tx1"/>
            </w14:solidFill>
          </w14:textFill>
        </w:rPr>
        <w:t>山东志诚工程咨询管理有限公司</w:t>
      </w:r>
      <w:r>
        <w:rPr>
          <w:rFonts w:hint="eastAsia" w:ascii="仿宋_GB2312" w:hAnsi="宋体" w:eastAsia="仿宋_GB2312"/>
          <w:color w:val="000000" w:themeColor="text1"/>
          <w:sz w:val="36"/>
          <w:highlight w:val="none"/>
          <w14:textFill>
            <w14:solidFill>
              <w14:schemeClr w14:val="tx1"/>
            </w14:solidFill>
          </w14:textFill>
        </w:rPr>
        <w:cr/>
      </w:r>
      <w:r>
        <w:rPr>
          <w:rFonts w:hint="eastAsia" w:ascii="仿宋_GB2312" w:hAnsi="宋体" w:eastAsia="仿宋_GB2312"/>
          <w:color w:val="000000" w:themeColor="text1"/>
          <w:sz w:val="36"/>
          <w:highlight w:val="none"/>
          <w14:textFill>
            <w14:solidFill>
              <w14:schemeClr w14:val="tx1"/>
            </w14:solidFill>
          </w14:textFill>
        </w:rPr>
        <w:t xml:space="preserve">                       2026年</w:t>
      </w:r>
      <w:r>
        <w:rPr>
          <w:rFonts w:hint="eastAsia" w:ascii="仿宋_GB2312" w:hAnsi="宋体" w:eastAsia="仿宋_GB2312"/>
          <w:color w:val="000000" w:themeColor="text1"/>
          <w:sz w:val="36"/>
          <w:highlight w:val="none"/>
          <w:lang w:val="en-US" w:eastAsia="zh-CN"/>
          <w14:textFill>
            <w14:solidFill>
              <w14:schemeClr w14:val="tx1"/>
            </w14:solidFill>
          </w14:textFill>
        </w:rPr>
        <w:t>6</w:t>
      </w:r>
      <w:r>
        <w:rPr>
          <w:rFonts w:hint="eastAsia" w:ascii="仿宋_GB2312" w:hAnsi="宋体" w:eastAsia="仿宋_GB2312"/>
          <w:color w:val="000000" w:themeColor="text1"/>
          <w:sz w:val="36"/>
          <w:highlight w:val="none"/>
          <w14:textFill>
            <w14:solidFill>
              <w14:schemeClr w14:val="tx1"/>
            </w14:solidFill>
          </w14:textFill>
        </w:rPr>
        <w:t>月</w:t>
      </w:r>
      <w:r>
        <w:rPr>
          <w:rFonts w:hint="eastAsia" w:ascii="仿宋_GB2312" w:hAnsi="宋体" w:eastAsia="仿宋_GB2312"/>
          <w:color w:val="000000" w:themeColor="text1"/>
          <w:sz w:val="36"/>
          <w:highlight w:val="none"/>
          <w14:textFill>
            <w14:solidFill>
              <w14:schemeClr w14:val="tx1"/>
            </w14:solidFill>
          </w14:textFill>
        </w:rPr>
        <w:cr/>
      </w:r>
    </w:p>
    <w:p w14:paraId="7E864E98">
      <w:pPr>
        <w:ind w:firstLine="3534" w:firstLineChars="800"/>
        <w:rPr>
          <w:rFonts w:ascii="宋体" w:hAnsi="宋体"/>
          <w:b/>
          <w:color w:val="000000" w:themeColor="text1"/>
          <w:sz w:val="44"/>
          <w:szCs w:val="44"/>
          <w:highlight w:val="none"/>
          <w14:textFill>
            <w14:solidFill>
              <w14:schemeClr w14:val="tx1"/>
            </w14:solidFill>
          </w14:textFill>
        </w:rPr>
      </w:pPr>
    </w:p>
    <w:p w14:paraId="42AC7054">
      <w:pPr>
        <w:ind w:firstLine="3534" w:firstLineChars="800"/>
        <w:rPr>
          <w:rFonts w:ascii="宋体" w:hAnsi="宋体"/>
          <w:b/>
          <w:color w:val="000000" w:themeColor="text1"/>
          <w:sz w:val="44"/>
          <w:szCs w:val="44"/>
          <w:highlight w:val="none"/>
          <w14:textFill>
            <w14:solidFill>
              <w14:schemeClr w14:val="tx1"/>
            </w14:solidFill>
          </w14:textFill>
        </w:rPr>
        <w:sectPr>
          <w:headerReference r:id="rId3" w:type="default"/>
          <w:footerReference r:id="rId4" w:type="default"/>
          <w:pgSz w:w="11906" w:h="16838"/>
          <w:pgMar w:top="1440" w:right="1080" w:bottom="1440" w:left="1080" w:header="851" w:footer="992" w:gutter="0"/>
          <w:cols w:space="425" w:num="1"/>
          <w:docGrid w:type="lines" w:linePitch="312" w:charSpace="0"/>
        </w:sectPr>
      </w:pPr>
    </w:p>
    <w:p w14:paraId="1E51E9B7">
      <w:pPr>
        <w:ind w:firstLine="3534" w:firstLineChars="800"/>
        <w:rPr>
          <w:rFonts w:ascii="仿宋_GB2312" w:hAnsi="宋体" w:eastAsia="仿宋_GB2312"/>
          <w:color w:val="000000" w:themeColor="text1"/>
          <w:sz w:val="28"/>
          <w:highlight w:val="none"/>
          <w14:textFill>
            <w14:solidFill>
              <w14:schemeClr w14:val="tx1"/>
            </w14:solidFill>
          </w14:textFill>
        </w:rPr>
      </w:pPr>
      <w:r>
        <w:rPr>
          <w:rFonts w:hint="eastAsia" w:ascii="宋体" w:hAnsi="宋体"/>
          <w:b/>
          <w:color w:val="000000" w:themeColor="text1"/>
          <w:sz w:val="44"/>
          <w:szCs w:val="44"/>
          <w:highlight w:val="none"/>
          <w14:textFill>
            <w14:solidFill>
              <w14:schemeClr w14:val="tx1"/>
            </w14:solidFill>
          </w14:textFill>
        </w:rPr>
        <w:t xml:space="preserve"> 目　录</w:t>
      </w:r>
      <w:r>
        <w:rPr>
          <w:rFonts w:hint="eastAsia" w:ascii="宋体" w:hAnsi="宋体"/>
          <w:b/>
          <w:color w:val="000000" w:themeColor="text1"/>
          <w:sz w:val="44"/>
          <w:szCs w:val="44"/>
          <w:highlight w:val="none"/>
          <w14:textFill>
            <w14:solidFill>
              <w14:schemeClr w14:val="tx1"/>
            </w14:solidFill>
          </w14:textFill>
        </w:rPr>
        <w:cr/>
      </w:r>
    </w:p>
    <w:p w14:paraId="40927D61">
      <w:pPr>
        <w:spacing w:line="700" w:lineRule="exact"/>
        <w:ind w:firstLine="562" w:firstLineChars="200"/>
        <w:jc w:val="left"/>
        <w:rPr>
          <w:rFonts w:ascii="宋体" w:hAnsi="宋体" w:cs="宋体"/>
          <w:color w:val="000000" w:themeColor="text1"/>
          <w:sz w:val="24"/>
          <w:szCs w:val="44"/>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第一章   招标公告</w:t>
      </w:r>
    </w:p>
    <w:p w14:paraId="59806F6D">
      <w:pPr>
        <w:spacing w:line="70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第二章   投标须知</w:t>
      </w:r>
    </w:p>
    <w:p w14:paraId="663205B2">
      <w:pPr>
        <w:spacing w:line="70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第三章   采购内容与要求</w:t>
      </w:r>
    </w:p>
    <w:p w14:paraId="2467FA52">
      <w:pPr>
        <w:spacing w:line="70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第四章   评标原则和方法</w:t>
      </w:r>
    </w:p>
    <w:p w14:paraId="698EA6AA">
      <w:pPr>
        <w:spacing w:line="70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第五章   投标文件格式与要求</w:t>
      </w:r>
    </w:p>
    <w:p w14:paraId="2679A679">
      <w:pPr>
        <w:spacing w:line="700" w:lineRule="exact"/>
        <w:ind w:firstLine="562" w:firstLineChars="200"/>
        <w:rPr>
          <w:rFonts w:ascii="仿宋_GB2312" w:hAnsi="宋体" w:eastAsia="仿宋_GB2312"/>
          <w:color w:val="000000" w:themeColor="text1"/>
          <w:sz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第六章   采购合同（范本）</w:t>
      </w:r>
      <w:r>
        <w:rPr>
          <w:rFonts w:hint="eastAsia" w:ascii="仿宋_GB2312" w:hAnsi="宋体" w:eastAsia="仿宋_GB2312"/>
          <w:color w:val="000000" w:themeColor="text1"/>
          <w:sz w:val="28"/>
          <w:highlight w:val="none"/>
          <w14:textFill>
            <w14:solidFill>
              <w14:schemeClr w14:val="tx1"/>
            </w14:solidFill>
          </w14:textFill>
        </w:rPr>
        <w:cr/>
      </w:r>
      <w:r>
        <w:rPr>
          <w:rFonts w:hint="eastAsia" w:ascii="仿宋_GB2312" w:hAnsi="宋体" w:eastAsia="仿宋_GB2312"/>
          <w:color w:val="000000" w:themeColor="text1"/>
          <w:sz w:val="28"/>
          <w:highlight w:val="none"/>
          <w14:textFill>
            <w14:solidFill>
              <w14:schemeClr w14:val="tx1"/>
            </w14:solidFill>
          </w14:textFill>
        </w:rPr>
        <w:cr/>
      </w:r>
      <w:r>
        <w:rPr>
          <w:rFonts w:hint="eastAsia" w:ascii="仿宋_GB2312" w:hAnsi="宋体" w:eastAsia="仿宋_GB2312"/>
          <w:color w:val="000000" w:themeColor="text1"/>
          <w:sz w:val="28"/>
          <w:highlight w:val="none"/>
          <w14:textFill>
            <w14:solidFill>
              <w14:schemeClr w14:val="tx1"/>
            </w14:solidFill>
          </w14:textFill>
        </w:rPr>
        <w:cr/>
      </w:r>
    </w:p>
    <w:p w14:paraId="03FE5C4A">
      <w:pPr>
        <w:spacing w:line="360" w:lineRule="auto"/>
        <w:ind w:firstLine="422" w:firstLineChars="201"/>
        <w:jc w:val="center"/>
        <w:rPr>
          <w:color w:val="000000" w:themeColor="text1"/>
          <w:kern w:val="0"/>
          <w:highlight w:val="none"/>
          <w14:textFill>
            <w14:solidFill>
              <w14:schemeClr w14:val="tx1"/>
            </w14:solidFill>
          </w14:textFill>
        </w:rPr>
      </w:pPr>
    </w:p>
    <w:p w14:paraId="71345E31">
      <w:pPr>
        <w:rPr>
          <w:color w:val="000000" w:themeColor="text1"/>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p>
    <w:p w14:paraId="74A8CF6D">
      <w:pPr>
        <w:pStyle w:val="42"/>
        <w:rPr>
          <w:rFonts w:ascii="宋体" w:hAnsi="宋体" w:cs="宋体"/>
          <w:color w:val="000000" w:themeColor="text1"/>
          <w:kern w:val="36"/>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第一章</w:t>
      </w:r>
      <w:r>
        <w:rPr>
          <w:rFonts w:hint="eastAsia" w:ascii="宋体" w:hAnsi="宋体" w:cs="宋体"/>
          <w:color w:val="000000" w:themeColor="text1"/>
          <w:kern w:val="36"/>
          <w:highlight w:val="none"/>
          <w14:textFill>
            <w14:solidFill>
              <w14:schemeClr w14:val="tx1"/>
            </w14:solidFill>
          </w14:textFill>
        </w:rPr>
        <w:t>招标公告</w:t>
      </w:r>
    </w:p>
    <w:p w14:paraId="42C6D64B">
      <w:pPr>
        <w:spacing w:line="360" w:lineRule="auto"/>
        <w:jc w:val="center"/>
        <w:rPr>
          <w:rFonts w:ascii="方正小标宋简体" w:hAnsi="Cambria" w:eastAsia="方正小标宋简体"/>
          <w:b/>
          <w:bCs/>
          <w:color w:val="000000" w:themeColor="text1"/>
          <w:sz w:val="30"/>
          <w:szCs w:val="30"/>
          <w:highlight w:val="none"/>
          <w14:textFill>
            <w14:solidFill>
              <w14:schemeClr w14:val="tx1"/>
            </w14:solidFill>
          </w14:textFill>
        </w:rPr>
      </w:pPr>
      <w:r>
        <w:rPr>
          <w:rFonts w:hint="eastAsia" w:ascii="方正小标宋简体" w:hAnsi="Cambria" w:eastAsia="方正小标宋简体"/>
          <w:b/>
          <w:bCs/>
          <w:color w:val="000000" w:themeColor="text1"/>
          <w:sz w:val="30"/>
          <w:szCs w:val="30"/>
          <w:highlight w:val="none"/>
          <w:lang w:eastAsia="zh-CN"/>
          <w14:textFill>
            <w14:solidFill>
              <w14:schemeClr w14:val="tx1"/>
            </w14:solidFill>
          </w14:textFill>
        </w:rPr>
        <w:t>荣成市土地发展集团有限公司</w:t>
      </w:r>
      <w:r>
        <w:rPr>
          <w:rFonts w:hint="eastAsia" w:ascii="方正小标宋简体" w:hAnsi="Cambria" w:eastAsia="方正小标宋简体"/>
          <w:b/>
          <w:bCs/>
          <w:color w:val="000000" w:themeColor="text1"/>
          <w:sz w:val="30"/>
          <w:szCs w:val="30"/>
          <w:highlight w:val="none"/>
          <w:lang w:val="en-US" w:eastAsia="zh-CN"/>
          <w14:textFill>
            <w14:solidFill>
              <w14:schemeClr w14:val="tx1"/>
            </w14:solidFill>
          </w14:textFill>
        </w:rPr>
        <w:t>荣成市城市数智化转型与数字生态建设</w:t>
      </w:r>
      <w:r>
        <w:rPr>
          <w:rFonts w:hint="eastAsia" w:ascii="方正小标宋简体" w:hAnsi="Cambria" w:eastAsia="方正小标宋简体"/>
          <w:b/>
          <w:bCs/>
          <w:color w:val="000000" w:themeColor="text1"/>
          <w:sz w:val="30"/>
          <w:szCs w:val="30"/>
          <w:highlight w:val="none"/>
          <w14:textFill>
            <w14:solidFill>
              <w14:schemeClr w14:val="tx1"/>
            </w14:solidFill>
          </w14:textFill>
        </w:rPr>
        <w:t>公开招标公告</w:t>
      </w:r>
    </w:p>
    <w:p w14:paraId="449DD676">
      <w:pPr>
        <w:pBdr>
          <w:top w:val="single" w:color="auto" w:sz="4" w:space="1"/>
          <w:left w:val="single" w:color="auto" w:sz="4" w:space="4"/>
          <w:bottom w:val="single" w:color="auto" w:sz="4" w:space="1"/>
          <w:right w:val="single" w:color="auto" w:sz="4" w:space="4"/>
        </w:pBdr>
        <w:spacing w:line="360" w:lineRule="auto"/>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项目概况</w:t>
      </w:r>
    </w:p>
    <w:p w14:paraId="2BDD76DC">
      <w:pPr>
        <w:widowControl/>
        <w:pBdr>
          <w:top w:val="single" w:color="auto" w:sz="4" w:space="1"/>
          <w:left w:val="single" w:color="auto" w:sz="4" w:space="4"/>
          <w:bottom w:val="single" w:color="auto" w:sz="4" w:space="1"/>
          <w:right w:val="single" w:color="auto" w:sz="4" w:space="4"/>
        </w:pBdr>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荣成市城市数智化转型与数字生态建设</w:t>
      </w:r>
      <w:r>
        <w:rPr>
          <w:rFonts w:hint="eastAsia" w:ascii="仿宋_GB2312" w:hAnsi="仿宋" w:eastAsia="仿宋_GB2312" w:cs="宋体"/>
          <w:color w:val="000000" w:themeColor="text1"/>
          <w:spacing w:val="8"/>
          <w:sz w:val="28"/>
          <w:szCs w:val="28"/>
          <w:highlight w:val="none"/>
          <w14:textFill>
            <w14:solidFill>
              <w14:schemeClr w14:val="tx1"/>
            </w14:solidFill>
          </w14:textFill>
        </w:rPr>
        <w:t>招标项目的潜在投标人应在威海市国有企业电子化服务平台（威海市公共资源交易网（荣成市）右侧“交易服务一网通办系统（新版一网通办系统）”进行平台切换点击“国企采购”）获取采购文件，并于</w:t>
      </w:r>
      <w:r>
        <w:rPr>
          <w:rFonts w:hint="eastAsia" w:ascii="仿宋_GB2312" w:hAnsi="仿宋" w:eastAsia="仿宋_GB2312" w:cs="宋体"/>
          <w:color w:val="000000" w:themeColor="text1"/>
          <w:spacing w:val="8"/>
          <w:sz w:val="28"/>
          <w:szCs w:val="28"/>
          <w:highlight w:val="none"/>
          <w14:textFill>
            <w14:solidFill>
              <w14:schemeClr w14:val="tx1"/>
            </w14:solidFill>
          </w14:textFill>
        </w:rPr>
        <w:t>2026年</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07</w:t>
      </w:r>
      <w:r>
        <w:rPr>
          <w:rFonts w:hint="eastAsia" w:ascii="仿宋_GB2312" w:hAnsi="仿宋" w:eastAsia="仿宋_GB2312" w:cs="宋体"/>
          <w:color w:val="000000" w:themeColor="text1"/>
          <w:spacing w:val="8"/>
          <w:sz w:val="28"/>
          <w:szCs w:val="28"/>
          <w:highlight w:val="none"/>
          <w14:textFill>
            <w14:solidFill>
              <w14:schemeClr w14:val="tx1"/>
            </w14:solidFill>
          </w14:textFill>
        </w:rPr>
        <w:t>月</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10</w:t>
      </w:r>
      <w:r>
        <w:rPr>
          <w:rFonts w:hint="eastAsia" w:ascii="仿宋_GB2312" w:hAnsi="仿宋" w:eastAsia="仿宋_GB2312" w:cs="宋体"/>
          <w:color w:val="000000" w:themeColor="text1"/>
          <w:spacing w:val="8"/>
          <w:sz w:val="28"/>
          <w:szCs w:val="28"/>
          <w:highlight w:val="none"/>
          <w14:textFill>
            <w14:solidFill>
              <w14:schemeClr w14:val="tx1"/>
            </w14:solidFill>
          </w14:textFill>
        </w:rPr>
        <w:t>日09:00</w:t>
      </w:r>
      <w:r>
        <w:rPr>
          <w:rFonts w:hint="eastAsia" w:ascii="仿宋_GB2312" w:hAnsi="仿宋" w:eastAsia="仿宋_GB2312" w:cs="宋体"/>
          <w:color w:val="000000" w:themeColor="text1"/>
          <w:spacing w:val="8"/>
          <w:sz w:val="28"/>
          <w:szCs w:val="28"/>
          <w:highlight w:val="none"/>
          <w14:textFill>
            <w14:solidFill>
              <w14:schemeClr w14:val="tx1"/>
            </w14:solidFill>
          </w14:textFill>
        </w:rPr>
        <w:t>（北京时间）前递交投标文件。</w:t>
      </w:r>
    </w:p>
    <w:p w14:paraId="55393965">
      <w:pPr>
        <w:spacing w:line="360" w:lineRule="auto"/>
        <w:ind w:firstLine="560" w:firstLineChars="20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一、项目基本情况</w:t>
      </w:r>
    </w:p>
    <w:p w14:paraId="07919702">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项目编号：</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RCTDFZ2026-006</w:t>
      </w:r>
    </w:p>
    <w:p w14:paraId="32AE7CFD">
      <w:pPr>
        <w:widowControl/>
        <w:shd w:val="clear" w:color="auto" w:fill="FFFFFF"/>
        <w:spacing w:line="360" w:lineRule="auto"/>
        <w:ind w:firstLine="592" w:firstLineChars="200"/>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项目名称：</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荣成市城市数智化转型与数字生态建设</w:t>
      </w:r>
    </w:p>
    <w:p w14:paraId="3AA5993D">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采购项目分包情况：</w:t>
      </w:r>
    </w:p>
    <w:tbl>
      <w:tblPr>
        <w:tblStyle w:val="47"/>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0"/>
        <w:gridCol w:w="2113"/>
        <w:gridCol w:w="851"/>
        <w:gridCol w:w="1701"/>
        <w:gridCol w:w="1701"/>
        <w:gridCol w:w="1417"/>
        <w:gridCol w:w="1349"/>
      </w:tblGrid>
      <w:tr w14:paraId="0CF10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830" w:type="dxa"/>
            <w:vAlign w:val="center"/>
          </w:tcPr>
          <w:p w14:paraId="2035DD6B">
            <w:pPr>
              <w:widowControl/>
              <w:adjustRightInd w:val="0"/>
              <w:spacing w:line="360" w:lineRule="auto"/>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标包</w:t>
            </w:r>
          </w:p>
        </w:tc>
        <w:tc>
          <w:tcPr>
            <w:tcW w:w="2113" w:type="dxa"/>
            <w:vAlign w:val="center"/>
          </w:tcPr>
          <w:p w14:paraId="1A19BB84">
            <w:pPr>
              <w:widowControl/>
              <w:adjustRightInd w:val="0"/>
              <w:spacing w:line="360" w:lineRule="auto"/>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货物\服务名称</w:t>
            </w:r>
          </w:p>
        </w:tc>
        <w:tc>
          <w:tcPr>
            <w:tcW w:w="851" w:type="dxa"/>
            <w:vAlign w:val="center"/>
          </w:tcPr>
          <w:p w14:paraId="7809D832">
            <w:pPr>
              <w:widowControl/>
              <w:adjustRightInd w:val="0"/>
              <w:spacing w:line="360" w:lineRule="auto"/>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数量</w:t>
            </w:r>
          </w:p>
        </w:tc>
        <w:tc>
          <w:tcPr>
            <w:tcW w:w="1701" w:type="dxa"/>
            <w:vAlign w:val="center"/>
          </w:tcPr>
          <w:p w14:paraId="5978FD07">
            <w:pPr>
              <w:widowControl/>
              <w:adjustRightInd w:val="0"/>
              <w:spacing w:line="360" w:lineRule="auto"/>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包预算金额</w:t>
            </w:r>
            <w:r>
              <w:rPr>
                <w:rFonts w:hint="eastAsia" w:ascii="仿宋_GB2312" w:hAnsi="宋体" w:eastAsia="仿宋_GB2312" w:cs="宋体"/>
                <w:b/>
                <w:color w:val="000000" w:themeColor="text1"/>
                <w:sz w:val="28"/>
                <w:highlight w:val="none"/>
                <w14:textFill>
                  <w14:solidFill>
                    <w14:schemeClr w14:val="tx1"/>
                  </w14:solidFill>
                </w14:textFill>
              </w:rPr>
              <w:br w:type="textWrapping"/>
            </w:r>
            <w:r>
              <w:rPr>
                <w:rFonts w:hint="eastAsia" w:ascii="仿宋_GB2312" w:hAnsi="宋体" w:eastAsia="仿宋_GB2312" w:cs="宋体"/>
                <w:b/>
                <w:color w:val="000000" w:themeColor="text1"/>
                <w:sz w:val="28"/>
                <w:highlight w:val="none"/>
                <w14:textFill>
                  <w14:solidFill>
                    <w14:schemeClr w14:val="tx1"/>
                  </w14:solidFill>
                </w14:textFill>
              </w:rPr>
              <w:t>（元）</w:t>
            </w:r>
          </w:p>
        </w:tc>
        <w:tc>
          <w:tcPr>
            <w:tcW w:w="1701" w:type="dxa"/>
            <w:vAlign w:val="center"/>
          </w:tcPr>
          <w:p w14:paraId="1B98A1BE">
            <w:pPr>
              <w:widowControl/>
              <w:adjustRightInd w:val="0"/>
              <w:spacing w:line="360" w:lineRule="auto"/>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最高限价</w:t>
            </w:r>
          </w:p>
          <w:p w14:paraId="1A8C236F">
            <w:pPr>
              <w:widowControl/>
              <w:adjustRightInd w:val="0"/>
              <w:spacing w:line="360" w:lineRule="auto"/>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（元）</w:t>
            </w:r>
          </w:p>
        </w:tc>
        <w:tc>
          <w:tcPr>
            <w:tcW w:w="1417" w:type="dxa"/>
            <w:vAlign w:val="center"/>
          </w:tcPr>
          <w:p w14:paraId="0B682308">
            <w:pPr>
              <w:widowControl/>
              <w:adjustRightInd w:val="0"/>
              <w:spacing w:line="360" w:lineRule="auto"/>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采购需求</w:t>
            </w:r>
          </w:p>
        </w:tc>
        <w:tc>
          <w:tcPr>
            <w:tcW w:w="1349" w:type="dxa"/>
            <w:vAlign w:val="center"/>
          </w:tcPr>
          <w:p w14:paraId="0B07BDA4">
            <w:pPr>
              <w:widowControl/>
              <w:adjustRightInd w:val="0"/>
              <w:spacing w:line="360" w:lineRule="auto"/>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合同履行期限</w:t>
            </w:r>
          </w:p>
        </w:tc>
      </w:tr>
      <w:tr w14:paraId="6E492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3" w:hRule="atLeast"/>
        </w:trPr>
        <w:tc>
          <w:tcPr>
            <w:tcW w:w="830" w:type="dxa"/>
            <w:vAlign w:val="center"/>
          </w:tcPr>
          <w:p w14:paraId="0CE1A026">
            <w:pPr>
              <w:jc w:val="center"/>
              <w:rPr>
                <w:rFonts w:ascii="仿宋_GB2312" w:hAnsi="宋体" w:eastAsia="仿宋_GB2312" w:cs="宋体"/>
                <w:color w:val="000000" w:themeColor="text1"/>
                <w:sz w:val="24"/>
                <w:highlight w:val="none"/>
                <w14:textFill>
                  <w14:solidFill>
                    <w14:schemeClr w14:val="tx1"/>
                  </w14:solidFill>
                </w14:textFill>
              </w:rPr>
            </w:pPr>
            <w:bookmarkStart w:id="2" w:name="_Hlk223688335"/>
            <w:bookmarkStart w:id="3" w:name="_Hlk223703000"/>
            <w:r>
              <w:rPr>
                <w:rFonts w:hint="eastAsia" w:ascii="仿宋_GB2312" w:hAnsi="宋体" w:eastAsia="仿宋_GB2312" w:cs="宋体"/>
                <w:color w:val="000000" w:themeColor="text1"/>
                <w:sz w:val="24"/>
                <w:highlight w:val="none"/>
                <w14:textFill>
                  <w14:solidFill>
                    <w14:schemeClr w14:val="tx1"/>
                  </w14:solidFill>
                </w14:textFill>
              </w:rPr>
              <w:t>001</w:t>
            </w:r>
          </w:p>
        </w:tc>
        <w:tc>
          <w:tcPr>
            <w:tcW w:w="2113" w:type="dxa"/>
            <w:vAlign w:val="center"/>
          </w:tcPr>
          <w:p w14:paraId="4B066445">
            <w:pPr>
              <w:jc w:val="center"/>
              <w:rPr>
                <w:rFonts w:ascii="仿宋_GB2312" w:hAnsi="宋体" w:eastAsia="仿宋_GB2312" w:cs="宋体"/>
                <w:color w:val="000000" w:themeColor="text1"/>
                <w:sz w:val="24"/>
                <w:highlight w:val="none"/>
                <w14:textFill>
                  <w14:solidFill>
                    <w14:schemeClr w14:val="tx1"/>
                  </w14:solidFill>
                </w14:textFill>
              </w:rPr>
            </w:pPr>
            <w:r>
              <w:rPr>
                <w:rFonts w:hint="eastAsia" w:ascii="仿宋_GB2312" w:hAnsi="宋体" w:eastAsia="仿宋_GB2312" w:cs="宋体"/>
                <w:color w:val="000000" w:themeColor="text1"/>
                <w:sz w:val="24"/>
                <w:highlight w:val="none"/>
                <w:lang w:val="en-US" w:eastAsia="zh-CN"/>
                <w14:textFill>
                  <w14:solidFill>
                    <w14:schemeClr w14:val="tx1"/>
                  </w14:solidFill>
                </w14:textFill>
              </w:rPr>
              <w:t>荣成市城市数智化转型与数字生态建设</w:t>
            </w:r>
          </w:p>
        </w:tc>
        <w:tc>
          <w:tcPr>
            <w:tcW w:w="851" w:type="dxa"/>
            <w:vAlign w:val="center"/>
          </w:tcPr>
          <w:p w14:paraId="11B4982B">
            <w:pPr>
              <w:jc w:val="center"/>
              <w:rPr>
                <w:rFonts w:ascii="仿宋_GB2312" w:hAnsi="宋体" w:eastAsia="仿宋_GB2312" w:cs="宋体"/>
                <w:color w:val="000000" w:themeColor="text1"/>
                <w:sz w:val="24"/>
                <w:highlight w:val="none"/>
                <w14:textFill>
                  <w14:solidFill>
                    <w14:schemeClr w14:val="tx1"/>
                  </w14:solidFill>
                </w14:textFill>
              </w:rPr>
            </w:pPr>
            <w:r>
              <w:rPr>
                <w:rFonts w:hint="eastAsia" w:ascii="仿宋_GB2312" w:hAnsi="宋体" w:eastAsia="仿宋_GB2312" w:cs="宋体"/>
                <w:color w:val="000000" w:themeColor="text1"/>
                <w:sz w:val="24"/>
                <w:highlight w:val="none"/>
                <w14:textFill>
                  <w14:solidFill>
                    <w14:schemeClr w14:val="tx1"/>
                  </w14:solidFill>
                </w14:textFill>
              </w:rPr>
              <w:t>1宗</w:t>
            </w:r>
          </w:p>
        </w:tc>
        <w:tc>
          <w:tcPr>
            <w:tcW w:w="1701" w:type="dxa"/>
            <w:vAlign w:val="center"/>
          </w:tcPr>
          <w:p w14:paraId="396A412A">
            <w:pPr>
              <w:widowControl/>
              <w:jc w:val="center"/>
              <w:textAlignment w:val="center"/>
              <w:rPr>
                <w:rFonts w:hint="default" w:ascii="Calibri" w:hAnsi="Calibri" w:eastAsia="宋体" w:cs="Calibri"/>
                <w:color w:val="000000" w:themeColor="text1"/>
                <w:sz w:val="20"/>
                <w:szCs w:val="20"/>
                <w:highlight w:val="none"/>
                <w:lang w:val="en-US" w:eastAsia="zh-CN"/>
                <w14:textFill>
                  <w14:solidFill>
                    <w14:schemeClr w14:val="tx1"/>
                  </w14:solidFill>
                </w14:textFill>
              </w:rPr>
            </w:pPr>
            <w:r>
              <w:rPr>
                <w:rFonts w:hint="eastAsia" w:ascii="仿宋_GB2312" w:hAnsi="宋体" w:eastAsia="仿宋_GB2312" w:cs="宋体"/>
                <w:color w:val="000000" w:themeColor="text1"/>
                <w:sz w:val="24"/>
                <w:highlight w:val="none"/>
                <w:lang w:val="en-US" w:eastAsia="zh-CN"/>
                <w14:textFill>
                  <w14:solidFill>
                    <w14:schemeClr w14:val="tx1"/>
                  </w14:solidFill>
                </w14:textFill>
              </w:rPr>
              <w:t>650000000.00</w:t>
            </w:r>
          </w:p>
        </w:tc>
        <w:tc>
          <w:tcPr>
            <w:tcW w:w="1701" w:type="dxa"/>
            <w:vAlign w:val="center"/>
          </w:tcPr>
          <w:p w14:paraId="1FAB0D3D">
            <w:pPr>
              <w:widowControl/>
              <w:jc w:val="center"/>
              <w:textAlignment w:val="center"/>
              <w:rPr>
                <w:rFonts w:ascii="Calibri" w:hAnsi="Calibri" w:cs="Calibri"/>
                <w:color w:val="000000" w:themeColor="text1"/>
                <w:sz w:val="20"/>
                <w:szCs w:val="20"/>
                <w:highlight w:val="none"/>
                <w14:textFill>
                  <w14:solidFill>
                    <w14:schemeClr w14:val="tx1"/>
                  </w14:solidFill>
                </w14:textFill>
              </w:rPr>
            </w:pPr>
            <w:r>
              <w:rPr>
                <w:rFonts w:hint="eastAsia" w:ascii="仿宋_GB2312" w:hAnsi="宋体" w:eastAsia="仿宋_GB2312" w:cs="宋体"/>
                <w:color w:val="000000" w:themeColor="text1"/>
                <w:sz w:val="24"/>
                <w:highlight w:val="none"/>
                <w:lang w:val="en-US" w:eastAsia="zh-CN"/>
                <w14:textFill>
                  <w14:solidFill>
                    <w14:schemeClr w14:val="tx1"/>
                  </w14:solidFill>
                </w14:textFill>
              </w:rPr>
              <w:t>650000000.00</w:t>
            </w:r>
          </w:p>
        </w:tc>
        <w:tc>
          <w:tcPr>
            <w:tcW w:w="1417" w:type="dxa"/>
            <w:vAlign w:val="center"/>
          </w:tcPr>
          <w:p w14:paraId="5B02DE59">
            <w:pPr>
              <w:widowControl/>
              <w:adjustRightInd w:val="0"/>
              <w:spacing w:line="360" w:lineRule="auto"/>
              <w:jc w:val="center"/>
              <w:rPr>
                <w:rFonts w:ascii="仿宋_GB2312" w:hAnsi="宋体" w:eastAsia="仿宋_GB2312" w:cs="宋体"/>
                <w:color w:val="000000" w:themeColor="text1"/>
                <w:sz w:val="24"/>
                <w:highlight w:val="none"/>
                <w14:textFill>
                  <w14:solidFill>
                    <w14:schemeClr w14:val="tx1"/>
                  </w14:solidFill>
                </w14:textFill>
              </w:rPr>
            </w:pPr>
            <w:r>
              <w:rPr>
                <w:rFonts w:hint="eastAsia" w:ascii="仿宋_GB2312" w:hAnsi="宋体" w:eastAsia="仿宋_GB2312" w:cs="宋体"/>
                <w:color w:val="000000" w:themeColor="text1"/>
                <w:sz w:val="24"/>
                <w:highlight w:val="none"/>
                <w14:textFill>
                  <w14:solidFill>
                    <w14:schemeClr w14:val="tx1"/>
                  </w14:solidFill>
                </w14:textFill>
              </w:rPr>
              <w:t>详见</w:t>
            </w:r>
            <w:r>
              <w:rPr>
                <w:rFonts w:hint="eastAsia" w:ascii="仿宋_GB2312" w:hAnsi="宋体" w:eastAsia="仿宋_GB2312" w:cs="宋体"/>
                <w:color w:val="000000" w:themeColor="text1"/>
                <w:sz w:val="24"/>
                <w:highlight w:val="none"/>
                <w14:textFill>
                  <w14:solidFill>
                    <w14:schemeClr w14:val="tx1"/>
                  </w14:solidFill>
                </w14:textFill>
              </w:rPr>
              <w:br w:type="textWrapping"/>
            </w:r>
            <w:r>
              <w:rPr>
                <w:rFonts w:hint="eastAsia" w:ascii="仿宋_GB2312" w:hAnsi="宋体" w:eastAsia="仿宋_GB2312" w:cs="宋体"/>
                <w:color w:val="000000" w:themeColor="text1"/>
                <w:sz w:val="24"/>
                <w:highlight w:val="none"/>
                <w14:textFill>
                  <w14:solidFill>
                    <w14:schemeClr w14:val="tx1"/>
                  </w14:solidFill>
                </w14:textFill>
              </w:rPr>
              <w:t>招标文件</w:t>
            </w:r>
          </w:p>
        </w:tc>
        <w:tc>
          <w:tcPr>
            <w:tcW w:w="1349" w:type="dxa"/>
            <w:vAlign w:val="center"/>
          </w:tcPr>
          <w:p w14:paraId="45B801A2">
            <w:pPr>
              <w:widowControl/>
              <w:adjustRightInd w:val="0"/>
              <w:spacing w:line="360" w:lineRule="auto"/>
              <w:jc w:val="center"/>
              <w:rPr>
                <w:rFonts w:ascii="仿宋_GB2312" w:hAnsi="宋体" w:eastAsia="仿宋_GB2312" w:cs="宋体"/>
                <w:color w:val="000000" w:themeColor="text1"/>
                <w:sz w:val="24"/>
                <w:highlight w:val="none"/>
                <w14:textFill>
                  <w14:solidFill>
                    <w14:schemeClr w14:val="tx1"/>
                  </w14:solidFill>
                </w14:textFill>
              </w:rPr>
            </w:pPr>
            <w:r>
              <w:rPr>
                <w:rFonts w:hint="eastAsia" w:ascii="仿宋_GB2312" w:hAnsi="宋体" w:eastAsia="仿宋_GB2312" w:cs="宋体"/>
                <w:color w:val="000000" w:themeColor="text1"/>
                <w:sz w:val="24"/>
                <w:highlight w:val="none"/>
                <w14:textFill>
                  <w14:solidFill>
                    <w14:schemeClr w14:val="tx1"/>
                  </w14:solidFill>
                </w14:textFill>
              </w:rPr>
              <w:t>详见</w:t>
            </w:r>
            <w:r>
              <w:rPr>
                <w:rFonts w:hint="eastAsia" w:ascii="仿宋_GB2312" w:hAnsi="宋体" w:eastAsia="仿宋_GB2312" w:cs="宋体"/>
                <w:color w:val="000000" w:themeColor="text1"/>
                <w:sz w:val="24"/>
                <w:highlight w:val="none"/>
                <w14:textFill>
                  <w14:solidFill>
                    <w14:schemeClr w14:val="tx1"/>
                  </w14:solidFill>
                </w14:textFill>
              </w:rPr>
              <w:br w:type="textWrapping"/>
            </w:r>
            <w:r>
              <w:rPr>
                <w:rFonts w:hint="eastAsia" w:ascii="仿宋_GB2312" w:hAnsi="宋体" w:eastAsia="仿宋_GB2312" w:cs="宋体"/>
                <w:color w:val="000000" w:themeColor="text1"/>
                <w:sz w:val="24"/>
                <w:highlight w:val="none"/>
                <w14:textFill>
                  <w14:solidFill>
                    <w14:schemeClr w14:val="tx1"/>
                  </w14:solidFill>
                </w14:textFill>
              </w:rPr>
              <w:t>招标文件</w:t>
            </w:r>
          </w:p>
        </w:tc>
      </w:tr>
      <w:bookmarkEnd w:id="2"/>
      <w:bookmarkEnd w:id="3"/>
    </w:tbl>
    <w:p w14:paraId="280715AD">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本项目不接受联合体投标。</w:t>
      </w:r>
    </w:p>
    <w:p w14:paraId="752AB938">
      <w:pPr>
        <w:spacing w:line="360" w:lineRule="auto"/>
        <w:ind w:firstLine="560" w:firstLineChars="20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二、申请人的资格要求：</w:t>
      </w:r>
    </w:p>
    <w:p w14:paraId="4AD09A2C">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1.具有独立承担民事责任的能力；</w:t>
      </w:r>
    </w:p>
    <w:p w14:paraId="4AB9ABD0">
      <w:pPr>
        <w:pStyle w:val="13"/>
        <w:ind w:firstLine="565" w:firstLineChars="191"/>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2.具有良好的商业信誉和健全的财务会计制度；</w:t>
      </w:r>
    </w:p>
    <w:p w14:paraId="2D3A711B">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3.具有履行合同所必须设备和专业技术能力，并能提供优质的服务；</w:t>
      </w:r>
    </w:p>
    <w:p w14:paraId="550C606C">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4.具有依法缴纳税收和社会保障资金的良好记录；</w:t>
      </w:r>
    </w:p>
    <w:p w14:paraId="5754B979">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5.参加本次采购活动前三年内，在经营活动中没有重大违法记录；</w:t>
      </w:r>
    </w:p>
    <w:p w14:paraId="2EA92106">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6.法律、行政法规及招标文件规定的其他要求。</w:t>
      </w:r>
    </w:p>
    <w:p w14:paraId="371BCDA0">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7</w:t>
      </w:r>
      <w:r>
        <w:rPr>
          <w:rFonts w:ascii="仿宋_GB2312" w:hAnsi="仿宋" w:eastAsia="仿宋_GB2312" w:cs="宋体"/>
          <w:color w:val="000000" w:themeColor="text1"/>
          <w:spacing w:val="8"/>
          <w:sz w:val="28"/>
          <w:szCs w:val="28"/>
          <w:highlight w:val="none"/>
          <w14:textFill>
            <w14:solidFill>
              <w14:schemeClr w14:val="tx1"/>
            </w14:solidFill>
          </w14:textFill>
        </w:rPr>
        <w:t>.</w:t>
      </w:r>
      <w:r>
        <w:rPr>
          <w:rFonts w:hint="eastAsia" w:ascii="仿宋_GB2312" w:hAnsi="仿宋" w:eastAsia="仿宋_GB2312" w:cs="宋体"/>
          <w:color w:val="000000" w:themeColor="text1"/>
          <w:spacing w:val="8"/>
          <w:sz w:val="28"/>
          <w:szCs w:val="28"/>
          <w:highlight w:val="none"/>
          <w14:textFill>
            <w14:solidFill>
              <w14:schemeClr w14:val="tx1"/>
            </w14:solidFill>
          </w14:textFill>
        </w:rPr>
        <w:t>本项目不接受联合体投标。</w:t>
      </w:r>
    </w:p>
    <w:p w14:paraId="22FF82C6">
      <w:pPr>
        <w:spacing w:line="360" w:lineRule="auto"/>
        <w:ind w:firstLine="560" w:firstLineChars="20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三、获取招标文件</w:t>
      </w:r>
    </w:p>
    <w:p w14:paraId="38385542">
      <w:pPr>
        <w:widowControl/>
        <w:shd w:val="clear" w:color="auto" w:fill="FFFFFF"/>
        <w:spacing w:line="360" w:lineRule="auto"/>
        <w:ind w:firstLine="539"/>
        <w:rPr>
          <w:rFonts w:ascii="仿宋_GB2312" w:hAnsi="黑体" w:eastAsia="仿宋_GB2312" w:cs="宋体"/>
          <w:color w:val="000000" w:themeColor="text1"/>
          <w:spacing w:val="8"/>
          <w:sz w:val="28"/>
          <w:szCs w:val="28"/>
          <w:highlight w:val="none"/>
          <w14:textFill>
            <w14:solidFill>
              <w14:schemeClr w14:val="tx1"/>
            </w14:solidFill>
          </w14:textFill>
        </w:rPr>
      </w:pPr>
      <w:r>
        <w:rPr>
          <w:rFonts w:hint="eastAsia" w:ascii="仿宋_GB2312" w:hAnsi="黑体" w:eastAsia="仿宋_GB2312" w:cs="宋体"/>
          <w:color w:val="000000" w:themeColor="text1"/>
          <w:spacing w:val="8"/>
          <w:sz w:val="28"/>
          <w:szCs w:val="28"/>
          <w:highlight w:val="none"/>
          <w14:textFill>
            <w14:solidFill>
              <w14:schemeClr w14:val="tx1"/>
            </w14:solidFill>
          </w14:textFill>
        </w:rPr>
        <w:t>1.时间：</w:t>
      </w:r>
      <w:r>
        <w:rPr>
          <w:rFonts w:hint="eastAsia" w:ascii="仿宋_GB2312" w:hAnsi="黑体" w:eastAsia="仿宋_GB2312" w:cs="宋体"/>
          <w:color w:val="000000" w:themeColor="text1"/>
          <w:spacing w:val="8"/>
          <w:sz w:val="28"/>
          <w:szCs w:val="28"/>
          <w:highlight w:val="none"/>
          <w14:textFill>
            <w14:solidFill>
              <w14:schemeClr w14:val="tx1"/>
            </w14:solidFill>
          </w14:textFill>
        </w:rPr>
        <w:t>2026年</w:t>
      </w:r>
      <w:r>
        <w:rPr>
          <w:rFonts w:hint="eastAsia" w:ascii="仿宋_GB2312" w:hAnsi="黑体" w:eastAsia="仿宋_GB2312" w:cs="宋体"/>
          <w:color w:val="000000" w:themeColor="text1"/>
          <w:spacing w:val="8"/>
          <w:sz w:val="28"/>
          <w:szCs w:val="28"/>
          <w:highlight w:val="none"/>
          <w:lang w:val="en-US" w:eastAsia="zh-CN"/>
          <w14:textFill>
            <w14:solidFill>
              <w14:schemeClr w14:val="tx1"/>
            </w14:solidFill>
          </w14:textFill>
        </w:rPr>
        <w:t>06</w:t>
      </w:r>
      <w:r>
        <w:rPr>
          <w:rFonts w:hint="eastAsia" w:ascii="仿宋_GB2312" w:hAnsi="黑体" w:eastAsia="仿宋_GB2312" w:cs="宋体"/>
          <w:color w:val="000000" w:themeColor="text1"/>
          <w:spacing w:val="8"/>
          <w:sz w:val="28"/>
          <w:szCs w:val="28"/>
          <w:highlight w:val="none"/>
          <w14:textFill>
            <w14:solidFill>
              <w14:schemeClr w14:val="tx1"/>
            </w14:solidFill>
          </w14:textFill>
        </w:rPr>
        <w:t>月</w:t>
      </w:r>
      <w:r>
        <w:rPr>
          <w:rFonts w:hint="eastAsia" w:ascii="仿宋_GB2312" w:hAnsi="黑体" w:eastAsia="仿宋_GB2312" w:cs="宋体"/>
          <w:color w:val="000000" w:themeColor="text1"/>
          <w:spacing w:val="8"/>
          <w:sz w:val="28"/>
          <w:szCs w:val="28"/>
          <w:highlight w:val="none"/>
          <w:lang w:val="en-US" w:eastAsia="zh-CN"/>
          <w14:textFill>
            <w14:solidFill>
              <w14:schemeClr w14:val="tx1"/>
            </w14:solidFill>
          </w14:textFill>
        </w:rPr>
        <w:t>26</w:t>
      </w:r>
      <w:r>
        <w:rPr>
          <w:rFonts w:hint="eastAsia" w:ascii="仿宋_GB2312" w:hAnsi="黑体" w:eastAsia="仿宋_GB2312" w:cs="宋体"/>
          <w:color w:val="000000" w:themeColor="text1"/>
          <w:spacing w:val="8"/>
          <w:sz w:val="28"/>
          <w:szCs w:val="28"/>
          <w:highlight w:val="none"/>
          <w14:textFill>
            <w14:solidFill>
              <w14:schemeClr w14:val="tx1"/>
            </w14:solidFill>
          </w14:textFill>
        </w:rPr>
        <w:t xml:space="preserve">日 </w:t>
      </w:r>
      <w:r>
        <w:rPr>
          <w:rFonts w:hint="eastAsia" w:ascii="仿宋_GB2312" w:hAnsi="黑体" w:eastAsia="仿宋_GB2312" w:cs="宋体"/>
          <w:color w:val="000000" w:themeColor="text1"/>
          <w:spacing w:val="8"/>
          <w:sz w:val="28"/>
          <w:szCs w:val="28"/>
          <w:highlight w:val="none"/>
          <w:lang w:val="en-US" w:eastAsia="zh-CN"/>
          <w14:textFill>
            <w14:solidFill>
              <w14:schemeClr w14:val="tx1"/>
            </w14:solidFill>
          </w14:textFill>
        </w:rPr>
        <w:t>17</w:t>
      </w:r>
      <w:r>
        <w:rPr>
          <w:rFonts w:hint="eastAsia" w:ascii="仿宋_GB2312" w:hAnsi="黑体" w:eastAsia="仿宋_GB2312" w:cs="宋体"/>
          <w:color w:val="000000" w:themeColor="text1"/>
          <w:spacing w:val="8"/>
          <w:sz w:val="28"/>
          <w:szCs w:val="28"/>
          <w:highlight w:val="none"/>
          <w14:textFill>
            <w14:solidFill>
              <w14:schemeClr w14:val="tx1"/>
            </w14:solidFill>
          </w14:textFill>
        </w:rPr>
        <w:t>:30:00至2026年</w:t>
      </w:r>
      <w:r>
        <w:rPr>
          <w:rFonts w:hint="eastAsia" w:ascii="仿宋_GB2312" w:hAnsi="黑体" w:eastAsia="仿宋_GB2312" w:cs="宋体"/>
          <w:color w:val="000000" w:themeColor="text1"/>
          <w:spacing w:val="8"/>
          <w:sz w:val="28"/>
          <w:szCs w:val="28"/>
          <w:highlight w:val="none"/>
          <w:lang w:val="en-US" w:eastAsia="zh-CN"/>
          <w14:textFill>
            <w14:solidFill>
              <w14:schemeClr w14:val="tx1"/>
            </w14:solidFill>
          </w14:textFill>
        </w:rPr>
        <w:t>07</w:t>
      </w:r>
      <w:r>
        <w:rPr>
          <w:rFonts w:hint="eastAsia" w:ascii="仿宋_GB2312" w:hAnsi="黑体" w:eastAsia="仿宋_GB2312" w:cs="宋体"/>
          <w:color w:val="000000" w:themeColor="text1"/>
          <w:spacing w:val="8"/>
          <w:sz w:val="28"/>
          <w:szCs w:val="28"/>
          <w:highlight w:val="none"/>
          <w14:textFill>
            <w14:solidFill>
              <w14:schemeClr w14:val="tx1"/>
            </w14:solidFill>
          </w14:textFill>
        </w:rPr>
        <w:t>月</w:t>
      </w:r>
      <w:r>
        <w:rPr>
          <w:rFonts w:hint="eastAsia" w:ascii="仿宋_GB2312" w:hAnsi="黑体" w:eastAsia="仿宋_GB2312" w:cs="宋体"/>
          <w:color w:val="000000" w:themeColor="text1"/>
          <w:spacing w:val="8"/>
          <w:sz w:val="28"/>
          <w:szCs w:val="28"/>
          <w:highlight w:val="none"/>
          <w:lang w:val="en-US" w:eastAsia="zh-CN"/>
          <w14:textFill>
            <w14:solidFill>
              <w14:schemeClr w14:val="tx1"/>
            </w14:solidFill>
          </w14:textFill>
        </w:rPr>
        <w:t>01</w:t>
      </w:r>
      <w:r>
        <w:rPr>
          <w:rFonts w:hint="eastAsia" w:ascii="仿宋_GB2312" w:hAnsi="黑体" w:eastAsia="仿宋_GB2312" w:cs="宋体"/>
          <w:color w:val="000000" w:themeColor="text1"/>
          <w:spacing w:val="8"/>
          <w:sz w:val="28"/>
          <w:szCs w:val="28"/>
          <w:highlight w:val="none"/>
          <w14:textFill>
            <w14:solidFill>
              <w14:schemeClr w14:val="tx1"/>
            </w14:solidFill>
          </w14:textFill>
        </w:rPr>
        <w:t>日17:</w:t>
      </w:r>
      <w:r>
        <w:rPr>
          <w:rFonts w:hint="eastAsia" w:ascii="仿宋_GB2312" w:hAnsi="黑体" w:eastAsia="仿宋_GB2312" w:cs="宋体"/>
          <w:color w:val="000000" w:themeColor="text1"/>
          <w:spacing w:val="8"/>
          <w:sz w:val="28"/>
          <w:szCs w:val="28"/>
          <w:highlight w:val="none"/>
          <w:lang w:val="en-US" w:eastAsia="zh-CN"/>
          <w14:textFill>
            <w14:solidFill>
              <w14:schemeClr w14:val="tx1"/>
            </w14:solidFill>
          </w14:textFill>
        </w:rPr>
        <w:t>30</w:t>
      </w:r>
      <w:r>
        <w:rPr>
          <w:rFonts w:hint="eastAsia" w:ascii="仿宋_GB2312" w:hAnsi="黑体" w:eastAsia="仿宋_GB2312" w:cs="宋体"/>
          <w:color w:val="000000" w:themeColor="text1"/>
          <w:spacing w:val="8"/>
          <w:sz w:val="28"/>
          <w:szCs w:val="28"/>
          <w:highlight w:val="none"/>
          <w14:textFill>
            <w14:solidFill>
              <w14:schemeClr w14:val="tx1"/>
            </w14:solidFill>
          </w14:textFill>
        </w:rPr>
        <w:t>:00（</w:t>
      </w:r>
      <w:r>
        <w:rPr>
          <w:rFonts w:hint="eastAsia" w:ascii="仿宋_GB2312" w:hAnsi="黑体" w:eastAsia="仿宋_GB2312" w:cs="宋体"/>
          <w:color w:val="000000" w:themeColor="text1"/>
          <w:spacing w:val="8"/>
          <w:sz w:val="28"/>
          <w:szCs w:val="28"/>
          <w:highlight w:val="none"/>
          <w14:textFill>
            <w14:solidFill>
              <w14:schemeClr w14:val="tx1"/>
            </w14:solidFill>
          </w14:textFill>
        </w:rPr>
        <w:t>北京时间）</w:t>
      </w:r>
    </w:p>
    <w:p w14:paraId="342F5E3E">
      <w:pPr>
        <w:widowControl/>
        <w:shd w:val="clear" w:color="auto" w:fill="FFFFFF"/>
        <w:spacing w:line="360" w:lineRule="auto"/>
        <w:ind w:firstLine="539"/>
        <w:rPr>
          <w:rFonts w:ascii="仿宋_GB2312" w:hAnsi="黑体" w:eastAsia="仿宋_GB2312" w:cs="宋体"/>
          <w:color w:val="000000" w:themeColor="text1"/>
          <w:spacing w:val="8"/>
          <w:sz w:val="28"/>
          <w:szCs w:val="28"/>
          <w:highlight w:val="none"/>
          <w14:textFill>
            <w14:solidFill>
              <w14:schemeClr w14:val="tx1"/>
            </w14:solidFill>
          </w14:textFill>
        </w:rPr>
      </w:pPr>
      <w:r>
        <w:rPr>
          <w:rFonts w:hint="eastAsia" w:ascii="仿宋_GB2312" w:hAnsi="黑体" w:eastAsia="仿宋_GB2312" w:cs="宋体"/>
          <w:color w:val="000000" w:themeColor="text1"/>
          <w:spacing w:val="8"/>
          <w:sz w:val="28"/>
          <w:szCs w:val="28"/>
          <w:highlight w:val="none"/>
          <w14:textFill>
            <w14:solidFill>
              <w14:schemeClr w14:val="tx1"/>
            </w14:solidFill>
          </w14:textFill>
        </w:rPr>
        <w:t>2.地点登录“</w:t>
      </w:r>
      <w:bookmarkStart w:id="4" w:name="OLE_LINK38"/>
      <w:r>
        <w:rPr>
          <w:rFonts w:hint="eastAsia" w:ascii="仿宋_GB2312" w:hAnsi="黑体" w:eastAsia="仿宋_GB2312" w:cs="宋体"/>
          <w:color w:val="000000" w:themeColor="text1"/>
          <w:spacing w:val="8"/>
          <w:sz w:val="28"/>
          <w:szCs w:val="28"/>
          <w:highlight w:val="none"/>
          <w14:textFill>
            <w14:solidFill>
              <w14:schemeClr w14:val="tx1"/>
            </w14:solidFill>
          </w14:textFill>
        </w:rPr>
        <w:t>威海市公共资源交易网（荣成市）</w:t>
      </w:r>
      <w:bookmarkEnd w:id="4"/>
      <w:r>
        <w:rPr>
          <w:rFonts w:hint="eastAsia" w:ascii="仿宋_GB2312" w:hAnsi="黑体" w:eastAsia="仿宋_GB2312" w:cs="宋体"/>
          <w:color w:val="000000" w:themeColor="text1"/>
          <w:spacing w:val="8"/>
          <w:sz w:val="28"/>
          <w:szCs w:val="28"/>
          <w:highlight w:val="none"/>
          <w14:textFill>
            <w14:solidFill>
              <w14:schemeClr w14:val="tx1"/>
            </w14:solidFill>
          </w14:textFill>
        </w:rPr>
        <w:t>”首页右侧“</w:t>
      </w:r>
      <w:bookmarkStart w:id="5" w:name="OLE_LINK40"/>
      <w:bookmarkStart w:id="6" w:name="OLE_LINK39"/>
      <w:r>
        <w:rPr>
          <w:rFonts w:hint="eastAsia" w:ascii="仿宋_GB2312" w:hAnsi="黑体" w:eastAsia="仿宋_GB2312" w:cs="宋体"/>
          <w:color w:val="000000" w:themeColor="text1"/>
          <w:spacing w:val="8"/>
          <w:sz w:val="28"/>
          <w:szCs w:val="28"/>
          <w:highlight w:val="none"/>
          <w14:textFill>
            <w14:solidFill>
              <w14:schemeClr w14:val="tx1"/>
            </w14:solidFill>
          </w14:textFill>
        </w:rPr>
        <w:t>交易服务一网通办系统（新版一网通办系统）</w:t>
      </w:r>
      <w:bookmarkEnd w:id="5"/>
      <w:bookmarkEnd w:id="6"/>
      <w:r>
        <w:rPr>
          <w:rFonts w:hint="eastAsia" w:ascii="仿宋_GB2312" w:hAnsi="黑体" w:eastAsia="仿宋_GB2312" w:cs="宋体"/>
          <w:color w:val="000000" w:themeColor="text1"/>
          <w:spacing w:val="8"/>
          <w:sz w:val="28"/>
          <w:szCs w:val="28"/>
          <w:highlight w:val="none"/>
          <w14:textFill>
            <w14:solidFill>
              <w14:schemeClr w14:val="tx1"/>
            </w14:solidFill>
          </w14:textFill>
        </w:rPr>
        <w:t>”进行“平台切换”点击“国企采购”进入国有企业阳光采购电子化服务平台获取文件。(网址：</w:t>
      </w:r>
      <w:r>
        <w:rPr>
          <w:rFonts w:ascii="仿宋_GB2312" w:hAnsi="黑体" w:eastAsia="仿宋_GB2312" w:cs="宋体"/>
          <w:color w:val="000000" w:themeColor="text1"/>
          <w:spacing w:val="8"/>
          <w:sz w:val="28"/>
          <w:szCs w:val="28"/>
          <w:highlight w:val="none"/>
          <w14:textFill>
            <w14:solidFill>
              <w14:schemeClr w14:val="tx1"/>
            </w14:solidFill>
          </w14:textFill>
        </w:rPr>
        <w:t>http://ggzyjy.weihai.cn/rongcheng/</w:t>
      </w:r>
      <w:r>
        <w:rPr>
          <w:rFonts w:hint="eastAsia" w:ascii="仿宋_GB2312" w:hAnsi="黑体" w:eastAsia="仿宋_GB2312" w:cs="宋体"/>
          <w:color w:val="000000" w:themeColor="text1"/>
          <w:spacing w:val="8"/>
          <w:sz w:val="28"/>
          <w:szCs w:val="28"/>
          <w:highlight w:val="none"/>
          <w14:textFill>
            <w14:solidFill>
              <w14:schemeClr w14:val="tx1"/>
            </w14:solidFill>
          </w14:textFill>
        </w:rPr>
        <w:t>)逾期无法从威海市国有企业阳光采购电子化服务平台中获取文件，未在规定时间内从系统中获取招标文件的投标人将无法递交电子投标文件。交易服务一网通办系统（新版一网通办系统）技术支持电话：</w:t>
      </w:r>
      <w:r>
        <w:rPr>
          <w:rFonts w:ascii="仿宋_GB2312" w:hAnsi="黑体" w:eastAsia="仿宋_GB2312" w:cs="宋体"/>
          <w:color w:val="000000" w:themeColor="text1"/>
          <w:spacing w:val="8"/>
          <w:sz w:val="28"/>
          <w:szCs w:val="28"/>
          <w:highlight w:val="none"/>
          <w14:textFill>
            <w14:solidFill>
              <w14:schemeClr w14:val="tx1"/>
            </w14:solidFill>
          </w14:textFill>
        </w:rPr>
        <w:t>0512-58188535</w:t>
      </w:r>
      <w:r>
        <w:rPr>
          <w:rFonts w:hint="eastAsia" w:ascii="仿宋_GB2312" w:hAnsi="黑体" w:eastAsia="仿宋_GB2312" w:cs="宋体"/>
          <w:color w:val="000000" w:themeColor="text1"/>
          <w:spacing w:val="8"/>
          <w:sz w:val="28"/>
          <w:szCs w:val="28"/>
          <w:highlight w:val="none"/>
          <w14:textFill>
            <w14:solidFill>
              <w14:schemeClr w14:val="tx1"/>
            </w14:solidFill>
          </w14:textFill>
        </w:rPr>
        <w:t>（受理问题：系统登录、CA锁绑定、平台切换）， 一网通办技术支持QQ群：1143439694 ；CA锁办理咨询电话：</w:t>
      </w:r>
      <w:r>
        <w:rPr>
          <w:rFonts w:ascii="仿宋_GB2312" w:hAnsi="黑体" w:eastAsia="仿宋_GB2312" w:cs="宋体"/>
          <w:color w:val="000000" w:themeColor="text1"/>
          <w:spacing w:val="8"/>
          <w:sz w:val="28"/>
          <w:szCs w:val="28"/>
          <w:highlight w:val="none"/>
          <w14:textFill>
            <w14:solidFill>
              <w14:schemeClr w14:val="tx1"/>
            </w14:solidFill>
          </w14:textFill>
        </w:rPr>
        <w:t>0631-5307028</w:t>
      </w:r>
      <w:r>
        <w:rPr>
          <w:rFonts w:hint="eastAsia" w:ascii="仿宋_GB2312" w:hAnsi="黑体" w:eastAsia="仿宋_GB2312" w:cs="宋体"/>
          <w:color w:val="000000" w:themeColor="text1"/>
          <w:spacing w:val="8"/>
          <w:sz w:val="28"/>
          <w:szCs w:val="28"/>
          <w:highlight w:val="none"/>
          <w14:textFill>
            <w14:solidFill>
              <w14:schemeClr w14:val="tx1"/>
            </w14:solidFill>
          </w14:textFill>
        </w:rPr>
        <w:t>；国企采购技术支持电话：</w:t>
      </w:r>
      <w:r>
        <w:rPr>
          <w:rFonts w:ascii="仿宋_GB2312" w:hAnsi="黑体" w:eastAsia="仿宋_GB2312" w:cs="宋体"/>
          <w:color w:val="000000" w:themeColor="text1"/>
          <w:spacing w:val="8"/>
          <w:sz w:val="28"/>
          <w:szCs w:val="28"/>
          <w:highlight w:val="none"/>
          <w14:textFill>
            <w14:solidFill>
              <w14:schemeClr w14:val="tx1"/>
            </w14:solidFill>
          </w14:textFill>
        </w:rPr>
        <w:t>17863029936</w:t>
      </w:r>
      <w:r>
        <w:rPr>
          <w:rFonts w:hint="eastAsia" w:ascii="仿宋_GB2312" w:hAnsi="黑体" w:eastAsia="仿宋_GB2312" w:cs="宋体"/>
          <w:color w:val="000000" w:themeColor="text1"/>
          <w:spacing w:val="8"/>
          <w:sz w:val="28"/>
          <w:szCs w:val="28"/>
          <w:highlight w:val="none"/>
          <w14:textFill>
            <w14:solidFill>
              <w14:schemeClr w14:val="tx1"/>
            </w14:solidFill>
          </w14:textFill>
        </w:rPr>
        <w:t xml:space="preserve"> ，国企技术支持QQ群（供应商）：</w:t>
      </w:r>
      <w:r>
        <w:rPr>
          <w:rFonts w:ascii="仿宋_GB2312" w:hAnsi="黑体" w:eastAsia="仿宋_GB2312" w:cs="宋体"/>
          <w:color w:val="000000" w:themeColor="text1"/>
          <w:spacing w:val="8"/>
          <w:sz w:val="28"/>
          <w:szCs w:val="28"/>
          <w:highlight w:val="none"/>
          <w14:textFill>
            <w14:solidFill>
              <w14:schemeClr w14:val="tx1"/>
            </w14:solidFill>
          </w14:textFill>
        </w:rPr>
        <w:t>1046971257</w:t>
      </w:r>
    </w:p>
    <w:p w14:paraId="73C25316">
      <w:pPr>
        <w:widowControl/>
        <w:shd w:val="clear" w:color="auto" w:fill="FFFFFF"/>
        <w:spacing w:line="360" w:lineRule="auto"/>
        <w:ind w:firstLine="539"/>
        <w:rPr>
          <w:rFonts w:ascii="仿宋_GB2312" w:hAnsi="黑体" w:eastAsia="仿宋_GB2312" w:cs="宋体"/>
          <w:color w:val="000000" w:themeColor="text1"/>
          <w:spacing w:val="8"/>
          <w:sz w:val="28"/>
          <w:szCs w:val="28"/>
          <w:highlight w:val="none"/>
          <w14:textFill>
            <w14:solidFill>
              <w14:schemeClr w14:val="tx1"/>
            </w14:solidFill>
          </w14:textFill>
        </w:rPr>
      </w:pPr>
      <w:r>
        <w:rPr>
          <w:rFonts w:hint="eastAsia" w:ascii="仿宋_GB2312" w:hAnsi="黑体" w:eastAsia="仿宋_GB2312" w:cs="宋体"/>
          <w:color w:val="000000" w:themeColor="text1"/>
          <w:spacing w:val="8"/>
          <w:sz w:val="28"/>
          <w:szCs w:val="28"/>
          <w:highlight w:val="none"/>
          <w14:textFill>
            <w14:solidFill>
              <w14:schemeClr w14:val="tx1"/>
            </w14:solidFill>
          </w14:textFill>
        </w:rPr>
        <w:t>注：未注册用户请先免费注册。在“威海市国有企业阳光采购电子化服务平台”（威海市公共资源交易网（荣成市）右侧“国企采购”按钮）登录端口注册登记，并办理“安全证书（CA）”和“电子签章”进行获取文件。“安全证书（CA）”和“电子签章”办理请按照“威海市公共资源交易网（荣成市）”右侧“CA办理”中“CA证书办理介绍”进行办理。</w:t>
      </w:r>
    </w:p>
    <w:p w14:paraId="513541E0">
      <w:pPr>
        <w:spacing w:line="360" w:lineRule="auto"/>
        <w:ind w:firstLine="560" w:firstLineChars="20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四、提交投标文件截止时间、开标时间和地点</w:t>
      </w:r>
    </w:p>
    <w:p w14:paraId="0BD6D98E">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1.提交投标文件时间：</w:t>
      </w:r>
      <w:r>
        <w:rPr>
          <w:rFonts w:hint="eastAsia" w:ascii="仿宋_GB2312" w:hAnsi="仿宋" w:eastAsia="仿宋_GB2312" w:cs="宋体"/>
          <w:color w:val="000000" w:themeColor="text1"/>
          <w:spacing w:val="8"/>
          <w:sz w:val="28"/>
          <w:szCs w:val="28"/>
          <w:highlight w:val="none"/>
          <w14:textFill>
            <w14:solidFill>
              <w14:schemeClr w14:val="tx1"/>
            </w14:solidFill>
          </w14:textFill>
        </w:rPr>
        <w:t>2026</w:t>
      </w:r>
      <w:bookmarkStart w:id="20" w:name="_GoBack"/>
      <w:bookmarkEnd w:id="20"/>
      <w:r>
        <w:rPr>
          <w:rFonts w:hint="eastAsia" w:ascii="仿宋_GB2312" w:hAnsi="仿宋" w:eastAsia="仿宋_GB2312" w:cs="宋体"/>
          <w:color w:val="000000" w:themeColor="text1"/>
          <w:spacing w:val="8"/>
          <w:sz w:val="28"/>
          <w:szCs w:val="28"/>
          <w:highlight w:val="none"/>
          <w14:textFill>
            <w14:solidFill>
              <w14:schemeClr w14:val="tx1"/>
            </w14:solidFill>
          </w14:textFill>
        </w:rPr>
        <w:t>年</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06</w:t>
      </w:r>
      <w:r>
        <w:rPr>
          <w:rFonts w:hint="eastAsia" w:ascii="仿宋_GB2312" w:hAnsi="仿宋" w:eastAsia="仿宋_GB2312" w:cs="宋体"/>
          <w:color w:val="000000" w:themeColor="text1"/>
          <w:spacing w:val="8"/>
          <w:sz w:val="28"/>
          <w:szCs w:val="28"/>
          <w:highlight w:val="none"/>
          <w14:textFill>
            <w14:solidFill>
              <w14:schemeClr w14:val="tx1"/>
            </w14:solidFill>
          </w14:textFill>
        </w:rPr>
        <w:t>月</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26</w:t>
      </w:r>
      <w:r>
        <w:rPr>
          <w:rFonts w:hint="eastAsia" w:ascii="仿宋_GB2312" w:hAnsi="仿宋" w:eastAsia="仿宋_GB2312" w:cs="宋体"/>
          <w:color w:val="000000" w:themeColor="text1"/>
          <w:spacing w:val="8"/>
          <w:sz w:val="28"/>
          <w:szCs w:val="28"/>
          <w:highlight w:val="none"/>
          <w14:textFill>
            <w14:solidFill>
              <w14:schemeClr w14:val="tx1"/>
            </w14:solidFill>
          </w14:textFill>
        </w:rPr>
        <w:t>日</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18</w:t>
      </w:r>
      <w:r>
        <w:rPr>
          <w:rFonts w:hint="eastAsia" w:ascii="仿宋_GB2312" w:hAnsi="仿宋" w:eastAsia="仿宋_GB2312" w:cs="宋体"/>
          <w:color w:val="000000" w:themeColor="text1"/>
          <w:spacing w:val="8"/>
          <w:sz w:val="28"/>
          <w:szCs w:val="28"/>
          <w:highlight w:val="none"/>
          <w14:textFill>
            <w14:solidFill>
              <w14:schemeClr w14:val="tx1"/>
            </w14:solidFill>
          </w14:textFill>
        </w:rPr>
        <w:t>:30至2026年</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07</w:t>
      </w:r>
      <w:r>
        <w:rPr>
          <w:rFonts w:hint="eastAsia" w:ascii="仿宋_GB2312" w:hAnsi="仿宋" w:eastAsia="仿宋_GB2312" w:cs="宋体"/>
          <w:color w:val="000000" w:themeColor="text1"/>
          <w:spacing w:val="8"/>
          <w:sz w:val="28"/>
          <w:szCs w:val="28"/>
          <w:highlight w:val="none"/>
          <w14:textFill>
            <w14:solidFill>
              <w14:schemeClr w14:val="tx1"/>
            </w14:solidFill>
          </w14:textFill>
        </w:rPr>
        <w:t>月</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10</w:t>
      </w:r>
      <w:r>
        <w:rPr>
          <w:rFonts w:hint="eastAsia" w:ascii="仿宋_GB2312" w:hAnsi="仿宋" w:eastAsia="仿宋_GB2312" w:cs="宋体"/>
          <w:color w:val="000000" w:themeColor="text1"/>
          <w:spacing w:val="8"/>
          <w:sz w:val="28"/>
          <w:szCs w:val="28"/>
          <w:highlight w:val="none"/>
          <w14:textFill>
            <w14:solidFill>
              <w14:schemeClr w14:val="tx1"/>
            </w14:solidFill>
          </w14:textFill>
        </w:rPr>
        <w:t>日 09:00</w:t>
      </w:r>
    </w:p>
    <w:p w14:paraId="69801925">
      <w:pPr>
        <w:widowControl/>
        <w:adjustRightInd w:val="0"/>
        <w:spacing w:line="360" w:lineRule="auto"/>
        <w:ind w:firstLine="592" w:firstLineChars="200"/>
        <w:jc w:val="left"/>
        <w:rPr>
          <w:rFonts w:ascii="仿宋_GB2312" w:hAnsi="仿宋" w:eastAsia="仿宋_GB2312" w:cs="宋体"/>
          <w:color w:val="000000" w:themeColor="text1"/>
          <w:spacing w:val="8"/>
          <w:kern w:val="0"/>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2.地点：</w:t>
      </w: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登录“威海市公共资源交易网（荣成市）”首页右侧“交易服务一网通办系统（新版一网通办系统）”进行“平台切换”点击“国企采购”进入国企阳光采购平台进行提交。</w:t>
      </w:r>
    </w:p>
    <w:p w14:paraId="6052DC50">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3.开标时间：2026年</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07</w:t>
      </w:r>
      <w:r>
        <w:rPr>
          <w:rFonts w:hint="eastAsia" w:ascii="仿宋_GB2312" w:hAnsi="仿宋" w:eastAsia="仿宋_GB2312" w:cs="宋体"/>
          <w:color w:val="000000" w:themeColor="text1"/>
          <w:spacing w:val="8"/>
          <w:sz w:val="28"/>
          <w:szCs w:val="28"/>
          <w:highlight w:val="none"/>
          <w14:textFill>
            <w14:solidFill>
              <w14:schemeClr w14:val="tx1"/>
            </w14:solidFill>
          </w14:textFill>
        </w:rPr>
        <w:t>月</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10</w:t>
      </w:r>
      <w:r>
        <w:rPr>
          <w:rFonts w:hint="eastAsia" w:ascii="仿宋_GB2312" w:hAnsi="仿宋" w:eastAsia="仿宋_GB2312" w:cs="宋体"/>
          <w:color w:val="000000" w:themeColor="text1"/>
          <w:spacing w:val="8"/>
          <w:sz w:val="28"/>
          <w:szCs w:val="28"/>
          <w:highlight w:val="none"/>
          <w14:textFill>
            <w14:solidFill>
              <w14:schemeClr w14:val="tx1"/>
            </w14:solidFill>
          </w14:textFill>
        </w:rPr>
        <w:t>日 09:00（北京时间）</w:t>
      </w:r>
    </w:p>
    <w:p w14:paraId="60B8E4A0">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4.开标地点：威海市公共资源交易中心荣成分中心（荣成市河阳东路81号荣成市经济开发区热电厂东200米路南）三楼第</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四</w:t>
      </w:r>
      <w:r>
        <w:rPr>
          <w:rFonts w:hint="eastAsia" w:ascii="仿宋_GB2312" w:hAnsi="仿宋" w:eastAsia="仿宋_GB2312" w:cs="宋体"/>
          <w:color w:val="000000" w:themeColor="text1"/>
          <w:spacing w:val="8"/>
          <w:sz w:val="28"/>
          <w:szCs w:val="28"/>
          <w:highlight w:val="none"/>
          <w14:textFill>
            <w14:solidFill>
              <w14:schemeClr w14:val="tx1"/>
            </w14:solidFill>
          </w14:textFill>
        </w:rPr>
        <w:t>开标室</w:t>
      </w:r>
      <w:r>
        <w:rPr>
          <w:rFonts w:hint="eastAsia" w:ascii="仿宋_GB2312" w:hAnsi="仿宋" w:eastAsia="仿宋_GB2312" w:cs="宋体"/>
          <w:color w:val="000000" w:themeColor="text1"/>
          <w:spacing w:val="8"/>
          <w:sz w:val="28"/>
          <w:szCs w:val="28"/>
          <w:highlight w:val="none"/>
          <w14:textFill>
            <w14:solidFill>
              <w14:schemeClr w14:val="tx1"/>
            </w14:solidFill>
          </w14:textFill>
        </w:rPr>
        <w:t>。</w:t>
      </w:r>
    </w:p>
    <w:p w14:paraId="0B519E26">
      <w:pPr>
        <w:spacing w:line="360" w:lineRule="auto"/>
        <w:ind w:firstLine="560" w:firstLineChars="20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五、开启</w:t>
      </w:r>
    </w:p>
    <w:p w14:paraId="7C9A3091">
      <w:pPr>
        <w:pStyle w:val="13"/>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时间：2026年</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07</w:t>
      </w:r>
      <w:r>
        <w:rPr>
          <w:rFonts w:hint="eastAsia" w:ascii="仿宋_GB2312" w:hAnsi="仿宋" w:eastAsia="仿宋_GB2312" w:cs="宋体"/>
          <w:color w:val="000000" w:themeColor="text1"/>
          <w:spacing w:val="8"/>
          <w:sz w:val="28"/>
          <w:szCs w:val="28"/>
          <w:highlight w:val="none"/>
          <w14:textFill>
            <w14:solidFill>
              <w14:schemeClr w14:val="tx1"/>
            </w14:solidFill>
          </w14:textFill>
        </w:rPr>
        <w:t>月</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10</w:t>
      </w:r>
      <w:r>
        <w:rPr>
          <w:rFonts w:hint="eastAsia" w:ascii="仿宋_GB2312" w:hAnsi="仿宋" w:eastAsia="仿宋_GB2312" w:cs="宋体"/>
          <w:color w:val="000000" w:themeColor="text1"/>
          <w:spacing w:val="8"/>
          <w:sz w:val="28"/>
          <w:szCs w:val="28"/>
          <w:highlight w:val="none"/>
          <w14:textFill>
            <w14:solidFill>
              <w14:schemeClr w14:val="tx1"/>
            </w14:solidFill>
          </w14:textFill>
        </w:rPr>
        <w:t>日 09:00（北京时间）</w:t>
      </w:r>
    </w:p>
    <w:p w14:paraId="02C44461">
      <w:pPr>
        <w:pStyle w:val="13"/>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地点：威海市公共资源交易中心荣成分中心（荣成市河阳东路81号荣成市经济开发区热电厂东200米路南）三楼第</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四</w:t>
      </w:r>
      <w:r>
        <w:rPr>
          <w:rFonts w:hint="eastAsia" w:ascii="仿宋_GB2312" w:hAnsi="仿宋" w:eastAsia="仿宋_GB2312" w:cs="宋体"/>
          <w:color w:val="000000" w:themeColor="text1"/>
          <w:spacing w:val="8"/>
          <w:sz w:val="28"/>
          <w:szCs w:val="28"/>
          <w:highlight w:val="none"/>
          <w14:textFill>
            <w14:solidFill>
              <w14:schemeClr w14:val="tx1"/>
            </w14:solidFill>
          </w14:textFill>
        </w:rPr>
        <w:t>开标室。</w:t>
      </w:r>
    </w:p>
    <w:p w14:paraId="55CFAAD1">
      <w:pPr>
        <w:spacing w:line="360" w:lineRule="auto"/>
        <w:ind w:firstLine="560"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六、其他补充事宜</w:t>
      </w:r>
    </w:p>
    <w:p w14:paraId="3BD3BAFE">
      <w:pPr>
        <w:widowControl/>
        <w:shd w:val="clear" w:color="auto" w:fill="FFFFFF"/>
        <w:spacing w:line="360" w:lineRule="auto"/>
        <w:ind w:firstLine="556"/>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本项目实行全流程电子化，实行远程解密，投标人无需到现场，并保持通讯畅通，提前在个人电脑上进行测试确保音频、视频功能可正常使用。因通讯不畅造成的一切后果由供应商自行承担。</w:t>
      </w:r>
    </w:p>
    <w:p w14:paraId="3A1D4AA7">
      <w:pPr>
        <w:spacing w:line="360" w:lineRule="auto"/>
        <w:ind w:firstLine="560" w:firstLineChars="20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七、对本次招标提出询问，请按以下方式联系。</w:t>
      </w:r>
    </w:p>
    <w:p w14:paraId="63B3A272">
      <w:pPr>
        <w:widowControl/>
        <w:shd w:val="clear" w:color="auto" w:fill="FFFFFF"/>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1.采购人信息</w:t>
      </w:r>
    </w:p>
    <w:p w14:paraId="7329EEA9">
      <w:pPr>
        <w:widowControl/>
        <w:shd w:val="clear" w:color="auto" w:fill="FFFFFF"/>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名  称：</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荣成市土地发展集团有限公司</w:t>
      </w:r>
    </w:p>
    <w:p w14:paraId="6E3C9550">
      <w:pPr>
        <w:widowControl/>
        <w:shd w:val="clear" w:color="auto" w:fill="FFFFFF"/>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  址：荣成市成山大道中段190号</w:t>
      </w:r>
    </w:p>
    <w:p w14:paraId="33228312">
      <w:pPr>
        <w:widowControl/>
        <w:shd w:val="clear" w:color="auto" w:fill="FFFFFF"/>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联系方式：</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0631-7561710</w:t>
      </w:r>
    </w:p>
    <w:p w14:paraId="62496374">
      <w:pPr>
        <w:widowControl/>
        <w:shd w:val="clear" w:color="auto" w:fill="FFFFFF"/>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2.采购代理机构信息</w:t>
      </w:r>
    </w:p>
    <w:p w14:paraId="2B5F4864">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名  称：山东志诚工程咨询管理有限公司</w:t>
      </w:r>
    </w:p>
    <w:p w14:paraId="5A438287">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  址：荣成市观海中路16号</w:t>
      </w:r>
    </w:p>
    <w:p w14:paraId="7E341A53">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联系方式：</w:t>
      </w:r>
      <w:r>
        <w:rPr>
          <w:rFonts w:ascii="仿宋_GB2312" w:hAnsi="仿宋" w:eastAsia="仿宋_GB2312" w:cs="宋体"/>
          <w:color w:val="000000" w:themeColor="text1"/>
          <w:spacing w:val="8"/>
          <w:sz w:val="28"/>
          <w:szCs w:val="28"/>
          <w:highlight w:val="none"/>
          <w14:textFill>
            <w14:solidFill>
              <w14:schemeClr w14:val="tx1"/>
            </w14:solidFill>
          </w14:textFill>
        </w:rPr>
        <w:t>0631-756</w:t>
      </w:r>
      <w:r>
        <w:rPr>
          <w:rFonts w:hint="eastAsia" w:ascii="仿宋_GB2312" w:hAnsi="仿宋" w:eastAsia="仿宋_GB2312" w:cs="宋体"/>
          <w:color w:val="000000" w:themeColor="text1"/>
          <w:spacing w:val="8"/>
          <w:sz w:val="28"/>
          <w:szCs w:val="28"/>
          <w:highlight w:val="none"/>
          <w14:textFill>
            <w14:solidFill>
              <w14:schemeClr w14:val="tx1"/>
            </w14:solidFill>
          </w14:textFill>
        </w:rPr>
        <w:t>7778</w:t>
      </w:r>
    </w:p>
    <w:p w14:paraId="320203A0">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3.项目联系方式</w:t>
      </w:r>
    </w:p>
    <w:p w14:paraId="463F910B">
      <w:pPr>
        <w:widowControl/>
        <w:shd w:val="clear" w:color="auto" w:fill="FFFFFF"/>
        <w:spacing w:line="360" w:lineRule="auto"/>
        <w:ind w:firstLine="592" w:firstLineChars="20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项目联系人：夏菁</w:t>
      </w:r>
    </w:p>
    <w:p w14:paraId="043D829D">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电  话：</w:t>
      </w:r>
      <w:r>
        <w:rPr>
          <w:rFonts w:ascii="仿宋_GB2312" w:hAnsi="仿宋" w:eastAsia="仿宋_GB2312" w:cs="宋体"/>
          <w:color w:val="000000" w:themeColor="text1"/>
          <w:spacing w:val="8"/>
          <w:sz w:val="28"/>
          <w:szCs w:val="28"/>
          <w:highlight w:val="none"/>
          <w14:textFill>
            <w14:solidFill>
              <w14:schemeClr w14:val="tx1"/>
            </w14:solidFill>
          </w14:textFill>
        </w:rPr>
        <w:t>0631-756</w:t>
      </w:r>
      <w:r>
        <w:rPr>
          <w:rFonts w:hint="eastAsia" w:ascii="仿宋_GB2312" w:hAnsi="仿宋" w:eastAsia="仿宋_GB2312" w:cs="宋体"/>
          <w:color w:val="000000" w:themeColor="text1"/>
          <w:spacing w:val="8"/>
          <w:sz w:val="28"/>
          <w:szCs w:val="28"/>
          <w:highlight w:val="none"/>
          <w14:textFill>
            <w14:solidFill>
              <w14:schemeClr w14:val="tx1"/>
            </w14:solidFill>
          </w14:textFill>
        </w:rPr>
        <w:t>7778</w:t>
      </w:r>
    </w:p>
    <w:p w14:paraId="5260B307">
      <w:pPr>
        <w:pStyle w:val="13"/>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八、发布公告的媒介</w:t>
      </w:r>
    </w:p>
    <w:p w14:paraId="478889A9">
      <w:pPr>
        <w:pStyle w:val="13"/>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本次公告在中国招标投标公共服务平台（www.cebpubservice.com）、威海市公共资源交易网（http://ggzyjy.weihai.cn/）威海市公共资源交易网（荣成市）（http://ggzyjy.weihai.cn/rongcheng/）同时发布，其它媒介转发无效。</w:t>
      </w:r>
    </w:p>
    <w:p w14:paraId="49ACEE66">
      <w:pPr>
        <w:spacing w:line="360" w:lineRule="auto"/>
        <w:jc w:val="righ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s="宋体"/>
          <w:color w:val="000000" w:themeColor="text1"/>
          <w:sz w:val="28"/>
          <w:szCs w:val="28"/>
          <w:highlight w:val="none"/>
          <w14:textFill>
            <w14:solidFill>
              <w14:schemeClr w14:val="tx1"/>
            </w14:solidFill>
          </w14:textFill>
        </w:rPr>
        <w:t>发布人：山东志诚工程咨询管理有限公司</w:t>
      </w:r>
    </w:p>
    <w:p w14:paraId="2774AC58">
      <w:pPr>
        <w:widowControl/>
        <w:adjustRightInd w:val="0"/>
        <w:spacing w:line="360" w:lineRule="auto"/>
        <w:ind w:left="-240"/>
        <w:jc w:val="right"/>
        <w:rPr>
          <w:rFonts w:ascii="宋体" w:hAnsi="宋体" w:cs="宋体"/>
          <w:color w:val="000000" w:themeColor="text1"/>
          <w:sz w:val="28"/>
          <w:highlight w:val="none"/>
          <w14:textFill>
            <w14:solidFill>
              <w14:schemeClr w14:val="tx1"/>
            </w14:solidFill>
          </w14:textFill>
        </w:rPr>
      </w:pPr>
      <w:r>
        <w:rPr>
          <w:rFonts w:hint="eastAsia" w:ascii="仿宋_GB2312" w:hAnsi="宋体" w:eastAsia="仿宋_GB2312" w:cs="宋体"/>
          <w:color w:val="000000" w:themeColor="text1"/>
          <w:sz w:val="28"/>
          <w:szCs w:val="28"/>
          <w:highlight w:val="none"/>
          <w14:textFill>
            <w14:solidFill>
              <w14:schemeClr w14:val="tx1"/>
            </w14:solidFill>
          </w14:textFill>
        </w:rPr>
        <w:t>发布时间：</w:t>
      </w:r>
      <w:r>
        <w:rPr>
          <w:rFonts w:ascii="仿宋_GB2312" w:hAnsi="宋体" w:eastAsia="仿宋_GB2312" w:cs="宋体"/>
          <w:color w:val="000000" w:themeColor="text1"/>
          <w:sz w:val="28"/>
          <w:szCs w:val="28"/>
          <w:highlight w:val="none"/>
          <w14:textFill>
            <w14:solidFill>
              <w14:schemeClr w14:val="tx1"/>
            </w14:solidFill>
          </w14:textFill>
        </w:rPr>
        <w:t>202</w:t>
      </w:r>
      <w:r>
        <w:rPr>
          <w:rFonts w:hint="eastAsia" w:ascii="仿宋_GB2312" w:hAnsi="宋体" w:eastAsia="仿宋_GB2312" w:cs="宋体"/>
          <w:color w:val="000000" w:themeColor="text1"/>
          <w:sz w:val="28"/>
          <w:szCs w:val="28"/>
          <w:highlight w:val="none"/>
          <w14:textFill>
            <w14:solidFill>
              <w14:schemeClr w14:val="tx1"/>
            </w14:solidFill>
          </w14:textFill>
        </w:rPr>
        <w:t>6</w:t>
      </w:r>
      <w:r>
        <w:rPr>
          <w:rFonts w:ascii="仿宋_GB2312" w:hAnsi="宋体" w:eastAsia="仿宋_GB2312" w:cs="宋体"/>
          <w:color w:val="000000" w:themeColor="text1"/>
          <w:sz w:val="28"/>
          <w:szCs w:val="28"/>
          <w:highlight w:val="none"/>
          <w14:textFill>
            <w14:solidFill>
              <w14:schemeClr w14:val="tx1"/>
            </w14:solidFill>
          </w14:textFill>
        </w:rPr>
        <w:t>年</w:t>
      </w:r>
      <w:r>
        <w:rPr>
          <w:rFonts w:hint="eastAsia" w:ascii="仿宋_GB2312" w:hAnsi="宋体" w:eastAsia="仿宋_GB2312" w:cs="宋体"/>
          <w:color w:val="000000" w:themeColor="text1"/>
          <w:sz w:val="28"/>
          <w:szCs w:val="28"/>
          <w:highlight w:val="none"/>
          <w:lang w:val="en-US" w:eastAsia="zh-CN"/>
          <w14:textFill>
            <w14:solidFill>
              <w14:schemeClr w14:val="tx1"/>
            </w14:solidFill>
          </w14:textFill>
        </w:rPr>
        <w:t>06</w:t>
      </w:r>
      <w:r>
        <w:rPr>
          <w:rFonts w:hint="eastAsia" w:ascii="仿宋_GB2312" w:hAnsi="宋体" w:eastAsia="仿宋_GB2312" w:cs="宋体"/>
          <w:color w:val="000000" w:themeColor="text1"/>
          <w:sz w:val="28"/>
          <w:szCs w:val="28"/>
          <w:highlight w:val="none"/>
          <w14:textFill>
            <w14:solidFill>
              <w14:schemeClr w14:val="tx1"/>
            </w14:solidFill>
          </w14:textFill>
        </w:rPr>
        <w:t>月</w:t>
      </w:r>
      <w:r>
        <w:rPr>
          <w:rFonts w:hint="eastAsia" w:ascii="仿宋_GB2312" w:hAnsi="宋体" w:eastAsia="仿宋_GB2312" w:cs="宋体"/>
          <w:color w:val="000000" w:themeColor="text1"/>
          <w:sz w:val="28"/>
          <w:szCs w:val="28"/>
          <w:highlight w:val="none"/>
          <w:lang w:val="en-US" w:eastAsia="zh-CN"/>
          <w14:textFill>
            <w14:solidFill>
              <w14:schemeClr w14:val="tx1"/>
            </w14:solidFill>
          </w14:textFill>
        </w:rPr>
        <w:t>26</w:t>
      </w:r>
      <w:r>
        <w:rPr>
          <w:rFonts w:hint="eastAsia" w:ascii="仿宋_GB2312" w:hAnsi="宋体" w:eastAsia="仿宋_GB2312" w:cs="宋体"/>
          <w:color w:val="000000" w:themeColor="text1"/>
          <w:sz w:val="28"/>
          <w:szCs w:val="28"/>
          <w:highlight w:val="none"/>
          <w14:textFill>
            <w14:solidFill>
              <w14:schemeClr w14:val="tx1"/>
            </w14:solidFill>
          </w14:textFill>
        </w:rPr>
        <w:t>日</w:t>
      </w:r>
    </w:p>
    <w:p w14:paraId="7B307F17">
      <w:pPr>
        <w:rPr>
          <w:color w:val="000000" w:themeColor="text1"/>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p>
    <w:p w14:paraId="69A3DEA8">
      <w:pPr>
        <w:pStyle w:val="42"/>
        <w:spacing w:before="0" w:after="0" w:line="360" w:lineRule="auto"/>
        <w:ind w:firstLine="646" w:firstLineChars="201"/>
        <w:rPr>
          <w:rFonts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第二章投标须知</w:t>
      </w:r>
    </w:p>
    <w:p w14:paraId="32ECF1DC">
      <w:pPr>
        <w:pStyle w:val="42"/>
        <w:spacing w:before="0" w:after="0" w:line="360" w:lineRule="auto"/>
        <w:ind w:firstLine="646" w:firstLineChars="201"/>
        <w:rPr>
          <w:rFonts w:ascii="黑体" w:hAnsi="黑体" w:eastAsia="黑体"/>
          <w:color w:val="000000" w:themeColor="text1"/>
          <w:highlight w:val="none"/>
          <w14:textFill>
            <w14:solidFill>
              <w14:schemeClr w14:val="tx1"/>
            </w14:solidFill>
          </w14:textFill>
        </w:rPr>
      </w:pPr>
      <w:r>
        <w:rPr>
          <w:rFonts w:hint="eastAsia" w:ascii="黑体" w:hAnsi="黑体" w:eastAsia="黑体"/>
          <w:color w:val="000000" w:themeColor="text1"/>
          <w:highlight w:val="none"/>
          <w14:textFill>
            <w14:solidFill>
              <w14:schemeClr w14:val="tx1"/>
            </w14:solidFill>
          </w14:textFill>
        </w:rPr>
        <w:t>投标须知前附表</w:t>
      </w:r>
    </w:p>
    <w:p w14:paraId="0C195A68">
      <w:pPr>
        <w:ind w:firstLine="643" w:firstLineChars="201"/>
        <w:jc w:val="center"/>
        <w:rPr>
          <w:rFonts w:ascii="宋体" w:hAnsi="宋体"/>
          <w:color w:val="000000" w:themeColor="text1"/>
          <w:sz w:val="32"/>
          <w:szCs w:val="32"/>
          <w:highlight w:val="none"/>
          <w14:textFill>
            <w14:solidFill>
              <w14:schemeClr w14:val="tx1"/>
            </w14:solidFill>
          </w14:textFill>
        </w:rPr>
      </w:pPr>
    </w:p>
    <w:tbl>
      <w:tblPr>
        <w:tblStyle w:val="47"/>
        <w:tblW w:w="9688"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908"/>
        <w:gridCol w:w="2155"/>
        <w:gridCol w:w="6625"/>
      </w:tblGrid>
      <w:tr w14:paraId="43C283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4F158075">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序号</w:t>
            </w:r>
          </w:p>
        </w:tc>
        <w:tc>
          <w:tcPr>
            <w:tcW w:w="2155" w:type="dxa"/>
            <w:tcBorders>
              <w:top w:val="single" w:color="auto" w:sz="4" w:space="0"/>
              <w:left w:val="single" w:color="auto" w:sz="4" w:space="0"/>
              <w:bottom w:val="single" w:color="auto" w:sz="4" w:space="0"/>
              <w:right w:val="single" w:color="auto" w:sz="4" w:space="0"/>
            </w:tcBorders>
            <w:vAlign w:val="center"/>
          </w:tcPr>
          <w:p w14:paraId="0CD93B85">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项    目</w:t>
            </w:r>
          </w:p>
        </w:tc>
        <w:tc>
          <w:tcPr>
            <w:tcW w:w="6625" w:type="dxa"/>
            <w:tcBorders>
              <w:top w:val="single" w:color="auto" w:sz="4" w:space="0"/>
              <w:left w:val="single" w:color="auto" w:sz="4" w:space="0"/>
              <w:bottom w:val="single" w:color="auto" w:sz="4" w:space="0"/>
            </w:tcBorders>
            <w:vAlign w:val="center"/>
          </w:tcPr>
          <w:p w14:paraId="496FD7E9">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内           容</w:t>
            </w:r>
          </w:p>
        </w:tc>
      </w:tr>
      <w:tr w14:paraId="35DC3D5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35EECE34">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p>
        </w:tc>
        <w:tc>
          <w:tcPr>
            <w:tcW w:w="2155" w:type="dxa"/>
            <w:tcBorders>
              <w:top w:val="single" w:color="auto" w:sz="4" w:space="0"/>
              <w:left w:val="single" w:color="auto" w:sz="4" w:space="0"/>
              <w:bottom w:val="single" w:color="auto" w:sz="4" w:space="0"/>
              <w:right w:val="single" w:color="auto" w:sz="4" w:space="0"/>
            </w:tcBorders>
            <w:vAlign w:val="center"/>
          </w:tcPr>
          <w:p w14:paraId="2D023B98">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项目名称</w:t>
            </w:r>
          </w:p>
        </w:tc>
        <w:tc>
          <w:tcPr>
            <w:tcW w:w="6625" w:type="dxa"/>
            <w:tcBorders>
              <w:top w:val="single" w:color="auto" w:sz="4" w:space="0"/>
              <w:left w:val="single" w:color="auto" w:sz="4" w:space="0"/>
              <w:bottom w:val="single" w:color="auto" w:sz="4" w:space="0"/>
            </w:tcBorders>
            <w:vAlign w:val="center"/>
          </w:tcPr>
          <w:p w14:paraId="051EF6F5">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荣成市城市数智化转型与数字生态建设</w:t>
            </w:r>
          </w:p>
        </w:tc>
      </w:tr>
      <w:tr w14:paraId="101517E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0B04F002">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p>
        </w:tc>
        <w:tc>
          <w:tcPr>
            <w:tcW w:w="2155" w:type="dxa"/>
            <w:tcBorders>
              <w:top w:val="single" w:color="auto" w:sz="4" w:space="0"/>
              <w:left w:val="single" w:color="auto" w:sz="4" w:space="0"/>
              <w:bottom w:val="single" w:color="auto" w:sz="4" w:space="0"/>
              <w:right w:val="single" w:color="auto" w:sz="4" w:space="0"/>
            </w:tcBorders>
            <w:vAlign w:val="center"/>
          </w:tcPr>
          <w:p w14:paraId="7A2FE174">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项目编号</w:t>
            </w:r>
          </w:p>
        </w:tc>
        <w:tc>
          <w:tcPr>
            <w:tcW w:w="6625" w:type="dxa"/>
            <w:tcBorders>
              <w:top w:val="single" w:color="auto" w:sz="4" w:space="0"/>
              <w:left w:val="single" w:color="auto" w:sz="4" w:space="0"/>
              <w:bottom w:val="single" w:color="auto" w:sz="4" w:space="0"/>
            </w:tcBorders>
            <w:vAlign w:val="center"/>
          </w:tcPr>
          <w:p w14:paraId="1708E81A">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RCTDFZ2026-006</w:t>
            </w:r>
          </w:p>
        </w:tc>
      </w:tr>
      <w:tr w14:paraId="6EEC7C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C518F5F">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3</w:t>
            </w:r>
          </w:p>
        </w:tc>
        <w:tc>
          <w:tcPr>
            <w:tcW w:w="2155" w:type="dxa"/>
            <w:tcBorders>
              <w:top w:val="single" w:color="auto" w:sz="4" w:space="0"/>
              <w:left w:val="single" w:color="auto" w:sz="4" w:space="0"/>
              <w:bottom w:val="single" w:color="auto" w:sz="4" w:space="0"/>
              <w:right w:val="single" w:color="auto" w:sz="4" w:space="0"/>
            </w:tcBorders>
            <w:vAlign w:val="center"/>
          </w:tcPr>
          <w:p w14:paraId="302A4840">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采购人</w:t>
            </w:r>
          </w:p>
        </w:tc>
        <w:tc>
          <w:tcPr>
            <w:tcW w:w="6625" w:type="dxa"/>
            <w:tcBorders>
              <w:top w:val="single" w:color="auto" w:sz="4" w:space="0"/>
              <w:left w:val="single" w:color="auto" w:sz="4" w:space="0"/>
              <w:bottom w:val="single" w:color="auto" w:sz="4" w:space="0"/>
            </w:tcBorders>
            <w:vAlign w:val="center"/>
          </w:tcPr>
          <w:p w14:paraId="09230E6D">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单位名称：</w:t>
            </w:r>
            <w:bookmarkStart w:id="7" w:name="OLE_LINK42"/>
            <w:bookmarkStart w:id="8" w:name="OLE_LINK41"/>
            <w:r>
              <w:rPr>
                <w:rFonts w:hint="eastAsia" w:ascii="仿宋_GB2312" w:hAnsi="宋体" w:eastAsia="仿宋_GB2312"/>
                <w:color w:val="000000" w:themeColor="text1"/>
                <w:sz w:val="28"/>
                <w:szCs w:val="28"/>
                <w:highlight w:val="none"/>
                <w:lang w:eastAsia="zh-CN"/>
                <w14:textFill>
                  <w14:solidFill>
                    <w14:schemeClr w14:val="tx1"/>
                  </w14:solidFill>
                </w14:textFill>
              </w:rPr>
              <w:t>荣成市土地发展集团有限公司</w:t>
            </w:r>
          </w:p>
          <w:bookmarkEnd w:id="7"/>
          <w:bookmarkEnd w:id="8"/>
          <w:p w14:paraId="213136F8">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地    址：荣成市成山大道中段190号</w:t>
            </w:r>
          </w:p>
          <w:p w14:paraId="3760A254">
            <w:pPr>
              <w:spacing w:line="560" w:lineRule="exact"/>
              <w:rPr>
                <w:rFonts w:hint="eastAsia" w:ascii="仿宋_GB2312" w:hAnsi="宋体" w:eastAsia="仿宋_GB2312"/>
                <w:color w:val="000000" w:themeColor="text1"/>
                <w:sz w:val="28"/>
                <w:szCs w:val="28"/>
                <w:highlight w:val="none"/>
                <w:lang w:val="en-US"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 系 人：</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彭科长</w:t>
            </w:r>
          </w:p>
          <w:p w14:paraId="27E59A8B">
            <w:pPr>
              <w:spacing w:line="560" w:lineRule="exact"/>
              <w:rPr>
                <w:rFonts w:hint="default" w:ascii="仿宋_GB2312" w:hAnsi="宋体" w:eastAsia="仿宋_GB2312"/>
                <w:color w:val="000000" w:themeColor="text1"/>
                <w:sz w:val="28"/>
                <w:szCs w:val="28"/>
                <w:highlight w:val="none"/>
                <w:lang w:val="en-US"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联系电话：</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0631-7561710</w:t>
            </w:r>
          </w:p>
        </w:tc>
      </w:tr>
      <w:tr w14:paraId="20182B0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710E3DDC">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4</w:t>
            </w:r>
          </w:p>
        </w:tc>
        <w:tc>
          <w:tcPr>
            <w:tcW w:w="2155" w:type="dxa"/>
            <w:tcBorders>
              <w:top w:val="single" w:color="auto" w:sz="4" w:space="0"/>
              <w:left w:val="single" w:color="auto" w:sz="4" w:space="0"/>
              <w:bottom w:val="single" w:color="auto" w:sz="4" w:space="0"/>
              <w:right w:val="single" w:color="auto" w:sz="4" w:space="0"/>
            </w:tcBorders>
            <w:vAlign w:val="center"/>
          </w:tcPr>
          <w:p w14:paraId="29CF3970">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采购代理机构</w:t>
            </w:r>
          </w:p>
        </w:tc>
        <w:tc>
          <w:tcPr>
            <w:tcW w:w="6625" w:type="dxa"/>
            <w:tcBorders>
              <w:top w:val="single" w:color="auto" w:sz="4" w:space="0"/>
              <w:left w:val="single" w:color="auto" w:sz="4" w:space="0"/>
              <w:bottom w:val="single" w:color="auto" w:sz="4" w:space="0"/>
            </w:tcBorders>
            <w:vAlign w:val="center"/>
          </w:tcPr>
          <w:p w14:paraId="531B19FD">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机构名称：山东志诚工程咨询管理有限公司</w:t>
            </w:r>
          </w:p>
          <w:p w14:paraId="02A31D49">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单位地址：荣成市观海中路16号</w:t>
            </w:r>
          </w:p>
          <w:p w14:paraId="6AEF51E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联系人：夏菁</w:t>
            </w:r>
          </w:p>
          <w:p w14:paraId="394684C8">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联系电话：0631-7567778</w:t>
            </w:r>
          </w:p>
        </w:tc>
      </w:tr>
      <w:tr w14:paraId="5208840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2229ED08">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5</w:t>
            </w:r>
          </w:p>
        </w:tc>
        <w:tc>
          <w:tcPr>
            <w:tcW w:w="2155" w:type="dxa"/>
            <w:tcBorders>
              <w:top w:val="single" w:color="auto" w:sz="4" w:space="0"/>
              <w:left w:val="single" w:color="auto" w:sz="4" w:space="0"/>
              <w:bottom w:val="single" w:color="auto" w:sz="4" w:space="0"/>
              <w:right w:val="single" w:color="auto" w:sz="4" w:space="0"/>
            </w:tcBorders>
            <w:vAlign w:val="center"/>
          </w:tcPr>
          <w:p w14:paraId="67433FF1">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电子投标</w:t>
            </w:r>
          </w:p>
          <w:p w14:paraId="3FE2DB78">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特别提示</w:t>
            </w:r>
          </w:p>
        </w:tc>
        <w:tc>
          <w:tcPr>
            <w:tcW w:w="6625" w:type="dxa"/>
            <w:tcBorders>
              <w:top w:val="single" w:color="auto" w:sz="4" w:space="0"/>
              <w:left w:val="single" w:color="auto" w:sz="4" w:space="0"/>
              <w:bottom w:val="single" w:color="auto" w:sz="4" w:space="0"/>
            </w:tcBorders>
            <w:vAlign w:val="center"/>
          </w:tcPr>
          <w:p w14:paraId="7E4562C1">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登录威海市公共资源交易网（荣成市）（http://ggzyjy.weihai.cn/rongcheng/）（右上角【交易服务一网通办系统（新版一网通办系统）】按钮）进入“威海市国有企业阳光采购电子化服务平台”进行注册，取得用户名和密码（已经完成注册无须重复注册）；首次注册的供应商应及时办理安全证书（CA锁）及电子签章。2．本项目必须网上递交投标文件，参与本项目供应商应利用办理好的CA锁登录威海市国有企业阳光采购电子化服务平台进行招标文件的获取、文件下载和网上递交投标文件，且安全证书（CA锁）在有效期内。</w:t>
            </w:r>
          </w:p>
          <w:p w14:paraId="29374EEF">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 xml:space="preserve">3．电子投标文件制作及递交等有关操作见本文件及威海市公共资源交易网办事指南栏目-国企采购专区-《新版威海市国有企业阳光采购服务平台操作演示视频（供应商）》，网址: </w:t>
            </w:r>
            <w:r>
              <w:rPr>
                <w:rFonts w:ascii="仿宋_GB2312" w:hAnsi="宋体" w:eastAsia="仿宋_GB2312"/>
                <w:color w:val="000000" w:themeColor="text1"/>
                <w:sz w:val="28"/>
                <w:szCs w:val="28"/>
                <w:highlight w:val="none"/>
                <w14:textFill>
                  <w14:solidFill>
                    <w14:schemeClr w14:val="tx1"/>
                  </w14:solidFill>
                </w14:textFill>
              </w:rPr>
              <w:t>https://ggzyjy.weihai.cn/weihai/bszn/005005/20260109/315a049e-0d75-4f85-8634-00d90a843936.html</w:t>
            </w:r>
            <w:r>
              <w:rPr>
                <w:rFonts w:hint="eastAsia" w:ascii="仿宋_GB2312" w:hAnsi="宋体" w:eastAsia="仿宋_GB2312"/>
                <w:color w:val="000000" w:themeColor="text1"/>
                <w:sz w:val="28"/>
                <w:szCs w:val="28"/>
                <w:highlight w:val="none"/>
                <w14:textFill>
                  <w14:solidFill>
                    <w14:schemeClr w14:val="tx1"/>
                  </w14:solidFill>
                </w14:textFill>
              </w:rPr>
              <w:t>、投标文件制作及系统使用咨询电话：</w:t>
            </w:r>
            <w:r>
              <w:rPr>
                <w:rFonts w:ascii="仿宋_GB2312" w:hAnsi="宋体" w:eastAsia="仿宋_GB2312"/>
                <w:color w:val="000000" w:themeColor="text1"/>
                <w:sz w:val="28"/>
                <w:szCs w:val="28"/>
                <w:highlight w:val="none"/>
                <w14:textFill>
                  <w14:solidFill>
                    <w14:schemeClr w14:val="tx1"/>
                  </w14:solidFill>
                </w14:textFill>
              </w:rPr>
              <w:t>17863029936</w:t>
            </w:r>
            <w:r>
              <w:rPr>
                <w:rFonts w:hint="eastAsia" w:ascii="仿宋_GB2312" w:hAnsi="宋体" w:eastAsia="仿宋_GB2312"/>
                <w:color w:val="000000" w:themeColor="text1"/>
                <w:sz w:val="28"/>
                <w:szCs w:val="28"/>
                <w:highlight w:val="none"/>
                <w14:textFill>
                  <w14:solidFill>
                    <w14:schemeClr w14:val="tx1"/>
                  </w14:solidFill>
                </w14:textFill>
              </w:rPr>
              <w:t>；0631-5307028；平台QQ服务群：</w:t>
            </w:r>
            <w:r>
              <w:rPr>
                <w:rFonts w:ascii="仿宋_GB2312" w:hAnsi="宋体" w:eastAsia="仿宋_GB2312"/>
                <w:color w:val="000000" w:themeColor="text1"/>
                <w:sz w:val="28"/>
                <w:szCs w:val="28"/>
                <w:highlight w:val="none"/>
                <w14:textFill>
                  <w14:solidFill>
                    <w14:schemeClr w14:val="tx1"/>
                  </w14:solidFill>
                </w14:textFill>
              </w:rPr>
              <w:t>1046971257</w:t>
            </w:r>
            <w:r>
              <w:rPr>
                <w:rFonts w:hint="eastAsia" w:ascii="仿宋_GB2312" w:hAnsi="宋体" w:eastAsia="仿宋_GB2312"/>
                <w:color w:val="000000" w:themeColor="text1"/>
                <w:sz w:val="28"/>
                <w:szCs w:val="28"/>
                <w:highlight w:val="none"/>
                <w14:textFill>
                  <w14:solidFill>
                    <w14:schemeClr w14:val="tx1"/>
                  </w14:solidFill>
                </w14:textFill>
              </w:rPr>
              <w:t>。</w:t>
            </w:r>
          </w:p>
          <w:p w14:paraId="10E4B236">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4．网上递交投标文件时，登录交易平台的电脑须满足以下环境要求：（1）操作系统：Windows 7 （2）浏览器：Internet Explorer 11、10（3）办公软件：Microsoft Office 2007、2010（4）PDF软件推荐：Adobe Reader。非以上环境可能出现错误影响其投标，登录交易平台时如提示更新插件则必须更新，否则影响其电子投标。</w:t>
            </w:r>
          </w:p>
          <w:p w14:paraId="0782C3A0">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5．供应商提交的电子投标文件应按照本招标文件《第六章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25025029">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6．电子投标文件必须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658231C7">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7．供应商投标文件中的相关扫描件应保证清晰度，无法辨认的评审时受到影响的，由供应商自行承担相应责任。</w:t>
            </w:r>
          </w:p>
          <w:p w14:paraId="381B240D">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8．除网上递交电子投标文件外，如有要求递交相关资质证明文件原件的，还须按其要求独立密封递交（被授权人身份证原件除外）</w:t>
            </w:r>
          </w:p>
          <w:p w14:paraId="3E1F0682">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9．投标人应充分考虑到网上递交投标文件会发生的故障和风险。对发生的任何故障和风险造成投标人报价内容不一致或利益受损或投标失败的，采购人及招标代理机构不承担任何责任。</w:t>
            </w:r>
          </w:p>
        </w:tc>
      </w:tr>
      <w:tr w14:paraId="5055E4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775E4EC">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6</w:t>
            </w:r>
          </w:p>
        </w:tc>
        <w:tc>
          <w:tcPr>
            <w:tcW w:w="2155" w:type="dxa"/>
            <w:tcBorders>
              <w:top w:val="single" w:color="auto" w:sz="4" w:space="0"/>
              <w:left w:val="single" w:color="auto" w:sz="4" w:space="0"/>
              <w:bottom w:val="single" w:color="auto" w:sz="4" w:space="0"/>
              <w:right w:val="single" w:color="auto" w:sz="4" w:space="0"/>
            </w:tcBorders>
            <w:vAlign w:val="center"/>
          </w:tcPr>
          <w:p w14:paraId="5A4A0E0A">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资质证明</w:t>
            </w:r>
          </w:p>
          <w:p w14:paraId="1F2A4B26">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文件原件</w:t>
            </w:r>
          </w:p>
        </w:tc>
        <w:tc>
          <w:tcPr>
            <w:tcW w:w="6625" w:type="dxa"/>
            <w:tcBorders>
              <w:top w:val="single" w:color="auto" w:sz="4" w:space="0"/>
              <w:left w:val="single" w:color="auto" w:sz="4" w:space="0"/>
              <w:bottom w:val="single" w:color="auto" w:sz="4" w:space="0"/>
            </w:tcBorders>
            <w:vAlign w:val="center"/>
          </w:tcPr>
          <w:p w14:paraId="40633D5F">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无</w:t>
            </w:r>
          </w:p>
        </w:tc>
      </w:tr>
      <w:tr w14:paraId="0D5E9A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7A638CD9">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7</w:t>
            </w:r>
          </w:p>
        </w:tc>
        <w:tc>
          <w:tcPr>
            <w:tcW w:w="2155" w:type="dxa"/>
            <w:tcBorders>
              <w:top w:val="single" w:color="auto" w:sz="4" w:space="0"/>
              <w:left w:val="single" w:color="auto" w:sz="4" w:space="0"/>
              <w:bottom w:val="single" w:color="auto" w:sz="4" w:space="0"/>
              <w:right w:val="single" w:color="auto" w:sz="4" w:space="0"/>
            </w:tcBorders>
            <w:vAlign w:val="center"/>
          </w:tcPr>
          <w:p w14:paraId="415620DA">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投标文件份数</w:t>
            </w:r>
          </w:p>
        </w:tc>
        <w:tc>
          <w:tcPr>
            <w:tcW w:w="6625" w:type="dxa"/>
            <w:tcBorders>
              <w:top w:val="single" w:color="auto" w:sz="4" w:space="0"/>
              <w:left w:val="single" w:color="auto" w:sz="4" w:space="0"/>
              <w:bottom w:val="single" w:color="auto" w:sz="4" w:space="0"/>
            </w:tcBorders>
            <w:vAlign w:val="center"/>
          </w:tcPr>
          <w:p w14:paraId="60283EBD">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电子投标文件1份（网上按时递交）。</w:t>
            </w:r>
          </w:p>
        </w:tc>
      </w:tr>
      <w:tr w14:paraId="652D8E4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6195988A">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8</w:t>
            </w:r>
          </w:p>
        </w:tc>
        <w:tc>
          <w:tcPr>
            <w:tcW w:w="2155" w:type="dxa"/>
            <w:tcBorders>
              <w:top w:val="single" w:color="auto" w:sz="4" w:space="0"/>
              <w:left w:val="single" w:color="auto" w:sz="4" w:space="0"/>
              <w:bottom w:val="single" w:color="auto" w:sz="4" w:space="0"/>
              <w:right w:val="single" w:color="auto" w:sz="4" w:space="0"/>
            </w:tcBorders>
            <w:vAlign w:val="center"/>
          </w:tcPr>
          <w:p w14:paraId="2418C51F">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实物样品</w:t>
            </w:r>
          </w:p>
        </w:tc>
        <w:tc>
          <w:tcPr>
            <w:tcW w:w="6625" w:type="dxa"/>
            <w:tcBorders>
              <w:top w:val="single" w:color="auto" w:sz="4" w:space="0"/>
              <w:left w:val="single" w:color="auto" w:sz="4" w:space="0"/>
              <w:bottom w:val="single" w:color="auto" w:sz="4" w:space="0"/>
            </w:tcBorders>
            <w:vAlign w:val="center"/>
          </w:tcPr>
          <w:p w14:paraId="0AFBAABD">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无。</w:t>
            </w:r>
          </w:p>
        </w:tc>
      </w:tr>
      <w:tr w14:paraId="5A25E4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5B3E8566">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9</w:t>
            </w:r>
          </w:p>
        </w:tc>
        <w:tc>
          <w:tcPr>
            <w:tcW w:w="2155" w:type="dxa"/>
            <w:tcBorders>
              <w:top w:val="single" w:color="auto" w:sz="4" w:space="0"/>
              <w:left w:val="single" w:color="auto" w:sz="4" w:space="0"/>
              <w:bottom w:val="single" w:color="auto" w:sz="4" w:space="0"/>
              <w:right w:val="single" w:color="auto" w:sz="4" w:space="0"/>
            </w:tcBorders>
            <w:vAlign w:val="center"/>
          </w:tcPr>
          <w:p w14:paraId="67B36C0E">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现场踏勘</w:t>
            </w:r>
          </w:p>
        </w:tc>
        <w:tc>
          <w:tcPr>
            <w:tcW w:w="6625" w:type="dxa"/>
            <w:tcBorders>
              <w:top w:val="single" w:color="auto" w:sz="4" w:space="0"/>
              <w:left w:val="single" w:color="auto" w:sz="4" w:space="0"/>
              <w:bottom w:val="single" w:color="auto" w:sz="4" w:space="0"/>
            </w:tcBorders>
            <w:vAlign w:val="center"/>
          </w:tcPr>
          <w:p w14:paraId="119A8CC8">
            <w:pPr>
              <w:spacing w:line="560" w:lineRule="exact"/>
              <w:textAlignment w:val="top"/>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否。</w:t>
            </w:r>
          </w:p>
        </w:tc>
      </w:tr>
      <w:tr w14:paraId="1C1D566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050596FE">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10</w:t>
            </w:r>
          </w:p>
        </w:tc>
        <w:tc>
          <w:tcPr>
            <w:tcW w:w="2155" w:type="dxa"/>
            <w:tcBorders>
              <w:top w:val="single" w:color="auto" w:sz="4" w:space="0"/>
              <w:left w:val="single" w:color="auto" w:sz="4" w:space="0"/>
              <w:bottom w:val="single" w:color="auto" w:sz="4" w:space="0"/>
              <w:right w:val="single" w:color="auto" w:sz="4" w:space="0"/>
            </w:tcBorders>
            <w:vAlign w:val="center"/>
          </w:tcPr>
          <w:p w14:paraId="2B3B5E93">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现场演示</w:t>
            </w:r>
          </w:p>
        </w:tc>
        <w:tc>
          <w:tcPr>
            <w:tcW w:w="6625" w:type="dxa"/>
            <w:tcBorders>
              <w:top w:val="single" w:color="auto" w:sz="4" w:space="0"/>
              <w:left w:val="single" w:color="auto" w:sz="4" w:space="0"/>
              <w:bottom w:val="single" w:color="auto" w:sz="4" w:space="0"/>
            </w:tcBorders>
            <w:vAlign w:val="center"/>
          </w:tcPr>
          <w:p w14:paraId="5E1B5DDB">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无 。</w:t>
            </w:r>
          </w:p>
        </w:tc>
      </w:tr>
      <w:tr w14:paraId="332F617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C19FD6E">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11</w:t>
            </w:r>
          </w:p>
        </w:tc>
        <w:tc>
          <w:tcPr>
            <w:tcW w:w="2155" w:type="dxa"/>
            <w:tcBorders>
              <w:top w:val="single" w:color="auto" w:sz="4" w:space="0"/>
              <w:left w:val="single" w:color="auto" w:sz="4" w:space="0"/>
              <w:bottom w:val="single" w:color="auto" w:sz="4" w:space="0"/>
              <w:right w:val="single" w:color="auto" w:sz="4" w:space="0"/>
            </w:tcBorders>
            <w:vAlign w:val="center"/>
          </w:tcPr>
          <w:p w14:paraId="0E743461">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投标有效期</w:t>
            </w:r>
          </w:p>
        </w:tc>
        <w:tc>
          <w:tcPr>
            <w:tcW w:w="6625" w:type="dxa"/>
            <w:tcBorders>
              <w:top w:val="single" w:color="auto" w:sz="4" w:space="0"/>
              <w:left w:val="single" w:color="auto" w:sz="4" w:space="0"/>
              <w:bottom w:val="single" w:color="auto" w:sz="4" w:space="0"/>
            </w:tcBorders>
            <w:vAlign w:val="center"/>
          </w:tcPr>
          <w:p w14:paraId="75FFF0B6">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开标之日起90天。</w:t>
            </w:r>
          </w:p>
        </w:tc>
      </w:tr>
      <w:tr w14:paraId="6DD6898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5EF24738">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12</w:t>
            </w:r>
          </w:p>
        </w:tc>
        <w:tc>
          <w:tcPr>
            <w:tcW w:w="2155" w:type="dxa"/>
            <w:tcBorders>
              <w:top w:val="single" w:color="auto" w:sz="4" w:space="0"/>
              <w:left w:val="single" w:color="auto" w:sz="4" w:space="0"/>
              <w:bottom w:val="single" w:color="auto" w:sz="4" w:space="0"/>
              <w:right w:val="single" w:color="auto" w:sz="4" w:space="0"/>
            </w:tcBorders>
            <w:vAlign w:val="center"/>
          </w:tcPr>
          <w:p w14:paraId="121FB5CC">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投标文件递交时间及地点</w:t>
            </w:r>
          </w:p>
        </w:tc>
        <w:tc>
          <w:tcPr>
            <w:tcW w:w="6625" w:type="dxa"/>
            <w:tcBorders>
              <w:top w:val="single" w:color="auto" w:sz="4" w:space="0"/>
              <w:left w:val="single" w:color="auto" w:sz="4" w:space="0"/>
              <w:bottom w:val="single" w:color="auto" w:sz="4" w:space="0"/>
            </w:tcBorders>
            <w:vAlign w:val="center"/>
          </w:tcPr>
          <w:p w14:paraId="060159E7">
            <w:pPr>
              <w:spacing w:line="560" w:lineRule="exact"/>
              <w:ind w:left="280" w:hanging="280" w:hanging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电子投标文件递交时间：详见第一章采购公告。</w:t>
            </w:r>
          </w:p>
          <w:p w14:paraId="7F38180C">
            <w:pPr>
              <w:spacing w:line="560" w:lineRule="exact"/>
              <w:ind w:left="280" w:hanging="280" w:hanging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递交地点：详见第一章采购公告。</w:t>
            </w:r>
          </w:p>
        </w:tc>
      </w:tr>
      <w:tr w14:paraId="54A0C98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0E4F3CFF">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13</w:t>
            </w:r>
          </w:p>
        </w:tc>
        <w:tc>
          <w:tcPr>
            <w:tcW w:w="2155" w:type="dxa"/>
            <w:tcBorders>
              <w:top w:val="single" w:color="auto" w:sz="4" w:space="0"/>
              <w:left w:val="single" w:color="auto" w:sz="4" w:space="0"/>
              <w:bottom w:val="single" w:color="auto" w:sz="4" w:space="0"/>
              <w:right w:val="single" w:color="auto" w:sz="4" w:space="0"/>
            </w:tcBorders>
            <w:vAlign w:val="center"/>
          </w:tcPr>
          <w:p w14:paraId="60D80D59">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开标时间</w:t>
            </w:r>
          </w:p>
        </w:tc>
        <w:tc>
          <w:tcPr>
            <w:tcW w:w="6625" w:type="dxa"/>
            <w:tcBorders>
              <w:top w:val="single" w:color="auto" w:sz="4" w:space="0"/>
              <w:left w:val="single" w:color="auto" w:sz="4" w:space="0"/>
              <w:bottom w:val="single" w:color="auto" w:sz="4" w:space="0"/>
            </w:tcBorders>
            <w:vAlign w:val="center"/>
          </w:tcPr>
          <w:p w14:paraId="3EE88C78">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详见第一章采购公告。</w:t>
            </w:r>
          </w:p>
        </w:tc>
      </w:tr>
      <w:tr w14:paraId="39E8F08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2E25FBA">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14</w:t>
            </w:r>
          </w:p>
        </w:tc>
        <w:tc>
          <w:tcPr>
            <w:tcW w:w="2155" w:type="dxa"/>
            <w:tcBorders>
              <w:top w:val="single" w:color="auto" w:sz="4" w:space="0"/>
              <w:left w:val="single" w:color="auto" w:sz="4" w:space="0"/>
              <w:bottom w:val="single" w:color="auto" w:sz="4" w:space="0"/>
              <w:right w:val="single" w:color="auto" w:sz="4" w:space="0"/>
            </w:tcBorders>
            <w:vAlign w:val="center"/>
          </w:tcPr>
          <w:p w14:paraId="111DD663">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开标地点</w:t>
            </w:r>
          </w:p>
        </w:tc>
        <w:tc>
          <w:tcPr>
            <w:tcW w:w="6625" w:type="dxa"/>
            <w:tcBorders>
              <w:top w:val="single" w:color="auto" w:sz="4" w:space="0"/>
              <w:left w:val="single" w:color="auto" w:sz="4" w:space="0"/>
              <w:bottom w:val="single" w:color="auto" w:sz="4" w:space="0"/>
            </w:tcBorders>
            <w:vAlign w:val="center"/>
          </w:tcPr>
          <w:p w14:paraId="7A834DA8">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详见第一章采购公告。</w:t>
            </w:r>
          </w:p>
        </w:tc>
      </w:tr>
      <w:tr w14:paraId="65EB314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4F7CC898">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15</w:t>
            </w:r>
          </w:p>
        </w:tc>
        <w:tc>
          <w:tcPr>
            <w:tcW w:w="2155" w:type="dxa"/>
            <w:tcBorders>
              <w:top w:val="single" w:color="auto" w:sz="4" w:space="0"/>
              <w:left w:val="single" w:color="auto" w:sz="4" w:space="0"/>
              <w:bottom w:val="single" w:color="auto" w:sz="4" w:space="0"/>
              <w:right w:val="single" w:color="auto" w:sz="4" w:space="0"/>
            </w:tcBorders>
            <w:vAlign w:val="center"/>
          </w:tcPr>
          <w:p w14:paraId="4B23AC9F">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开标方式</w:t>
            </w:r>
          </w:p>
        </w:tc>
        <w:tc>
          <w:tcPr>
            <w:tcW w:w="6625" w:type="dxa"/>
            <w:tcBorders>
              <w:top w:val="single" w:color="auto" w:sz="4" w:space="0"/>
              <w:left w:val="single" w:color="auto" w:sz="4" w:space="0"/>
              <w:bottom w:val="single" w:color="auto" w:sz="4" w:space="0"/>
            </w:tcBorders>
            <w:vAlign w:val="center"/>
          </w:tcPr>
          <w:p w14:paraId="1FC7AF67">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eastAsia="仿宋_GB2312"/>
                <w:color w:val="000000" w:themeColor="text1"/>
                <w:sz w:val="28"/>
                <w:szCs w:val="28"/>
                <w:highlight w:val="none"/>
                <w14:textFill>
                  <w14:solidFill>
                    <w14:schemeClr w14:val="tx1"/>
                  </w14:solidFill>
                </w14:textFill>
              </w:rPr>
              <w:t>本项目实行全流程电子化，实行远程解密，投标人无需到现场，并保持通讯畅通，提前在个人电脑上进行测试确保音频、视频功能可正常使用。因通讯不畅造成的一切后果由供应商自行承担。</w:t>
            </w:r>
          </w:p>
        </w:tc>
      </w:tr>
      <w:tr w14:paraId="520BFA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4996C647">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16</w:t>
            </w:r>
          </w:p>
        </w:tc>
        <w:tc>
          <w:tcPr>
            <w:tcW w:w="2155" w:type="dxa"/>
            <w:tcBorders>
              <w:top w:val="single" w:color="auto" w:sz="4" w:space="0"/>
              <w:left w:val="single" w:color="auto" w:sz="4" w:space="0"/>
              <w:bottom w:val="single" w:color="auto" w:sz="4" w:space="0"/>
              <w:right w:val="single" w:color="auto" w:sz="4" w:space="0"/>
            </w:tcBorders>
            <w:vAlign w:val="center"/>
          </w:tcPr>
          <w:p w14:paraId="4A5386D9">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开标程序</w:t>
            </w:r>
          </w:p>
        </w:tc>
        <w:tc>
          <w:tcPr>
            <w:tcW w:w="6625" w:type="dxa"/>
            <w:tcBorders>
              <w:top w:val="single" w:color="auto" w:sz="4" w:space="0"/>
              <w:left w:val="single" w:color="auto" w:sz="4" w:space="0"/>
              <w:bottom w:val="single" w:color="auto" w:sz="4" w:space="0"/>
            </w:tcBorders>
            <w:vAlign w:val="center"/>
          </w:tcPr>
          <w:p w14:paraId="105FFB62">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签到时间：开标时间前30分钟内完成。</w:t>
            </w:r>
          </w:p>
          <w:p w14:paraId="1D0682F8">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解密时间：开始解密后15分钟内完成。</w:t>
            </w:r>
          </w:p>
        </w:tc>
      </w:tr>
      <w:tr w14:paraId="322413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151" w:hRule="atLeast"/>
          <w:jc w:val="center"/>
        </w:trPr>
        <w:tc>
          <w:tcPr>
            <w:tcW w:w="908" w:type="dxa"/>
            <w:tcBorders>
              <w:top w:val="single" w:color="auto" w:sz="4" w:space="0"/>
              <w:bottom w:val="single" w:color="auto" w:sz="4" w:space="0"/>
              <w:right w:val="single" w:color="auto" w:sz="4" w:space="0"/>
            </w:tcBorders>
            <w:vAlign w:val="center"/>
          </w:tcPr>
          <w:p w14:paraId="6404E925">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17</w:t>
            </w:r>
          </w:p>
        </w:tc>
        <w:tc>
          <w:tcPr>
            <w:tcW w:w="2155" w:type="dxa"/>
            <w:tcBorders>
              <w:top w:val="single" w:color="auto" w:sz="4" w:space="0"/>
              <w:left w:val="single" w:color="auto" w:sz="4" w:space="0"/>
              <w:bottom w:val="single" w:color="auto" w:sz="4" w:space="0"/>
              <w:right w:val="single" w:color="auto" w:sz="4" w:space="0"/>
            </w:tcBorders>
            <w:vAlign w:val="center"/>
          </w:tcPr>
          <w:p w14:paraId="0A513282">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交付期及地点</w:t>
            </w:r>
          </w:p>
        </w:tc>
        <w:tc>
          <w:tcPr>
            <w:tcW w:w="6625" w:type="dxa"/>
            <w:tcBorders>
              <w:top w:val="single" w:color="auto" w:sz="4" w:space="0"/>
              <w:left w:val="single" w:color="auto" w:sz="4" w:space="0"/>
              <w:bottom w:val="single" w:color="auto" w:sz="4" w:space="0"/>
            </w:tcBorders>
            <w:vAlign w:val="center"/>
          </w:tcPr>
          <w:p w14:paraId="35A63610">
            <w:pPr>
              <w:spacing w:line="560" w:lineRule="exact"/>
              <w:rPr>
                <w:rFonts w:ascii="仿宋_GB2312" w:hAnsi="宋体" w:eastAsia="仿宋_GB2312"/>
                <w:color w:val="000000" w:themeColor="text1"/>
                <w:sz w:val="28"/>
                <w:szCs w:val="28"/>
                <w:highlight w:val="none"/>
                <w14:textFill>
                  <w14:solidFill>
                    <w14:schemeClr w14:val="tx1"/>
                  </w14:solidFill>
                </w14:textFill>
              </w:rPr>
            </w:pPr>
            <w:bookmarkStart w:id="9" w:name="OLE_LINK86"/>
            <w:bookmarkStart w:id="10" w:name="OLE_LINK87"/>
            <w:bookmarkStart w:id="11" w:name="OLE_LINK85"/>
            <w:bookmarkStart w:id="12" w:name="OLE_LINK84"/>
            <w:r>
              <w:rPr>
                <w:rFonts w:hint="eastAsia" w:ascii="仿宋_GB2312" w:hAnsi="宋体" w:eastAsia="仿宋_GB2312"/>
                <w:color w:val="000000" w:themeColor="text1"/>
                <w:sz w:val="28"/>
                <w:szCs w:val="28"/>
                <w:highlight w:val="none"/>
                <w14:textFill>
                  <w14:solidFill>
                    <w14:schemeClr w14:val="tx1"/>
                  </w14:solidFill>
                </w14:textFill>
              </w:rPr>
              <w:t>交付期：</w:t>
            </w:r>
            <w:bookmarkEnd w:id="9"/>
            <w:bookmarkEnd w:id="10"/>
            <w:r>
              <w:rPr>
                <w:rFonts w:hint="eastAsia" w:ascii="仿宋_GB2312" w:hAnsi="宋体" w:eastAsia="仿宋_GB2312"/>
                <w:color w:val="000000" w:themeColor="text1"/>
                <w:sz w:val="28"/>
                <w:szCs w:val="28"/>
                <w:highlight w:val="none"/>
                <w:lang w:val="en-US" w:eastAsia="zh-CN"/>
                <w14:textFill>
                  <w14:solidFill>
                    <w14:schemeClr w14:val="tx1"/>
                  </w14:solidFill>
                </w14:textFill>
              </w:rPr>
              <w:t>2026年12月31日前交付</w:t>
            </w:r>
            <w:r>
              <w:rPr>
                <w:rFonts w:hint="eastAsia" w:ascii="仿宋_GB2312" w:hAnsi="宋体" w:eastAsia="仿宋_GB2312"/>
                <w:color w:val="000000" w:themeColor="text1"/>
                <w:sz w:val="28"/>
                <w:szCs w:val="28"/>
                <w:highlight w:val="none"/>
                <w14:textFill>
                  <w14:solidFill>
                    <w14:schemeClr w14:val="tx1"/>
                  </w14:solidFill>
                </w14:textFill>
              </w:rPr>
              <w:t>。</w:t>
            </w:r>
          </w:p>
          <w:bookmarkEnd w:id="11"/>
          <w:bookmarkEnd w:id="12"/>
          <w:p w14:paraId="1134CA25">
            <w:pPr>
              <w:pStyle w:val="13"/>
              <w:ind w:firstLine="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地点：采购人指定地点。</w:t>
            </w:r>
          </w:p>
        </w:tc>
      </w:tr>
      <w:tr w14:paraId="6E2BFC7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46" w:hRule="atLeast"/>
          <w:jc w:val="center"/>
        </w:trPr>
        <w:tc>
          <w:tcPr>
            <w:tcW w:w="908" w:type="dxa"/>
            <w:tcBorders>
              <w:top w:val="single" w:color="auto" w:sz="4" w:space="0"/>
              <w:bottom w:val="single" w:color="auto" w:sz="4" w:space="0"/>
              <w:right w:val="single" w:color="auto" w:sz="4" w:space="0"/>
            </w:tcBorders>
            <w:vAlign w:val="center"/>
          </w:tcPr>
          <w:p w14:paraId="009D3478">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18</w:t>
            </w:r>
          </w:p>
        </w:tc>
        <w:tc>
          <w:tcPr>
            <w:tcW w:w="2155" w:type="dxa"/>
            <w:tcBorders>
              <w:top w:val="single" w:color="auto" w:sz="4" w:space="0"/>
              <w:left w:val="single" w:color="auto" w:sz="4" w:space="0"/>
              <w:bottom w:val="single" w:color="auto" w:sz="4" w:space="0"/>
              <w:right w:val="single" w:color="auto" w:sz="4" w:space="0"/>
            </w:tcBorders>
            <w:vAlign w:val="center"/>
          </w:tcPr>
          <w:p w14:paraId="7A1C5F02">
            <w:pPr>
              <w:spacing w:line="560" w:lineRule="exact"/>
              <w:rPr>
                <w:rFonts w:hint="default" w:ascii="仿宋_GB2312" w:hAnsi="宋体" w:eastAsia="仿宋_GB2312"/>
                <w:color w:val="000000" w:themeColor="text1"/>
                <w:sz w:val="28"/>
                <w:szCs w:val="28"/>
                <w:highlight w:val="none"/>
                <w:lang w:val="en-US" w:eastAsia="zh-CN"/>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服务期/运维期</w:t>
            </w:r>
          </w:p>
        </w:tc>
        <w:tc>
          <w:tcPr>
            <w:tcW w:w="6625" w:type="dxa"/>
            <w:tcBorders>
              <w:top w:val="single" w:color="auto" w:sz="4" w:space="0"/>
              <w:left w:val="single" w:color="auto" w:sz="4" w:space="0"/>
              <w:bottom w:val="single" w:color="auto" w:sz="4" w:space="0"/>
            </w:tcBorders>
            <w:vAlign w:val="center"/>
          </w:tcPr>
          <w:p w14:paraId="52C94FE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服务期</w:t>
            </w:r>
            <w:r>
              <w:rPr>
                <w:rFonts w:hint="eastAsia" w:ascii="仿宋_GB2312" w:hAnsi="宋体" w:eastAsia="仿宋_GB2312"/>
                <w:color w:val="000000" w:themeColor="text1"/>
                <w:sz w:val="28"/>
                <w:szCs w:val="28"/>
                <w:highlight w:val="none"/>
                <w14:textFill>
                  <w14:solidFill>
                    <w14:schemeClr w14:val="tx1"/>
                  </w14:solidFill>
                </w14:textFill>
              </w:rPr>
              <w:t>：自项目验收合格之日起不得低于</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一</w:t>
            </w:r>
            <w:r>
              <w:rPr>
                <w:rFonts w:hint="eastAsia" w:ascii="仿宋_GB2312" w:hAnsi="宋体" w:eastAsia="仿宋_GB2312"/>
                <w:color w:val="000000" w:themeColor="text1"/>
                <w:sz w:val="28"/>
                <w:szCs w:val="28"/>
                <w:highlight w:val="none"/>
                <w14:textFill>
                  <w14:solidFill>
                    <w14:schemeClr w14:val="tx1"/>
                  </w14:solidFill>
                </w14:textFill>
              </w:rPr>
              <w:t>年。</w:t>
            </w:r>
          </w:p>
        </w:tc>
      </w:tr>
      <w:tr w14:paraId="6C39845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4828928F">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19</w:t>
            </w:r>
          </w:p>
        </w:tc>
        <w:tc>
          <w:tcPr>
            <w:tcW w:w="2155" w:type="dxa"/>
            <w:tcBorders>
              <w:top w:val="single" w:color="auto" w:sz="4" w:space="0"/>
              <w:left w:val="single" w:color="auto" w:sz="4" w:space="0"/>
              <w:bottom w:val="single" w:color="auto" w:sz="4" w:space="0"/>
              <w:right w:val="single" w:color="auto" w:sz="4" w:space="0"/>
            </w:tcBorders>
            <w:vAlign w:val="center"/>
          </w:tcPr>
          <w:p w14:paraId="2EBA61A3">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评标办法</w:t>
            </w:r>
          </w:p>
        </w:tc>
        <w:tc>
          <w:tcPr>
            <w:tcW w:w="6625" w:type="dxa"/>
            <w:tcBorders>
              <w:top w:val="single" w:color="auto" w:sz="4" w:space="0"/>
              <w:left w:val="single" w:color="auto" w:sz="4" w:space="0"/>
              <w:bottom w:val="single" w:color="auto" w:sz="4" w:space="0"/>
            </w:tcBorders>
            <w:vAlign w:val="center"/>
          </w:tcPr>
          <w:p w14:paraId="6C0CEE96">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综合评分法。</w:t>
            </w:r>
          </w:p>
        </w:tc>
      </w:tr>
      <w:tr w14:paraId="5F29904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59BB13F2">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20</w:t>
            </w:r>
          </w:p>
        </w:tc>
        <w:tc>
          <w:tcPr>
            <w:tcW w:w="2155" w:type="dxa"/>
            <w:tcBorders>
              <w:top w:val="single" w:color="auto" w:sz="4" w:space="0"/>
              <w:left w:val="single" w:color="auto" w:sz="4" w:space="0"/>
              <w:bottom w:val="single" w:color="auto" w:sz="4" w:space="0"/>
              <w:right w:val="single" w:color="auto" w:sz="4" w:space="0"/>
            </w:tcBorders>
            <w:vAlign w:val="center"/>
          </w:tcPr>
          <w:p w14:paraId="3354EB49">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联合体投标</w:t>
            </w:r>
          </w:p>
        </w:tc>
        <w:tc>
          <w:tcPr>
            <w:tcW w:w="6625" w:type="dxa"/>
            <w:tcBorders>
              <w:top w:val="single" w:color="auto" w:sz="4" w:space="0"/>
              <w:left w:val="single" w:color="auto" w:sz="4" w:space="0"/>
              <w:bottom w:val="single" w:color="auto" w:sz="4" w:space="0"/>
            </w:tcBorders>
            <w:vAlign w:val="center"/>
          </w:tcPr>
          <w:p w14:paraId="15AD419E">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不接受。</w:t>
            </w:r>
          </w:p>
        </w:tc>
      </w:tr>
      <w:tr w14:paraId="5C1205D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00BC2658">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21</w:t>
            </w:r>
          </w:p>
        </w:tc>
        <w:tc>
          <w:tcPr>
            <w:tcW w:w="2155" w:type="dxa"/>
            <w:tcBorders>
              <w:top w:val="single" w:color="auto" w:sz="4" w:space="0"/>
              <w:left w:val="single" w:color="auto" w:sz="4" w:space="0"/>
              <w:bottom w:val="single" w:color="auto" w:sz="4" w:space="0"/>
              <w:right w:val="single" w:color="auto" w:sz="4" w:space="0"/>
            </w:tcBorders>
            <w:vAlign w:val="center"/>
          </w:tcPr>
          <w:p w14:paraId="4ABB5818">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履约保证金</w:t>
            </w:r>
          </w:p>
        </w:tc>
        <w:tc>
          <w:tcPr>
            <w:tcW w:w="6625" w:type="dxa"/>
            <w:tcBorders>
              <w:top w:val="single" w:color="auto" w:sz="4" w:space="0"/>
              <w:left w:val="single" w:color="auto" w:sz="4" w:space="0"/>
              <w:bottom w:val="single" w:color="auto" w:sz="4" w:space="0"/>
            </w:tcBorders>
            <w:vAlign w:val="center"/>
          </w:tcPr>
          <w:p w14:paraId="1F78ED34">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本项目不收取履约保证金。</w:t>
            </w:r>
          </w:p>
        </w:tc>
      </w:tr>
      <w:tr w14:paraId="602FFE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2C570C36">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22</w:t>
            </w:r>
          </w:p>
        </w:tc>
        <w:tc>
          <w:tcPr>
            <w:tcW w:w="2155" w:type="dxa"/>
            <w:tcBorders>
              <w:top w:val="single" w:color="auto" w:sz="4" w:space="0"/>
              <w:left w:val="single" w:color="auto" w:sz="4" w:space="0"/>
              <w:bottom w:val="single" w:color="auto" w:sz="4" w:space="0"/>
              <w:right w:val="single" w:color="auto" w:sz="4" w:space="0"/>
            </w:tcBorders>
            <w:vAlign w:val="center"/>
          </w:tcPr>
          <w:p w14:paraId="5336CDBA">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付款方式</w:t>
            </w:r>
          </w:p>
        </w:tc>
        <w:tc>
          <w:tcPr>
            <w:tcW w:w="6625" w:type="dxa"/>
            <w:tcBorders>
              <w:top w:val="single" w:color="auto" w:sz="4" w:space="0"/>
              <w:left w:val="single" w:color="auto" w:sz="4" w:space="0"/>
              <w:bottom w:val="single" w:color="auto" w:sz="4" w:space="0"/>
            </w:tcBorders>
            <w:vAlign w:val="center"/>
          </w:tcPr>
          <w:p w14:paraId="36C09316">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采购人根据项目实施进度付款</w:t>
            </w:r>
            <w:r>
              <w:rPr>
                <w:rFonts w:hint="eastAsia" w:ascii="仿宋_GB2312" w:hAnsi="宋体" w:eastAsia="仿宋_GB2312"/>
                <w:color w:val="000000" w:themeColor="text1"/>
                <w:sz w:val="28"/>
                <w:szCs w:val="28"/>
                <w:highlight w:val="none"/>
                <w14:textFill>
                  <w14:solidFill>
                    <w14:schemeClr w14:val="tx1"/>
                  </w14:solidFill>
                </w14:textFill>
              </w:rPr>
              <w:t>。</w:t>
            </w:r>
          </w:p>
        </w:tc>
      </w:tr>
      <w:tr w14:paraId="7C142C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29" w:hRule="atLeast"/>
          <w:jc w:val="center"/>
        </w:trPr>
        <w:tc>
          <w:tcPr>
            <w:tcW w:w="908" w:type="dxa"/>
            <w:tcBorders>
              <w:top w:val="single" w:color="auto" w:sz="4" w:space="0"/>
              <w:bottom w:val="single" w:color="auto" w:sz="4" w:space="0"/>
              <w:right w:val="single" w:color="auto" w:sz="4" w:space="0"/>
            </w:tcBorders>
            <w:vAlign w:val="center"/>
          </w:tcPr>
          <w:p w14:paraId="0B0B9CB3">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23</w:t>
            </w:r>
          </w:p>
        </w:tc>
        <w:tc>
          <w:tcPr>
            <w:tcW w:w="2155" w:type="dxa"/>
            <w:tcBorders>
              <w:top w:val="single" w:color="auto" w:sz="4" w:space="0"/>
              <w:left w:val="single" w:color="auto" w:sz="4" w:space="0"/>
              <w:bottom w:val="single" w:color="auto" w:sz="4" w:space="0"/>
              <w:right w:val="single" w:color="auto" w:sz="4" w:space="0"/>
            </w:tcBorders>
            <w:vAlign w:val="center"/>
          </w:tcPr>
          <w:p w14:paraId="4376BDF6">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资金来源</w:t>
            </w:r>
          </w:p>
        </w:tc>
        <w:tc>
          <w:tcPr>
            <w:tcW w:w="6625" w:type="dxa"/>
            <w:tcBorders>
              <w:top w:val="single" w:color="auto" w:sz="4" w:space="0"/>
              <w:left w:val="single" w:color="auto" w:sz="4" w:space="0"/>
              <w:bottom w:val="single" w:color="auto" w:sz="4" w:space="0"/>
            </w:tcBorders>
            <w:vAlign w:val="center"/>
          </w:tcPr>
          <w:p w14:paraId="50EC3832">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专项资金</w:t>
            </w:r>
          </w:p>
        </w:tc>
      </w:tr>
      <w:tr w14:paraId="6A07DE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92" w:hRule="atLeast"/>
          <w:jc w:val="center"/>
        </w:trPr>
        <w:tc>
          <w:tcPr>
            <w:tcW w:w="908" w:type="dxa"/>
            <w:tcBorders>
              <w:top w:val="single" w:color="auto" w:sz="4" w:space="0"/>
              <w:bottom w:val="single" w:color="auto" w:sz="4" w:space="0"/>
              <w:right w:val="single" w:color="auto" w:sz="4" w:space="0"/>
            </w:tcBorders>
            <w:vAlign w:val="center"/>
          </w:tcPr>
          <w:p w14:paraId="3342302F">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24</w:t>
            </w:r>
          </w:p>
        </w:tc>
        <w:tc>
          <w:tcPr>
            <w:tcW w:w="2155" w:type="dxa"/>
            <w:tcBorders>
              <w:top w:val="single" w:color="auto" w:sz="4" w:space="0"/>
              <w:left w:val="single" w:color="auto" w:sz="4" w:space="0"/>
              <w:bottom w:val="single" w:color="auto" w:sz="4" w:space="0"/>
              <w:right w:val="single" w:color="auto" w:sz="4" w:space="0"/>
            </w:tcBorders>
            <w:vAlign w:val="center"/>
          </w:tcPr>
          <w:p w14:paraId="2803F88E">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落实情况</w:t>
            </w:r>
          </w:p>
        </w:tc>
        <w:tc>
          <w:tcPr>
            <w:tcW w:w="6625" w:type="dxa"/>
            <w:tcBorders>
              <w:top w:val="single" w:color="auto" w:sz="4" w:space="0"/>
              <w:left w:val="single" w:color="auto" w:sz="4" w:space="0"/>
              <w:bottom w:val="single" w:color="auto" w:sz="4" w:space="0"/>
            </w:tcBorders>
            <w:vAlign w:val="center"/>
          </w:tcPr>
          <w:p w14:paraId="5E557C56">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已落实。</w:t>
            </w:r>
          </w:p>
        </w:tc>
      </w:tr>
      <w:tr w14:paraId="0507A70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DF6A981">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25</w:t>
            </w:r>
          </w:p>
        </w:tc>
        <w:tc>
          <w:tcPr>
            <w:tcW w:w="2155" w:type="dxa"/>
            <w:tcBorders>
              <w:top w:val="single" w:color="auto" w:sz="4" w:space="0"/>
              <w:left w:val="single" w:color="auto" w:sz="4" w:space="0"/>
              <w:bottom w:val="single" w:color="auto" w:sz="4" w:space="0"/>
              <w:right w:val="single" w:color="auto" w:sz="4" w:space="0"/>
            </w:tcBorders>
            <w:vAlign w:val="center"/>
          </w:tcPr>
          <w:p w14:paraId="4A39BF69">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其他</w:t>
            </w:r>
          </w:p>
        </w:tc>
        <w:tc>
          <w:tcPr>
            <w:tcW w:w="6625" w:type="dxa"/>
            <w:tcBorders>
              <w:top w:val="single" w:color="auto" w:sz="4" w:space="0"/>
              <w:left w:val="single" w:color="auto" w:sz="4" w:space="0"/>
              <w:bottom w:val="single" w:color="auto" w:sz="4" w:space="0"/>
            </w:tcBorders>
            <w:vAlign w:val="center"/>
          </w:tcPr>
          <w:p w14:paraId="13AB3390">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本项目按</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服务</w:t>
            </w:r>
            <w:r>
              <w:rPr>
                <w:rFonts w:hint="eastAsia" w:ascii="仿宋_GB2312" w:hAnsi="宋体" w:eastAsia="仿宋_GB2312"/>
                <w:color w:val="000000" w:themeColor="text1"/>
                <w:sz w:val="28"/>
                <w:szCs w:val="28"/>
                <w:highlight w:val="none"/>
                <w14:textFill>
                  <w14:solidFill>
                    <w14:schemeClr w14:val="tx1"/>
                  </w14:solidFill>
                </w14:textFill>
              </w:rPr>
              <w:t>类以公开招标方式实施采购。</w:t>
            </w:r>
          </w:p>
        </w:tc>
      </w:tr>
    </w:tbl>
    <w:p w14:paraId="424B87E9">
      <w:pPr>
        <w:spacing w:line="560" w:lineRule="exact"/>
        <w:ind w:firstLine="643" w:firstLineChars="201"/>
        <w:rPr>
          <w:rFonts w:eastAsia="黑体"/>
          <w:color w:val="000000" w:themeColor="text1"/>
          <w:sz w:val="32"/>
          <w:szCs w:val="32"/>
          <w:highlight w:val="none"/>
          <w14:textFill>
            <w14:solidFill>
              <w14:schemeClr w14:val="tx1"/>
            </w14:solidFill>
          </w14:textFill>
        </w:rPr>
        <w:sectPr>
          <w:headerReference r:id="rId5" w:type="default"/>
          <w:footerReference r:id="rId6" w:type="default"/>
          <w:pgSz w:w="11906" w:h="16838"/>
          <w:pgMar w:top="1440" w:right="1080" w:bottom="1440" w:left="1080" w:header="851" w:footer="992" w:gutter="0"/>
          <w:cols w:space="425" w:num="1"/>
          <w:docGrid w:type="lines" w:linePitch="312" w:charSpace="0"/>
        </w:sectPr>
      </w:pPr>
    </w:p>
    <w:p w14:paraId="3DE320D8">
      <w:pPr>
        <w:spacing w:line="560" w:lineRule="exact"/>
        <w:ind w:firstLine="643" w:firstLineChars="201"/>
        <w:jc w:val="center"/>
        <w:rPr>
          <w:rFonts w:eastAsia="黑体"/>
          <w:color w:val="000000" w:themeColor="text1"/>
          <w:sz w:val="32"/>
          <w:szCs w:val="32"/>
          <w:highlight w:val="none"/>
          <w14:textFill>
            <w14:solidFill>
              <w14:schemeClr w14:val="tx1"/>
            </w14:solidFill>
          </w14:textFill>
        </w:rPr>
      </w:pPr>
      <w:r>
        <w:rPr>
          <w:rFonts w:hint="eastAsia" w:eastAsia="黑体"/>
          <w:color w:val="000000" w:themeColor="text1"/>
          <w:sz w:val="32"/>
          <w:szCs w:val="32"/>
          <w:highlight w:val="none"/>
          <w14:textFill>
            <w14:solidFill>
              <w14:schemeClr w14:val="tx1"/>
            </w14:solidFill>
          </w14:textFill>
        </w:rPr>
        <w:t>《实质性条款一览表》</w:t>
      </w:r>
    </w:p>
    <w:p w14:paraId="012DDBEC">
      <w:pPr>
        <w:snapToGrid w:val="0"/>
        <w:spacing w:line="500" w:lineRule="exact"/>
        <w:ind w:firstLine="561"/>
        <w:jc w:val="left"/>
        <w:rPr>
          <w:rFonts w:ascii="仿宋_GB2312" w:eastAsia="仿宋_GB2312"/>
          <w:color w:val="000000" w:themeColor="text1"/>
          <w:sz w:val="28"/>
          <w:szCs w:val="28"/>
          <w:highlight w:val="none"/>
          <w14:textFill>
            <w14:solidFill>
              <w14:schemeClr w14:val="tx1"/>
            </w14:solidFill>
          </w14:textFill>
        </w:rPr>
      </w:pPr>
      <w:r>
        <w:rPr>
          <w:rFonts w:hint="eastAsia" w:ascii="仿宋_GB2312" w:eastAsia="仿宋_GB2312"/>
          <w:color w:val="000000" w:themeColor="text1"/>
          <w:sz w:val="28"/>
          <w:szCs w:val="28"/>
          <w:highlight w:val="none"/>
          <w14:textFill>
            <w14:solidFill>
              <w14:schemeClr w14:val="tx1"/>
            </w14:solidFill>
          </w14:textFill>
        </w:rPr>
        <w:t>说明：本表系招标文件及修改性文件中涉及的所有实质性条款的汇总。不允许有任何负偏离，否则投标将被否决。</w:t>
      </w:r>
    </w:p>
    <w:tbl>
      <w:tblPr>
        <w:tblStyle w:val="47"/>
        <w:tblW w:w="9133"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908"/>
        <w:gridCol w:w="2155"/>
        <w:gridCol w:w="6070"/>
      </w:tblGrid>
      <w:tr w14:paraId="4FE151B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3928D730">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序号</w:t>
            </w:r>
          </w:p>
        </w:tc>
        <w:tc>
          <w:tcPr>
            <w:tcW w:w="2155" w:type="dxa"/>
            <w:tcBorders>
              <w:top w:val="single" w:color="auto" w:sz="4" w:space="0"/>
              <w:left w:val="single" w:color="auto" w:sz="4" w:space="0"/>
              <w:bottom w:val="single" w:color="auto" w:sz="4" w:space="0"/>
              <w:right w:val="single" w:color="auto" w:sz="4" w:space="0"/>
            </w:tcBorders>
            <w:vAlign w:val="center"/>
          </w:tcPr>
          <w:p w14:paraId="41B37684">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项目名称</w:t>
            </w:r>
          </w:p>
        </w:tc>
        <w:tc>
          <w:tcPr>
            <w:tcW w:w="6070" w:type="dxa"/>
            <w:tcBorders>
              <w:top w:val="single" w:color="auto" w:sz="4" w:space="0"/>
              <w:left w:val="single" w:color="auto" w:sz="4" w:space="0"/>
              <w:bottom w:val="single" w:color="auto" w:sz="4" w:space="0"/>
            </w:tcBorders>
            <w:vAlign w:val="center"/>
          </w:tcPr>
          <w:p w14:paraId="4581EE30">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内       容</w:t>
            </w:r>
          </w:p>
        </w:tc>
      </w:tr>
      <w:tr w14:paraId="297CF0C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EB24332">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p>
        </w:tc>
        <w:tc>
          <w:tcPr>
            <w:tcW w:w="2155" w:type="dxa"/>
            <w:tcBorders>
              <w:top w:val="single" w:color="auto" w:sz="4" w:space="0"/>
              <w:left w:val="single" w:color="auto" w:sz="4" w:space="0"/>
              <w:bottom w:val="single" w:color="auto" w:sz="4" w:space="0"/>
              <w:right w:val="single" w:color="auto" w:sz="4" w:space="0"/>
            </w:tcBorders>
            <w:vAlign w:val="center"/>
          </w:tcPr>
          <w:p w14:paraId="099B6C06">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资格性核查</w:t>
            </w:r>
          </w:p>
        </w:tc>
        <w:tc>
          <w:tcPr>
            <w:tcW w:w="6070" w:type="dxa"/>
            <w:tcBorders>
              <w:top w:val="single" w:color="auto" w:sz="4" w:space="0"/>
              <w:left w:val="single" w:color="auto" w:sz="4" w:space="0"/>
              <w:bottom w:val="single" w:color="auto" w:sz="4" w:space="0"/>
            </w:tcBorders>
          </w:tcPr>
          <w:p w14:paraId="442CD1C8">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1.有效的营业执照副本扫描件；或其他能证明具有独立承担民事责任能力的材料扫描件</w:t>
            </w:r>
            <w:r>
              <w:rPr>
                <w:rFonts w:hint="eastAsia" w:ascii="仿宋_GB2312" w:hAnsi="宋体" w:eastAsia="仿宋_GB2312"/>
                <w:color w:val="000000" w:themeColor="text1"/>
                <w:sz w:val="28"/>
                <w:szCs w:val="28"/>
                <w:highlight w:val="none"/>
                <w:lang w:eastAsia="zh-CN"/>
                <w14:textFill>
                  <w14:solidFill>
                    <w14:schemeClr w14:val="tx1"/>
                  </w14:solidFill>
                </w14:textFill>
              </w:rPr>
              <w:t>（银行、保险、石油石化、电力、电信等特殊行业，分公司参与投标（响应）的，须提供总公司的授权）；</w:t>
            </w:r>
          </w:p>
          <w:p w14:paraId="4731D4B5">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2.法人授权委托书、被授权人身份证扫描件；</w:t>
            </w:r>
          </w:p>
          <w:p w14:paraId="5F8B9489">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3.投标人的依法缴纳税收声明和社会保障资金的声明；近期的完税凭证扫描件及交纳社保资金凭证的扫描件</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（无须缴纳税收的投标人须提供税务部门开具的无欠税证明）</w:t>
            </w:r>
            <w:r>
              <w:rPr>
                <w:rFonts w:hint="eastAsia" w:ascii="仿宋_GB2312" w:hAnsi="宋体" w:eastAsia="仿宋_GB2312"/>
                <w:color w:val="000000" w:themeColor="text1"/>
                <w:sz w:val="28"/>
                <w:szCs w:val="28"/>
                <w:highlight w:val="none"/>
                <w14:textFill>
                  <w14:solidFill>
                    <w14:schemeClr w14:val="tx1"/>
                  </w14:solidFill>
                </w14:textFill>
              </w:rPr>
              <w:t>；</w:t>
            </w:r>
          </w:p>
          <w:p w14:paraId="5B0B729A">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4.投标人参加本项目投标前三年内无重大违法违纪行为声明；</w:t>
            </w:r>
          </w:p>
          <w:p w14:paraId="51CE13B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5.投标人自行编制的</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近一年度（2025年度）</w:t>
            </w:r>
            <w:r>
              <w:rPr>
                <w:rFonts w:hint="eastAsia" w:ascii="仿宋_GB2312" w:hAnsi="宋体" w:eastAsia="仿宋_GB2312"/>
                <w:color w:val="000000" w:themeColor="text1"/>
                <w:sz w:val="28"/>
                <w:szCs w:val="28"/>
                <w:highlight w:val="none"/>
                <w14:textFill>
                  <w14:solidFill>
                    <w14:schemeClr w14:val="tx1"/>
                  </w14:solidFill>
                </w14:textFill>
              </w:rPr>
              <w:t>公司财务报表或由中介机构出具的</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近一</w:t>
            </w:r>
            <w:r>
              <w:rPr>
                <w:rFonts w:hint="eastAsia" w:ascii="仿宋_GB2312" w:hAnsi="宋体" w:eastAsia="仿宋_GB2312"/>
                <w:color w:val="000000" w:themeColor="text1"/>
                <w:sz w:val="28"/>
                <w:szCs w:val="28"/>
                <w:highlight w:val="none"/>
                <w14:textFill>
                  <w14:solidFill>
                    <w14:schemeClr w14:val="tx1"/>
                  </w14:solidFill>
                </w14:textFill>
              </w:rPr>
              <w:t>年度</w:t>
            </w:r>
            <w:r>
              <w:rPr>
                <w:rFonts w:hint="eastAsia" w:ascii="仿宋_GB2312" w:hAnsi="宋体" w:eastAsia="仿宋_GB2312"/>
                <w:color w:val="000000" w:themeColor="text1"/>
                <w:sz w:val="28"/>
                <w:szCs w:val="28"/>
                <w:highlight w:val="none"/>
                <w:lang w:eastAsia="zh-CN"/>
                <w14:textFill>
                  <w14:solidFill>
                    <w14:schemeClr w14:val="tx1"/>
                  </w14:solidFill>
                </w14:textFill>
              </w:rPr>
              <w:t>（</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2025年度</w:t>
            </w:r>
            <w:r>
              <w:rPr>
                <w:rFonts w:hint="eastAsia" w:ascii="仿宋_GB2312" w:hAnsi="宋体" w:eastAsia="仿宋_GB2312"/>
                <w:color w:val="000000" w:themeColor="text1"/>
                <w:sz w:val="28"/>
                <w:szCs w:val="28"/>
                <w:highlight w:val="none"/>
                <w:lang w:eastAsia="zh-CN"/>
                <w14:textFill>
                  <w14:solidFill>
                    <w14:schemeClr w14:val="tx1"/>
                  </w14:solidFill>
                </w14:textFill>
              </w:rPr>
              <w:t>）</w:t>
            </w:r>
            <w:r>
              <w:rPr>
                <w:rFonts w:hint="eastAsia" w:ascii="仿宋_GB2312" w:hAnsi="宋体" w:eastAsia="仿宋_GB2312"/>
                <w:color w:val="000000" w:themeColor="text1"/>
                <w:sz w:val="28"/>
                <w:szCs w:val="28"/>
                <w:highlight w:val="none"/>
                <w14:textFill>
                  <w14:solidFill>
                    <w14:schemeClr w14:val="tx1"/>
                  </w14:solidFill>
                </w14:textFill>
              </w:rPr>
              <w:t>财务审计报告书扫描件（</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投标人</w:t>
            </w:r>
            <w:r>
              <w:rPr>
                <w:rFonts w:hint="eastAsia" w:ascii="仿宋_GB2312" w:hAnsi="宋体" w:eastAsia="仿宋_GB2312"/>
                <w:color w:val="000000" w:themeColor="text1"/>
                <w:sz w:val="28"/>
                <w:szCs w:val="28"/>
                <w:highlight w:val="none"/>
                <w14:textFill>
                  <w14:solidFill>
                    <w14:schemeClr w14:val="tx1"/>
                  </w14:solidFill>
                </w14:textFill>
              </w:rPr>
              <w:t>成立不到一年的，提供自成立时间以来的财务报表即可）； B.银行出具的有效期内的资信证明扫描件。注：A、B两项提供任意一项均可；</w:t>
            </w:r>
          </w:p>
          <w:p w14:paraId="1770F7C1">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6.投标人、法定代表人（依法登记的负责人）、授权委托人未被最高法院列入失信被执行人；</w:t>
            </w:r>
          </w:p>
          <w:p w14:paraId="023CF886">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7.国家或行业主管部门规定必须具有的资质、资格证书及其认证测试报告等扫描件；</w:t>
            </w:r>
          </w:p>
          <w:p w14:paraId="6B01EEFA">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8招标文件第四部分“采购项目说明”要求的有关资质资格文件扫描件；</w:t>
            </w:r>
          </w:p>
          <w:p w14:paraId="3E762CC1">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9.投标人认为需要提供的其它资质资格证明文件扫描件。</w:t>
            </w:r>
          </w:p>
        </w:tc>
      </w:tr>
      <w:tr w14:paraId="0BC86B6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59" w:hRule="atLeast"/>
          <w:jc w:val="center"/>
        </w:trPr>
        <w:tc>
          <w:tcPr>
            <w:tcW w:w="908" w:type="dxa"/>
            <w:tcBorders>
              <w:top w:val="single" w:color="auto" w:sz="4" w:space="0"/>
              <w:bottom w:val="single" w:color="auto" w:sz="4" w:space="0"/>
              <w:right w:val="single" w:color="auto" w:sz="4" w:space="0"/>
            </w:tcBorders>
            <w:vAlign w:val="center"/>
          </w:tcPr>
          <w:p w14:paraId="2AB4594B">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p>
        </w:tc>
        <w:tc>
          <w:tcPr>
            <w:tcW w:w="2155" w:type="dxa"/>
            <w:tcBorders>
              <w:top w:val="single" w:color="auto" w:sz="4" w:space="0"/>
              <w:left w:val="single" w:color="auto" w:sz="4" w:space="0"/>
              <w:bottom w:val="single" w:color="auto" w:sz="4" w:space="0"/>
              <w:right w:val="single" w:color="auto" w:sz="4" w:space="0"/>
            </w:tcBorders>
            <w:vAlign w:val="center"/>
          </w:tcPr>
          <w:p w14:paraId="730385B5">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符合性检查</w:t>
            </w:r>
          </w:p>
        </w:tc>
        <w:tc>
          <w:tcPr>
            <w:tcW w:w="6070" w:type="dxa"/>
            <w:tcBorders>
              <w:top w:val="single" w:color="auto" w:sz="4" w:space="0"/>
              <w:left w:val="single" w:color="auto" w:sz="4" w:space="0"/>
              <w:bottom w:val="single" w:color="auto" w:sz="4" w:space="0"/>
            </w:tcBorders>
            <w:vAlign w:val="center"/>
          </w:tcPr>
          <w:p w14:paraId="1FE13D9C">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1.单价或总价超出上限控制价或预算的。</w:t>
            </w:r>
          </w:p>
          <w:p w14:paraId="6B45C728">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2.存在招标文件23.3的关于投标人串通投标的物情形及其他投标无效的情形。</w:t>
            </w:r>
          </w:p>
          <w:p w14:paraId="09F35E00">
            <w:pPr>
              <w:spacing w:line="560" w:lineRule="exact"/>
              <w:rPr>
                <w:color w:val="000000" w:themeColor="text1"/>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3.评标委员会认为不符合招标文件其他实质性要求或法律规定的。</w:t>
            </w:r>
          </w:p>
        </w:tc>
      </w:tr>
    </w:tbl>
    <w:p w14:paraId="33DB8F57">
      <w:pPr>
        <w:rPr>
          <w:rFonts w:ascii="宋体" w:hAnsi="宋体"/>
          <w:color w:val="000000" w:themeColor="text1"/>
          <w:szCs w:val="28"/>
          <w:highlight w:val="none"/>
          <w14:textFill>
            <w14:solidFill>
              <w14:schemeClr w14:val="tx1"/>
            </w14:solidFill>
          </w14:textFill>
        </w:rPr>
      </w:pPr>
    </w:p>
    <w:p w14:paraId="7C93604F">
      <w:pPr>
        <w:spacing w:line="560" w:lineRule="exact"/>
        <w:ind w:firstLine="422" w:firstLineChars="201"/>
        <w:rPr>
          <w:rFonts w:ascii="黑体" w:hAnsi="黑体" w:eastAsia="黑体"/>
          <w:b/>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br w:type="page"/>
      </w:r>
      <w:r>
        <w:rPr>
          <w:rFonts w:hint="eastAsia" w:ascii="楷体_GB2312" w:hAnsi="仿宋" w:eastAsia="楷体_GB2312" w:cs="宋体"/>
          <w:b/>
          <w:color w:val="000000" w:themeColor="text1"/>
          <w:sz w:val="28"/>
          <w:szCs w:val="28"/>
          <w:highlight w:val="none"/>
          <w14:textFill>
            <w14:solidFill>
              <w14:schemeClr w14:val="tx1"/>
            </w14:solidFill>
          </w14:textFill>
        </w:rPr>
        <w:t>一、说明</w:t>
      </w:r>
    </w:p>
    <w:p w14:paraId="6671AD7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7EB12EF4">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1.适用范围</w:t>
      </w:r>
    </w:p>
    <w:p w14:paraId="582FBD0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1.1 本招标文件仅适用于本次招标公告中所涉及的项目和内容。</w:t>
      </w:r>
    </w:p>
    <w:p w14:paraId="6E67E4C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1.2 本招标文件的解释权为</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，以书面解释为准。</w:t>
      </w:r>
    </w:p>
    <w:p w14:paraId="3D294F3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1.3 招标文件未做须知明示，而又有相关法律、法规规定的，从其规定。</w:t>
      </w:r>
    </w:p>
    <w:p w14:paraId="33D28DE3">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2.相关要求</w:t>
      </w:r>
    </w:p>
    <w:p w14:paraId="7DB1D04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2.1投标人应承担所有与准备和参加投标有关的费用。不论投标结果如何，</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和采购人均无义务和责任承担这些费用。</w:t>
      </w:r>
    </w:p>
    <w:p w14:paraId="3A6C767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2.2本项目若涉及采购货物，则合格的货物及相应服务应满足以下要求：</w:t>
      </w:r>
    </w:p>
    <w:p w14:paraId="271A9B3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2.2.1必须是全新、未使用过的原装合格正品（包括零部件），如安装或配置了软件的，须为正版软件。</w:t>
      </w:r>
    </w:p>
    <w:p w14:paraId="5F9A4AC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2.2.2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659B809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2.3</w:t>
      </w:r>
      <w:r>
        <w:rPr>
          <w:rFonts w:hint="eastAsia" w:ascii="仿宋_GB2312" w:hAnsi="宋体" w:eastAsia="仿宋_GB2312"/>
          <w:b/>
          <w:color w:val="000000" w:themeColor="text1"/>
          <w:sz w:val="28"/>
          <w:szCs w:val="28"/>
          <w:highlight w:val="none"/>
          <w14:textFill>
            <w14:solidFill>
              <w14:schemeClr w14:val="tx1"/>
            </w14:solidFill>
          </w14:textFill>
        </w:rPr>
        <w:t>投标人应通过威海市公共资源交易网（荣成市）登录威海市国有企业阳光采购电子化服务平台获取采购文件，并通过威海市国有企业阳光采购电子化服务平台网上上传电子投标文件，电子投标文件成功上传后，将会生成投标回执，未通过威海市国有企业阳光采购电子化服务平台上传电子投标文件的，为无效投标。投标人不足3家的，本项目直接废标。</w:t>
      </w:r>
    </w:p>
    <w:p w14:paraId="541A99C7">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二、招标文件</w:t>
      </w:r>
    </w:p>
    <w:p w14:paraId="793E3F84">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3.招标文件的构成</w:t>
      </w:r>
    </w:p>
    <w:p w14:paraId="06FA962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由各包段本文件（word格式）和各包段的数据文件（excel格式）构成，采用压缩包电子版文件格式提供。</w:t>
      </w:r>
    </w:p>
    <w:p w14:paraId="14A3570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3.1 本文件（word格式）由下列文件组成：</w:t>
      </w:r>
    </w:p>
    <w:p w14:paraId="7B0372C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（1）采购公告</w:t>
      </w:r>
    </w:p>
    <w:p w14:paraId="41A3AA3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（2）投标须知</w:t>
      </w:r>
    </w:p>
    <w:p w14:paraId="36D2C07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（3）采购内容与要求</w:t>
      </w:r>
    </w:p>
    <w:p w14:paraId="552F2E0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（4）评审原则和方法</w:t>
      </w:r>
    </w:p>
    <w:p w14:paraId="656DA3A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（5）投标（响应）文件格式</w:t>
      </w:r>
    </w:p>
    <w:p w14:paraId="06040FF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（6）合同（范本）</w:t>
      </w:r>
    </w:p>
    <w:p w14:paraId="09E895C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（7）在采购过程中由采购人或</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发出的修正和补充文件等（如有）</w:t>
      </w:r>
    </w:p>
    <w:p w14:paraId="2E26F8C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3.2 数据文件（excel格式）由下列文件组成：</w:t>
      </w:r>
    </w:p>
    <w:p w14:paraId="787C826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（1）封面</w:t>
      </w:r>
    </w:p>
    <w:p w14:paraId="6001858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（2）投标报价表（含明细）</w:t>
      </w:r>
    </w:p>
    <w:p w14:paraId="2AB4BBC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（3）需求响应表（如有）</w:t>
      </w:r>
    </w:p>
    <w:p w14:paraId="22C716D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（4）评审对照表</w:t>
      </w:r>
    </w:p>
    <w:p w14:paraId="700930C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（5）评分对照表（如有）</w:t>
      </w:r>
    </w:p>
    <w:p w14:paraId="522651D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3.3 投标人应认真阅读招标文件中所有的事项、格式、条款和技术规范、参数及要求等，如果投标人没有按照招标文件要求提交全部资料，或者投标人没有对招标文件在各方面都做出实质性响应，其风险应由投标人自行承担并根据有关政策和条款规定，其投标有可能被拒绝，或者被认定为无效投标（响应）。</w:t>
      </w:r>
    </w:p>
    <w:p w14:paraId="18A823E1">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4.招标文件的澄清</w:t>
      </w:r>
    </w:p>
    <w:p w14:paraId="0DE44C0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4.1</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在收到招标文件后，对招标文件若有任何疑问或要求澄清招标文件的，应在有效期内按“投标须知前附表”第四项向</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提出，必要时</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将协助采购人组织所有获取采购文件</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举行答疑会，</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根据需要主动对招标文件进行必要的澄清或根据</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的要求对招标文件做出澄清，都将以原网站公开发布形式（包括电子交易系统推送）答复或发送给所有</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。澄清文件作为招标文件的组成部分，对</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起约束作用。</w:t>
      </w:r>
    </w:p>
    <w:p w14:paraId="605C5EF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4.2投标人在规定的时间内未对招标文件澄清或提出疑问的，</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将视其为接受招标文件的所有条款，对招标文件没有异议，此后也不再受理对招标文件的相关质疑。</w:t>
      </w:r>
    </w:p>
    <w:p w14:paraId="0BD321E7">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5.招标文件的修改</w:t>
      </w:r>
    </w:p>
    <w:p w14:paraId="46AFD3C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5.l 在投标截止时间2日以前，无论出于何种原因，</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或采购人可主动或在解答投标人提出的疑问时对招标文件进行修改。</w:t>
      </w:r>
    </w:p>
    <w:p w14:paraId="6D99304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5.2 修改后的内容是招标文件的组成部分，采购人、</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将会通过“威海市公共资源交易网（荣成市）”，以更正公告形式（电子交易系统发送更正提醒通知）一并告知所有潜在投标人，并对潜在投标人具有约束力。潜在投标人在收到上述通知后，应立即以书面形式向</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或采购人确认，如在24小时内无书面回函则视为同意修改内容，并有义务履行相应的义务。</w:t>
      </w:r>
    </w:p>
    <w:p w14:paraId="0665BF3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5.3澄清或者修改的内容可能影响投标文件编制的，采购人或</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将在投标截止时间2日前，通过原网站发布公告的形式（电子交易系统内发送更正提醒通知）通知所有获取招标文件的潜在投标人</w:t>
      </w:r>
      <w:r>
        <w:rPr>
          <w:rFonts w:hint="eastAsia" w:ascii="仿宋_GB2312" w:hAnsi="宋体" w:eastAsia="仿宋_GB2312"/>
          <w:color w:val="000000" w:themeColor="text1"/>
          <w:sz w:val="28"/>
          <w:szCs w:val="28"/>
          <w:highlight w:val="none"/>
          <w14:textFill>
            <w14:solidFill>
              <w14:schemeClr w14:val="tx1"/>
            </w14:solidFill>
          </w14:textFill>
        </w:rPr>
        <w:t>（采购文件变更的，投标人必须从电子交易系统中重新下载采购文件，并在新下载文件的基础上编制投标文件）；</w:t>
      </w:r>
      <w:r>
        <w:rPr>
          <w:rFonts w:hint="eastAsia" w:ascii="仿宋_GB2312" w:hAnsi="仿宋" w:eastAsia="仿宋_GB2312" w:cs="宋体"/>
          <w:color w:val="000000" w:themeColor="text1"/>
          <w:sz w:val="28"/>
          <w:szCs w:val="28"/>
          <w:highlight w:val="none"/>
          <w14:textFill>
            <w14:solidFill>
              <w14:schemeClr w14:val="tx1"/>
            </w14:solidFill>
          </w14:textFill>
        </w:rPr>
        <w:t>不足2日的，采购人或者</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将顺延提交投标文件的截止时间。</w:t>
      </w:r>
    </w:p>
    <w:p w14:paraId="34A8D94B">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三、投标文件的编制</w:t>
      </w:r>
    </w:p>
    <w:p w14:paraId="1F5CC61F">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6.投标文件编制要求</w:t>
      </w:r>
    </w:p>
    <w:p w14:paraId="13CFAAE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6.1投标人编写的文件和往来信件应以简体中文书写。如果投标文件或与投标有关的其它文件、信件及来往函电以其它语言书写的，投标人应将其译成中文，如未翻译该文件为无效文件。</w:t>
      </w:r>
    </w:p>
    <w:p w14:paraId="7891BC9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6.2投标文件中使用的计量单位应使用中华人民共和国法定计量单位。</w:t>
      </w:r>
    </w:p>
    <w:p w14:paraId="77310A6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6.3投标人必须保证投标文件所提供的全部资料真实可靠，并接受采购人或</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对其中任何资料进一步核实的要求。如果因为投标文件填报的内容不详，或没有提供招标文件中所要求的全部资料及数据，或提供虚假文件，由此造成的后果由投标人自负。</w:t>
      </w:r>
    </w:p>
    <w:p w14:paraId="5CEB378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6.4投标人应按招标文件中提供的投标文件格式（详见第五部分 投标（响应）文件格式）按包段编写投标文件，并使用A4规格编制。投标文件应编写目录，具有结构清晰的文档结构图（打开word视图中的“文档结构图”后能看到详细章节），页码连续。</w:t>
      </w:r>
    </w:p>
    <w:p w14:paraId="6BBA0B4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6.5</w:t>
      </w:r>
      <w:r>
        <w:rPr>
          <w:rFonts w:hint="eastAsia" w:ascii="仿宋_GB2312" w:hAnsi="宋体" w:eastAsia="仿宋_GB2312"/>
          <w:color w:val="000000" w:themeColor="text1"/>
          <w:sz w:val="28"/>
          <w:szCs w:val="28"/>
          <w:highlight w:val="none"/>
          <w14:textFill>
            <w14:solidFill>
              <w14:schemeClr w14:val="tx1"/>
            </w14:solidFill>
          </w14:textFill>
        </w:rPr>
        <w:t>投标人按照采购文件要求所提供的各种证明文件必须真实且合法有效,经扫描后粘贴到响应文件的相关页上，确保清晰度可辨认，评审时由于无法辨认所产生的后果，由投标人自行承担。</w:t>
      </w:r>
    </w:p>
    <w:p w14:paraId="7AB3AE74">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6.6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000000" w:themeColor="text1"/>
          <w:sz w:val="28"/>
          <w:szCs w:val="28"/>
          <w:highlight w:val="none"/>
          <w14:textFill>
            <w14:solidFill>
              <w14:schemeClr w14:val="tx1"/>
            </w14:solidFill>
          </w14:textFill>
        </w:rPr>
        <w:t>对于不涉及或无法填写的评审项（评分项）（例如：报价），可在页码索引处填写1。</w:t>
      </w:r>
    </w:p>
    <w:p w14:paraId="67DD5F3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6.7为了保证系统整体效率，系统对所投递的电子文件有大小的限制，因此，投标人应尽可能降低本文件的大小，小尺寸投标文件将使递交更快捷、减少差错发生几率，避免投标截止时间前未能完整上传文件。</w:t>
      </w:r>
    </w:p>
    <w:p w14:paraId="4825177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6.8投标文件具有法律效力，投标人与</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或采购人任何人的口头协议不影响投标文件的任何条款和内容。</w:t>
      </w:r>
    </w:p>
    <w:p w14:paraId="6412079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6.9采购人或</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均无义务向投标人解释其中标或未中标的原因，且无论投标人是否中标，投标人所递交的投标文件均不予退还，不提供副本拷贝。</w:t>
      </w:r>
    </w:p>
    <w:p w14:paraId="1F5A267B">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7.数据文件编制要求</w:t>
      </w:r>
    </w:p>
    <w:p w14:paraId="5465985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7.1投标人须从所投项目的招标文件压缩包内对应包段目录下获取本文件</w:t>
      </w:r>
      <w:r>
        <w:rPr>
          <w:rFonts w:hint="eastAsia" w:ascii="仿宋_GB2312" w:hAnsi="宋体" w:eastAsia="仿宋_GB2312"/>
          <w:color w:val="000000" w:themeColor="text1"/>
          <w:sz w:val="28"/>
          <w:szCs w:val="28"/>
          <w:highlight w:val="none"/>
          <w14:textFill>
            <w14:solidFill>
              <w14:schemeClr w14:val="tx1"/>
            </w14:solidFill>
          </w14:textFill>
        </w:rPr>
        <w:t>（变更后的数据文件需要重新下载）</w:t>
      </w:r>
      <w:r>
        <w:rPr>
          <w:rFonts w:hint="eastAsia" w:ascii="仿宋_GB2312" w:hAnsi="仿宋" w:eastAsia="仿宋_GB2312" w:cs="宋体"/>
          <w:color w:val="000000" w:themeColor="text1"/>
          <w:sz w:val="28"/>
          <w:szCs w:val="28"/>
          <w:highlight w:val="none"/>
          <w14:textFill>
            <w14:solidFill>
              <w14:schemeClr w14:val="tx1"/>
            </w14:solidFill>
          </w14:textFill>
        </w:rPr>
        <w:t>，必须在原文件上严格按照其中要求填写，其内部已约定好固定格式和相关内容，且带有特定的唯一性数字指纹，对采用非该文件基础上编制或对该文件进行任何工作表、表格行、表格列的增减</w:t>
      </w:r>
      <w:r>
        <w:rPr>
          <w:rFonts w:ascii="Calibri" w:hAnsi="Calibri" w:eastAsia="仿宋_GB2312" w:cs="宋体"/>
          <w:color w:val="000000" w:themeColor="text1"/>
          <w:sz w:val="28"/>
          <w:szCs w:val="28"/>
          <w:highlight w:val="none"/>
          <w14:textFill>
            <w14:solidFill>
              <w14:schemeClr w14:val="tx1"/>
            </w14:solidFill>
          </w14:textFill>
        </w:rPr>
        <w:t>、对工作表先后顺序的变动，</w:t>
      </w:r>
      <w:r>
        <w:rPr>
          <w:rFonts w:hint="eastAsia" w:ascii="仿宋_GB2312" w:hAnsi="仿宋" w:eastAsia="仿宋_GB2312" w:cs="宋体"/>
          <w:color w:val="000000" w:themeColor="text1"/>
          <w:sz w:val="28"/>
          <w:szCs w:val="28"/>
          <w:highlight w:val="none"/>
          <w14:textFill>
            <w14:solidFill>
              <w14:schemeClr w14:val="tx1"/>
            </w14:solidFill>
          </w14:textFill>
        </w:rPr>
        <w:t>以及对锁定区域内的数据进行更改、</w:t>
      </w:r>
      <w:r>
        <w:rPr>
          <w:rFonts w:hint="eastAsia" w:ascii="仿宋_GB2312" w:hAnsi="仿宋" w:eastAsia="仿宋_GB2312" w:cs="宋体"/>
          <w:b/>
          <w:color w:val="000000" w:themeColor="text1"/>
          <w:sz w:val="28"/>
          <w:szCs w:val="28"/>
          <w:highlight w:val="none"/>
          <w14:textFill>
            <w14:solidFill>
              <w14:schemeClr w14:val="tx1"/>
            </w14:solidFill>
          </w14:textFill>
        </w:rPr>
        <w:t>文件另存到其他文件</w:t>
      </w:r>
      <w:r>
        <w:rPr>
          <w:rFonts w:hint="eastAsia" w:ascii="仿宋_GB2312" w:hAnsi="仿宋" w:eastAsia="仿宋_GB2312" w:cs="宋体"/>
          <w:color w:val="000000" w:themeColor="text1"/>
          <w:sz w:val="28"/>
          <w:szCs w:val="28"/>
          <w:highlight w:val="none"/>
          <w14:textFill>
            <w14:solidFill>
              <w14:schemeClr w14:val="tx1"/>
            </w14:solidFill>
          </w14:textFill>
        </w:rPr>
        <w:t>等违规性操作，都会破坏本文件中的数字指纹，导致系统无法接收该文件使其</w:t>
      </w:r>
      <w:r>
        <w:rPr>
          <w:rFonts w:hint="eastAsia" w:ascii="仿宋_GB2312" w:hAnsi="仿宋" w:eastAsia="仿宋_GB2312" w:cs="宋体"/>
          <w:b/>
          <w:color w:val="000000" w:themeColor="text1"/>
          <w:sz w:val="28"/>
          <w:szCs w:val="28"/>
          <w:highlight w:val="none"/>
          <w14:textFill>
            <w14:solidFill>
              <w14:schemeClr w14:val="tx1"/>
            </w14:solidFill>
          </w14:textFill>
        </w:rPr>
        <w:t>投标失败</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3575257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7.2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000000" w:themeColor="text1"/>
          <w:sz w:val="28"/>
          <w:szCs w:val="28"/>
          <w:highlight w:val="none"/>
          <w14:textFill>
            <w14:solidFill>
              <w14:schemeClr w14:val="tx1"/>
            </w14:solidFill>
          </w14:textFill>
        </w:rPr>
        <w:t>投标失败</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755FA28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7.3投标人在对数据文件电子签章前，应按照上述2项的要求进行认真检查、确认。因投标人自身原因所导致其投标失败的，须自行承担相关责任。</w:t>
      </w:r>
    </w:p>
    <w:p w14:paraId="7F4B69D7">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8.文件构成</w:t>
      </w:r>
    </w:p>
    <w:p w14:paraId="6DAF4E6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投标人应按不同包段分别编制投标文件，每个包段的投标文件分两册必须包括：投标文件（pdf格式）（第一册）、数据文件（PDF格式）（第二册），以上内容缺一不可，否则为</w:t>
      </w:r>
      <w:r>
        <w:rPr>
          <w:rFonts w:hint="eastAsia" w:ascii="仿宋_GB2312" w:hAnsi="仿宋" w:eastAsia="仿宋_GB2312" w:cs="宋体"/>
          <w:b/>
          <w:color w:val="000000" w:themeColor="text1"/>
          <w:sz w:val="28"/>
          <w:szCs w:val="28"/>
          <w:highlight w:val="none"/>
          <w14:textFill>
            <w14:solidFill>
              <w14:schemeClr w14:val="tx1"/>
            </w14:solidFill>
          </w14:textFill>
        </w:rPr>
        <w:t>无效投标（响应）</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6C833CB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8.1投标人编制的投标文件（pdf格式）（第一册）应包括但不少于下列内容：</w:t>
      </w:r>
    </w:p>
    <w:p w14:paraId="54830DA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（1）投标文件封面（格式见本文件第五章）</w:t>
      </w:r>
    </w:p>
    <w:p w14:paraId="62195DD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（2）投标文件目录</w:t>
      </w:r>
    </w:p>
    <w:p w14:paraId="447E3DF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（3）投标承诺函（格式见本文件第五章）</w:t>
      </w:r>
    </w:p>
    <w:p w14:paraId="1AAE56C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（4）投标人资格证明文件</w:t>
      </w:r>
    </w:p>
    <w:p w14:paraId="45B6A1DF">
      <w:pPr>
        <w:spacing w:line="560" w:lineRule="exact"/>
        <w:ind w:firstLine="562" w:firstLineChars="201"/>
        <w:rPr>
          <w:rFonts w:hint="eastAsia" w:ascii="仿宋_GB2312" w:hAnsi="仿宋" w:eastAsia="仿宋_GB2312" w:cs="宋体"/>
          <w:color w:val="000000" w:themeColor="text1"/>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①有效的营业执照副本扫描件；或其他能证明具有独立承担民事责任能力的材料扫描件</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（银行、保险、石油石化、电力、电信等特殊行业，分公司参与投标（响应）的，须提供总公司的授权）；</w:t>
      </w:r>
    </w:p>
    <w:p w14:paraId="1712C7D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②法定代表人授权委托书；被授权人身份证扫描件；</w:t>
      </w:r>
    </w:p>
    <w:p w14:paraId="1922F80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若投标单位代表为企业法定代表人/依法登记的负责人的，则只需提供企业法定代表人/依法登记的负责人身份证扫描件；</w:t>
      </w:r>
    </w:p>
    <w:p w14:paraId="52EB538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③投标人的依法交纳税收和社会保障资金的声明（格式自拟）；近期的完税凭证扫描件及交纳社保资金凭证的扫描件</w:t>
      </w: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（无须缴纳税收的投标人须提供税务部门开具的无欠税证明）</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7BDAABE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④投标人近3年内在经营活动中没有重大违法记录的声明（格式见本文件第五章），如不提供视为</w:t>
      </w:r>
      <w:r>
        <w:rPr>
          <w:rFonts w:hint="eastAsia" w:ascii="仿宋_GB2312" w:hAnsi="仿宋" w:eastAsia="仿宋_GB2312" w:cs="宋体"/>
          <w:b/>
          <w:color w:val="000000" w:themeColor="text1"/>
          <w:sz w:val="28"/>
          <w:szCs w:val="28"/>
          <w:highlight w:val="none"/>
          <w14:textFill>
            <w14:solidFill>
              <w14:schemeClr w14:val="tx1"/>
            </w14:solidFill>
          </w14:textFill>
        </w:rPr>
        <w:t>无效投标（响应）</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0331F68F">
      <w:pPr>
        <w:pStyle w:val="13"/>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⑤投标人、法定代表人（依法登记的负责人）、授权委托人未被最高法院列入失信被执行人截图（网址http://zxgk.court.gov.cn/zhzxgk/）</w:t>
      </w:r>
    </w:p>
    <w:p w14:paraId="4711731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⑥招标文件公告中要求的有关资质资格文件。</w:t>
      </w:r>
    </w:p>
    <w:p w14:paraId="0FAB0B3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⑦投标人认为需要提供的资质资格证明文件。</w:t>
      </w:r>
    </w:p>
    <w:p w14:paraId="51A6666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bookmarkStart w:id="13" w:name="OLE_LINK52"/>
      <w:bookmarkStart w:id="14" w:name="OLE_LINK53"/>
      <w:r>
        <w:rPr>
          <w:rFonts w:hint="eastAsia" w:ascii="仿宋_GB2312" w:hAnsi="仿宋" w:eastAsia="仿宋_GB2312" w:cs="宋体"/>
          <w:color w:val="000000" w:themeColor="text1"/>
          <w:sz w:val="28"/>
          <w:szCs w:val="28"/>
          <w:highlight w:val="none"/>
          <w14:textFill>
            <w14:solidFill>
              <w14:schemeClr w14:val="tx1"/>
            </w14:solidFill>
          </w14:textFill>
        </w:rPr>
        <w:t>以上所有资质资格证明文件均需加盖投标人签章</w:t>
      </w:r>
      <w:bookmarkEnd w:id="13"/>
      <w:bookmarkEnd w:id="14"/>
      <w:r>
        <w:rPr>
          <w:rFonts w:hint="eastAsia" w:ascii="仿宋_GB2312" w:hAnsi="仿宋" w:eastAsia="仿宋_GB2312" w:cs="宋体"/>
          <w:color w:val="000000" w:themeColor="text1"/>
          <w:sz w:val="28"/>
          <w:szCs w:val="28"/>
          <w:highlight w:val="none"/>
          <w14:textFill>
            <w14:solidFill>
              <w14:schemeClr w14:val="tx1"/>
            </w14:solidFill>
          </w14:textFill>
        </w:rPr>
        <w:t>。</w:t>
      </w:r>
    </w:p>
    <w:p w14:paraId="045F602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（5）财务状况报告等相关材料</w:t>
      </w:r>
    </w:p>
    <w:p w14:paraId="6C9753F3">
      <w:pPr>
        <w:spacing w:line="560" w:lineRule="exact"/>
        <w:ind w:firstLine="562" w:firstLineChars="201"/>
        <w:rPr>
          <w:rFonts w:hint="eastAsia"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A. 投标人自行编制的</w:t>
      </w: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近一年度（2025年度）</w:t>
      </w:r>
      <w:r>
        <w:rPr>
          <w:rFonts w:hint="eastAsia" w:ascii="仿宋_GB2312" w:hAnsi="仿宋" w:eastAsia="仿宋_GB2312" w:cs="宋体"/>
          <w:color w:val="000000" w:themeColor="text1"/>
          <w:sz w:val="28"/>
          <w:szCs w:val="28"/>
          <w:highlight w:val="none"/>
          <w14:textFill>
            <w14:solidFill>
              <w14:schemeClr w14:val="tx1"/>
            </w14:solidFill>
          </w14:textFill>
        </w:rPr>
        <w:t>公司财务报表或由中介机构出具的</w:t>
      </w: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近一</w:t>
      </w:r>
      <w:r>
        <w:rPr>
          <w:rFonts w:hint="eastAsia" w:ascii="仿宋_GB2312" w:hAnsi="仿宋" w:eastAsia="仿宋_GB2312" w:cs="宋体"/>
          <w:color w:val="000000" w:themeColor="text1"/>
          <w:sz w:val="28"/>
          <w:szCs w:val="28"/>
          <w:highlight w:val="none"/>
          <w14:textFill>
            <w14:solidFill>
              <w14:schemeClr w14:val="tx1"/>
            </w14:solidFill>
          </w14:textFill>
        </w:rPr>
        <w:t>年度</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w:t>
      </w: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2025年度</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w:t>
      </w:r>
      <w:r>
        <w:rPr>
          <w:rFonts w:hint="eastAsia" w:ascii="仿宋_GB2312" w:hAnsi="仿宋" w:eastAsia="仿宋_GB2312" w:cs="宋体"/>
          <w:color w:val="000000" w:themeColor="text1"/>
          <w:sz w:val="28"/>
          <w:szCs w:val="28"/>
          <w:highlight w:val="none"/>
          <w14:textFill>
            <w14:solidFill>
              <w14:schemeClr w14:val="tx1"/>
            </w14:solidFill>
          </w14:textFill>
        </w:rPr>
        <w:t>财务审计报告书扫描件（</w:t>
      </w: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成立不到一年的，提供自成立时间以来的财务报表即可）；</w:t>
      </w:r>
    </w:p>
    <w:p w14:paraId="54F4BC1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B.</w:t>
      </w:r>
      <w:r>
        <w:rPr>
          <w:rFonts w:hint="eastAsia" w:ascii="仿宋_GB2312" w:hAnsi="宋体" w:eastAsia="仿宋_GB2312"/>
          <w:color w:val="000000" w:themeColor="text1"/>
          <w:sz w:val="28"/>
          <w:szCs w:val="28"/>
          <w:highlight w:val="none"/>
          <w14:textFill>
            <w14:solidFill>
              <w14:schemeClr w14:val="tx1"/>
            </w14:solidFill>
          </w14:textFill>
        </w:rPr>
        <w:t>银行出具的有效期内的资信证明扫描件</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4FE3802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注：A、B两项提供任意一项均可。</w:t>
      </w:r>
    </w:p>
    <w:p w14:paraId="3C47809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以上证明文件均需加盖投标人签章</w:t>
      </w:r>
    </w:p>
    <w:p w14:paraId="3DCC359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（6）投标人基本情况（格式见本文件第五章）</w:t>
      </w:r>
    </w:p>
    <w:p w14:paraId="50D1960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（7）技术文件，包括但不限于以下内容:</w:t>
      </w:r>
    </w:p>
    <w:p w14:paraId="44AB7B25">
      <w:pPr>
        <w:spacing w:line="560" w:lineRule="exact"/>
        <w:ind w:firstLine="562" w:firstLineChars="201"/>
        <w:rPr>
          <w:rFonts w:hint="eastAsia" w:ascii="仿宋_GB2312" w:hAnsi="仿宋" w:eastAsia="仿宋_GB2312" w:cs="宋体"/>
          <w:color w:val="000000" w:themeColor="text1"/>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①</w:t>
      </w:r>
      <w:r>
        <w:rPr>
          <w:rFonts w:hint="eastAsia" w:ascii="仿宋_GB2312" w:hAnsi="仿宋" w:eastAsia="仿宋_GB2312" w:cs="宋体"/>
          <w:color w:val="000000" w:themeColor="text1"/>
          <w:sz w:val="28"/>
          <w:szCs w:val="28"/>
          <w:highlight w:val="none"/>
          <w14:textFill>
            <w14:solidFill>
              <w14:schemeClr w14:val="tx1"/>
            </w14:solidFill>
          </w14:textFill>
        </w:rPr>
        <w:t>系统开发方案</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w:t>
      </w:r>
    </w:p>
    <w:p w14:paraId="4F4BF144">
      <w:pPr>
        <w:spacing w:line="560" w:lineRule="exact"/>
        <w:ind w:firstLine="562" w:firstLineChars="201"/>
        <w:rPr>
          <w:rFonts w:hint="eastAsia" w:ascii="仿宋_GB2312" w:hAnsi="仿宋" w:eastAsia="仿宋_GB2312" w:cs="宋体"/>
          <w:color w:val="000000" w:themeColor="text1"/>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②</w:t>
      </w:r>
      <w:r>
        <w:rPr>
          <w:rFonts w:hint="eastAsia" w:ascii="仿宋_GB2312" w:hAnsi="仿宋" w:eastAsia="仿宋_GB2312" w:cs="宋体"/>
          <w:color w:val="000000" w:themeColor="text1"/>
          <w:sz w:val="28"/>
          <w:szCs w:val="28"/>
          <w:highlight w:val="none"/>
          <w14:textFill>
            <w14:solidFill>
              <w14:schemeClr w14:val="tx1"/>
            </w14:solidFill>
          </w14:textFill>
        </w:rPr>
        <w:t>项目实施方案</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w:t>
      </w:r>
    </w:p>
    <w:p w14:paraId="48F47D88">
      <w:pPr>
        <w:spacing w:line="560" w:lineRule="exact"/>
        <w:ind w:firstLine="562" w:firstLineChars="201"/>
        <w:rPr>
          <w:rFonts w:hint="eastAsia" w:ascii="仿宋_GB2312" w:hAnsi="仿宋" w:eastAsia="仿宋_GB2312" w:cs="宋体"/>
          <w:color w:val="000000" w:themeColor="text1"/>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③</w:t>
      </w:r>
      <w:r>
        <w:rPr>
          <w:rFonts w:hint="eastAsia" w:ascii="仿宋_GB2312" w:hAnsi="仿宋" w:eastAsia="仿宋_GB2312" w:cs="宋体"/>
          <w:color w:val="000000" w:themeColor="text1"/>
          <w:sz w:val="28"/>
          <w:szCs w:val="28"/>
          <w:highlight w:val="none"/>
          <w14:textFill>
            <w14:solidFill>
              <w14:schemeClr w14:val="tx1"/>
            </w14:solidFill>
          </w14:textFill>
        </w:rPr>
        <w:t>拟派团队</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w:t>
      </w:r>
    </w:p>
    <w:p w14:paraId="5670A1D0">
      <w:pPr>
        <w:spacing w:line="560" w:lineRule="exact"/>
        <w:ind w:firstLine="562" w:firstLineChars="201"/>
        <w:rPr>
          <w:rFonts w:hint="eastAsia" w:ascii="仿宋_GB2312" w:hAnsi="仿宋" w:eastAsia="仿宋_GB2312" w:cs="宋体"/>
          <w:color w:val="000000" w:themeColor="text1"/>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④</w:t>
      </w:r>
      <w:r>
        <w:rPr>
          <w:rFonts w:hint="eastAsia" w:ascii="仿宋_GB2312" w:hAnsi="仿宋" w:eastAsia="仿宋_GB2312" w:cs="宋体"/>
          <w:color w:val="000000" w:themeColor="text1"/>
          <w:sz w:val="28"/>
          <w:szCs w:val="28"/>
          <w:highlight w:val="none"/>
          <w14:textFill>
            <w14:solidFill>
              <w14:schemeClr w14:val="tx1"/>
            </w14:solidFill>
          </w14:textFill>
        </w:rPr>
        <w:t>内部管控及应急处理方案</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w:t>
      </w:r>
    </w:p>
    <w:p w14:paraId="51F5048A">
      <w:pPr>
        <w:spacing w:line="560" w:lineRule="exact"/>
        <w:ind w:firstLine="562" w:firstLineChars="201"/>
        <w:rPr>
          <w:rFonts w:hint="eastAsia" w:ascii="仿宋_GB2312" w:hAnsi="仿宋" w:eastAsia="仿宋_GB2312" w:cs="宋体"/>
          <w:color w:val="000000" w:themeColor="text1"/>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⑤</w:t>
      </w:r>
      <w:r>
        <w:rPr>
          <w:rFonts w:hint="eastAsia" w:ascii="仿宋_GB2312" w:hAnsi="仿宋" w:eastAsia="仿宋_GB2312" w:cs="宋体"/>
          <w:color w:val="000000" w:themeColor="text1"/>
          <w:sz w:val="28"/>
          <w:szCs w:val="28"/>
          <w:highlight w:val="none"/>
          <w14:textFill>
            <w14:solidFill>
              <w14:schemeClr w14:val="tx1"/>
            </w14:solidFill>
          </w14:textFill>
        </w:rPr>
        <w:t>档案管理及数据保密措施</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w:t>
      </w:r>
    </w:p>
    <w:p w14:paraId="4DD73E24">
      <w:pPr>
        <w:spacing w:line="560" w:lineRule="exact"/>
        <w:ind w:firstLine="562" w:firstLineChars="201"/>
        <w:rPr>
          <w:rFonts w:hint="eastAsia" w:ascii="仿宋_GB2312" w:hAnsi="仿宋" w:eastAsia="仿宋_GB2312" w:cs="宋体"/>
          <w:color w:val="000000" w:themeColor="text1"/>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⑥</w:t>
      </w:r>
      <w:r>
        <w:rPr>
          <w:rFonts w:hint="eastAsia" w:ascii="仿宋_GB2312" w:hAnsi="仿宋" w:eastAsia="仿宋_GB2312" w:cs="宋体"/>
          <w:color w:val="000000" w:themeColor="text1"/>
          <w:sz w:val="28"/>
          <w:szCs w:val="28"/>
          <w:highlight w:val="none"/>
          <w14:textFill>
            <w14:solidFill>
              <w14:schemeClr w14:val="tx1"/>
            </w14:solidFill>
          </w14:textFill>
        </w:rPr>
        <w:t>售后服务承诺</w:t>
      </w:r>
      <w:r>
        <w:rPr>
          <w:rFonts w:hint="eastAsia" w:ascii="仿宋_GB2312" w:hAnsi="仿宋" w:eastAsia="仿宋_GB2312" w:cs="宋体"/>
          <w:color w:val="000000" w:themeColor="text1"/>
          <w:sz w:val="28"/>
          <w:szCs w:val="28"/>
          <w:highlight w:val="none"/>
          <w:lang w:eastAsia="zh-CN"/>
          <w14:textFill>
            <w14:solidFill>
              <w14:schemeClr w14:val="tx1"/>
            </w14:solidFill>
          </w14:textFill>
        </w:rPr>
        <w:t>；</w:t>
      </w:r>
    </w:p>
    <w:p w14:paraId="5DB62F6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⑦根据招标文件第四部分采购项目说明提供的技术文件；</w:t>
      </w:r>
    </w:p>
    <w:p w14:paraId="49C8A70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⑧根据招标文件评标标准要求提供的相关技术文件。</w:t>
      </w:r>
    </w:p>
    <w:p w14:paraId="1789904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（8）投标人2023年至今类似项目业绩；</w:t>
      </w:r>
    </w:p>
    <w:p w14:paraId="675D074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（9）要求采购人提供的配合；</w:t>
      </w:r>
    </w:p>
    <w:p w14:paraId="044EACE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8.2数据文件（PDF格式）（第二册）</w:t>
      </w:r>
    </w:p>
    <w:p w14:paraId="3E300ED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w:t>
      </w:r>
      <w:r>
        <w:rPr>
          <w:rFonts w:hint="eastAsia" w:ascii="仿宋_GB2312" w:hAnsi="仿宋" w:eastAsia="仿宋_GB2312" w:cs="宋体"/>
          <w:b/>
          <w:color w:val="000000" w:themeColor="text1"/>
          <w:sz w:val="28"/>
          <w:szCs w:val="28"/>
          <w:highlight w:val="none"/>
          <w14:textFill>
            <w14:solidFill>
              <w14:schemeClr w14:val="tx1"/>
            </w14:solidFill>
          </w14:textFill>
        </w:rPr>
        <w:t>无效投标（响应）</w:t>
      </w:r>
      <w:r>
        <w:rPr>
          <w:rFonts w:hint="eastAsia" w:ascii="仿宋_GB2312" w:hAnsi="仿宋" w:eastAsia="仿宋_GB2312" w:cs="宋体"/>
          <w:color w:val="000000" w:themeColor="text1"/>
          <w:sz w:val="28"/>
          <w:szCs w:val="28"/>
          <w:highlight w:val="none"/>
          <w14:textFill>
            <w14:solidFill>
              <w14:schemeClr w14:val="tx1"/>
            </w14:solidFill>
          </w14:textFill>
        </w:rPr>
        <w:t>。数据文件（PDF格式）包含下列内容：</w:t>
      </w:r>
    </w:p>
    <w:p w14:paraId="0695C35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（1）封面</w:t>
      </w:r>
    </w:p>
    <w:p w14:paraId="463E161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（2）投标报价表（含明细）</w:t>
      </w:r>
    </w:p>
    <w:p w14:paraId="13987A3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（3）需求响应表（如有）</w:t>
      </w:r>
    </w:p>
    <w:p w14:paraId="576FF500">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9.投标报价</w:t>
      </w:r>
    </w:p>
    <w:p w14:paraId="52D2233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9.1投标人所提供的服务均以人民币报价，精确到小数点后两位。</w:t>
      </w:r>
    </w:p>
    <w:p w14:paraId="7A0F96A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9.2投标人应按照“第三部分采购内容与要求”的服务内容、责任范围以及合同条款进行报价。并按数据文件中“投标报价表（含明细）”规定的格式报出分项价格和总价。</w:t>
      </w:r>
    </w:p>
    <w:p w14:paraId="502E3AB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9.3投标人应按数据文件“投标报价表（含明细）”要求的统一格式填写，并加盖电子公章。</w:t>
      </w:r>
    </w:p>
    <w:p w14:paraId="360DDC9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9.4《投标报价表（含明细）》填写时应响应下列要求：</w:t>
      </w:r>
    </w:p>
    <w:p w14:paraId="6165F59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（1）所有根据合同或其它原因应由投标人支付的税款和其它应交纳的费用都要包括在投标人提交的报价中；</w:t>
      </w:r>
    </w:p>
    <w:p w14:paraId="4142B4C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w:t>
      </w: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本项目为交钥匙项目，</w:t>
      </w:r>
      <w:r>
        <w:rPr>
          <w:rFonts w:hint="eastAsia" w:ascii="仿宋_GB2312" w:hAnsi="仿宋" w:eastAsia="仿宋_GB2312" w:cs="宋体"/>
          <w:color w:val="000000" w:themeColor="text1"/>
          <w:sz w:val="28"/>
          <w:szCs w:val="28"/>
          <w:highlight w:val="none"/>
          <w14:textFill>
            <w14:solidFill>
              <w14:schemeClr w14:val="tx1"/>
            </w14:solidFill>
          </w14:textFill>
        </w:rPr>
        <w:t>投标人应对本次招标的全部内容以进行报价，包括</w:t>
      </w:r>
      <w:r>
        <w:rPr>
          <w:rFonts w:hint="eastAsia" w:ascii="仿宋_GB2312" w:hAnsi="仿宋" w:eastAsia="仿宋_GB2312" w:cs="宋体"/>
          <w:color w:val="000000" w:themeColor="text1"/>
          <w:sz w:val="28"/>
          <w:szCs w:val="28"/>
          <w:highlight w:val="none"/>
          <w14:textFill>
            <w14:solidFill>
              <w14:schemeClr w14:val="tx1"/>
            </w14:solidFill>
          </w14:textFill>
        </w:rPr>
        <w:t>系统及运行调试、</w:t>
      </w: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人工、设备费、</w:t>
      </w:r>
      <w:r>
        <w:rPr>
          <w:rFonts w:hint="eastAsia" w:ascii="仿宋_GB2312" w:hAnsi="仿宋" w:eastAsia="仿宋_GB2312" w:cs="宋体"/>
          <w:color w:val="000000" w:themeColor="text1"/>
          <w:sz w:val="28"/>
          <w:szCs w:val="28"/>
          <w:highlight w:val="none"/>
          <w14:textFill>
            <w14:solidFill>
              <w14:schemeClr w14:val="tx1"/>
            </w14:solidFill>
          </w14:textFill>
        </w:rPr>
        <w:t>维护费、通讯费、交通费、住宿费、技术培训、管理、保险、验收、</w:t>
      </w:r>
      <w:r>
        <w:rPr>
          <w:rFonts w:hint="eastAsia" w:ascii="仿宋_GB2312" w:hAnsi="仿宋" w:eastAsia="仿宋_GB2312" w:cs="宋体"/>
          <w:color w:val="000000" w:themeColor="text1"/>
          <w:sz w:val="28"/>
          <w:szCs w:val="28"/>
          <w:highlight w:val="none"/>
          <w:lang w:val="en-US" w:eastAsia="zh-CN"/>
          <w14:textFill>
            <w14:solidFill>
              <w14:schemeClr w14:val="tx1"/>
            </w14:solidFill>
          </w14:textFill>
        </w:rPr>
        <w:t>售后服务、</w:t>
      </w:r>
      <w:r>
        <w:rPr>
          <w:rFonts w:hint="eastAsia" w:ascii="仿宋_GB2312" w:hAnsi="仿宋" w:eastAsia="仿宋_GB2312" w:cs="宋体"/>
          <w:color w:val="000000" w:themeColor="text1"/>
          <w:sz w:val="28"/>
          <w:szCs w:val="28"/>
          <w:highlight w:val="none"/>
          <w14:textFill>
            <w14:solidFill>
              <w14:schemeClr w14:val="tx1"/>
            </w14:solidFill>
          </w14:textFill>
        </w:rPr>
        <w:t>利润、税金及附带服务等全部费用</w:t>
      </w:r>
      <w:r>
        <w:rPr>
          <w:rFonts w:hint="eastAsia" w:ascii="仿宋_GB2312" w:hAnsi="仿宋" w:eastAsia="仿宋_GB2312" w:cs="宋体"/>
          <w:color w:val="000000" w:themeColor="text1"/>
          <w:sz w:val="28"/>
          <w:szCs w:val="28"/>
          <w:highlight w:val="none"/>
          <w14:textFill>
            <w14:solidFill>
              <w14:schemeClr w14:val="tx1"/>
            </w14:solidFill>
          </w14:textFill>
        </w:rPr>
        <w:t>，以人民币为结算单位，投标报价中免费提供的项目，应注明免费。</w:t>
      </w:r>
    </w:p>
    <w:p w14:paraId="0C8453A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（3）投标人应对本次招标的全部内容进行报价，缺项报价投标无效。如因投标人自身的原因报价失误而造成的损失，由投标人自行承担。</w:t>
      </w:r>
    </w:p>
    <w:p w14:paraId="219EF91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（4）投标人须严格按照报价明细表说明进行填写，报价明细表中 “*”是必填项，任何必填项为空时都可能导致本次投标无效。</w:t>
      </w:r>
    </w:p>
    <w:p w14:paraId="1767BFC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（5）《投标报价表（含明细）》中“投标产品的型号”，型号填写的一般规则为：品牌+产品型号。否则会因非实质性响应而被拒绝；</w:t>
      </w:r>
    </w:p>
    <w:p w14:paraId="51DFE4E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（6）《投标报价表（含明细）》中合价将由单价*数量自动计算，无需手工录入。</w:t>
      </w:r>
    </w:p>
    <w:p w14:paraId="4FB31BA4">
      <w:pPr>
        <w:spacing w:line="560" w:lineRule="exact"/>
        <w:ind w:firstLine="560" w:firstLineChars="200"/>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9</w:t>
      </w:r>
      <w:r>
        <w:rPr>
          <w:rFonts w:ascii="仿宋_GB2312" w:hAnsi="仿宋" w:eastAsia="仿宋_GB2312" w:cs="宋体"/>
          <w:color w:val="000000" w:themeColor="text1"/>
          <w:sz w:val="28"/>
          <w:szCs w:val="28"/>
          <w:highlight w:val="none"/>
          <w14:textFill>
            <w14:solidFill>
              <w14:schemeClr w14:val="tx1"/>
            </w14:solidFill>
          </w14:textFill>
        </w:rPr>
        <w:t>.5《需求响应表</w:t>
      </w:r>
      <w:r>
        <w:rPr>
          <w:rFonts w:hint="eastAsia" w:ascii="仿宋_GB2312" w:hAnsi="仿宋" w:eastAsia="仿宋_GB2312" w:cs="宋体"/>
          <w:color w:val="000000" w:themeColor="text1"/>
          <w:sz w:val="28"/>
          <w:szCs w:val="28"/>
          <w:highlight w:val="none"/>
          <w14:textFill>
            <w14:solidFill>
              <w14:schemeClr w14:val="tx1"/>
            </w14:solidFill>
          </w14:textFill>
        </w:rPr>
        <w:t>》</w:t>
      </w:r>
      <w:r>
        <w:rPr>
          <w:rFonts w:ascii="仿宋_GB2312" w:hAnsi="仿宋" w:eastAsia="仿宋_GB2312" w:cs="宋体"/>
          <w:color w:val="000000" w:themeColor="text1"/>
          <w:sz w:val="28"/>
          <w:szCs w:val="28"/>
          <w:highlight w:val="none"/>
          <w14:textFill>
            <w14:solidFill>
              <w14:schemeClr w14:val="tx1"/>
            </w14:solidFill>
          </w14:textFill>
        </w:rPr>
        <w:t>（如有）填写时应响应下列要求：</w:t>
      </w:r>
    </w:p>
    <w:p w14:paraId="49BEA537">
      <w:pPr>
        <w:spacing w:line="560" w:lineRule="exact"/>
        <w:ind w:firstLine="560" w:firstLineChars="200"/>
        <w:rPr>
          <w:rFonts w:ascii="仿宋_GB2312" w:hAnsi="仿宋" w:eastAsia="仿宋_GB2312" w:cs="宋体"/>
          <w:color w:val="000000" w:themeColor="text1"/>
          <w:sz w:val="28"/>
          <w:szCs w:val="28"/>
          <w:highlight w:val="none"/>
          <w14:textFill>
            <w14:solidFill>
              <w14:schemeClr w14:val="tx1"/>
            </w14:solidFill>
          </w14:textFill>
        </w:rPr>
      </w:pPr>
      <w:r>
        <w:rPr>
          <w:rFonts w:ascii="仿宋_GB2312" w:hAnsi="仿宋" w:eastAsia="仿宋_GB2312" w:cs="宋体"/>
          <w:color w:val="000000" w:themeColor="text1"/>
          <w:sz w:val="28"/>
          <w:szCs w:val="28"/>
          <w:highlight w:val="none"/>
          <w14:textFill>
            <w14:solidFill>
              <w14:schemeClr w14:val="tx1"/>
            </w14:solidFill>
          </w14:textFill>
        </w:rPr>
        <w:t>（1）有底色标识的单元格须填写，有“*”的列是必输项，任何必输项为空都可能导致您的本次投标（响应）无效；</w:t>
      </w:r>
    </w:p>
    <w:p w14:paraId="26853835">
      <w:pPr>
        <w:spacing w:line="560" w:lineRule="exact"/>
        <w:ind w:firstLine="560" w:firstLineChars="200"/>
        <w:rPr>
          <w:rFonts w:ascii="仿宋_GB2312" w:hAnsi="仿宋" w:eastAsia="仿宋_GB2312" w:cs="宋体"/>
          <w:color w:val="000000" w:themeColor="text1"/>
          <w:sz w:val="28"/>
          <w:szCs w:val="28"/>
          <w:highlight w:val="none"/>
          <w14:textFill>
            <w14:solidFill>
              <w14:schemeClr w14:val="tx1"/>
            </w14:solidFill>
          </w14:textFill>
        </w:rPr>
      </w:pPr>
      <w:r>
        <w:rPr>
          <w:rFonts w:ascii="仿宋_GB2312" w:hAnsi="仿宋" w:eastAsia="仿宋_GB2312" w:cs="宋体"/>
          <w:color w:val="000000" w:themeColor="text1"/>
          <w:sz w:val="28"/>
          <w:szCs w:val="28"/>
          <w:highlight w:val="none"/>
          <w14:textFill>
            <w14:solidFill>
              <w14:schemeClr w14:val="tx1"/>
            </w14:solidFill>
          </w14:textFill>
        </w:rPr>
        <w:t>（2）如想拷贝数据到某个待填写单元格，应采用选择性粘贴(只粘贴文本)，否则单元格填写无效或被锁死；</w:t>
      </w:r>
    </w:p>
    <w:p w14:paraId="1EBC5A51">
      <w:pPr>
        <w:spacing w:line="560" w:lineRule="exact"/>
        <w:ind w:firstLine="560" w:firstLineChars="200"/>
        <w:rPr>
          <w:rFonts w:ascii="仿宋_GB2312" w:hAnsi="仿宋" w:eastAsia="仿宋_GB2312" w:cs="宋体"/>
          <w:color w:val="000000" w:themeColor="text1"/>
          <w:sz w:val="28"/>
          <w:szCs w:val="28"/>
          <w:highlight w:val="none"/>
          <w14:textFill>
            <w14:solidFill>
              <w14:schemeClr w14:val="tx1"/>
            </w14:solidFill>
          </w14:textFill>
        </w:rPr>
      </w:pPr>
      <w:r>
        <w:rPr>
          <w:rFonts w:ascii="仿宋_GB2312" w:hAnsi="仿宋" w:eastAsia="仿宋_GB2312" w:cs="宋体"/>
          <w:color w:val="000000" w:themeColor="text1"/>
          <w:sz w:val="28"/>
          <w:szCs w:val="28"/>
          <w:highlight w:val="none"/>
          <w14:textFill>
            <w14:solidFill>
              <w14:schemeClr w14:val="tx1"/>
            </w14:solidFill>
          </w14:textFill>
        </w:rPr>
        <w:t>（3）当招标需求列的内容显示不完整时，请点击编辑栏进行查看；</w:t>
      </w:r>
    </w:p>
    <w:p w14:paraId="002AB63F">
      <w:pPr>
        <w:spacing w:line="560" w:lineRule="exact"/>
        <w:ind w:firstLine="560" w:firstLineChars="200"/>
        <w:rPr>
          <w:rFonts w:ascii="仿宋_GB2312" w:hAnsi="仿宋" w:eastAsia="仿宋_GB2312" w:cs="宋体"/>
          <w:color w:val="000000" w:themeColor="text1"/>
          <w:sz w:val="28"/>
          <w:szCs w:val="28"/>
          <w:highlight w:val="none"/>
          <w14:textFill>
            <w14:solidFill>
              <w14:schemeClr w14:val="tx1"/>
            </w14:solidFill>
          </w14:textFill>
        </w:rPr>
      </w:pPr>
      <w:r>
        <w:rPr>
          <w:rFonts w:ascii="仿宋_GB2312" w:hAnsi="仿宋" w:eastAsia="仿宋_GB2312" w:cs="宋体"/>
          <w:color w:val="000000" w:themeColor="text1"/>
          <w:sz w:val="28"/>
          <w:szCs w:val="28"/>
          <w:highlight w:val="none"/>
          <w14:textFill>
            <w14:solidFill>
              <w14:schemeClr w14:val="tx1"/>
            </w14:solidFill>
          </w14:textFill>
        </w:rPr>
        <w:t>（4）响应需求请按照商品(服务)的招标需求的逐一说明，如实填写。“响应需求”中需详细列明所报产品（服务）的明细；若与投标（响应）文件中提供的产品检测报告（如有）、生产厂家出具的产品彩页等证明材料的实质性响应情况不一致，按</w:t>
      </w:r>
      <w:r>
        <w:rPr>
          <w:rFonts w:ascii="仿宋_GB2312" w:hAnsi="仿宋" w:eastAsia="仿宋_GB2312" w:cs="宋体"/>
          <w:b/>
          <w:color w:val="000000" w:themeColor="text1"/>
          <w:sz w:val="28"/>
          <w:szCs w:val="28"/>
          <w:highlight w:val="none"/>
          <w14:textFill>
            <w14:solidFill>
              <w14:schemeClr w14:val="tx1"/>
            </w14:solidFill>
          </w14:textFill>
        </w:rPr>
        <w:t>无效投标（响应）处理</w:t>
      </w:r>
      <w:r>
        <w:rPr>
          <w:rFonts w:ascii="仿宋_GB2312" w:hAnsi="仿宋" w:eastAsia="仿宋_GB2312" w:cs="宋体"/>
          <w:color w:val="000000" w:themeColor="text1"/>
          <w:sz w:val="28"/>
          <w:szCs w:val="28"/>
          <w:highlight w:val="none"/>
          <w14:textFill>
            <w14:solidFill>
              <w14:schemeClr w14:val="tx1"/>
            </w14:solidFill>
          </w14:textFill>
        </w:rPr>
        <w:t>。</w:t>
      </w:r>
    </w:p>
    <w:p w14:paraId="6A996ECE">
      <w:pPr>
        <w:spacing w:line="560" w:lineRule="exact"/>
        <w:ind w:firstLine="560" w:firstLineChars="200"/>
        <w:rPr>
          <w:rFonts w:ascii="仿宋_GB2312" w:hAnsi="仿宋" w:eastAsia="仿宋_GB2312" w:cs="宋体"/>
          <w:color w:val="000000" w:themeColor="text1"/>
          <w:sz w:val="28"/>
          <w:szCs w:val="28"/>
          <w:highlight w:val="none"/>
          <w14:textFill>
            <w14:solidFill>
              <w14:schemeClr w14:val="tx1"/>
            </w14:solidFill>
          </w14:textFill>
        </w:rPr>
      </w:pPr>
      <w:r>
        <w:rPr>
          <w:rFonts w:ascii="仿宋_GB2312" w:hAnsi="仿宋" w:eastAsia="仿宋_GB2312" w:cs="宋体"/>
          <w:color w:val="000000" w:themeColor="text1"/>
          <w:sz w:val="28"/>
          <w:szCs w:val="28"/>
          <w:highlight w:val="none"/>
          <w14:textFill>
            <w14:solidFill>
              <w14:schemeClr w14:val="tx1"/>
            </w14:solidFill>
          </w14:textFill>
        </w:rPr>
        <w:t>（5）按照该表显示位置加盖一个电子印章；</w:t>
      </w:r>
    </w:p>
    <w:p w14:paraId="2149C3F4">
      <w:pPr>
        <w:spacing w:line="560" w:lineRule="exact"/>
        <w:ind w:firstLine="560" w:firstLineChars="200"/>
        <w:rPr>
          <w:rFonts w:ascii="仿宋_GB2312" w:hAnsi="仿宋" w:eastAsia="仿宋_GB2312" w:cs="宋体"/>
          <w:color w:val="000000" w:themeColor="text1"/>
          <w:sz w:val="28"/>
          <w:szCs w:val="28"/>
          <w:highlight w:val="none"/>
          <w14:textFill>
            <w14:solidFill>
              <w14:schemeClr w14:val="tx1"/>
            </w14:solidFill>
          </w14:textFill>
        </w:rPr>
      </w:pPr>
      <w:r>
        <w:rPr>
          <w:rFonts w:ascii="仿宋_GB2312" w:hAnsi="仿宋" w:eastAsia="仿宋_GB2312" w:cs="宋体"/>
          <w:color w:val="000000" w:themeColor="text1"/>
          <w:sz w:val="28"/>
          <w:szCs w:val="28"/>
          <w:highlight w:val="none"/>
          <w14:textFill>
            <w14:solidFill>
              <w14:schemeClr w14:val="tx1"/>
            </w14:solidFill>
          </w14:textFill>
        </w:rPr>
        <w:t>（6）该表为固定格式且有数字指纹，必须在原表上填写，填写完毕后只可保存不可另存。删除该表、增加该表、增加行列、删除行列、对固定格式的任何改动均会导致</w:t>
      </w:r>
      <w:r>
        <w:rPr>
          <w:rFonts w:ascii="仿宋_GB2312" w:hAnsi="仿宋" w:eastAsia="仿宋_GB2312" w:cs="宋体"/>
          <w:b/>
          <w:color w:val="000000" w:themeColor="text1"/>
          <w:sz w:val="28"/>
          <w:szCs w:val="28"/>
          <w:highlight w:val="none"/>
          <w14:textFill>
            <w14:solidFill>
              <w14:schemeClr w14:val="tx1"/>
            </w14:solidFill>
          </w14:textFill>
        </w:rPr>
        <w:t>无效投标（</w:t>
      </w:r>
      <w:r>
        <w:rPr>
          <w:rFonts w:hint="eastAsia" w:ascii="仿宋_GB2312" w:hAnsi="仿宋" w:eastAsia="仿宋_GB2312" w:cs="宋体"/>
          <w:b/>
          <w:color w:val="000000" w:themeColor="text1"/>
          <w:sz w:val="28"/>
          <w:szCs w:val="28"/>
          <w:highlight w:val="none"/>
          <w14:textFill>
            <w14:solidFill>
              <w14:schemeClr w14:val="tx1"/>
            </w14:solidFill>
          </w14:textFill>
        </w:rPr>
        <w:t>响应</w:t>
      </w:r>
      <w:r>
        <w:rPr>
          <w:rFonts w:ascii="仿宋_GB2312" w:hAnsi="仿宋" w:eastAsia="仿宋_GB2312" w:cs="宋体"/>
          <w:b/>
          <w:color w:val="000000" w:themeColor="text1"/>
          <w:sz w:val="28"/>
          <w:szCs w:val="28"/>
          <w:highlight w:val="none"/>
          <w14:textFill>
            <w14:solidFill>
              <w14:schemeClr w14:val="tx1"/>
            </w14:solidFill>
          </w14:textFill>
        </w:rPr>
        <w:t>）</w:t>
      </w:r>
      <w:r>
        <w:rPr>
          <w:rFonts w:ascii="仿宋_GB2312" w:hAnsi="仿宋" w:eastAsia="仿宋_GB2312" w:cs="宋体"/>
          <w:color w:val="000000" w:themeColor="text1"/>
          <w:sz w:val="28"/>
          <w:szCs w:val="28"/>
          <w:highlight w:val="none"/>
          <w14:textFill>
            <w14:solidFill>
              <w14:schemeClr w14:val="tx1"/>
            </w14:solidFill>
          </w14:textFill>
        </w:rPr>
        <w:t>；</w:t>
      </w:r>
    </w:p>
    <w:p w14:paraId="7E4BDD76">
      <w:pPr>
        <w:snapToGrid w:val="0"/>
        <w:spacing w:line="560" w:lineRule="exact"/>
        <w:ind w:firstLine="562" w:firstLineChars="201"/>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9.6</w:t>
      </w:r>
      <w:r>
        <w:rPr>
          <w:rFonts w:hint="eastAsia" w:ascii="仿宋_GB2312" w:hAnsi="宋体" w:eastAsia="仿宋_GB2312"/>
          <w:color w:val="000000" w:themeColor="text1"/>
          <w:sz w:val="28"/>
          <w:szCs w:val="28"/>
          <w:highlight w:val="none"/>
          <w14:textFill>
            <w14:solidFill>
              <w14:schemeClr w14:val="tx1"/>
            </w14:solidFill>
          </w14:textFill>
        </w:rPr>
        <w:t>投标人的报价在合同执行过程中是固定不变的，不得以任何理由改变。所有价格折扣、优惠条件必须在报价明细表中注明，否则评审时不予认可。</w:t>
      </w:r>
    </w:p>
    <w:p w14:paraId="6598A199">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10.联合体投标</w:t>
      </w:r>
    </w:p>
    <w:p w14:paraId="3B8F4D4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两个以上的自然人、法人或者其他组织可以组成一个联合体，以一个投标人的身份共同参加投标。</w:t>
      </w:r>
    </w:p>
    <w:p w14:paraId="68B3DC3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10.1以联合体形式进行投标的，应当提交联合协议，载明联合体各方承担的工作和义务。联合体各方应当共同与采购人签订采购合同，就采购合同约定的事项对采购人承担连带责任。</w:t>
      </w:r>
    </w:p>
    <w:p w14:paraId="2EE9510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10.2联合体中有同类资质的</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按照联合体分工承担相同工作的，应当按照资质等级较低的</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确定资质等级。</w:t>
      </w:r>
    </w:p>
    <w:p w14:paraId="3CAC820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10.3联合体的各方应当共同推荐一名联合体投标授权代表方，由联合体各方提交一份授权书，证明其有资格代表联合体各方签署投标文件，该授权书作为投标文件的组成部分一并提交给</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04C8A87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10.4以联合体形式参加采购活动的，联合体各方不得再单独参加或者与其他</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另外组成联合体参加同一合同项下的采购活动。</w:t>
      </w:r>
    </w:p>
    <w:p w14:paraId="76B556C3">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本项目是否接受联合体投标详见《投标须知前附表》。</w:t>
      </w:r>
    </w:p>
    <w:p w14:paraId="53A98B10">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11.关于分包</w:t>
      </w:r>
    </w:p>
    <w:p w14:paraId="49D6D63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11.1供应商拟将成交项目的非主体、非关键性工作分包的，应当在响应文件中载明分包承担主体，分包承担主体应当具备相应资质条件且不得再次分包。</w:t>
      </w:r>
    </w:p>
    <w:p w14:paraId="2D29E426">
      <w:pPr>
        <w:spacing w:line="560" w:lineRule="exact"/>
        <w:ind w:firstLine="562" w:firstLineChars="201"/>
        <w:rPr>
          <w:rFonts w:hint="default" w:ascii="仿宋_GB2312" w:hAnsi="仿宋" w:eastAsia="仿宋_GB2312" w:cs="宋体"/>
          <w:color w:val="000000" w:themeColor="text1"/>
          <w:sz w:val="28"/>
          <w:szCs w:val="28"/>
          <w:highlight w:val="none"/>
          <w:lang w:val="en-US" w:eastAsia="zh-CN"/>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11.2供应商应当就分包项目向采购人负责，分包承担主体就分包项目承担责任。</w:t>
      </w:r>
    </w:p>
    <w:p w14:paraId="00B5C0B4">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12.现场踏勘</w:t>
      </w:r>
    </w:p>
    <w:p w14:paraId="5B7CB72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12.1如有需要，采购人将组织投标人对项目现场及周围环境进行踏勘，以便投标人获取有关编制投标文件和签署合同所需的所有资料。踏勘现场所发生的费用由投标人自己承担，投标人应按招标公告所约定的时间、地点踏勘现场。</w:t>
      </w:r>
    </w:p>
    <w:p w14:paraId="11684E3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12.2投标人及其人员经过采购人的允许，可以踏勘目的进入采购单位的项目现场。若本项目招标文件要求投标人于统一时间地点踏勘现场的，投标人应当按时前往。</w:t>
      </w:r>
    </w:p>
    <w:p w14:paraId="699FBCB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12.3除招标人的原因外，投标人自行负责在踏勘现场中所发生的人员伤亡和财产损失。</w:t>
      </w:r>
    </w:p>
    <w:p w14:paraId="3D0ACDF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12.4未参与现场踏勘不作为否定投标人资格的理由。</w:t>
      </w:r>
    </w:p>
    <w:p w14:paraId="3C9B2514">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本项目是否组织现场踏勘详见《投标须知前附表》</w:t>
      </w:r>
    </w:p>
    <w:p w14:paraId="79B3DBFF">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13.投标的有效期</w:t>
      </w:r>
    </w:p>
    <w:p w14:paraId="52CB88E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13.1从开标之日起，投标有效期为90天。投标有效期短于90天的，其投标为无效投标（响应）。</w:t>
      </w:r>
    </w:p>
    <w:p w14:paraId="3CDC4D6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13.2特殊情况下，在投标有效期满之前，</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可以要求投标人延长投标有效期，投标人可以书面形式拒绝或接受上述要求。同意延长投标有效期的投标人不得修改投标文件的实质性内容。</w:t>
      </w:r>
    </w:p>
    <w:p w14:paraId="65442F74">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14.履约保证金的交纳与返还</w:t>
      </w:r>
    </w:p>
    <w:p w14:paraId="2CBF70B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本项目不收取履约保证金。</w:t>
      </w:r>
    </w:p>
    <w:p w14:paraId="2BAB72FA">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15.投标文件的数量和签署</w:t>
      </w:r>
    </w:p>
    <w:p w14:paraId="4D20DCA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15.1投标文件（pdf格式）（第一册）1份</w:t>
      </w:r>
    </w:p>
    <w:p w14:paraId="110DA4E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15.1.1投标人应使用带电子签章功能的CA锁对投标文件须盖章或签名的部位加盖电子印章（单位电子公章、法定代表人（依法登记的负责人）电子人名章），电子印章与实物印章具有同等法律效力。</w:t>
      </w:r>
    </w:p>
    <w:p w14:paraId="1BDDC2B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15.1.2投标人应首先编制word格式投标文件，最后通过威海市国有企业阳光采购电子化服务平台的文件签章菜单的标书签章功能转换为pdf格式（或者其他pdf转换工具），之后通过签章功能在pdf文件上逐页加盖电子印章并保存到本地计算机，加盖了电子印章的pdf文件即为最终的投标文件。</w:t>
      </w:r>
    </w:p>
    <w:p w14:paraId="033181A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15.1.3文件中要求法定代表人（依法登记的负责人）签字或签章的须加盖法定代表人（依法登记的负责人）电子人名章。</w:t>
      </w:r>
    </w:p>
    <w:p w14:paraId="1E31AA52">
      <w:pPr>
        <w:snapToGrid w:val="0"/>
        <w:spacing w:line="560" w:lineRule="exact"/>
        <w:ind w:firstLine="562" w:firstLineChars="201"/>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15.1.4</w:t>
      </w:r>
      <w:r>
        <w:rPr>
          <w:rFonts w:hint="eastAsia" w:ascii="仿宋_GB2312" w:hAnsi="宋体" w:eastAsia="仿宋_GB2312"/>
          <w:color w:val="000000" w:themeColor="text1"/>
          <w:sz w:val="28"/>
          <w:szCs w:val="28"/>
          <w:highlight w:val="none"/>
          <w14:textFill>
            <w14:solidFill>
              <w14:schemeClr w14:val="tx1"/>
            </w14:solidFill>
          </w14:textFill>
        </w:rPr>
        <w:t>须被授权人签字的，被授权人又无电子章，在word编制时可将被授权人手写签字扫描后的图片粘贴到投标文件中对应位置，并加盖单位电子公章。</w:t>
      </w:r>
    </w:p>
    <w:p w14:paraId="4D4B39B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15.1.5</w:t>
      </w:r>
      <w:r>
        <w:rPr>
          <w:rFonts w:hint="eastAsia" w:ascii="仿宋_GB2312" w:hAnsi="宋体" w:eastAsia="仿宋_GB2312"/>
          <w:color w:val="000000" w:themeColor="text1"/>
          <w:sz w:val="28"/>
          <w:szCs w:val="28"/>
          <w:highlight w:val="none"/>
          <w14:textFill>
            <w14:solidFill>
              <w14:schemeClr w14:val="tx1"/>
            </w14:solidFill>
          </w14:textFill>
        </w:rPr>
        <w:t>可使用系统的批量盖章功能快速签章。但须逐页浏览检查并注意印章重叠及完整性。</w:t>
      </w:r>
    </w:p>
    <w:p w14:paraId="5B01FA8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15.1.6采用扫描粘贴投标人公章或扫描法定代表人（依法登记的负责人）人名章而不加盖单位电子公章的为</w:t>
      </w:r>
      <w:r>
        <w:rPr>
          <w:rFonts w:hint="eastAsia" w:ascii="仿宋_GB2312" w:hAnsi="仿宋" w:eastAsia="仿宋_GB2312" w:cs="宋体"/>
          <w:b/>
          <w:color w:val="000000" w:themeColor="text1"/>
          <w:sz w:val="28"/>
          <w:szCs w:val="28"/>
          <w:highlight w:val="none"/>
          <w14:textFill>
            <w14:solidFill>
              <w14:schemeClr w14:val="tx1"/>
            </w14:solidFill>
          </w14:textFill>
        </w:rPr>
        <w:t>无效投标（响应）</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2B3C7F2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15.2数据文件（PDF格式）（第二册）1份</w:t>
      </w:r>
    </w:p>
    <w:p w14:paraId="4E72DBE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72B2A00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15.2.2</w:t>
      </w:r>
      <w:r>
        <w:rPr>
          <w:rFonts w:hint="eastAsia" w:ascii="仿宋_GB2312" w:hAnsi="宋体" w:eastAsia="仿宋_GB2312"/>
          <w:color w:val="000000" w:themeColor="text1"/>
          <w:sz w:val="28"/>
          <w:szCs w:val="28"/>
          <w:highlight w:val="none"/>
          <w14:textFill>
            <w14:solidFill>
              <w14:schemeClr w14:val="tx1"/>
            </w14:solidFill>
          </w14:textFill>
        </w:rPr>
        <w:t>文件中要求法定代表人（依法登记的负责人）签字或签章的须加盖法定代表人（依法登记的负责人）电子人名章。</w:t>
      </w:r>
    </w:p>
    <w:p w14:paraId="4F78FC6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15.2.3采用扫描粘贴投标人公章或法定代表人（依法登记的负责人）人名章的为</w:t>
      </w:r>
      <w:r>
        <w:rPr>
          <w:rFonts w:hint="eastAsia" w:ascii="仿宋_GB2312" w:hAnsi="仿宋" w:eastAsia="仿宋_GB2312" w:cs="宋体"/>
          <w:b/>
          <w:color w:val="000000" w:themeColor="text1"/>
          <w:sz w:val="28"/>
          <w:szCs w:val="28"/>
          <w:highlight w:val="none"/>
          <w14:textFill>
            <w14:solidFill>
              <w14:schemeClr w14:val="tx1"/>
            </w14:solidFill>
          </w14:textFill>
        </w:rPr>
        <w:t>无效投标（响应）</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10161F81">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四、投标文件的递交</w:t>
      </w:r>
    </w:p>
    <w:p w14:paraId="789ABA16">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16.投标文件的密封和标记</w:t>
      </w:r>
    </w:p>
    <w:p w14:paraId="5F6B3CB6">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16.1电子投标文件的密封和标记</w:t>
      </w:r>
    </w:p>
    <w:p w14:paraId="5F94843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17.1.1加盖了电子印章的电子投标文件（PDF格式）和数据文件（PDF格式）须在威海市国有企业阳光采购电子化服务平台的“我的投标”界面进行提交，提交前系统会自动在本地进行加密和数字签名，加密和电子签章后的文件除了会上传到系统中之外还会同步保存到本地计算机。</w:t>
      </w:r>
    </w:p>
    <w:p w14:paraId="7C16C21C">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16.2资质证明文件原件的密封和标记</w:t>
      </w:r>
    </w:p>
    <w:p w14:paraId="07DFBF1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16.2.1投标须知前附表要求提供资质证明文件原件的，投标人应使用密封袋将资质证明文件原件密封（身份证原件除外），加盖公章并标明投标人（单位）名称、项目名称、项目编号、所投包号以及“资质证明文件原件”字样，粘贴密封条，注明“于*年*月*日 *:*之前不准启封”（</w:t>
      </w:r>
      <w:r>
        <w:rPr>
          <w:rFonts w:hint="eastAsia" w:ascii="仿宋_GB2312" w:hAnsi="仿宋" w:eastAsia="仿宋_GB2312" w:cs="宋体"/>
          <w:b/>
          <w:color w:val="000000" w:themeColor="text1"/>
          <w:sz w:val="28"/>
          <w:szCs w:val="28"/>
          <w:highlight w:val="none"/>
          <w14:textFill>
            <w14:solidFill>
              <w14:schemeClr w14:val="tx1"/>
            </w14:solidFill>
          </w14:textFill>
        </w:rPr>
        <w:t>开标时间</w:t>
      </w:r>
      <w:r>
        <w:rPr>
          <w:rFonts w:hint="eastAsia" w:ascii="仿宋_GB2312" w:hAnsi="仿宋" w:eastAsia="仿宋_GB2312" w:cs="宋体"/>
          <w:color w:val="000000" w:themeColor="text1"/>
          <w:sz w:val="28"/>
          <w:szCs w:val="28"/>
          <w:highlight w:val="none"/>
          <w14:textFill>
            <w14:solidFill>
              <w14:schemeClr w14:val="tx1"/>
            </w14:solidFill>
          </w14:textFill>
        </w:rPr>
        <w:t xml:space="preserve">）的字样。加盖公章或由法定代表人（依法登记的负责人）或经其正式授权的代表在旁边签字。 </w:t>
      </w:r>
    </w:p>
    <w:p w14:paraId="2FDC7B5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16.2.2投标人按上述规定进行密封和标记后，按照招标文件的要求送达指定地点。</w:t>
      </w:r>
    </w:p>
    <w:p w14:paraId="094C26D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16.2.3如果未按上述规定进行密封和标记，</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对误投或提前启封概不负责。</w:t>
      </w:r>
    </w:p>
    <w:p w14:paraId="67606774">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16.3文件递交</w:t>
      </w:r>
    </w:p>
    <w:p w14:paraId="2D60CD3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16.3.1投标人应在投标须知前附表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000000" w:themeColor="text1"/>
          <w:sz w:val="28"/>
          <w:szCs w:val="28"/>
          <w:highlight w:val="none"/>
          <w14:textFill>
            <w14:solidFill>
              <w14:schemeClr w14:val="tx1"/>
            </w14:solidFill>
          </w14:textFill>
        </w:rPr>
        <w:t>其投标将会被判定为无效。</w:t>
      </w:r>
    </w:p>
    <w:p w14:paraId="2343EB4F">
      <w:pPr>
        <w:spacing w:line="560" w:lineRule="exact"/>
        <w:ind w:firstLine="565"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16.3.2投标人须牢记投标加密密码，该密码将用于开标时解密其电子投标文件，如忘记密码或输入错误密码超过5次，其递交的电子投标文件将无法解密，导致无法提取数据和供他人阅读文件，致使其投标失败。</w:t>
      </w:r>
    </w:p>
    <w:p w14:paraId="60017AA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16.3.3除投标须知前附表另有规定外，</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拒绝接收纸质投标文件。</w:t>
      </w:r>
    </w:p>
    <w:p w14:paraId="532C0FC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16.3.4投标人应将网上递交的已盖章未加密的数据文件和投标文件谨慎保存备份，以便启动应急开标程序时备案使用。</w:t>
      </w:r>
    </w:p>
    <w:p w14:paraId="44605B51">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17.投标截止期</w:t>
      </w:r>
    </w:p>
    <w:p w14:paraId="15DDE3E7">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本次招标的投标截止期见《投标须知前附表》。</w:t>
      </w:r>
    </w:p>
    <w:p w14:paraId="2633B94C">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18.迟交的投标文件</w:t>
      </w:r>
    </w:p>
    <w:p w14:paraId="683870F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威海市国有企业阳光采购电子化服务平台无法接收投标截止期后递交的电子投标文件。</w:t>
      </w:r>
    </w:p>
    <w:p w14:paraId="527D7257">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19.</w:t>
      </w:r>
      <w:r>
        <w:rPr>
          <w:rFonts w:hint="eastAsia" w:ascii="楷体_GB2312" w:hAnsi="宋体" w:eastAsia="楷体_GB2312"/>
          <w:b/>
          <w:color w:val="000000" w:themeColor="text1"/>
          <w:sz w:val="28"/>
          <w:szCs w:val="28"/>
          <w:highlight w:val="none"/>
          <w14:textFill>
            <w14:solidFill>
              <w14:schemeClr w14:val="tx1"/>
            </w14:solidFill>
          </w14:textFill>
        </w:rPr>
        <w:t>现场演示</w:t>
      </w:r>
      <w:r>
        <w:rPr>
          <w:rFonts w:ascii="楷体_GB2312" w:hAnsi="宋体" w:eastAsia="楷体_GB2312"/>
          <w:b/>
          <w:color w:val="000000" w:themeColor="text1"/>
          <w:sz w:val="28"/>
          <w:szCs w:val="28"/>
          <w:highlight w:val="none"/>
          <w14:textFill>
            <w14:solidFill>
              <w14:schemeClr w14:val="tx1"/>
            </w14:solidFill>
          </w14:textFill>
        </w:rPr>
        <w:t>/</w:t>
      </w:r>
      <w:r>
        <w:rPr>
          <w:rFonts w:hint="eastAsia" w:ascii="楷体_GB2312" w:hAnsi="宋体" w:eastAsia="楷体_GB2312"/>
          <w:b/>
          <w:color w:val="000000" w:themeColor="text1"/>
          <w:sz w:val="28"/>
          <w:szCs w:val="28"/>
          <w:highlight w:val="none"/>
          <w14:textFill>
            <w14:solidFill>
              <w14:schemeClr w14:val="tx1"/>
            </w14:solidFill>
          </w14:textFill>
        </w:rPr>
        <w:t>样品递交</w:t>
      </w:r>
    </w:p>
    <w:p w14:paraId="6573640F">
      <w:pPr>
        <w:snapToGrid w:val="0"/>
        <w:spacing w:line="560" w:lineRule="exact"/>
        <w:ind w:firstLine="562" w:firstLineChars="201"/>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19.1采购人可以要求投标人对其提供的信息化、自动化等相关类别服务进行演示。</w:t>
      </w:r>
    </w:p>
    <w:p w14:paraId="5D44D421">
      <w:pPr>
        <w:snapToGrid w:val="0"/>
        <w:spacing w:line="560" w:lineRule="exact"/>
        <w:ind w:firstLine="562" w:firstLineChars="201"/>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19.2若服务项目涉及货物时，采购人可以要求投标人提供样品，样品作为响应文件的一部分。未中标供应商提供的样品将于评审结束后退还。中标人的样品由采购人保留，作为验收的参考。</w:t>
      </w:r>
    </w:p>
    <w:p w14:paraId="5B5ABE29">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是否要求投标人</w:t>
      </w:r>
      <w:r>
        <w:rPr>
          <w:rFonts w:hint="eastAsia" w:ascii="仿宋_GB2312" w:hAnsi="宋体" w:eastAsia="仿宋_GB2312"/>
          <w:b/>
          <w:color w:val="000000" w:themeColor="text1"/>
          <w:sz w:val="28"/>
          <w:szCs w:val="28"/>
          <w:highlight w:val="none"/>
          <w14:textFill>
            <w14:solidFill>
              <w14:schemeClr w14:val="tx1"/>
            </w14:solidFill>
          </w14:textFill>
        </w:rPr>
        <w:t>提供演示/提交样品</w:t>
      </w:r>
      <w:r>
        <w:rPr>
          <w:rFonts w:hint="eastAsia" w:ascii="仿宋_GB2312" w:hAnsi="仿宋" w:eastAsia="仿宋_GB2312" w:cs="宋体"/>
          <w:b/>
          <w:color w:val="000000" w:themeColor="text1"/>
          <w:sz w:val="28"/>
          <w:szCs w:val="28"/>
          <w:highlight w:val="none"/>
          <w14:textFill>
            <w14:solidFill>
              <w14:schemeClr w14:val="tx1"/>
            </w14:solidFill>
          </w14:textFill>
        </w:rPr>
        <w:t>，详见招标文件《投标须知前附表》的有关规定。</w:t>
      </w:r>
    </w:p>
    <w:p w14:paraId="1C8578EE">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20.投标文件的修改和撤回</w:t>
      </w:r>
    </w:p>
    <w:p w14:paraId="2D6F7EA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20.1投标人必须在规定的投标截止期之前将修改的投标文件和数据文件上传到威海市国有企业阳光采购电子化服务平台,在投标截止期之后，投标人不得对其投标文件做任何修改。</w:t>
      </w:r>
    </w:p>
    <w:p w14:paraId="3318639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20.2投标人在递交投标文件后，可以在投标截止期之前撤回其投标。</w:t>
      </w:r>
    </w:p>
    <w:p w14:paraId="4D2B1B5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20.3开标后不允许对投标文件做实质性修改和补充，不得撤回投标文件。</w:t>
      </w:r>
    </w:p>
    <w:p w14:paraId="487913D7">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五、开标与评审</w:t>
      </w:r>
    </w:p>
    <w:p w14:paraId="62B1C877">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21.开标</w:t>
      </w:r>
    </w:p>
    <w:p w14:paraId="4CA2573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21.1投标截止时间结束后，投标人不足3家的不得开标。</w:t>
      </w:r>
    </w:p>
    <w:p w14:paraId="64ADB53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21.2</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1B23E17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21.3现场开标和远程开标的投标人代表应在签到表格相应位置上加盖CA锁中的法定代表人（依法登记的负责人）电子人名章以证明其出席，在开标时间前未完成签到的将会被</w:t>
      </w:r>
      <w:r>
        <w:rPr>
          <w:rFonts w:hint="eastAsia" w:ascii="仿宋_GB2312" w:hAnsi="仿宋" w:eastAsia="仿宋_GB2312" w:cs="宋体"/>
          <w:b/>
          <w:color w:val="000000" w:themeColor="text1"/>
          <w:sz w:val="28"/>
          <w:szCs w:val="28"/>
          <w:highlight w:val="none"/>
          <w14:textFill>
            <w14:solidFill>
              <w14:schemeClr w14:val="tx1"/>
            </w14:solidFill>
          </w14:textFill>
        </w:rPr>
        <w:t>视作</w:t>
      </w:r>
      <w:r>
        <w:rPr>
          <w:rFonts w:hint="eastAsia" w:ascii="仿宋_GB2312" w:hAnsi="仿宋" w:eastAsia="仿宋_GB2312" w:cs="宋体"/>
          <w:color w:val="000000" w:themeColor="text1"/>
          <w:sz w:val="28"/>
          <w:szCs w:val="28"/>
          <w:highlight w:val="none"/>
          <w14:textFill>
            <w14:solidFill>
              <w14:schemeClr w14:val="tx1"/>
            </w14:solidFill>
          </w14:textFill>
        </w:rPr>
        <w:t>认同开标结果。</w:t>
      </w:r>
    </w:p>
    <w:p w14:paraId="1ED5F0C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000000" w:themeColor="text1"/>
          <w:sz w:val="28"/>
          <w:szCs w:val="28"/>
          <w:highlight w:val="none"/>
          <w14:textFill>
            <w14:solidFill>
              <w14:schemeClr w14:val="tx1"/>
            </w14:solidFill>
          </w14:textFill>
        </w:rPr>
        <w:t>无效投标（响应）</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28B47A2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21.5开标过程应当由采购人或</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负责记录，最终形成开标一览表并由各投标人代表和相关工作人员签字或盖章确认。</w:t>
      </w:r>
    </w:p>
    <w:p w14:paraId="6EE7737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21.6投标人代表对开标过程和开标记录有疑义，以及认为采购人、</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相关工作人员有需要回避的情形的，应当场提出询问或者回避申请。采购人、</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对投标人代表提出的询问或者回避申请应当及时处理。</w:t>
      </w:r>
    </w:p>
    <w:p w14:paraId="06506FF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21.7录音、录像：威海市公共资源交易中心荣成分中心负责从递交投标文件开始到定标结束全过程的录音、录像工作，确保声音清楚、图像清晰、内容无遗漏。</w:t>
      </w:r>
    </w:p>
    <w:p w14:paraId="0E25DCF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21.8评审过程中，如遇特殊情况，服从公共资源交易中心场地调配，并遵守相关规章制度。</w:t>
      </w:r>
    </w:p>
    <w:p w14:paraId="11B6D22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21.9对投标文件报价出现前后不一致的，按以下规定修正：</w:t>
      </w:r>
    </w:p>
    <w:p w14:paraId="44AC573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（1）“投标（报价）一览表”的报价与“报价明细表”的报价不一致的，以“投标（报价）一览表”的报价为准；</w:t>
      </w:r>
    </w:p>
    <w:p w14:paraId="546A9A7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（2）大写金额和小写金额不一致的，以大写金额为准；</w:t>
      </w:r>
    </w:p>
    <w:p w14:paraId="75533EE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（3）单价金额小数点或者百分比有明显错位的，以投标（报价）一览表的总价为准，并修改单价。</w:t>
      </w:r>
    </w:p>
    <w:p w14:paraId="5F73E49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（4）总价金额与按单价汇总金额不一致的，以单价金额计算结果为准。</w:t>
      </w:r>
    </w:p>
    <w:p w14:paraId="76E1537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（5）同时出现两种以上不一致的，按照前款规定的顺序修正。修正后的报价经投标人确认后产生约束力，投标人不确认的，其投标无效。</w:t>
      </w:r>
    </w:p>
    <w:p w14:paraId="7D5FB35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21.10开标程序</w:t>
      </w:r>
    </w:p>
    <w:p w14:paraId="53E0A54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21.10.1签到：在投标须知前附表规定的时间完成签到。</w:t>
      </w:r>
    </w:p>
    <w:p w14:paraId="2699B5D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21.10.2开标：工作人员在投标须知前附表规定的开标时间启动开标。</w:t>
      </w:r>
    </w:p>
    <w:p w14:paraId="2EC6A7D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21.10.3解密：开标后工作人员启动开始解密指令，投标人开始输入解密密码，解密时间到后工作人员启动停止解密指令。</w:t>
      </w:r>
    </w:p>
    <w:p w14:paraId="48CE1CD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21.10.4唱标：停止解密后现场工作人员将根据电子交易系统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视为其对开标一览表中所载内容无疑议。</w:t>
      </w:r>
    </w:p>
    <w:p w14:paraId="1C311FA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21.10.5投标人可使用电子交易系统“网上开标”中的“看直播”功能参与开标程序。</w:t>
      </w:r>
    </w:p>
    <w:p w14:paraId="0D50A69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21.11应急开标程序</w:t>
      </w:r>
    </w:p>
    <w:p w14:paraId="13F6A13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电子开标过程中如出现下列情况，导致系统无法正常运行，或者无法保证开标过程的公平、公正和信息安全时，经与行政监督部门沟通后可启动应急开标程序。</w:t>
      </w:r>
    </w:p>
    <w:p w14:paraId="30EB539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（1）系统服务器发生故障，无法访问或无法使用系统；</w:t>
      </w:r>
    </w:p>
    <w:p w14:paraId="3C97D9C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（2）系统的软件或数据库出现错误，不能进行正常操作；</w:t>
      </w:r>
    </w:p>
    <w:p w14:paraId="0D4E06C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（3）系统发现有安全漏洞，有潜在的泄密危险；</w:t>
      </w:r>
    </w:p>
    <w:p w14:paraId="6A32350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（4）病毒发作或受到外来病毒的攻击；</w:t>
      </w:r>
    </w:p>
    <w:p w14:paraId="3921981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（5）其他无法保证开标过程公平、公正和信息安全的情形。</w:t>
      </w:r>
    </w:p>
    <w:p w14:paraId="61F67D3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应急开标程序包括：</w:t>
      </w:r>
    </w:p>
    <w:p w14:paraId="79CFDFC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（1）对</w:t>
      </w:r>
      <w:r>
        <w:rPr>
          <w:rFonts w:ascii="仿宋_GB2312" w:hAnsi="仿宋" w:eastAsia="仿宋_GB2312" w:cs="宋体"/>
          <w:color w:val="000000" w:themeColor="text1"/>
          <w:sz w:val="28"/>
          <w:szCs w:val="28"/>
          <w:highlight w:val="none"/>
          <w14:textFill>
            <w14:solidFill>
              <w14:schemeClr w14:val="tx1"/>
            </w14:solidFill>
          </w14:textFill>
        </w:rPr>
        <w:t>未在系统中开标的可暂停开标</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71F8585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ascii="仿宋_GB2312" w:hAnsi="仿宋" w:eastAsia="仿宋_GB2312" w:cs="宋体"/>
          <w:color w:val="000000" w:themeColor="text1"/>
          <w:sz w:val="28"/>
          <w:szCs w:val="28"/>
          <w:highlight w:val="none"/>
          <w14:textFill>
            <w14:solidFill>
              <w14:schemeClr w14:val="tx1"/>
            </w14:solidFill>
          </w14:textFill>
        </w:rPr>
        <w:t>（2）对已在系统中开标的</w:t>
      </w:r>
      <w:r>
        <w:rPr>
          <w:rFonts w:hint="eastAsia" w:ascii="仿宋_GB2312" w:hAnsi="仿宋" w:eastAsia="仿宋_GB2312" w:cs="宋体"/>
          <w:color w:val="000000" w:themeColor="text1"/>
          <w:sz w:val="28"/>
          <w:szCs w:val="28"/>
          <w:highlight w:val="none"/>
          <w14:textFill>
            <w14:solidFill>
              <w14:schemeClr w14:val="tx1"/>
            </w14:solidFill>
          </w14:textFill>
        </w:rPr>
        <w:t>应停止，等待系统恢复正常后再组织进行开标</w:t>
      </w:r>
      <w:r>
        <w:rPr>
          <w:rFonts w:ascii="仿宋_GB2312" w:hAnsi="仿宋" w:eastAsia="仿宋_GB2312" w:cs="宋体"/>
          <w:color w:val="000000" w:themeColor="text1"/>
          <w:sz w:val="28"/>
          <w:szCs w:val="28"/>
          <w:highlight w:val="none"/>
          <w14:textFill>
            <w14:solidFill>
              <w14:schemeClr w14:val="tx1"/>
            </w14:solidFill>
          </w14:textFill>
        </w:rPr>
        <w:t>。</w:t>
      </w:r>
    </w:p>
    <w:p w14:paraId="5099BC57">
      <w:pPr>
        <w:spacing w:line="560" w:lineRule="exact"/>
        <w:ind w:firstLine="562"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000000" w:themeColor="text1"/>
          <w:sz w:val="28"/>
          <w:szCs w:val="28"/>
          <w:highlight w:val="none"/>
          <w14:textFill>
            <w14:solidFill>
              <w14:schemeClr w14:val="tx1"/>
            </w14:solidFill>
          </w14:textFill>
        </w:rPr>
        <w:t>无效投标（响应）处理。</w:t>
      </w:r>
    </w:p>
    <w:p w14:paraId="0594881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w:t>
      </w:r>
      <w:r>
        <w:rPr>
          <w:rFonts w:hint="eastAsia" w:ascii="仿宋_GB2312" w:hAnsi="仿宋" w:eastAsia="仿宋_GB2312" w:cs="宋体"/>
          <w:b/>
          <w:color w:val="000000" w:themeColor="text1"/>
          <w:sz w:val="28"/>
          <w:szCs w:val="28"/>
          <w:highlight w:val="none"/>
          <w14:textFill>
            <w14:solidFill>
              <w14:schemeClr w14:val="tx1"/>
            </w14:solidFill>
          </w14:textFill>
        </w:rPr>
        <w:t>无效投标（响应）处理</w:t>
      </w:r>
      <w:r>
        <w:rPr>
          <w:rFonts w:hint="eastAsia" w:ascii="仿宋_GB2312" w:hAnsi="仿宋" w:eastAsia="仿宋_GB2312" w:cs="宋体"/>
          <w:color w:val="000000" w:themeColor="text1"/>
          <w:sz w:val="28"/>
          <w:szCs w:val="28"/>
          <w:highlight w:val="none"/>
          <w14:textFill>
            <w14:solidFill>
              <w14:schemeClr w14:val="tx1"/>
            </w14:solidFill>
          </w14:textFill>
        </w:rPr>
        <w:t>。</w:t>
      </w:r>
    </w:p>
    <w:p w14:paraId="2FB0285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21.12应急开标电子邮件递交规定</w:t>
      </w:r>
    </w:p>
    <w:p w14:paraId="73CDBF4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接收电子邮箱：whzczb</w:t>
      </w:r>
      <w:r>
        <w:rPr>
          <w:rFonts w:ascii="仿宋_GB2312" w:hAnsi="仿宋" w:eastAsia="仿宋_GB2312" w:cs="宋体"/>
          <w:color w:val="000000" w:themeColor="text1"/>
          <w:sz w:val="28"/>
          <w:szCs w:val="28"/>
          <w:highlight w:val="none"/>
          <w14:textFill>
            <w14:solidFill>
              <w14:schemeClr w14:val="tx1"/>
            </w14:solidFill>
          </w14:textFill>
        </w:rPr>
        <w:t>@1</w:t>
      </w:r>
      <w:r>
        <w:rPr>
          <w:rFonts w:hint="eastAsia" w:ascii="仿宋_GB2312" w:hAnsi="仿宋" w:eastAsia="仿宋_GB2312" w:cs="宋体"/>
          <w:color w:val="000000" w:themeColor="text1"/>
          <w:sz w:val="28"/>
          <w:szCs w:val="28"/>
          <w:highlight w:val="none"/>
          <w14:textFill>
            <w14:solidFill>
              <w14:schemeClr w14:val="tx1"/>
            </w14:solidFill>
          </w14:textFill>
        </w:rPr>
        <w:t>26</w:t>
      </w:r>
      <w:r>
        <w:rPr>
          <w:rFonts w:ascii="仿宋_GB2312" w:hAnsi="仿宋" w:eastAsia="仿宋_GB2312" w:cs="宋体"/>
          <w:color w:val="000000" w:themeColor="text1"/>
          <w:sz w:val="28"/>
          <w:szCs w:val="28"/>
          <w:highlight w:val="none"/>
          <w14:textFill>
            <w14:solidFill>
              <w14:schemeClr w14:val="tx1"/>
            </w14:solidFill>
          </w14:textFill>
        </w:rPr>
        <w:t>.com</w:t>
      </w:r>
    </w:p>
    <w:p w14:paraId="6803087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递交时间：以电子邮件或电话通知的时间为准；</w:t>
      </w:r>
    </w:p>
    <w:p w14:paraId="120E9C7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邮件数量：一封；</w:t>
      </w:r>
    </w:p>
    <w:p w14:paraId="7DECBC4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邮件主题：项目编号、投标人名称；</w:t>
      </w:r>
    </w:p>
    <w:p w14:paraId="73562E5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62611F4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21.13启动电子邮件开标流程</w:t>
      </w:r>
    </w:p>
    <w:p w14:paraId="5D1C015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工作人员电话通知所有投标人启动应急开标程序；</w:t>
      </w:r>
    </w:p>
    <w:p w14:paraId="1E6202C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投标人收到通知后在规定时间内通过电子邮件递交投标文件（在非应急开标期间</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不接受、不处理任何通过电子邮件提交的投标文件）；</w:t>
      </w:r>
    </w:p>
    <w:p w14:paraId="1BE24FB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递交截止时间到，工作人员开始下载投标文件，将投标报价形成开标报告并邮件回复各投标人；</w:t>
      </w:r>
    </w:p>
    <w:p w14:paraId="502FA27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投标人确认报价并邮件回复，不及时回复的视为对开标报告的内容无异议。</w:t>
      </w:r>
    </w:p>
    <w:p w14:paraId="3102E102">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22.评标委员会的组成和评标方法</w:t>
      </w:r>
    </w:p>
    <w:p w14:paraId="6F5F36B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22.1</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情况特殊的，通过随机方式难以确定合适的评审专家的项目，经主管部门同意，招标人可以自行选定评审专家。</w:t>
      </w:r>
    </w:p>
    <w:p w14:paraId="4D4102F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22.2采购人员及相关人员与</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工作人员离职或退休不满三年的，不能作为专家参加评标工作。</w:t>
      </w:r>
    </w:p>
    <w:p w14:paraId="77DC7C3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22.3评标委员会成员职责：</w:t>
      </w:r>
    </w:p>
    <w:p w14:paraId="5C156B8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（1）评标前，评标委员会成员应当主动确认与投标人及其制造商是否有利害关系。如有利害关系应当主动回避，如无利害关系，应当在含有相关内容的《无利害关系声明》上签字；</w:t>
      </w:r>
    </w:p>
    <w:p w14:paraId="41303AA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（2）按照招标文件中确定的评标办法，对投标文件的内容进行评审，并对评审结果承担责任；</w:t>
      </w:r>
    </w:p>
    <w:p w14:paraId="0409283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（3）对评标过程和结果，以及投标人的商业秘密进行保密；</w:t>
      </w:r>
    </w:p>
    <w:p w14:paraId="21CCD32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（4）在评标委员会集体起草的评标报告上签字；</w:t>
      </w:r>
    </w:p>
    <w:p w14:paraId="3E81CA8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（5）配合</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答复投标人质疑；</w:t>
      </w:r>
    </w:p>
    <w:p w14:paraId="1ACDB3D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（6）配合主管部门处理投标人投诉；</w:t>
      </w:r>
    </w:p>
    <w:p w14:paraId="2D7E15D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（7）向主管部门反映评标工作中的问题，提出意见和建议。</w:t>
      </w:r>
    </w:p>
    <w:p w14:paraId="0B9ED8A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22.4评标委员会集体职责：</w:t>
      </w:r>
    </w:p>
    <w:p w14:paraId="17FC4BB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624C7A2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（2）配合采购人和</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答复投标人的质疑；</w:t>
      </w:r>
    </w:p>
    <w:p w14:paraId="0A8DA53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（3）配合主管部门做好投诉处理工作；</w:t>
      </w:r>
    </w:p>
    <w:p w14:paraId="4E9F55B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（4）必要时，向投标人解释评标结果；</w:t>
      </w:r>
    </w:p>
    <w:p w14:paraId="3C7ECEF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（5）向主管部门或者有关部门报告非法干预评标工作的行为。</w:t>
      </w:r>
    </w:p>
    <w:p w14:paraId="7B973C4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22.5</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或采购人的职责：</w:t>
      </w:r>
    </w:p>
    <w:p w14:paraId="02E6A59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（1）核对评审专家身份和采购人委托授权，对评审专家在采购活动中的职责履行情况予以记录，并及时将有关违法违规行为向主管部门报告；</w:t>
      </w:r>
    </w:p>
    <w:p w14:paraId="517D57B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（2）宣布评标纪律；</w:t>
      </w:r>
    </w:p>
    <w:p w14:paraId="0D6AC8B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（3）公布投标人名单，告知评审专家应当回避的情形；</w:t>
      </w:r>
    </w:p>
    <w:p w14:paraId="4241AB2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（4）组织评标委员会推选评标组长，采购人代表不得担任组长；</w:t>
      </w:r>
    </w:p>
    <w:p w14:paraId="03B9F03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（5）在评标期间采取必要的通讯管理措施，保证评标活动不受外界干扰；</w:t>
      </w:r>
    </w:p>
    <w:p w14:paraId="2EFE3CA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（6）根据评标委员会的要求介绍阳光国企采购相关政策法规、招标文件；</w:t>
      </w:r>
    </w:p>
    <w:p w14:paraId="465BCED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（7）维护评标秩序，监督评标委员会依照招标文件规定的评标程序、方法和标准进行独立评审，及时制止和纠正采购人代表、评审专家的倾向性言论或者违法违规行为；</w:t>
      </w:r>
    </w:p>
    <w:p w14:paraId="588B4C9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8）核对评标结果，存在分值汇总计算错误的、分项评分超出评分标准范围的、评标委员会成员对客观评审因素评分不一致的，经评标委员会认定评分畸高畸低的情形，要求评标小组复核或者书面说明理由，评标小组拒绝的，应予记录并向主管部门报告；</w:t>
      </w:r>
    </w:p>
    <w:p w14:paraId="51F798D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（9）评审工作完成后，按照规定向评审专家支付劳务报酬和异地评审差旅费，不得向评审专家以外的其他人员支付评审劳务报酬；</w:t>
      </w:r>
    </w:p>
    <w:p w14:paraId="327755D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（10）处理与评标有关的其他事项。</w:t>
      </w:r>
    </w:p>
    <w:p w14:paraId="74ADE77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采购人可以在评标前说明项目背景和采购需求，说明内容不得含有歧视性、倾向性意见，不得超出招标文件所述范围。说明应当提交书面材料，并随采购文件一并存档。</w:t>
      </w:r>
    </w:p>
    <w:p w14:paraId="7470749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22.6评标委员会采用集中办公、封闭方式进行评审。评标前，</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工作人员向评标委员会成员宣布评标纪律和工作规则。评标委员会成员签署《无利害关系声明表》，并遵照执行。</w:t>
      </w:r>
    </w:p>
    <w:p w14:paraId="31A462D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22.7评标委员会成员对与自己有利害关系的评标项目应当主动提出回避。</w:t>
      </w:r>
    </w:p>
    <w:p w14:paraId="25413EB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22.8评标委员会将按照招标文件确定的评标原则和方法进行评标。采购人对投标人进行资格性审查，评标委员会对投标文件的评审内容分为符合性审查、商务评议、技术评议和价格评议。</w:t>
      </w:r>
    </w:p>
    <w:p w14:paraId="6B571B2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22.9评标委员会独立履行下列职责：</w:t>
      </w:r>
    </w:p>
    <w:p w14:paraId="40FA406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（1）审查、评价投标文件是否符合招标文件的商务、技术等实质性要求；</w:t>
      </w:r>
    </w:p>
    <w:p w14:paraId="1B12CC2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（2）要求投标人对投标文件有关事项作出澄清或者说明；</w:t>
      </w:r>
    </w:p>
    <w:p w14:paraId="68B9793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（3）对投标文件进行比较和评价；</w:t>
      </w:r>
    </w:p>
    <w:p w14:paraId="29535FC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（4）确定中标候选人名单，以及根据采购人委托直接确定中标人；</w:t>
      </w:r>
    </w:p>
    <w:p w14:paraId="0C4C39F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（5）向采购人、</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或者有关部门报告评标中发现的违法行为。</w:t>
      </w:r>
    </w:p>
    <w:p w14:paraId="664B80D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22.10 评标中因评标委员会成员缺席、回避或者健康等特殊原因导致评标委员会组成不符合本办法规定的，</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应当依法补足后继续评标。被更换的评标委员会成员所作出的评标意见无效。</w:t>
      </w:r>
    </w:p>
    <w:p w14:paraId="4ACA5A7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无法及时补足评标委员会成员的，</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应当停止评标活动，封存所有投标文件和开标、评标资料，依法重新组建评标委员会进行评标。原评标委员会作出的评标意见无效。</w:t>
      </w:r>
    </w:p>
    <w:p w14:paraId="6FCFD1D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应当将变更、重新组建评标委员会的情况予以记录，并随采购文件一并存档。</w:t>
      </w:r>
    </w:p>
    <w:p w14:paraId="3E45A294">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23.投标文件的初审</w:t>
      </w:r>
    </w:p>
    <w:p w14:paraId="3F8BEA2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23.1资格性审查。在采购项目开标结束后,采购人或者</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工作人员应当依照有关法律和招标文件的规定对投标人的资格进行审查。合格投标人不足3家的，不得评标。在资格性检查时,如有下列情况之一的，经采购人认定，视为非实质性响应，为无效投标（响应）：</w:t>
      </w:r>
    </w:p>
    <w:p w14:paraId="4346DB1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1、单位负责人为同一人或者存在直接控股、管理关系的不同</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的；</w:t>
      </w:r>
    </w:p>
    <w:p w14:paraId="10D4148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2、为采购项目提供整体设计、规范编制或者项目管理、监理、检测等服务的；</w:t>
      </w:r>
    </w:p>
    <w:p w14:paraId="46818E0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3、投标人和投标服务资格证明文件不满足招标文件要求和过期失效的。</w:t>
      </w:r>
    </w:p>
    <w:p w14:paraId="0B04045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23.2符合性审查。评标委员会应当对符合资格的投标人的投标文件进行符合性审查，以确定其是否满足招标文件的实质性要求。评标委员会决定投标的响应性只根据投标文件本身的内容，而不依据外部的证据。在符合性检查时,如有不满足下列情况之一的，经评标委员会认定，视为非实质性响应，为无效投标（响应）：</w:t>
      </w:r>
    </w:p>
    <w:p w14:paraId="04AD12CB">
      <w:pPr>
        <w:spacing w:line="560" w:lineRule="exact"/>
        <w:ind w:firstLine="565" w:firstLineChars="201"/>
        <w:rPr>
          <w:rFonts w:ascii="仿宋_GB2312" w:hAnsi="仿宋" w:eastAsia="仿宋_GB2312" w:cs="宋体"/>
          <w:b/>
          <w:color w:val="000000" w:themeColor="text1"/>
          <w:sz w:val="28"/>
          <w:szCs w:val="28"/>
          <w:highlight w:val="none"/>
          <w14:textFill>
            <w14:solidFill>
              <w14:schemeClr w14:val="tx1"/>
            </w14:solidFill>
          </w14:textFill>
        </w:rPr>
      </w:pPr>
      <w:r>
        <w:rPr>
          <w:rFonts w:hint="eastAsia" w:ascii="仿宋_GB2312" w:hAnsi="仿宋" w:eastAsia="仿宋_GB2312" w:cs="宋体"/>
          <w:b/>
          <w:color w:val="000000" w:themeColor="text1"/>
          <w:sz w:val="28"/>
          <w:szCs w:val="28"/>
          <w:highlight w:val="none"/>
          <w14:textFill>
            <w14:solidFill>
              <w14:schemeClr w14:val="tx1"/>
            </w14:solidFill>
          </w14:textFill>
        </w:rPr>
        <w:t>具体内容详见《投标须知》-《实质性条款一览表》中符合性审查条件。</w:t>
      </w:r>
    </w:p>
    <w:p w14:paraId="0D3BA2F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23.3投标人有下列情形之一的，视为投标人串通投标，其投标无效：</w:t>
      </w:r>
    </w:p>
    <w:p w14:paraId="560D0988">
      <w:pPr>
        <w:pStyle w:val="40"/>
        <w:widowControl w:val="0"/>
        <w:shd w:val="clear" w:color="auto" w:fill="FFFFFF"/>
        <w:spacing w:before="0" w:after="0" w:line="560" w:lineRule="exact"/>
        <w:ind w:firstLine="560"/>
        <w:jc w:val="both"/>
        <w:rPr>
          <w:rFonts w:ascii="仿宋_GB2312" w:hAnsi="仿宋" w:eastAsia="仿宋_GB2312"/>
          <w:color w:val="000000" w:themeColor="text1"/>
          <w:kern w:val="2"/>
          <w:sz w:val="28"/>
          <w:szCs w:val="28"/>
          <w:highlight w:val="none"/>
          <w14:textFill>
            <w14:solidFill>
              <w14:schemeClr w14:val="tx1"/>
            </w14:solidFill>
          </w14:textFill>
        </w:rPr>
      </w:pPr>
      <w:r>
        <w:rPr>
          <w:rFonts w:hint="eastAsia" w:ascii="仿宋_GB2312" w:hAnsi="仿宋" w:eastAsia="仿宋_GB2312"/>
          <w:color w:val="000000" w:themeColor="text1"/>
          <w:kern w:val="2"/>
          <w:sz w:val="28"/>
          <w:szCs w:val="28"/>
          <w:highlight w:val="none"/>
          <w14:textFill>
            <w14:solidFill>
              <w14:schemeClr w14:val="tx1"/>
            </w14:solidFill>
          </w14:textFill>
        </w:rPr>
        <w:t>（1）不同投标人的投标文件由同一单位或者个人编制的；</w:t>
      </w:r>
    </w:p>
    <w:p w14:paraId="2E4FB5B8">
      <w:pPr>
        <w:pStyle w:val="40"/>
        <w:widowControl w:val="0"/>
        <w:shd w:val="clear" w:color="auto" w:fill="FFFFFF"/>
        <w:spacing w:before="0" w:after="0" w:line="560" w:lineRule="exact"/>
        <w:ind w:firstLine="560"/>
        <w:jc w:val="both"/>
        <w:rPr>
          <w:rFonts w:ascii="仿宋_GB2312" w:hAnsi="仿宋" w:eastAsia="仿宋_GB2312"/>
          <w:color w:val="000000" w:themeColor="text1"/>
          <w:kern w:val="2"/>
          <w:sz w:val="28"/>
          <w:szCs w:val="28"/>
          <w:highlight w:val="none"/>
          <w14:textFill>
            <w14:solidFill>
              <w14:schemeClr w14:val="tx1"/>
            </w14:solidFill>
          </w14:textFill>
        </w:rPr>
      </w:pPr>
      <w:r>
        <w:rPr>
          <w:rFonts w:hint="eastAsia" w:ascii="仿宋_GB2312" w:hAnsi="仿宋" w:eastAsia="仿宋_GB2312"/>
          <w:color w:val="000000" w:themeColor="text1"/>
          <w:kern w:val="2"/>
          <w:sz w:val="28"/>
          <w:szCs w:val="28"/>
          <w:highlight w:val="none"/>
          <w14:textFill>
            <w14:solidFill>
              <w14:schemeClr w14:val="tx1"/>
            </w14:solidFill>
          </w14:textFill>
        </w:rPr>
        <w:t>（2）不同投标人使用同一个投标单位或者同一个自然人的IP地址、设备下载采购文件或者制作、上传投标文件的；</w:t>
      </w:r>
    </w:p>
    <w:p w14:paraId="5CE31B98">
      <w:pPr>
        <w:pStyle w:val="40"/>
        <w:widowControl w:val="0"/>
        <w:shd w:val="clear" w:color="auto" w:fill="FFFFFF"/>
        <w:spacing w:before="0" w:after="0" w:line="560" w:lineRule="exact"/>
        <w:ind w:firstLine="560"/>
        <w:jc w:val="both"/>
        <w:rPr>
          <w:rFonts w:ascii="仿宋_GB2312" w:hAnsi="仿宋" w:eastAsia="仿宋_GB2312"/>
          <w:color w:val="000000" w:themeColor="text1"/>
          <w:kern w:val="2"/>
          <w:sz w:val="28"/>
          <w:szCs w:val="28"/>
          <w:highlight w:val="none"/>
          <w14:textFill>
            <w14:solidFill>
              <w14:schemeClr w14:val="tx1"/>
            </w14:solidFill>
          </w14:textFill>
        </w:rPr>
      </w:pPr>
      <w:r>
        <w:rPr>
          <w:rFonts w:hint="eastAsia" w:ascii="仿宋_GB2312" w:hAnsi="仿宋" w:eastAsia="仿宋_GB2312"/>
          <w:color w:val="000000" w:themeColor="text1"/>
          <w:kern w:val="2"/>
          <w:sz w:val="28"/>
          <w:szCs w:val="28"/>
          <w:highlight w:val="none"/>
          <w14:textFill>
            <w14:solidFill>
              <w14:schemeClr w14:val="tx1"/>
            </w14:solidFill>
          </w14:textFill>
        </w:rPr>
        <w:t>（3）不同投标人委托同一单位或者个人办理投标事宜；</w:t>
      </w:r>
    </w:p>
    <w:p w14:paraId="45B87857">
      <w:pPr>
        <w:pStyle w:val="40"/>
        <w:widowControl w:val="0"/>
        <w:shd w:val="clear" w:color="auto" w:fill="FFFFFF"/>
        <w:spacing w:before="0" w:after="0" w:line="560" w:lineRule="exact"/>
        <w:ind w:firstLine="560"/>
        <w:jc w:val="both"/>
        <w:rPr>
          <w:rFonts w:ascii="仿宋_GB2312" w:hAnsi="仿宋" w:eastAsia="仿宋_GB2312"/>
          <w:color w:val="000000" w:themeColor="text1"/>
          <w:kern w:val="2"/>
          <w:sz w:val="28"/>
          <w:szCs w:val="28"/>
          <w:highlight w:val="none"/>
          <w14:textFill>
            <w14:solidFill>
              <w14:schemeClr w14:val="tx1"/>
            </w14:solidFill>
          </w14:textFill>
        </w:rPr>
      </w:pPr>
      <w:r>
        <w:rPr>
          <w:rFonts w:hint="eastAsia" w:ascii="仿宋_GB2312" w:hAnsi="仿宋" w:eastAsia="仿宋_GB2312"/>
          <w:color w:val="000000" w:themeColor="text1"/>
          <w:kern w:val="2"/>
          <w:sz w:val="28"/>
          <w:szCs w:val="28"/>
          <w:highlight w:val="none"/>
          <w14:textFill>
            <w14:solidFill>
              <w14:schemeClr w14:val="tx1"/>
            </w14:solidFill>
          </w14:textFill>
        </w:rPr>
        <w:t>（4）不同投标人的投标文件载明的项目管理成员或者联系人员为同一人；</w:t>
      </w:r>
    </w:p>
    <w:p w14:paraId="6E5AB9E2">
      <w:pPr>
        <w:pStyle w:val="40"/>
        <w:widowControl w:val="0"/>
        <w:shd w:val="clear" w:color="auto" w:fill="FFFFFF"/>
        <w:spacing w:before="0" w:after="0" w:line="560" w:lineRule="exact"/>
        <w:ind w:firstLine="560"/>
        <w:jc w:val="both"/>
        <w:rPr>
          <w:rFonts w:ascii="仿宋_GB2312" w:hAnsi="仿宋" w:eastAsia="仿宋_GB2312"/>
          <w:color w:val="000000" w:themeColor="text1"/>
          <w:kern w:val="2"/>
          <w:sz w:val="28"/>
          <w:szCs w:val="28"/>
          <w:highlight w:val="none"/>
          <w14:textFill>
            <w14:solidFill>
              <w14:schemeClr w14:val="tx1"/>
            </w14:solidFill>
          </w14:textFill>
        </w:rPr>
      </w:pPr>
      <w:r>
        <w:rPr>
          <w:rFonts w:hint="eastAsia" w:ascii="仿宋_GB2312" w:hAnsi="仿宋" w:eastAsia="仿宋_GB2312"/>
          <w:color w:val="000000" w:themeColor="text1"/>
          <w:kern w:val="2"/>
          <w:sz w:val="28"/>
          <w:szCs w:val="28"/>
          <w:highlight w:val="none"/>
          <w14:textFill>
            <w14:solidFill>
              <w14:schemeClr w14:val="tx1"/>
            </w14:solidFill>
          </w14:textFill>
        </w:rPr>
        <w:t>（5）不同投标人的投标文件重要内容异常一致、或者投标报价呈现规律性差异；</w:t>
      </w:r>
    </w:p>
    <w:p w14:paraId="364B5DEB">
      <w:pPr>
        <w:pStyle w:val="40"/>
        <w:widowControl w:val="0"/>
        <w:shd w:val="clear" w:color="auto" w:fill="FFFFFF"/>
        <w:spacing w:before="0" w:after="0" w:line="560" w:lineRule="exact"/>
        <w:ind w:firstLine="560"/>
        <w:jc w:val="both"/>
        <w:rPr>
          <w:rFonts w:ascii="仿宋_GB2312" w:hAnsi="仿宋" w:eastAsia="仿宋_GB2312"/>
          <w:color w:val="000000" w:themeColor="text1"/>
          <w:kern w:val="2"/>
          <w:sz w:val="28"/>
          <w:szCs w:val="28"/>
          <w:highlight w:val="none"/>
          <w14:textFill>
            <w14:solidFill>
              <w14:schemeClr w14:val="tx1"/>
            </w14:solidFill>
          </w14:textFill>
        </w:rPr>
      </w:pPr>
      <w:r>
        <w:rPr>
          <w:rFonts w:hint="eastAsia" w:ascii="仿宋_GB2312" w:hAnsi="仿宋" w:eastAsia="仿宋_GB2312"/>
          <w:color w:val="000000" w:themeColor="text1"/>
          <w:kern w:val="2"/>
          <w:sz w:val="28"/>
          <w:szCs w:val="28"/>
          <w:highlight w:val="none"/>
          <w14:textFill>
            <w14:solidFill>
              <w14:schemeClr w14:val="tx1"/>
            </w14:solidFill>
          </w14:textFill>
        </w:rPr>
        <w:t>（6）不同投标人编制的投标文件存在两处以上错误一致的；</w:t>
      </w:r>
    </w:p>
    <w:p w14:paraId="38806025">
      <w:pPr>
        <w:pStyle w:val="40"/>
        <w:widowControl w:val="0"/>
        <w:shd w:val="clear" w:color="auto" w:fill="FFFFFF"/>
        <w:spacing w:before="0" w:after="0" w:line="560" w:lineRule="exact"/>
        <w:ind w:firstLine="560"/>
        <w:jc w:val="both"/>
        <w:rPr>
          <w:rFonts w:ascii="仿宋_GB2312" w:hAnsi="仿宋" w:eastAsia="仿宋_GB2312"/>
          <w:color w:val="000000" w:themeColor="text1"/>
          <w:kern w:val="2"/>
          <w:sz w:val="28"/>
          <w:szCs w:val="28"/>
          <w:highlight w:val="none"/>
          <w14:textFill>
            <w14:solidFill>
              <w14:schemeClr w14:val="tx1"/>
            </w14:solidFill>
          </w14:textFill>
        </w:rPr>
      </w:pPr>
      <w:r>
        <w:rPr>
          <w:rFonts w:hint="eastAsia" w:ascii="仿宋_GB2312" w:hAnsi="仿宋" w:eastAsia="仿宋_GB2312"/>
          <w:color w:val="000000" w:themeColor="text1"/>
          <w:kern w:val="2"/>
          <w:sz w:val="28"/>
          <w:szCs w:val="28"/>
          <w:highlight w:val="none"/>
          <w14:textFill>
            <w14:solidFill>
              <w14:schemeClr w14:val="tx1"/>
            </w14:solidFill>
          </w14:textFill>
        </w:rPr>
        <w:t>（7）不同投标人的投标文件相互混装</w:t>
      </w:r>
      <w:r>
        <w:rPr>
          <w:rFonts w:hint="eastAsia" w:ascii="仿宋_GB2312" w:hAnsi="仿宋" w:eastAsia="仿宋_GB2312"/>
          <w:color w:val="000000" w:themeColor="text1"/>
          <w:sz w:val="28"/>
          <w:szCs w:val="28"/>
          <w:highlight w:val="none"/>
          <w14:textFill>
            <w14:solidFill>
              <w14:schemeClr w14:val="tx1"/>
            </w14:solidFill>
          </w14:textFill>
        </w:rPr>
        <w:t>；</w:t>
      </w:r>
    </w:p>
    <w:p w14:paraId="381F399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23.4投标截止后投标人不足3家或者通过资格审查或符合性审查的投标人不足3家的，除采购任务取消情形外，按照以下方式处理：</w:t>
      </w:r>
    </w:p>
    <w:p w14:paraId="44B0372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（1）招标文件存在不合理条款或者招标程序不符合规定的，招标人、</w:t>
      </w:r>
      <w:r>
        <w:rPr>
          <w:rFonts w:hint="eastAsia" w:ascii="仿宋_GB2312" w:hAnsi="宋体" w:eastAsia="仿宋_GB2312"/>
          <w:color w:val="000000" w:themeColor="text1"/>
          <w:sz w:val="28"/>
          <w:szCs w:val="28"/>
          <w:highlight w:val="none"/>
          <w14:textFill>
            <w14:solidFill>
              <w14:schemeClr w14:val="tx1"/>
            </w14:solidFill>
          </w14:textFill>
        </w:rPr>
        <w:t>招标代理机构</w:t>
      </w:r>
      <w:r>
        <w:rPr>
          <w:rFonts w:hint="eastAsia" w:ascii="仿宋_GB2312" w:hAnsi="仿宋" w:eastAsia="仿宋_GB2312" w:cs="宋体"/>
          <w:color w:val="000000" w:themeColor="text1"/>
          <w:sz w:val="28"/>
          <w:szCs w:val="28"/>
          <w:highlight w:val="none"/>
          <w14:textFill>
            <w14:solidFill>
              <w14:schemeClr w14:val="tx1"/>
            </w14:solidFill>
          </w14:textFill>
        </w:rPr>
        <w:t>改正后依法重新招标；</w:t>
      </w:r>
    </w:p>
    <w:p w14:paraId="6EE0CC9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（2）招标文件没有不合理条款、招标程序符合规定，需要采用其他招标方式招标的物，招标人应当依法报主管部门批准。</w:t>
      </w:r>
    </w:p>
    <w:p w14:paraId="1BE1C48C">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24.投标文件的澄清</w:t>
      </w:r>
    </w:p>
    <w:p w14:paraId="1D90AF6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24.1评标委员会有权向投标人询标，对于投标文件中含义不明确、同类问题表述不一致或者有明显文字和计算错误的内容，评标委员会应当以书面形式要求投标人作出必要的澄清、说明或者补正。请投标人澄清其投标内容，投标人法定代表人（依法登记的负责人）或其授权人必须接受评标委员会的询标，未在规定的时间内，对重大关键问题进行答疑和澄清的投标人，经评标委员会确认可视为投标人放弃投标。</w:t>
      </w:r>
    </w:p>
    <w:p w14:paraId="50D6DE1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24.2投标人的澄清、说明或者补正应当采用书面形式，并加盖公章，或者由法定代表人（依法登记的负责人）或其授权的代表签字。投标人的澄清、说明或者补正不得超出投标文件的范围或者改变对投标文件的实质性内容。此书面文件是投标文件的组成部分。</w:t>
      </w:r>
    </w:p>
    <w:p w14:paraId="449FE125">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25.投标文件的评价</w:t>
      </w:r>
    </w:p>
    <w:p w14:paraId="2E54278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25.1评标委员会只对确定为实质响应招标文件要求的投标文件进行评价和比较。必要时需标明评审理由。</w:t>
      </w:r>
    </w:p>
    <w:p w14:paraId="2166B52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25.2评标采用综合评分法的，价格分值由评审系统根据投标人上传的《投标（报价）一览表》中的投标报价，依据规定公式自动计算，其结果由评标委员会所有成员签字确认。</w:t>
      </w:r>
    </w:p>
    <w:p w14:paraId="0E01EDC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招标公司工作人员负责复核、统计评标委员会成员的评审情况，发现评审意见有失公正时，提请该评标委员会成员修改评审意见，并形成书面意见备查。</w:t>
      </w:r>
    </w:p>
    <w:p w14:paraId="00295DD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25.3评审时除考虑投标人的报价之外，还将考虑以下因素：</w:t>
      </w:r>
    </w:p>
    <w:p w14:paraId="1F54F5A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（1）投标文件的响应状况（包括是否按照招标文件要求制作）；</w:t>
      </w:r>
    </w:p>
    <w:p w14:paraId="0887870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（2）投标产品的技术性能、功能、质量等指标的响应情况，包括其响应是否有技术佐证文件的支持；</w:t>
      </w:r>
    </w:p>
    <w:p w14:paraId="5ECCB0A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（3）服务方案（包括本地化服务机构和人员、服务响应时间、安装调试、培训方案等）、服务期、服务体系和业绩等；</w:t>
      </w:r>
    </w:p>
    <w:p w14:paraId="5471B78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（4）招标文件规定的其它评审因素。</w:t>
      </w:r>
    </w:p>
    <w:p w14:paraId="18C607E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25.4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4990881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25.</w:t>
      </w:r>
      <w:r>
        <w:rPr>
          <w:rFonts w:ascii="仿宋_GB2312" w:hAnsi="仿宋" w:eastAsia="仿宋_GB2312" w:cs="宋体"/>
          <w:color w:val="000000" w:themeColor="text1"/>
          <w:sz w:val="28"/>
          <w:szCs w:val="28"/>
          <w:highlight w:val="none"/>
          <w14:textFill>
            <w14:solidFill>
              <w14:schemeClr w14:val="tx1"/>
            </w14:solidFill>
          </w14:textFill>
        </w:rPr>
        <w:t>5</w:t>
      </w:r>
      <w:r>
        <w:rPr>
          <w:rFonts w:hint="eastAsia" w:ascii="仿宋_GB2312" w:hAnsi="仿宋" w:eastAsia="仿宋_GB2312" w:cs="宋体"/>
          <w:color w:val="000000" w:themeColor="text1"/>
          <w:sz w:val="28"/>
          <w:szCs w:val="28"/>
          <w:highlight w:val="none"/>
          <w14:textFill>
            <w14:solidFill>
              <w14:schemeClr w14:val="tx1"/>
            </w14:solidFill>
          </w14:textFill>
        </w:rPr>
        <w:t>评标委员会发现招标文件存在歧义、重大缺陷导致评标工作无法进行，或者招标文件内容违反国家有关强制性规定的，应当停止评标工作，与采购人或者</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沟通并作书面记录。采购人确认后，应当修改招标文件，重新组织采购活动。</w:t>
      </w:r>
    </w:p>
    <w:p w14:paraId="504EE37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25.</w:t>
      </w:r>
      <w:r>
        <w:rPr>
          <w:rFonts w:ascii="仿宋_GB2312" w:hAnsi="仿宋" w:eastAsia="仿宋_GB2312" w:cs="宋体"/>
          <w:color w:val="000000" w:themeColor="text1"/>
          <w:sz w:val="28"/>
          <w:szCs w:val="28"/>
          <w:highlight w:val="none"/>
          <w14:textFill>
            <w14:solidFill>
              <w14:schemeClr w14:val="tx1"/>
            </w14:solidFill>
          </w14:textFill>
        </w:rPr>
        <w:t>6</w:t>
      </w:r>
      <w:r>
        <w:rPr>
          <w:rFonts w:hint="eastAsia" w:ascii="仿宋_GB2312" w:hAnsi="仿宋" w:eastAsia="仿宋_GB2312" w:cs="宋体"/>
          <w:color w:val="000000" w:themeColor="text1"/>
          <w:sz w:val="28"/>
          <w:szCs w:val="28"/>
          <w:highlight w:val="none"/>
          <w14:textFill>
            <w14:solidFill>
              <w14:schemeClr w14:val="tx1"/>
            </w14:solidFill>
          </w14:textFill>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06EAFA20">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26.废标条款</w:t>
      </w:r>
    </w:p>
    <w:p w14:paraId="0A3B202E">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在招标采购中，出现下列情形之一的，应予废标：</w:t>
      </w:r>
    </w:p>
    <w:p w14:paraId="0D7CA99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（1）符合专业条件的</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或者对招标文件作实质响应的</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不足3家的；</w:t>
      </w:r>
    </w:p>
    <w:p w14:paraId="6A4B95E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（2）出现影响采购公正的违法、违规行为的；</w:t>
      </w:r>
    </w:p>
    <w:p w14:paraId="4341D80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（3）所有投标报价均超过招标文件中规定的预算金额，采购人不能支付的；</w:t>
      </w:r>
    </w:p>
    <w:p w14:paraId="59073CA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（4）因重大变故，采购人采购任务取消的。</w:t>
      </w:r>
    </w:p>
    <w:p w14:paraId="11E5194E">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六、定标</w:t>
      </w:r>
    </w:p>
    <w:p w14:paraId="7D7346CC">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27.定标</w:t>
      </w:r>
    </w:p>
    <w:p w14:paraId="4B67A6E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27.1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5C636F1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27.2评委会所有成员应当在评标报告上签字确认，评标报告的主要内容包括：</w:t>
      </w:r>
    </w:p>
    <w:p w14:paraId="1A8E8F9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（1）招标公告刊登的媒体名称、开标日期和地点；</w:t>
      </w:r>
    </w:p>
    <w:p w14:paraId="1F95069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（2）投标人名单和评标委员会成员名单；</w:t>
      </w:r>
    </w:p>
    <w:p w14:paraId="22E490F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（3）评标方法和评标标准；</w:t>
      </w:r>
    </w:p>
    <w:p w14:paraId="2C81E41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（4）开标记录和评标情况及说明，包括投标无效投标人名单及原因；</w:t>
      </w:r>
    </w:p>
    <w:p w14:paraId="2F85A78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（5）评标结果，确定的中标候选人名单或者经采购人委托直接确定的中标人；</w:t>
      </w:r>
    </w:p>
    <w:p w14:paraId="61FA55A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（6）其他需要说明的情况，包括评标过程中投标人根据评标委员会要求进行澄清、说明或者补正，评标委员会成员的更换等。</w:t>
      </w:r>
    </w:p>
    <w:p w14:paraId="765726F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27.3由评标委员会直接确定预中标候选人的，</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自评标结束之日起3个工作日内在指定媒体上公布评标结果；需要采购人确认的，</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自评标结束之日起2日内，将评标报告送交采购人。采购人应当自收到评标报告之日起3个工作日内在评标报告确定的中标候选人名单中按顺序确定预中标人。</w:t>
      </w:r>
    </w:p>
    <w:p w14:paraId="26998CF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27.4评标结果汇总完成后，除下列情形外，任何人不得修改评标结果：</w:t>
      </w:r>
    </w:p>
    <w:p w14:paraId="2FC1E06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（1）分值汇总计算错误的；</w:t>
      </w:r>
    </w:p>
    <w:p w14:paraId="006C364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（2）分项评分超出评分标准范围的；</w:t>
      </w:r>
    </w:p>
    <w:p w14:paraId="3D0EF33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（3）评标委员会成员对客观评审因素评分不一致的；</w:t>
      </w:r>
    </w:p>
    <w:p w14:paraId="7317570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（4）经评标委员会认定评分畸高、畸低的。</w:t>
      </w:r>
    </w:p>
    <w:p w14:paraId="5E046F4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27.5评标报告签署前，经复核发现存在以上情形之一的，评标委员会应当当场修改评标结果，并在评标报告中记载；评标报告签署后，采购人或</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可以组织原评标委员会进行重新评审，重新评审改变评标结果的，应当书面报告主管部门。</w:t>
      </w:r>
    </w:p>
    <w:p w14:paraId="4764487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27.6中标人在规定的期限内无正当理由拒绝签订合同，采购人可以按照评审报告推荐的中标候选人名单排序，确定下一候选人为中标人，也可以重新开展招标活动。</w:t>
      </w:r>
    </w:p>
    <w:p w14:paraId="2D5F31FE">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七、公告</w:t>
      </w:r>
    </w:p>
    <w:p w14:paraId="7249258A">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28.公告</w:t>
      </w:r>
    </w:p>
    <w:p w14:paraId="206766D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28.1</w:t>
      </w:r>
      <w:r>
        <w:rPr>
          <w:rFonts w:hint="eastAsia" w:ascii="仿宋_GB2312" w:hAnsi="宋体" w:eastAsia="仿宋_GB2312"/>
          <w:color w:val="000000" w:themeColor="text1"/>
          <w:sz w:val="28"/>
          <w:szCs w:val="28"/>
          <w:highlight w:val="none"/>
          <w14:textFill>
            <w14:solidFill>
              <w14:schemeClr w14:val="tx1"/>
            </w14:solidFill>
          </w14:textFill>
        </w:rPr>
        <w:t>采购人应当自定标结束之日起三日内公告中标人</w:t>
      </w:r>
      <w:r>
        <w:rPr>
          <w:rFonts w:hint="eastAsia" w:ascii="仿宋_GB2312" w:hAnsi="仿宋" w:eastAsia="仿宋_GB2312" w:cs="宋体"/>
          <w:color w:val="000000" w:themeColor="text1"/>
          <w:sz w:val="28"/>
          <w:szCs w:val="28"/>
          <w:highlight w:val="none"/>
          <w14:textFill>
            <w14:solidFill>
              <w14:schemeClr w14:val="tx1"/>
            </w14:solidFill>
          </w14:textFill>
        </w:rPr>
        <w:t>，在发布招标公告媒体上公告中标结果。中标公告期限为1个工作日。中标公告应当包括下列内容：</w:t>
      </w:r>
    </w:p>
    <w:p w14:paraId="55FD9AC5">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（1）采购人、</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的名称、地址和联系方式；</w:t>
      </w:r>
    </w:p>
    <w:p w14:paraId="43E1CDAC">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（2）项目名称和项目编号；</w:t>
      </w:r>
    </w:p>
    <w:p w14:paraId="752E19F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（3）中标人名称、地址和中标金额；</w:t>
      </w:r>
    </w:p>
    <w:p w14:paraId="77446100">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（4）评审专家名单。</w:t>
      </w:r>
    </w:p>
    <w:p w14:paraId="4CF61083">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28.2</w:t>
      </w:r>
      <w:r>
        <w:rPr>
          <w:rFonts w:hint="eastAsia" w:ascii="仿宋_GB2312" w:hAnsi="宋体" w:eastAsia="仿宋_GB2312"/>
          <w:color w:val="000000" w:themeColor="text1"/>
          <w:sz w:val="28"/>
          <w:szCs w:val="28"/>
          <w:highlight w:val="none"/>
          <w14:textFill>
            <w14:solidFill>
              <w14:schemeClr w14:val="tx1"/>
            </w14:solidFill>
          </w14:textFill>
        </w:rPr>
        <w:t>山东志诚工程咨询管理有限公司</w:t>
      </w:r>
      <w:r>
        <w:rPr>
          <w:rFonts w:hint="eastAsia" w:ascii="仿宋_GB2312" w:hAnsi="仿宋" w:eastAsia="仿宋_GB2312" w:cs="宋体"/>
          <w:color w:val="000000" w:themeColor="text1"/>
          <w:sz w:val="28"/>
          <w:szCs w:val="28"/>
          <w:highlight w:val="none"/>
          <w14:textFill>
            <w14:solidFill>
              <w14:schemeClr w14:val="tx1"/>
            </w14:solidFill>
          </w14:textFill>
        </w:rPr>
        <w:t>应当在公告中标结果的同时，向中标人发出《中标通知书》；对未通过资格审查的投标人，应当告知其未通过的原因；《中标通知书》是合同的组成部分,对中标人和采购人具有同等法律效力。《中标通知书》发出后，采购人不得违法改变中标结果，中标人无正当理由不得放弃中标。</w:t>
      </w:r>
    </w:p>
    <w:p w14:paraId="4E99AAEA">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八、质疑</w:t>
      </w:r>
    </w:p>
    <w:p w14:paraId="4E957324">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29.质疑</w:t>
      </w:r>
    </w:p>
    <w:p w14:paraId="11F6E46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29.1依据《威海市市属国有企业阳光采购监督管理办法》规定，供应商认为采购文件、采购过程、成交结果使自己的权益受到损害，应于截止前2日内以书面形式向采购人或采购代理机构提出质疑。采购人或采购代理机构应当在收到供应商的书面质疑后</w:t>
      </w:r>
      <w:r>
        <w:rPr>
          <w:rFonts w:ascii="仿宋_GB2312" w:hAnsi="仿宋" w:eastAsia="仿宋_GB2312" w:cs="宋体"/>
          <w:color w:val="000000" w:themeColor="text1"/>
          <w:sz w:val="28"/>
          <w:szCs w:val="28"/>
          <w:highlight w:val="none"/>
          <w14:textFill>
            <w14:solidFill>
              <w14:schemeClr w14:val="tx1"/>
            </w14:solidFill>
          </w14:textFill>
        </w:rPr>
        <w:t>7</w:t>
      </w:r>
      <w:r>
        <w:rPr>
          <w:rFonts w:hint="eastAsia" w:ascii="仿宋_GB2312" w:hAnsi="仿宋" w:eastAsia="仿宋_GB2312" w:cs="宋体"/>
          <w:color w:val="000000" w:themeColor="text1"/>
          <w:sz w:val="28"/>
          <w:szCs w:val="28"/>
          <w:highlight w:val="none"/>
          <w14:textFill>
            <w14:solidFill>
              <w14:schemeClr w14:val="tx1"/>
            </w14:solidFill>
          </w14:textFill>
        </w:rPr>
        <w:t>日内做出书面答复，但答复内容不得涉及商业秘密。</w:t>
      </w:r>
    </w:p>
    <w:p w14:paraId="093DB72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29.2仲裁或起诉</w:t>
      </w:r>
    </w:p>
    <w:p w14:paraId="68C4385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供应商对答复不满意，或者采购人、代理机构未在规定的时间内做出书面答复的，供应商可以在答复期满后向采购人所在地仲裁机构、人民法院申请仲裁或起诉。</w:t>
      </w:r>
    </w:p>
    <w:p w14:paraId="5709124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29.3提出质疑的投标人应当是参与本项目招标活动的投标人。</w:t>
      </w:r>
    </w:p>
    <w:p w14:paraId="01F4106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29.4投标人应在法定质疑期内一次性提出针对同一采购程序环节的质疑。</w:t>
      </w:r>
    </w:p>
    <w:p w14:paraId="4D752E2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29.5质疑采用实名制，为了使提出的质疑事项在规定时间内得到有效答复、处理，提交的质疑函务必提供以下内容。</w:t>
      </w:r>
    </w:p>
    <w:p w14:paraId="4FFC7DA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的姓名或名称、地址（邮箱）、邮编、联系人及联系电话；</w:t>
      </w:r>
    </w:p>
    <w:p w14:paraId="6657E7E2">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（2）质疑项目的名称、编号；</w:t>
      </w:r>
    </w:p>
    <w:p w14:paraId="4A7AEBE1">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（3）具体、明确的质疑事项和与质疑事项相关的请求；</w:t>
      </w:r>
    </w:p>
    <w:p w14:paraId="7A1F7D5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（4）事实依据；</w:t>
      </w:r>
    </w:p>
    <w:p w14:paraId="016F3CF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（5）必要的法律依据；</w:t>
      </w:r>
    </w:p>
    <w:p w14:paraId="0196822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（6）提出质疑的日期。</w:t>
      </w:r>
    </w:p>
    <w:p w14:paraId="131E8B54">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为自然人的，应当由本人签字；</w:t>
      </w:r>
      <w:r>
        <w:rPr>
          <w:rFonts w:hint="eastAsia" w:ascii="仿宋_GB2312" w:hAnsi="宋体" w:eastAsia="仿宋_GB2312"/>
          <w:color w:val="000000" w:themeColor="text1"/>
          <w:sz w:val="28"/>
          <w:szCs w:val="28"/>
          <w:highlight w:val="none"/>
          <w14:textFill>
            <w14:solidFill>
              <w14:schemeClr w14:val="tx1"/>
            </w14:solidFill>
          </w14:textFill>
        </w:rPr>
        <w:t>投标人</w:t>
      </w:r>
      <w:r>
        <w:rPr>
          <w:rFonts w:hint="eastAsia" w:ascii="仿宋_GB2312" w:hAnsi="仿宋" w:eastAsia="仿宋_GB2312" w:cs="宋体"/>
          <w:color w:val="000000" w:themeColor="text1"/>
          <w:sz w:val="28"/>
          <w:szCs w:val="28"/>
          <w:highlight w:val="none"/>
          <w14:textFill>
            <w14:solidFill>
              <w14:schemeClr w14:val="tx1"/>
            </w14:solidFill>
          </w14:textFill>
        </w:rPr>
        <w:t>为法人或者其他组织的，应当由法定代表人、主要负责人，或者其被授权人签字或者盖章，并加盖公章。</w:t>
      </w:r>
    </w:p>
    <w:p w14:paraId="2C23D26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29.6招标人或招标公司正式受理后方可生效。否则，为无效质疑。</w:t>
      </w:r>
    </w:p>
    <w:p w14:paraId="702651A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29.7有下列情况之一的质疑不予受理：</w:t>
      </w:r>
    </w:p>
    <w:p w14:paraId="36F77CE9">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（1）无质疑函件或质疑函件缺少投标人法人印章、投标人法定代表人（依法登记的负责人）签字、有效授权书和联系方式之一的质疑；</w:t>
      </w:r>
    </w:p>
    <w:p w14:paraId="6758499A">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（2）质疑函件无实质性内容或佐证文件资料，主观臆断及推理得出结论的质疑；</w:t>
      </w:r>
    </w:p>
    <w:p w14:paraId="0D7029C6">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（3）相应证明材料不真实或来源不合法的质疑；</w:t>
      </w:r>
    </w:p>
    <w:p w14:paraId="3ABEAD7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（4）未按规定时间或超过公示期提出的质疑；</w:t>
      </w:r>
    </w:p>
    <w:p w14:paraId="7045DE57">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29.8对捏造事实，提供虚假材料或者以非法手段取得证明材料进行恶意质疑的，一经查实，将上报主管部门列入黑名单，并给以相应处罚。</w:t>
      </w:r>
    </w:p>
    <w:p w14:paraId="092E650B">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九、签订合同</w:t>
      </w:r>
    </w:p>
    <w:p w14:paraId="372A4B5B">
      <w:pPr>
        <w:spacing w:line="560" w:lineRule="exact"/>
        <w:ind w:firstLine="565" w:firstLineChars="201"/>
        <w:rPr>
          <w:rFonts w:ascii="楷体_GB2312" w:hAnsi="仿宋" w:eastAsia="楷体_GB2312" w:cs="宋体"/>
          <w:b/>
          <w:color w:val="000000" w:themeColor="text1"/>
          <w:sz w:val="28"/>
          <w:szCs w:val="28"/>
          <w:highlight w:val="none"/>
          <w14:textFill>
            <w14:solidFill>
              <w14:schemeClr w14:val="tx1"/>
            </w14:solidFill>
          </w14:textFill>
        </w:rPr>
      </w:pPr>
      <w:r>
        <w:rPr>
          <w:rFonts w:hint="eastAsia" w:ascii="楷体_GB2312" w:hAnsi="仿宋" w:eastAsia="楷体_GB2312" w:cs="宋体"/>
          <w:b/>
          <w:color w:val="000000" w:themeColor="text1"/>
          <w:sz w:val="28"/>
          <w:szCs w:val="28"/>
          <w:highlight w:val="none"/>
          <w14:textFill>
            <w14:solidFill>
              <w14:schemeClr w14:val="tx1"/>
            </w14:solidFill>
          </w14:textFill>
        </w:rPr>
        <w:t>30.合同的签订</w:t>
      </w:r>
    </w:p>
    <w:p w14:paraId="5850BFAF">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30</w:t>
      </w:r>
      <w:r>
        <w:rPr>
          <w:rFonts w:ascii="仿宋_GB2312" w:hAnsi="仿宋" w:eastAsia="仿宋_GB2312" w:cs="宋体"/>
          <w:color w:val="000000" w:themeColor="text1"/>
          <w:sz w:val="28"/>
          <w:szCs w:val="28"/>
          <w:highlight w:val="none"/>
          <w14:textFill>
            <w14:solidFill>
              <w14:schemeClr w14:val="tx1"/>
            </w14:solidFill>
          </w14:textFill>
        </w:rPr>
        <w:t>.1</w:t>
      </w:r>
      <w:r>
        <w:rPr>
          <w:rFonts w:hint="eastAsia" w:ascii="仿宋_GB2312" w:hAnsi="仿宋" w:eastAsia="仿宋_GB2312" w:cs="宋体"/>
          <w:color w:val="000000" w:themeColor="text1"/>
          <w:sz w:val="28"/>
          <w:szCs w:val="28"/>
          <w:highlight w:val="none"/>
          <w14:textFill>
            <w14:solidFill>
              <w14:schemeClr w14:val="tx1"/>
            </w14:solidFill>
          </w14:textFill>
        </w:rPr>
        <w:t>中标通知书发出之日起30日内，按招标文件、中标人的投标文件签订采购合同。招标人应当自采购合同签订之日起5个工作日内，将采购合同上传至威海市国有企业阳光采购电子化服务平台同时在指定的媒介上公告，但采购合同中涉及国家秘密、商业秘密的内容除外。</w:t>
      </w:r>
    </w:p>
    <w:p w14:paraId="33093FCB">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30</w:t>
      </w:r>
      <w:r>
        <w:rPr>
          <w:rFonts w:ascii="仿宋_GB2312" w:hAnsi="仿宋" w:eastAsia="仿宋_GB2312" w:cs="宋体"/>
          <w:color w:val="000000" w:themeColor="text1"/>
          <w:sz w:val="28"/>
          <w:szCs w:val="28"/>
          <w:highlight w:val="none"/>
          <w14:textFill>
            <w14:solidFill>
              <w14:schemeClr w14:val="tx1"/>
            </w14:solidFill>
          </w14:textFill>
        </w:rPr>
        <w:t>.2</w:t>
      </w:r>
      <w:r>
        <w:rPr>
          <w:rFonts w:hint="eastAsia" w:ascii="仿宋_GB2312" w:hAnsi="仿宋" w:eastAsia="仿宋_GB2312" w:cs="宋体"/>
          <w:color w:val="000000" w:themeColor="text1"/>
          <w:sz w:val="28"/>
          <w:szCs w:val="28"/>
          <w:highlight w:val="none"/>
          <w14:textFill>
            <w14:solidFill>
              <w14:schemeClr w14:val="tx1"/>
            </w14:solidFill>
          </w14:textFill>
        </w:rPr>
        <w:t>招标人应当按照招标文件和中标人投标文件的规定，与中标人签订书面合同。招标人与中标人所签订的合同不得对招标文件和中标人的投标文件作实质性修改。招标人不得向中标人提出任何不合理的要求，作为签订合同的条件，不得与中标人私下订立背离合同实质性内容的协议。合同原则以第六章合同书格式为基础，并根据响应、答疑情况进行修改补充，自签订之日起生效。</w:t>
      </w:r>
    </w:p>
    <w:p w14:paraId="3641961D">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hint="eastAsia" w:ascii="仿宋_GB2312" w:hAnsi="仿宋" w:eastAsia="仿宋_GB2312" w:cs="宋体"/>
          <w:color w:val="000000" w:themeColor="text1"/>
          <w:sz w:val="28"/>
          <w:szCs w:val="28"/>
          <w:highlight w:val="none"/>
          <w14:textFill>
            <w14:solidFill>
              <w14:schemeClr w14:val="tx1"/>
            </w14:solidFill>
          </w14:textFill>
        </w:rPr>
        <w:t>30</w:t>
      </w:r>
      <w:r>
        <w:rPr>
          <w:rFonts w:ascii="仿宋_GB2312" w:hAnsi="仿宋" w:eastAsia="仿宋_GB2312" w:cs="宋体"/>
          <w:color w:val="000000" w:themeColor="text1"/>
          <w:sz w:val="28"/>
          <w:szCs w:val="28"/>
          <w:highlight w:val="none"/>
          <w14:textFill>
            <w14:solidFill>
              <w14:schemeClr w14:val="tx1"/>
            </w14:solidFill>
          </w14:textFill>
        </w:rPr>
        <w:t>.3</w:t>
      </w:r>
      <w:r>
        <w:rPr>
          <w:rFonts w:hint="eastAsia" w:ascii="仿宋_GB2312" w:hAnsi="仿宋" w:eastAsia="仿宋_GB2312" w:cs="宋体"/>
          <w:color w:val="000000" w:themeColor="text1"/>
          <w:sz w:val="28"/>
          <w:szCs w:val="28"/>
          <w:highlight w:val="none"/>
          <w14:textFill>
            <w14:solidFill>
              <w14:schemeClr w14:val="tx1"/>
            </w14:solidFill>
          </w14:textFill>
        </w:rPr>
        <w:t>中标人在规定时间内无正当理由拒绝与招标人签订合同的，有效投标人符合法定数量的，招标人可以按照评审报告推荐的中标候选人名单排序，确定下一候选人为中标人，也可以重新开展招标活动。</w:t>
      </w:r>
    </w:p>
    <w:p w14:paraId="01445E48">
      <w:pPr>
        <w:spacing w:line="560" w:lineRule="exact"/>
        <w:ind w:firstLine="562" w:firstLineChars="201"/>
        <w:rPr>
          <w:rFonts w:ascii="仿宋_GB2312" w:hAnsi="仿宋" w:eastAsia="仿宋_GB2312" w:cs="宋体"/>
          <w:color w:val="000000" w:themeColor="text1"/>
          <w:sz w:val="28"/>
          <w:szCs w:val="28"/>
          <w:highlight w:val="none"/>
          <w14:textFill>
            <w14:solidFill>
              <w14:schemeClr w14:val="tx1"/>
            </w14:solidFill>
          </w14:textFill>
        </w:rPr>
      </w:pPr>
      <w:r>
        <w:rPr>
          <w:rFonts w:ascii="仿宋_GB2312" w:hAnsi="仿宋" w:eastAsia="仿宋_GB2312" w:cs="宋体"/>
          <w:color w:val="000000" w:themeColor="text1"/>
          <w:sz w:val="28"/>
          <w:szCs w:val="28"/>
          <w:highlight w:val="none"/>
          <w14:textFill>
            <w14:solidFill>
              <w14:schemeClr w14:val="tx1"/>
            </w14:solidFill>
          </w14:textFill>
        </w:rPr>
        <w:t>3</w:t>
      </w:r>
      <w:r>
        <w:rPr>
          <w:rFonts w:hint="eastAsia" w:ascii="仿宋_GB2312" w:hAnsi="仿宋" w:eastAsia="仿宋_GB2312" w:cs="宋体"/>
          <w:color w:val="000000" w:themeColor="text1"/>
          <w:sz w:val="28"/>
          <w:szCs w:val="28"/>
          <w:highlight w:val="none"/>
          <w14:textFill>
            <w14:solidFill>
              <w14:schemeClr w14:val="tx1"/>
            </w14:solidFill>
          </w14:textFill>
        </w:rPr>
        <w:t>0</w:t>
      </w:r>
      <w:r>
        <w:rPr>
          <w:rFonts w:ascii="仿宋_GB2312" w:hAnsi="仿宋" w:eastAsia="仿宋_GB2312" w:cs="宋体"/>
          <w:color w:val="000000" w:themeColor="text1"/>
          <w:sz w:val="28"/>
          <w:szCs w:val="28"/>
          <w:highlight w:val="none"/>
          <w14:textFill>
            <w14:solidFill>
              <w14:schemeClr w14:val="tx1"/>
            </w14:solidFill>
          </w14:textFill>
        </w:rPr>
        <w:t>.4</w:t>
      </w:r>
      <w:r>
        <w:rPr>
          <w:rFonts w:hint="eastAsia" w:ascii="仿宋_GB2312" w:hAnsi="仿宋" w:eastAsia="仿宋_GB2312" w:cs="宋体"/>
          <w:color w:val="000000" w:themeColor="text1"/>
          <w:sz w:val="28"/>
          <w:szCs w:val="28"/>
          <w:highlight w:val="none"/>
          <w14:textFill>
            <w14:solidFill>
              <w14:schemeClr w14:val="tx1"/>
            </w14:solidFill>
          </w14:textFill>
        </w:rPr>
        <w:t>采购合同的履行、违约责任和解决争议的方法适用《中华人民共和国民法典》。</w:t>
      </w:r>
    </w:p>
    <w:p w14:paraId="4415DDF8">
      <w:pPr>
        <w:rPr>
          <w:color w:val="000000" w:themeColor="text1"/>
          <w:highlight w:val="none"/>
          <w14:textFill>
            <w14:solidFill>
              <w14:schemeClr w14:val="tx1"/>
            </w14:solidFill>
          </w14:textFill>
        </w:rPr>
        <w:sectPr>
          <w:headerReference r:id="rId7" w:type="default"/>
          <w:footerReference r:id="rId8" w:type="default"/>
          <w:pgSz w:w="11906" w:h="16838"/>
          <w:pgMar w:top="1440" w:right="1080" w:bottom="1440" w:left="1080" w:header="851" w:footer="992" w:gutter="0"/>
          <w:cols w:space="425" w:num="1"/>
          <w:docGrid w:type="lines" w:linePitch="312" w:charSpace="0"/>
        </w:sectPr>
      </w:pPr>
    </w:p>
    <w:p w14:paraId="340CE229">
      <w:pPr>
        <w:pStyle w:val="42"/>
        <w:spacing w:before="0" w:after="0" w:line="360" w:lineRule="auto"/>
        <w:ind w:firstLine="646" w:firstLineChars="201"/>
        <w:rPr>
          <w:rFonts w:ascii="宋体" w:hAnsi="宋体" w:cs="宋体"/>
          <w:color w:val="000000" w:themeColor="text1"/>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r>
        <w:rPr>
          <w:rFonts w:hint="eastAsia" w:ascii="宋体" w:hAnsi="宋体" w:cs="宋体"/>
          <w:color w:val="000000" w:themeColor="text1"/>
          <w:highlight w:val="none"/>
          <w14:textFill>
            <w14:solidFill>
              <w14:schemeClr w14:val="tx1"/>
            </w14:solidFill>
          </w14:textFill>
        </w:rPr>
        <w:t>第三章招标内容与要求</w:t>
      </w:r>
    </w:p>
    <w:p w14:paraId="6E63B622">
      <w:pPr>
        <w:tabs>
          <w:tab w:val="left" w:pos="525"/>
        </w:tabs>
        <w:spacing w:line="560" w:lineRule="exact"/>
        <w:ind w:firstLine="883" w:firstLineChars="200"/>
        <w:jc w:val="center"/>
        <w:rPr>
          <w:rFonts w:ascii="宋体" w:hAnsi="宋体"/>
          <w:b/>
          <w:bCs/>
          <w:color w:val="000000" w:themeColor="text1"/>
          <w:sz w:val="44"/>
          <w:szCs w:val="44"/>
          <w:highlight w:val="none"/>
          <w14:textFill>
            <w14:solidFill>
              <w14:schemeClr w14:val="tx1"/>
            </w14:solidFill>
          </w14:textFill>
        </w:rPr>
      </w:pPr>
      <w:bookmarkStart w:id="15" w:name="_Hlk9675253"/>
      <w:r>
        <w:rPr>
          <w:rFonts w:hint="eastAsia" w:ascii="宋体" w:hAnsi="宋体"/>
          <w:b/>
          <w:bCs/>
          <w:color w:val="000000" w:themeColor="text1"/>
          <w:sz w:val="44"/>
          <w:szCs w:val="44"/>
          <w:highlight w:val="none"/>
          <w14:textFill>
            <w14:solidFill>
              <w14:schemeClr w14:val="tx1"/>
            </w14:solidFill>
          </w14:textFill>
        </w:rPr>
        <w:t>采购项目说明</w:t>
      </w:r>
    </w:p>
    <w:p w14:paraId="3B40BE87">
      <w:pPr>
        <w:numPr>
          <w:ilvl w:val="0"/>
          <w:numId w:val="0"/>
        </w:numPr>
        <w:spacing w:line="520" w:lineRule="exact"/>
        <w:ind w:left="602" w:leftChars="0"/>
        <w:rPr>
          <w:rFonts w:hint="eastAsia" w:ascii="仿宋_GB2312" w:hAnsi="宋体" w:eastAsia="仿宋_GB2312"/>
          <w:b/>
          <w:color w:val="000000" w:themeColor="text1"/>
          <w:sz w:val="30"/>
          <w:szCs w:val="30"/>
          <w:highlight w:val="none"/>
          <w:lang w:val="en-US" w:eastAsia="zh-CN"/>
          <w14:textFill>
            <w14:solidFill>
              <w14:schemeClr w14:val="tx1"/>
            </w14:solidFill>
          </w14:textFill>
        </w:rPr>
      </w:pPr>
      <w:bookmarkStart w:id="16" w:name="_Hlk525988930"/>
      <w:r>
        <w:rPr>
          <w:rFonts w:hint="eastAsia" w:ascii="仿宋_GB2312" w:hAnsi="宋体" w:eastAsia="仿宋_GB2312" w:cs="Times New Roman"/>
          <w:b/>
          <w:color w:val="000000" w:themeColor="text1"/>
          <w:kern w:val="2"/>
          <w:sz w:val="30"/>
          <w:szCs w:val="30"/>
          <w:highlight w:val="none"/>
          <w:lang w:val="en-US" w:eastAsia="zh-CN" w:bidi="ar-SA"/>
          <w14:textFill>
            <w14:solidFill>
              <w14:schemeClr w14:val="tx1"/>
            </w14:solidFill>
          </w14:textFill>
        </w:rPr>
        <w:t>一、</w:t>
      </w:r>
      <w:r>
        <w:rPr>
          <w:rFonts w:hint="eastAsia" w:ascii="仿宋_GB2312" w:hAnsi="宋体" w:eastAsia="仿宋_GB2312"/>
          <w:b/>
          <w:color w:val="000000" w:themeColor="text1"/>
          <w:sz w:val="30"/>
          <w:szCs w:val="30"/>
          <w:highlight w:val="none"/>
          <w14:textFill>
            <w14:solidFill>
              <w14:schemeClr w14:val="tx1"/>
            </w14:solidFill>
          </w14:textFill>
        </w:rPr>
        <w:t>项目名称：</w:t>
      </w:r>
      <w:r>
        <w:rPr>
          <w:rFonts w:hint="eastAsia" w:ascii="仿宋_GB2312" w:hAnsi="宋体" w:eastAsia="仿宋_GB2312"/>
          <w:b/>
          <w:color w:val="000000" w:themeColor="text1"/>
          <w:sz w:val="30"/>
          <w:szCs w:val="30"/>
          <w:highlight w:val="none"/>
          <w:lang w:val="en-US" w:eastAsia="zh-CN"/>
          <w14:textFill>
            <w14:solidFill>
              <w14:schemeClr w14:val="tx1"/>
            </w14:solidFill>
          </w14:textFill>
        </w:rPr>
        <w:t>荣成市城市数智化转型与数字生态建设</w:t>
      </w:r>
    </w:p>
    <w:p w14:paraId="61F49BC4">
      <w:pPr>
        <w:spacing w:line="560" w:lineRule="exact"/>
        <w:ind w:firstLine="602" w:firstLineChars="200"/>
        <w:rPr>
          <w:rFonts w:hint="eastAsia" w:ascii="仿宋" w:hAnsi="仿宋" w:eastAsia="仿宋" w:cs="Times New Roman"/>
          <w:b w:val="0"/>
          <w:bCs/>
          <w:color w:val="000000" w:themeColor="text1"/>
          <w:sz w:val="28"/>
          <w:szCs w:val="28"/>
          <w:highlight w:val="none"/>
          <w14:textFill>
            <w14:solidFill>
              <w14:schemeClr w14:val="tx1"/>
            </w14:solidFill>
          </w14:textFill>
        </w:rPr>
      </w:pPr>
      <w:r>
        <w:rPr>
          <w:rFonts w:hint="eastAsia" w:ascii="仿宋_GB2312" w:hAnsi="宋体" w:eastAsia="仿宋_GB2312" w:cs="Times New Roman"/>
          <w:b/>
          <w:bCs w:val="0"/>
          <w:color w:val="000000" w:themeColor="text1"/>
          <w:kern w:val="2"/>
          <w:sz w:val="30"/>
          <w:szCs w:val="30"/>
          <w:highlight w:val="none"/>
          <w:lang w:val="en-US" w:eastAsia="zh-CN" w:bidi="ar-SA"/>
          <w14:textFill>
            <w14:solidFill>
              <w14:schemeClr w14:val="tx1"/>
            </w14:solidFill>
          </w14:textFill>
        </w:rPr>
        <w:t>二、采购目标：</w:t>
      </w:r>
      <w:r>
        <w:rPr>
          <w:rFonts w:hint="eastAsia" w:ascii="仿宋" w:hAnsi="仿宋" w:eastAsia="仿宋" w:cs="Times New Roman"/>
          <w:b w:val="0"/>
          <w:bCs/>
          <w:color w:val="000000" w:themeColor="text1"/>
          <w:sz w:val="28"/>
          <w:szCs w:val="28"/>
          <w:highlight w:val="none"/>
          <w14:textFill>
            <w14:solidFill>
              <w14:schemeClr w14:val="tx1"/>
            </w14:solidFill>
          </w14:textFill>
        </w:rPr>
        <w:t>本项目的核心目标是系统性推动荣成市实现从“数字化”基础覆盖向“数智化”能力跃升的深刻转型，培育内生长效的数字创新生态。</w:t>
      </w:r>
    </w:p>
    <w:p w14:paraId="000894DC">
      <w:pPr>
        <w:spacing w:line="560" w:lineRule="exact"/>
        <w:ind w:firstLine="560" w:firstLineChars="200"/>
        <w:rPr>
          <w:rFonts w:hint="eastAsia" w:ascii="仿宋" w:hAnsi="仿宋" w:eastAsia="仿宋" w:cs="Times New Roman"/>
          <w:b w:val="0"/>
          <w:bCs/>
          <w:color w:val="000000" w:themeColor="text1"/>
          <w:sz w:val="28"/>
          <w:szCs w:val="28"/>
          <w:highlight w:val="none"/>
          <w14:textFill>
            <w14:solidFill>
              <w14:schemeClr w14:val="tx1"/>
            </w14:solidFill>
          </w14:textFill>
        </w:rPr>
      </w:pPr>
      <w:r>
        <w:rPr>
          <w:rFonts w:hint="eastAsia" w:ascii="仿宋" w:hAnsi="仿宋" w:eastAsia="仿宋" w:cs="Times New Roman"/>
          <w:b w:val="0"/>
          <w:bCs/>
          <w:color w:val="000000" w:themeColor="text1"/>
          <w:sz w:val="28"/>
          <w:szCs w:val="28"/>
          <w:highlight w:val="none"/>
          <w14:textFill>
            <w14:solidFill>
              <w14:schemeClr w14:val="tx1"/>
            </w14:solidFill>
          </w14:textFill>
        </w:rPr>
        <w:t>1.实现城市“数智化”发展模式的根本转变</w:t>
      </w:r>
    </w:p>
    <w:p w14:paraId="6443698D">
      <w:pPr>
        <w:spacing w:line="560" w:lineRule="exact"/>
        <w:ind w:firstLine="560" w:firstLineChars="200"/>
        <w:rPr>
          <w:rFonts w:hint="eastAsia" w:ascii="仿宋" w:hAnsi="仿宋" w:eastAsia="仿宋" w:cs="Times New Roman"/>
          <w:b w:val="0"/>
          <w:bCs/>
          <w:color w:val="000000" w:themeColor="text1"/>
          <w:sz w:val="28"/>
          <w:szCs w:val="28"/>
          <w:highlight w:val="none"/>
          <w14:textFill>
            <w14:solidFill>
              <w14:schemeClr w14:val="tx1"/>
            </w14:solidFill>
          </w14:textFill>
        </w:rPr>
      </w:pPr>
      <w:r>
        <w:rPr>
          <w:rFonts w:hint="eastAsia" w:ascii="仿宋" w:hAnsi="仿宋" w:eastAsia="仿宋" w:cs="Times New Roman"/>
          <w:b w:val="0"/>
          <w:bCs/>
          <w:color w:val="000000" w:themeColor="text1"/>
          <w:sz w:val="28"/>
          <w:szCs w:val="28"/>
          <w:highlight w:val="none"/>
          <w14:textFill>
            <w14:solidFill>
              <w14:schemeClr w14:val="tx1"/>
            </w14:solidFill>
          </w14:textFill>
        </w:rPr>
        <w:t>通过建设统一的城市智能基座和智能中枢，重点解决当前存在的“数据孤岛”和“智能缺失”问题。着力打通政府部门、社会行业间的数据壁垒，融合运用人工智能、大数据、数字孪生等技术，推动城市治理从经验判断向数据驱动转变，产业服务从普惠供给向精准赋能升级，民生保障从被动响应向主动感知演进，最终形成“数据驱动、智能协同”的城市运行新范式。</w:t>
      </w:r>
    </w:p>
    <w:p w14:paraId="093537D2">
      <w:pPr>
        <w:spacing w:line="560" w:lineRule="exact"/>
        <w:ind w:firstLine="560" w:firstLineChars="200"/>
        <w:rPr>
          <w:rFonts w:hint="eastAsia" w:ascii="仿宋" w:hAnsi="仿宋" w:eastAsia="仿宋" w:cs="Times New Roman"/>
          <w:b w:val="0"/>
          <w:bCs/>
          <w:color w:val="000000" w:themeColor="text1"/>
          <w:sz w:val="28"/>
          <w:szCs w:val="28"/>
          <w:highlight w:val="none"/>
          <w14:textFill>
            <w14:solidFill>
              <w14:schemeClr w14:val="tx1"/>
            </w14:solidFill>
          </w14:textFill>
        </w:rPr>
      </w:pPr>
      <w:r>
        <w:rPr>
          <w:rFonts w:hint="eastAsia" w:ascii="仿宋" w:hAnsi="仿宋" w:eastAsia="仿宋" w:cs="Times New Roman"/>
          <w:b w:val="0"/>
          <w:bCs/>
          <w:color w:val="000000" w:themeColor="text1"/>
          <w:sz w:val="28"/>
          <w:szCs w:val="28"/>
          <w:highlight w:val="none"/>
          <w14:textFill>
            <w14:solidFill>
              <w14:schemeClr w14:val="tx1"/>
            </w14:solidFill>
          </w14:textFill>
        </w:rPr>
        <w:t>2.构建繁荣共生的城市“数字生态”</w:t>
      </w:r>
    </w:p>
    <w:p w14:paraId="59AB1C20">
      <w:pPr>
        <w:spacing w:line="560" w:lineRule="exact"/>
        <w:ind w:firstLine="560" w:firstLineChars="200"/>
        <w:rPr>
          <w:rFonts w:hint="eastAsia" w:ascii="仿宋" w:hAnsi="仿宋" w:eastAsia="仿宋" w:cs="Times New Roman"/>
          <w:b w:val="0"/>
          <w:bCs/>
          <w:color w:val="000000" w:themeColor="text1"/>
          <w:sz w:val="28"/>
          <w:szCs w:val="28"/>
          <w:highlight w:val="none"/>
          <w14:textFill>
            <w14:solidFill>
              <w14:schemeClr w14:val="tx1"/>
            </w14:solidFill>
          </w14:textFill>
        </w:rPr>
      </w:pPr>
      <w:r>
        <w:rPr>
          <w:rFonts w:hint="eastAsia" w:ascii="仿宋" w:hAnsi="仿宋" w:eastAsia="仿宋" w:cs="Times New Roman"/>
          <w:b w:val="0"/>
          <w:bCs/>
          <w:color w:val="000000" w:themeColor="text1"/>
          <w:sz w:val="28"/>
          <w:szCs w:val="28"/>
          <w:highlight w:val="none"/>
          <w14:textFill>
            <w14:solidFill>
              <w14:schemeClr w14:val="tx1"/>
            </w14:solidFill>
          </w14:textFill>
        </w:rPr>
        <w:t>以建设成果为载体，通过搭建开放平台、释放数据价值、打造示范场景，吸引和培育本地企业、科研机构等多元主体共同参与创新应用开发。重点围绕海洋经济、精致城市、产业升级等荣成特色领域，形成一批可复制、可推广的智慧解决方案，构建政府引导、市场主导、社会共创的可持续发展格局，让数字创新成为推动城市高质量发展的核心动能。</w:t>
      </w:r>
    </w:p>
    <w:p w14:paraId="69ACA68A">
      <w:pPr>
        <w:spacing w:line="560" w:lineRule="exact"/>
        <w:ind w:firstLine="560" w:firstLineChars="200"/>
        <w:rPr>
          <w:rFonts w:hint="eastAsia" w:ascii="仿宋" w:hAnsi="仿宋" w:eastAsia="仿宋" w:cs="Times New Roman"/>
          <w:b w:val="0"/>
          <w:bCs/>
          <w:color w:val="000000" w:themeColor="text1"/>
          <w:sz w:val="28"/>
          <w:szCs w:val="28"/>
          <w:highlight w:val="none"/>
          <w14:textFill>
            <w14:solidFill>
              <w14:schemeClr w14:val="tx1"/>
            </w14:solidFill>
          </w14:textFill>
        </w:rPr>
      </w:pPr>
      <w:r>
        <w:rPr>
          <w:rFonts w:hint="eastAsia" w:ascii="仿宋" w:hAnsi="仿宋" w:eastAsia="仿宋" w:cs="Times New Roman"/>
          <w:b w:val="0"/>
          <w:bCs/>
          <w:color w:val="000000" w:themeColor="text1"/>
          <w:sz w:val="28"/>
          <w:szCs w:val="28"/>
          <w:highlight w:val="none"/>
          <w14:textFill>
            <w14:solidFill>
              <w14:schemeClr w14:val="tx1"/>
            </w14:solidFill>
          </w14:textFill>
        </w:rPr>
        <w:t>通过本项目的实施，将全面提升荣成市在精细治理、产业发展、民生服务等领域的数智化水平，为建设更具活力、更富效率、更加宜居的现代化城市提供坚实支撑。</w:t>
      </w:r>
    </w:p>
    <w:p w14:paraId="5850A4B7">
      <w:pPr>
        <w:spacing w:line="560" w:lineRule="exact"/>
        <w:ind w:firstLine="560" w:firstLineChars="200"/>
        <w:rPr>
          <w:rFonts w:hint="eastAsia" w:ascii="仿宋" w:hAnsi="仿宋" w:eastAsia="仿宋" w:cs="Times New Roman"/>
          <w:b w:val="0"/>
          <w:bCs/>
          <w:color w:val="000000" w:themeColor="text1"/>
          <w:sz w:val="28"/>
          <w:szCs w:val="28"/>
          <w:highlight w:val="none"/>
          <w:lang w:val="en-US" w:eastAsia="zh-CN"/>
          <w14:textFill>
            <w14:solidFill>
              <w14:schemeClr w14:val="tx1"/>
            </w14:solidFill>
          </w14:textFill>
        </w:rPr>
      </w:pPr>
      <w:r>
        <w:rPr>
          <w:rFonts w:hint="eastAsia" w:ascii="仿宋" w:hAnsi="仿宋" w:eastAsia="仿宋" w:cs="Times New Roman"/>
          <w:b w:val="0"/>
          <w:bCs/>
          <w:color w:val="000000" w:themeColor="text1"/>
          <w:sz w:val="28"/>
          <w:szCs w:val="28"/>
          <w:highlight w:val="none"/>
          <w14:textFill>
            <w14:solidFill>
              <w14:schemeClr w14:val="tx1"/>
            </w14:solidFill>
          </w14:textFill>
        </w:rPr>
        <w:t>本项目严格遵循集约化、云化的建设原则，所有底层计算、存储、网络等基础设施资源需求均不新建。项目运行所产生的全部算力(包括AI训练及推理、大数据分析、视频智能解析等)，统一由政务云服务资源池按需、弹性提供。本项目投资将严格聚焦于应用软件研发、数据治理与业务协同，确保有限资金用于提升数字化应用效能，从源头避免算力基础设施的重复建设与资源闲置。</w:t>
      </w:r>
    </w:p>
    <w:p w14:paraId="14E92DC2">
      <w:pPr>
        <w:spacing w:line="520" w:lineRule="exact"/>
        <w:ind w:left="602"/>
        <w:rPr>
          <w:rFonts w:hint="eastAsia" w:ascii="仿宋_GB2312" w:hAnsi="宋体" w:eastAsia="仿宋_GB2312"/>
          <w:b/>
          <w:color w:val="000000" w:themeColor="text1"/>
          <w:sz w:val="30"/>
          <w:szCs w:val="30"/>
          <w:highlight w:val="none"/>
          <w14:textFill>
            <w14:solidFill>
              <w14:schemeClr w14:val="tx1"/>
            </w14:solidFill>
          </w14:textFill>
        </w:rPr>
      </w:pPr>
      <w:r>
        <w:rPr>
          <w:rFonts w:hint="eastAsia" w:ascii="仿宋_GB2312" w:hAnsi="宋体" w:eastAsia="仿宋_GB2312"/>
          <w:b/>
          <w:color w:val="000000" w:themeColor="text1"/>
          <w:sz w:val="30"/>
          <w:szCs w:val="30"/>
          <w:highlight w:val="none"/>
          <w:lang w:val="en-US" w:eastAsia="zh-CN"/>
          <w14:textFill>
            <w14:solidFill>
              <w14:schemeClr w14:val="tx1"/>
            </w14:solidFill>
          </w14:textFill>
        </w:rPr>
        <w:t>三</w:t>
      </w:r>
      <w:r>
        <w:rPr>
          <w:rFonts w:hint="eastAsia" w:ascii="仿宋_GB2312" w:hAnsi="宋体" w:eastAsia="仿宋_GB2312"/>
          <w:b/>
          <w:color w:val="000000" w:themeColor="text1"/>
          <w:sz w:val="30"/>
          <w:szCs w:val="30"/>
          <w:highlight w:val="none"/>
          <w14:textFill>
            <w14:solidFill>
              <w14:schemeClr w14:val="tx1"/>
            </w14:solidFill>
          </w14:textFill>
        </w:rPr>
        <w:t>、技术说明及要求：</w:t>
      </w:r>
    </w:p>
    <w:tbl>
      <w:tblPr>
        <w:tblStyle w:val="4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95"/>
        <w:gridCol w:w="1644"/>
        <w:gridCol w:w="3458"/>
        <w:gridCol w:w="1295"/>
        <w:gridCol w:w="1916"/>
      </w:tblGrid>
      <w:tr w14:paraId="407BA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42" w:hRule="atLeast"/>
          <w:jc w:val="center"/>
        </w:trPr>
        <w:tc>
          <w:tcPr>
            <w:tcW w:w="762" w:type="pct"/>
            <w:shd w:val="clear" w:color="auto" w:fill="D9D9D9"/>
            <w:noWrap w:val="0"/>
            <w:vAlign w:val="center"/>
          </w:tcPr>
          <w:p w14:paraId="11CD898C">
            <w:pPr>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序号</w:t>
            </w:r>
          </w:p>
        </w:tc>
        <w:tc>
          <w:tcPr>
            <w:tcW w:w="838" w:type="pct"/>
            <w:shd w:val="clear" w:color="auto" w:fill="D9D9D9"/>
            <w:noWrap w:val="0"/>
            <w:vAlign w:val="center"/>
          </w:tcPr>
          <w:p w14:paraId="3D4A01D1">
            <w:pPr>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分类</w:t>
            </w:r>
          </w:p>
        </w:tc>
        <w:tc>
          <w:tcPr>
            <w:tcW w:w="1762" w:type="pct"/>
            <w:shd w:val="clear" w:color="auto" w:fill="D9D9D9"/>
            <w:noWrap w:val="0"/>
            <w:vAlign w:val="center"/>
          </w:tcPr>
          <w:p w14:paraId="2AB6691B">
            <w:pPr>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清单名称</w:t>
            </w:r>
          </w:p>
        </w:tc>
        <w:tc>
          <w:tcPr>
            <w:tcW w:w="660" w:type="pct"/>
            <w:shd w:val="clear" w:color="auto" w:fill="D9D9D9"/>
            <w:noWrap w:val="0"/>
            <w:vAlign w:val="center"/>
          </w:tcPr>
          <w:p w14:paraId="7BD458DD">
            <w:pPr>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数量</w:t>
            </w:r>
          </w:p>
        </w:tc>
        <w:tc>
          <w:tcPr>
            <w:tcW w:w="976" w:type="pct"/>
            <w:shd w:val="clear" w:color="auto" w:fill="D9D9D9"/>
            <w:noWrap w:val="0"/>
            <w:vAlign w:val="center"/>
          </w:tcPr>
          <w:p w14:paraId="170D2D59">
            <w:pPr>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单位</w:t>
            </w:r>
          </w:p>
        </w:tc>
      </w:tr>
      <w:tr w14:paraId="08C21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26" w:hRule="atLeast"/>
          <w:jc w:val="center"/>
        </w:trPr>
        <w:tc>
          <w:tcPr>
            <w:tcW w:w="762" w:type="pct"/>
            <w:noWrap w:val="0"/>
            <w:vAlign w:val="center"/>
          </w:tcPr>
          <w:p w14:paraId="19D36F49">
            <w:pPr>
              <w:jc w:val="center"/>
              <w:rPr>
                <w:rFonts w:hint="eastAsia" w:ascii="仿宋" w:hAnsi="仿宋" w:eastAsia="仿宋" w:cs="仿宋"/>
                <w:color w:val="000000" w:themeColor="text1"/>
                <w:sz w:val="28"/>
                <w:szCs w:val="21"/>
                <w:highlight w:val="none"/>
                <w14:textFill>
                  <w14:solidFill>
                    <w14:schemeClr w14:val="tx1"/>
                  </w14:solidFill>
                </w14:textFill>
              </w:rPr>
            </w:pPr>
            <w:r>
              <w:rPr>
                <w:rFonts w:hint="eastAsia" w:ascii="仿宋" w:hAnsi="仿宋" w:eastAsia="仿宋" w:cs="仿宋"/>
                <w:color w:val="000000" w:themeColor="text1"/>
                <w:sz w:val="28"/>
                <w:szCs w:val="21"/>
                <w:highlight w:val="none"/>
                <w14:textFill>
                  <w14:solidFill>
                    <w14:schemeClr w14:val="tx1"/>
                  </w14:solidFill>
                </w14:textFill>
              </w:rPr>
              <w:t>1</w:t>
            </w:r>
          </w:p>
        </w:tc>
        <w:tc>
          <w:tcPr>
            <w:tcW w:w="838" w:type="pct"/>
            <w:noWrap w:val="0"/>
            <w:vAlign w:val="center"/>
          </w:tcPr>
          <w:p w14:paraId="10AB9DF5">
            <w:pPr>
              <w:jc w:val="center"/>
              <w:rPr>
                <w:rFonts w:hint="eastAsia" w:ascii="仿宋" w:hAnsi="仿宋" w:eastAsia="仿宋" w:cs="仿宋"/>
                <w:color w:val="000000" w:themeColor="text1"/>
                <w:sz w:val="28"/>
                <w:szCs w:val="21"/>
                <w:highlight w:val="none"/>
                <w14:textFill>
                  <w14:solidFill>
                    <w14:schemeClr w14:val="tx1"/>
                  </w14:solidFill>
                </w14:textFill>
              </w:rPr>
            </w:pPr>
            <w:r>
              <w:rPr>
                <w:rFonts w:hint="eastAsia" w:ascii="仿宋" w:hAnsi="仿宋" w:eastAsia="仿宋" w:cs="仿宋"/>
                <w:color w:val="000000" w:themeColor="text1"/>
                <w:sz w:val="28"/>
                <w:szCs w:val="21"/>
                <w:highlight w:val="none"/>
                <w14:textFill>
                  <w14:solidFill>
                    <w14:schemeClr w14:val="tx1"/>
                  </w14:solidFill>
                </w14:textFill>
              </w:rPr>
              <w:t>服务</w:t>
            </w:r>
          </w:p>
        </w:tc>
        <w:tc>
          <w:tcPr>
            <w:tcW w:w="1762" w:type="pct"/>
            <w:noWrap w:val="0"/>
            <w:vAlign w:val="center"/>
          </w:tcPr>
          <w:p w14:paraId="7D657154">
            <w:pPr>
              <w:jc w:val="center"/>
              <w:rPr>
                <w:rFonts w:hint="eastAsia" w:ascii="仿宋" w:hAnsi="仿宋" w:eastAsia="仿宋" w:cs="仿宋"/>
                <w:color w:val="000000" w:themeColor="text1"/>
                <w:sz w:val="28"/>
                <w:szCs w:val="21"/>
                <w:highlight w:val="none"/>
                <w14:textFill>
                  <w14:solidFill>
                    <w14:schemeClr w14:val="tx1"/>
                  </w14:solidFill>
                </w14:textFill>
              </w:rPr>
            </w:pPr>
            <w:r>
              <w:rPr>
                <w:rFonts w:hint="eastAsia" w:ascii="仿宋" w:hAnsi="仿宋" w:eastAsia="仿宋" w:cs="仿宋"/>
                <w:color w:val="000000" w:themeColor="text1"/>
                <w:sz w:val="28"/>
                <w:szCs w:val="21"/>
                <w:highlight w:val="none"/>
                <w:lang w:val="en-US" w:eastAsia="zh-CN"/>
                <w14:textFill>
                  <w14:solidFill>
                    <w14:schemeClr w14:val="tx1"/>
                  </w14:solidFill>
                </w14:textFill>
              </w:rPr>
              <w:t>荣成市城市数智化转型与数字生态建设项目</w:t>
            </w:r>
          </w:p>
        </w:tc>
        <w:tc>
          <w:tcPr>
            <w:tcW w:w="660" w:type="pct"/>
            <w:noWrap w:val="0"/>
            <w:vAlign w:val="center"/>
          </w:tcPr>
          <w:p w14:paraId="3AB5EB9A">
            <w:pPr>
              <w:jc w:val="center"/>
              <w:rPr>
                <w:rFonts w:hint="eastAsia" w:ascii="仿宋" w:hAnsi="仿宋" w:eastAsia="仿宋" w:cs="仿宋"/>
                <w:color w:val="000000" w:themeColor="text1"/>
                <w:sz w:val="28"/>
                <w:szCs w:val="21"/>
                <w:highlight w:val="none"/>
                <w14:textFill>
                  <w14:solidFill>
                    <w14:schemeClr w14:val="tx1"/>
                  </w14:solidFill>
                </w14:textFill>
              </w:rPr>
            </w:pPr>
            <w:r>
              <w:rPr>
                <w:rFonts w:hint="eastAsia" w:ascii="仿宋" w:hAnsi="仿宋" w:eastAsia="仿宋" w:cs="仿宋"/>
                <w:color w:val="000000" w:themeColor="text1"/>
                <w:sz w:val="28"/>
                <w:szCs w:val="21"/>
                <w:highlight w:val="none"/>
                <w14:textFill>
                  <w14:solidFill>
                    <w14:schemeClr w14:val="tx1"/>
                  </w14:solidFill>
                </w14:textFill>
              </w:rPr>
              <w:t xml:space="preserve">1 </w:t>
            </w:r>
          </w:p>
        </w:tc>
        <w:tc>
          <w:tcPr>
            <w:tcW w:w="976" w:type="pct"/>
            <w:noWrap w:val="0"/>
            <w:vAlign w:val="center"/>
          </w:tcPr>
          <w:p w14:paraId="5A388376">
            <w:pPr>
              <w:jc w:val="center"/>
              <w:rPr>
                <w:rFonts w:hint="eastAsia" w:ascii="仿宋" w:hAnsi="仿宋" w:eastAsia="仿宋" w:cs="仿宋"/>
                <w:color w:val="000000" w:themeColor="text1"/>
                <w:sz w:val="28"/>
                <w:szCs w:val="21"/>
                <w:highlight w:val="none"/>
                <w14:textFill>
                  <w14:solidFill>
                    <w14:schemeClr w14:val="tx1"/>
                  </w14:solidFill>
                </w14:textFill>
              </w:rPr>
            </w:pPr>
            <w:r>
              <w:rPr>
                <w:rFonts w:hint="eastAsia" w:ascii="仿宋" w:hAnsi="仿宋" w:eastAsia="仿宋" w:cs="仿宋"/>
                <w:color w:val="000000" w:themeColor="text1"/>
                <w:sz w:val="28"/>
                <w:szCs w:val="21"/>
                <w:highlight w:val="none"/>
                <w14:textFill>
                  <w14:solidFill>
                    <w14:schemeClr w14:val="tx1"/>
                  </w14:solidFill>
                </w14:textFill>
              </w:rPr>
              <w:t>宗</w:t>
            </w:r>
          </w:p>
        </w:tc>
      </w:tr>
    </w:tbl>
    <w:p w14:paraId="51D00466">
      <w:pPr>
        <w:spacing w:line="560" w:lineRule="exact"/>
        <w:ind w:firstLine="600" w:firstLineChars="200"/>
        <w:rPr>
          <w:rFonts w:hint="eastAsia" w:ascii="仿宋_GB2312" w:hAnsi="宋体" w:eastAsia="仿宋_GB2312" w:cs="Times New Roman"/>
          <w:bCs/>
          <w:color w:val="000000" w:themeColor="text1"/>
          <w:sz w:val="30"/>
          <w:szCs w:val="30"/>
          <w:highlight w:val="none"/>
          <w:lang w:val="en-US" w:eastAsia="zh-CN"/>
          <w14:textFill>
            <w14:solidFill>
              <w14:schemeClr w14:val="tx1"/>
            </w14:solidFill>
          </w14:textFill>
        </w:rPr>
      </w:pPr>
      <w:r>
        <w:rPr>
          <w:rFonts w:hint="eastAsia" w:ascii="仿宋_GB2312" w:hAnsi="宋体" w:eastAsia="仿宋_GB2312" w:cs="Times New Roman"/>
          <w:bCs/>
          <w:color w:val="000000" w:themeColor="text1"/>
          <w:sz w:val="30"/>
          <w:szCs w:val="30"/>
          <w:highlight w:val="none"/>
          <w:lang w:val="en-US" w:eastAsia="zh-CN"/>
          <w14:textFill>
            <w14:solidFill>
              <w14:schemeClr w14:val="tx1"/>
            </w14:solidFill>
          </w14:textFill>
        </w:rPr>
        <w:t>本项目旨在构建“一个城市智能基座、一个城市智能协同中枢、N个领域数字赋能生态”的核心架构，规划22个核心系统平台，在城市治理、产业发展、民生服务等重点领域部署16个智慧应用。投标人需充分预判项目实施期间采购人现有硬件设备不足的情形，并作出承诺：若现场出现设备缺口，将第一时间补齐所需设备。相关物资采购、调配、运维等全部费用，均包含在本次投标总报价内，采购人无需另行支付额外款项。</w:t>
      </w:r>
    </w:p>
    <w:p w14:paraId="6229A510">
      <w:pPr>
        <w:pStyle w:val="18"/>
        <w:spacing w:line="360" w:lineRule="auto"/>
        <w:ind w:firstLine="562" w:firstLineChars="200"/>
        <w:jc w:val="center"/>
        <w:rPr>
          <w:rFonts w:hint="eastAsia" w:ascii="仿宋_GB2312" w:hAnsi="Times New Roman" w:eastAsia="仿宋_GB2312"/>
          <w:b/>
          <w:bCs/>
          <w:color w:val="000000" w:themeColor="text1"/>
          <w:sz w:val="28"/>
          <w:szCs w:val="21"/>
          <w:highlight w:val="none"/>
          <w:lang w:val="en-US" w:eastAsia="zh-CN"/>
          <w14:textFill>
            <w14:solidFill>
              <w14:schemeClr w14:val="tx1"/>
            </w14:solidFill>
          </w14:textFill>
        </w:rPr>
      </w:pPr>
      <w:r>
        <w:rPr>
          <w:rFonts w:hint="eastAsia" w:ascii="仿宋_GB2312" w:eastAsia="仿宋_GB2312"/>
          <w:b/>
          <w:bCs/>
          <w:color w:val="000000" w:themeColor="text1"/>
          <w:sz w:val="28"/>
          <w:szCs w:val="28"/>
          <w:highlight w:val="none"/>
          <w14:textFill>
            <w14:solidFill>
              <w14:schemeClr w14:val="tx1"/>
            </w14:solidFill>
          </w14:textFill>
        </w:rPr>
        <w:t>详细清单如下：</w:t>
      </w:r>
    </w:p>
    <w:p w14:paraId="31D08EBF">
      <w:pPr>
        <w:keepNext w:val="0"/>
        <w:keepLines w:val="0"/>
        <w:widowControl/>
        <w:suppressLineNumbers w:val="0"/>
        <w:spacing w:before="0" w:beforeAutospacing="0" w:after="0" w:afterAutospacing="0" w:line="240" w:lineRule="auto"/>
        <w:ind w:left="0" w:leftChars="0" w:right="0" w:rightChars="0"/>
        <w:jc w:val="both"/>
        <w:outlineLvl w:val="1"/>
        <w:rPr>
          <w:rFonts w:hint="eastAsia" w:ascii="仿宋" w:hAnsi="仿宋" w:eastAsia="仿宋" w:cs="仿宋"/>
          <w:b/>
          <w:bCs/>
          <w:i w:val="0"/>
          <w:strike w:val="0"/>
          <w:color w:val="000000" w:themeColor="text1"/>
          <w:kern w:val="0"/>
          <w:sz w:val="30"/>
          <w:szCs w:val="30"/>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30"/>
          <w:szCs w:val="30"/>
          <w:highlight w:val="none"/>
          <w:u w:val="none"/>
          <w:lang w:val="en-US" w:eastAsia="zh-CN" w:bidi="ar"/>
          <w14:textFill>
            <w14:solidFill>
              <w14:schemeClr w14:val="tx1"/>
            </w14:solidFill>
          </w14:textFill>
        </w:rPr>
        <w:t>一、城市智能基座</w:t>
      </w:r>
    </w:p>
    <w:p w14:paraId="38D4ED8D">
      <w:pPr>
        <w:keepNext w:val="0"/>
        <w:keepLines w:val="0"/>
        <w:widowControl/>
        <w:suppressLineNumbers w:val="0"/>
        <w:spacing w:before="0" w:beforeAutospacing="0" w:after="0" w:afterAutospacing="0" w:line="240" w:lineRule="auto"/>
        <w:ind w:left="0" w:leftChars="0" w:right="0" w:rightChars="0"/>
        <w:jc w:val="both"/>
        <w:outlineLvl w:val="1"/>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（一）视频监控智能分析系统</w:t>
      </w:r>
    </w:p>
    <w:tbl>
      <w:tblPr>
        <w:tblStyle w:val="47"/>
        <w:tblW w:w="9872"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60"/>
        <w:gridCol w:w="1081"/>
        <w:gridCol w:w="933"/>
        <w:gridCol w:w="1202"/>
        <w:gridCol w:w="4180"/>
        <w:gridCol w:w="908"/>
        <w:gridCol w:w="908"/>
      </w:tblGrid>
      <w:tr w14:paraId="0F8D28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0" w:hRule="atLeast"/>
        </w:trPr>
        <w:tc>
          <w:tcPr>
            <w:tcW w:w="660"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3BB7F17C">
            <w:pPr>
              <w:keepNext w:val="0"/>
              <w:keepLines w:val="0"/>
              <w:widowControl/>
              <w:suppressLineNumbers w:val="0"/>
              <w:jc w:val="center"/>
              <w:textAlignment w:val="center"/>
              <w:rPr>
                <w:rFonts w:ascii="仿宋" w:hAnsi="仿宋" w:eastAsia="仿宋" w:cs="仿宋"/>
                <w:b/>
                <w:bCs/>
                <w:i w:val="0"/>
                <w:iCs w:val="0"/>
                <w:color w:val="000000" w:themeColor="text1"/>
                <w:sz w:val="22"/>
                <w:szCs w:val="22"/>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序号</w:t>
            </w:r>
          </w:p>
        </w:tc>
        <w:tc>
          <w:tcPr>
            <w:tcW w:w="1081"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63165E6E">
            <w:pPr>
              <w:keepNext w:val="0"/>
              <w:keepLines w:val="0"/>
              <w:widowControl/>
              <w:suppressLineNumbers w:val="0"/>
              <w:jc w:val="center"/>
              <w:textAlignment w:val="center"/>
              <w:rPr>
                <w:rFonts w:hint="eastAsia" w:ascii="仿宋" w:hAnsi="仿宋" w:eastAsia="仿宋" w:cs="仿宋"/>
                <w:b/>
                <w:bCs/>
                <w:i w:val="0"/>
                <w:iCs w:val="0"/>
                <w:color w:val="000000" w:themeColor="text1"/>
                <w:sz w:val="22"/>
                <w:szCs w:val="22"/>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系统名称</w:t>
            </w:r>
          </w:p>
        </w:tc>
        <w:tc>
          <w:tcPr>
            <w:tcW w:w="933"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7FEE8A12">
            <w:pPr>
              <w:keepNext w:val="0"/>
              <w:keepLines w:val="0"/>
              <w:widowControl/>
              <w:suppressLineNumbers w:val="0"/>
              <w:jc w:val="center"/>
              <w:textAlignment w:val="center"/>
              <w:rPr>
                <w:rFonts w:hint="eastAsia" w:ascii="仿宋" w:hAnsi="仿宋" w:eastAsia="仿宋" w:cs="仿宋"/>
                <w:b/>
                <w:bCs/>
                <w:i w:val="0"/>
                <w:iCs w:val="0"/>
                <w:color w:val="000000" w:themeColor="text1"/>
                <w:sz w:val="22"/>
                <w:szCs w:val="22"/>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产品类型</w:t>
            </w:r>
          </w:p>
        </w:tc>
        <w:tc>
          <w:tcPr>
            <w:tcW w:w="1202"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67E5FE8E">
            <w:pPr>
              <w:keepNext w:val="0"/>
              <w:keepLines w:val="0"/>
              <w:widowControl/>
              <w:suppressLineNumbers w:val="0"/>
              <w:jc w:val="center"/>
              <w:textAlignment w:val="center"/>
              <w:rPr>
                <w:rFonts w:hint="eastAsia" w:ascii="仿宋" w:hAnsi="仿宋" w:eastAsia="仿宋" w:cs="仿宋"/>
                <w:b/>
                <w:bCs/>
                <w:i w:val="0"/>
                <w:iCs w:val="0"/>
                <w:color w:val="000000" w:themeColor="text1"/>
                <w:sz w:val="22"/>
                <w:szCs w:val="22"/>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产品名称</w:t>
            </w:r>
          </w:p>
        </w:tc>
        <w:tc>
          <w:tcPr>
            <w:tcW w:w="4180"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6B4D80BA">
            <w:pPr>
              <w:keepNext w:val="0"/>
              <w:keepLines w:val="0"/>
              <w:widowControl/>
              <w:suppressLineNumbers w:val="0"/>
              <w:jc w:val="left"/>
              <w:textAlignment w:val="center"/>
              <w:rPr>
                <w:rFonts w:hint="eastAsia" w:ascii="仿宋" w:hAnsi="仿宋" w:eastAsia="仿宋" w:cs="仿宋"/>
                <w:b/>
                <w:bCs/>
                <w:i w:val="0"/>
                <w:iCs w:val="0"/>
                <w:color w:val="000000" w:themeColor="text1"/>
                <w:sz w:val="22"/>
                <w:szCs w:val="22"/>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功能/参数</w:t>
            </w:r>
          </w:p>
        </w:tc>
        <w:tc>
          <w:tcPr>
            <w:tcW w:w="908"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0B10ACBB">
            <w:pPr>
              <w:keepNext w:val="0"/>
              <w:keepLines w:val="0"/>
              <w:widowControl/>
              <w:suppressLineNumbers w:val="0"/>
              <w:jc w:val="center"/>
              <w:textAlignment w:val="center"/>
              <w:rPr>
                <w:rFonts w:hint="eastAsia" w:ascii="仿宋" w:hAnsi="仿宋" w:eastAsia="仿宋" w:cs="仿宋"/>
                <w:b/>
                <w:bCs/>
                <w:i w:val="0"/>
                <w:iCs w:val="0"/>
                <w:color w:val="000000" w:themeColor="text1"/>
                <w:sz w:val="22"/>
                <w:szCs w:val="22"/>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单位</w:t>
            </w:r>
          </w:p>
        </w:tc>
        <w:tc>
          <w:tcPr>
            <w:tcW w:w="908"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355C7FE8">
            <w:pPr>
              <w:keepNext w:val="0"/>
              <w:keepLines w:val="0"/>
              <w:widowControl/>
              <w:suppressLineNumbers w:val="0"/>
              <w:jc w:val="center"/>
              <w:textAlignment w:val="center"/>
              <w:rPr>
                <w:rFonts w:hint="default"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数量</w:t>
            </w:r>
          </w:p>
        </w:tc>
      </w:tr>
      <w:tr w14:paraId="0A7A58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76ECE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c>
          <w:tcPr>
            <w:tcW w:w="10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2DCAA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视频监控智能分析系统</w:t>
            </w:r>
          </w:p>
        </w:tc>
        <w:tc>
          <w:tcPr>
            <w:tcW w:w="9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6B857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前端感知设备</w:t>
            </w: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E8C6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热成像重载云台</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58E1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热成像分辨率: 640x512；测温精度: ±2℃；探测距离: 3-5km；可见光: 400万像素，30倍光学变焦；防护等级: IP67, IK10；智能: 火点探测、烟火识别</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1F70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DDC23">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100</w:t>
            </w:r>
          </w:p>
        </w:tc>
      </w:tr>
      <w:tr w14:paraId="417E44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E5FCF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9F2F6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B4481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F313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AI人脸抓拍机</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2CF6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传感器: 1/1.8” CMOS；分辨率: 400万像素；智能: 动态人脸捕获、去重；宽动态: 120dB+；防护等级: IP67</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D403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E2270">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1000</w:t>
            </w:r>
          </w:p>
        </w:tc>
      </w:tr>
      <w:tr w14:paraId="464688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10161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DF05C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0D86C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26A0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AI车辆抓拍机</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AA0F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分辨率: 400万像素；智能: 车牌、车型、颜色识别；补光: 内置爆闪灯；触发方式: 视频检测</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91DA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40573">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1000</w:t>
            </w:r>
          </w:p>
        </w:tc>
      </w:tr>
      <w:tr w14:paraId="7689CB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83C28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5662E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FCB06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815D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高清智能球机</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E04A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分辨率: 4MP；光学变倍: 20倍；智能: 区域入侵、人员聚集、徘徊检测；防护等级: IP67</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0F66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FD21E">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26700</w:t>
            </w:r>
          </w:p>
        </w:tc>
      </w:tr>
      <w:tr w14:paraId="26F07F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6E804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6D9CE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2131C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D0E5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高清红外枪机</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7504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分辨率: 4MP；红外距离: 50米；防护等级: IP67</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59FC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278C3">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640</w:t>
            </w:r>
          </w:p>
        </w:tc>
      </w:tr>
      <w:tr w14:paraId="749C85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01C0D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C8342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8C1EE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网络与安全设备</w:t>
            </w: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EF98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接入层：全千兆POE交换机</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6B53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端口: 48口千兆电口(含POE++)，4口万兆光口上行；POE功率: ≥740W</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8645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2022F">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26</w:t>
            </w:r>
          </w:p>
        </w:tc>
      </w:tr>
      <w:tr w14:paraId="63E2A7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51145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643DB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9A117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9702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汇聚层：交换机</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CDAB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24口万兆SFP+光口，4口40G QSFP+上行。</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0AFF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0DE22">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r>
      <w:tr w14:paraId="36D8CE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4FA29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ED3A2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DD8D8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CF35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核心层：核心交换机</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B997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端口: 48口千兆电口，≥4口万兆光口；交换容量: ≥256Gbps</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94D1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7AC9C">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r>
      <w:tr w14:paraId="4B091E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875BF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17200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1CA17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632F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视频专网防火墙</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FDA3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吞吐量: ≥10Gbps；并发连接数: ≥200万</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55E6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1EFB0">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3A24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798C8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0FFB7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3F0C7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中心显示与控制设备</w:t>
            </w: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DD45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液晶拼接大屏</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32C2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Style w:val="287"/>
                <w:color w:val="000000" w:themeColor="text1"/>
                <w:highlight w:val="none"/>
                <w:lang w:val="en-US" w:eastAsia="zh-CN" w:bidi="ar"/>
                <w14:textFill>
                  <w14:solidFill>
                    <w14:schemeClr w14:val="tx1"/>
                  </w14:solidFill>
                </w14:textFill>
              </w:rPr>
              <w:t>尺寸: 46英寸；拼缝: 3.5mm；亮度: 500cd/m</w:t>
            </w:r>
            <w:r>
              <w:rPr>
                <w:rStyle w:val="281"/>
                <w:color w:val="000000" w:themeColor="text1"/>
                <w:highlight w:val="none"/>
                <w:lang w:val="en-US" w:eastAsia="zh-CN" w:bidi="ar"/>
                <w14:textFill>
                  <w14:solidFill>
                    <w14:schemeClr w14:val="tx1"/>
                  </w14:solidFill>
                </w14:textFill>
              </w:rPr>
              <w:t>²</w:t>
            </w:r>
            <w:r>
              <w:rPr>
                <w:rStyle w:val="287"/>
                <w:color w:val="000000" w:themeColor="text1"/>
                <w:highlight w:val="none"/>
                <w:lang w:val="en-US" w:eastAsia="zh-CN" w:bidi="ar"/>
                <w14:textFill>
                  <w14:solidFill>
                    <w14:schemeClr w14:val="tx1"/>
                  </w14:solidFill>
                </w14:textFill>
              </w:rPr>
              <w:t>；配置: 3 * 4 12块屏</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D4A3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5B075">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8AD2D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FE79F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0AD6F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8186C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EFD9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视频综合平台</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B3B7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输入: 支持IPC、DVI、VGA、HDMI等；输出: 支持HDMI、DVI、VGA等；解码能力: 支持4K解码</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D142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DA0A3">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10</w:t>
            </w:r>
          </w:p>
        </w:tc>
      </w:tr>
      <w:tr w14:paraId="37B5BB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6E36F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5B75C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89D17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1E27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控制终端</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6F0D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图形工作站级别</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0A7A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33341">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1601C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66972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E3DAD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2A2E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辅材与安装</w:t>
            </w:r>
          </w:p>
        </w:tc>
        <w:tc>
          <w:tcPr>
            <w:tcW w:w="12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A3A7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辅材（线缆、立杆、电源、防雷等）</w:t>
            </w:r>
          </w:p>
        </w:tc>
        <w:tc>
          <w:tcPr>
            <w:tcW w:w="4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4754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包括网络线缆、电源线、光纤、立杆、机柜、配电箱、防雷器等</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729C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批</w:t>
            </w:r>
          </w:p>
        </w:tc>
        <w:tc>
          <w:tcPr>
            <w:tcW w:w="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73C2D">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p>
        </w:tc>
      </w:tr>
    </w:tbl>
    <w:p w14:paraId="1E814B82">
      <w:pPr>
        <w:pStyle w:val="18"/>
        <w:rPr>
          <w:rFonts w:hint="eastAsia"/>
          <w:color w:val="000000" w:themeColor="text1"/>
          <w:highlight w:val="none"/>
          <w:lang w:val="en-US" w:eastAsia="zh-CN"/>
          <w14:textFill>
            <w14:solidFill>
              <w14:schemeClr w14:val="tx1"/>
            </w14:solidFill>
          </w14:textFill>
        </w:rPr>
      </w:pPr>
    </w:p>
    <w:tbl>
      <w:tblPr>
        <w:tblStyle w:val="4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2089"/>
        <w:gridCol w:w="6069"/>
        <w:gridCol w:w="901"/>
        <w:gridCol w:w="909"/>
      </w:tblGrid>
      <w:tr w14:paraId="72314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5000" w:type="pct"/>
            <w:gridSpan w:val="4"/>
            <w:shd w:val="clear" w:color="auto" w:fill="auto"/>
            <w:vAlign w:val="center"/>
          </w:tcPr>
          <w:p w14:paraId="5539B788">
            <w:pPr>
              <w:jc w:val="center"/>
              <w:rPr>
                <w:rFonts w:hint="eastAsia" w:ascii="仿宋" w:hAnsi="仿宋" w:eastAsia="仿宋" w:cs="仿宋"/>
                <w:b/>
                <w:bCs/>
                <w:i w:val="0"/>
                <w:iCs w:val="0"/>
                <w:color w:val="000000" w:themeColor="text1"/>
                <w:sz w:val="20"/>
                <w:szCs w:val="20"/>
                <w:highlight w:val="none"/>
                <w:u w:val="none"/>
                <w:lang w:val="en-US" w:eastAsia="zh-CN"/>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一、视频监控智能分析系统</w:t>
            </w:r>
            <w:r>
              <w:rPr>
                <w:rStyle w:val="286"/>
                <w:rFonts w:eastAsia="仿宋"/>
                <w:color w:val="000000" w:themeColor="text1"/>
                <w:highlight w:val="none"/>
                <w:lang w:val="en-US" w:eastAsia="zh-CN" w:bidi="ar"/>
                <w14:textFill>
                  <w14:solidFill>
                    <w14:schemeClr w14:val="tx1"/>
                  </w14:solidFill>
                </w14:textFill>
              </w:rPr>
              <w:t>​</w:t>
            </w:r>
          </w:p>
        </w:tc>
      </w:tr>
      <w:tr w14:paraId="65680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1048" w:type="pct"/>
            <w:shd w:val="clear" w:color="auto" w:fill="auto"/>
            <w:vAlign w:val="center"/>
          </w:tcPr>
          <w:p w14:paraId="224064A0">
            <w:pPr>
              <w:keepNext w:val="0"/>
              <w:keepLines w:val="0"/>
              <w:widowControl/>
              <w:suppressLineNumbers w:val="0"/>
              <w:jc w:val="left"/>
              <w:textAlignment w:val="center"/>
              <w:rPr>
                <w:rFonts w:hint="default"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44" w:type="pct"/>
            <w:shd w:val="clear" w:color="auto" w:fill="auto"/>
            <w:vAlign w:val="center"/>
          </w:tcPr>
          <w:p w14:paraId="472BDE3D">
            <w:pPr>
              <w:keepNext w:val="0"/>
              <w:keepLines w:val="0"/>
              <w:widowControl/>
              <w:suppressLineNumbers w:val="0"/>
              <w:jc w:val="left"/>
              <w:textAlignment w:val="center"/>
              <w:rPr>
                <w:rFonts w:hint="default"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52" w:type="pct"/>
            <w:shd w:val="clear" w:color="auto" w:fill="auto"/>
            <w:vAlign w:val="center"/>
          </w:tcPr>
          <w:p w14:paraId="42F5B21E">
            <w:pPr>
              <w:jc w:val="center"/>
              <w:rPr>
                <w:rFonts w:hint="eastAsia" w:ascii="仿宋" w:hAnsi="仿宋" w:eastAsia="仿宋" w:cs="仿宋"/>
                <w:b/>
                <w:bCs/>
                <w:i w:val="0"/>
                <w:iCs w:val="0"/>
                <w:color w:val="000000" w:themeColor="text1"/>
                <w:sz w:val="20"/>
                <w:szCs w:val="20"/>
                <w:highlight w:val="none"/>
                <w:u w:val="none"/>
                <w:lang w:val="en-US" w:eastAsia="zh-CN"/>
                <w14:textFill>
                  <w14:solidFill>
                    <w14:schemeClr w14:val="tx1"/>
                  </w14:solidFill>
                </w14:textFill>
              </w:rPr>
            </w:pPr>
            <w:r>
              <w:rPr>
                <w:rFonts w:hint="eastAsia" w:ascii="仿宋" w:hAnsi="仿宋" w:eastAsia="仿宋" w:cs="仿宋"/>
                <w:b/>
                <w:bCs/>
                <w:i w:val="0"/>
                <w:iCs w:val="0"/>
                <w:color w:val="000000" w:themeColor="text1"/>
                <w:sz w:val="20"/>
                <w:szCs w:val="20"/>
                <w:highlight w:val="none"/>
                <w:u w:val="none"/>
                <w:lang w:val="en-US" w:eastAsia="zh-CN"/>
                <w14:textFill>
                  <w14:solidFill>
                    <w14:schemeClr w14:val="tx1"/>
                  </w14:solidFill>
                </w14:textFill>
              </w:rPr>
              <w:t>单位</w:t>
            </w:r>
          </w:p>
        </w:tc>
        <w:tc>
          <w:tcPr>
            <w:tcW w:w="454" w:type="pct"/>
            <w:shd w:val="clear" w:color="auto" w:fill="auto"/>
            <w:vAlign w:val="center"/>
          </w:tcPr>
          <w:p w14:paraId="55C9B400">
            <w:pPr>
              <w:jc w:val="center"/>
              <w:rPr>
                <w:rFonts w:hint="default" w:ascii="仿宋" w:hAnsi="仿宋" w:eastAsia="仿宋" w:cs="仿宋"/>
                <w:b/>
                <w:bCs/>
                <w:i w:val="0"/>
                <w:iCs w:val="0"/>
                <w:color w:val="000000" w:themeColor="text1"/>
                <w:sz w:val="20"/>
                <w:szCs w:val="20"/>
                <w:highlight w:val="none"/>
                <w:u w:val="none"/>
                <w:lang w:val="en-US" w:eastAsia="zh-CN"/>
                <w14:textFill>
                  <w14:solidFill>
                    <w14:schemeClr w14:val="tx1"/>
                  </w14:solidFill>
                </w14:textFill>
              </w:rPr>
            </w:pPr>
            <w:r>
              <w:rPr>
                <w:rFonts w:hint="eastAsia" w:ascii="仿宋" w:hAnsi="仿宋" w:eastAsia="仿宋" w:cs="仿宋"/>
                <w:b/>
                <w:bCs/>
                <w:i w:val="0"/>
                <w:iCs w:val="0"/>
                <w:color w:val="000000" w:themeColor="text1"/>
                <w:sz w:val="20"/>
                <w:szCs w:val="20"/>
                <w:highlight w:val="none"/>
                <w:u w:val="none"/>
                <w:lang w:val="en-US" w:eastAsia="zh-CN"/>
                <w14:textFill>
                  <w14:solidFill>
                    <w14:schemeClr w14:val="tx1"/>
                  </w14:solidFill>
                </w14:textFill>
              </w:rPr>
              <w:t>数量</w:t>
            </w:r>
          </w:p>
        </w:tc>
      </w:tr>
      <w:tr w14:paraId="688B8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1048" w:type="pct"/>
            <w:vMerge w:val="restart"/>
            <w:shd w:val="clear" w:color="auto" w:fill="auto"/>
            <w:vAlign w:val="center"/>
          </w:tcPr>
          <w:p w14:paraId="66CA652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1.视频联网网关</w:t>
            </w:r>
          </w:p>
        </w:tc>
        <w:tc>
          <w:tcPr>
            <w:tcW w:w="3044" w:type="pct"/>
            <w:shd w:val="clear" w:color="auto" w:fill="auto"/>
            <w:vAlign w:val="center"/>
          </w:tcPr>
          <w:p w14:paraId="3962AE3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1.协议适配：深度适配GB/T28181-2016、ONVIF、主流厂商SDK等，实现新建2.98万路视频流的统一接入与管理。</w:t>
            </w:r>
          </w:p>
        </w:tc>
        <w:tc>
          <w:tcPr>
            <w:tcW w:w="452" w:type="pct"/>
            <w:vMerge w:val="restart"/>
            <w:shd w:val="clear" w:color="auto" w:fill="auto"/>
            <w:vAlign w:val="center"/>
          </w:tcPr>
          <w:p w14:paraId="4A021B1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54" w:type="pct"/>
            <w:vMerge w:val="restart"/>
            <w:shd w:val="clear" w:color="auto" w:fill="auto"/>
            <w:vAlign w:val="center"/>
          </w:tcPr>
          <w:p w14:paraId="5FCB637C">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C6AB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1048" w:type="pct"/>
            <w:vMerge w:val="continue"/>
            <w:shd w:val="clear" w:color="auto" w:fill="auto"/>
            <w:vAlign w:val="center"/>
          </w:tcPr>
          <w:p w14:paraId="27AC917B">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1FEA588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2.设备全生命周期管理：实现设备自动发现、注册、心跳监测、状态监控（在线、离线、故障）、远程配置（预置位、巡航）、固件升级。</w:t>
            </w:r>
          </w:p>
        </w:tc>
        <w:tc>
          <w:tcPr>
            <w:tcW w:w="452" w:type="pct"/>
            <w:vMerge w:val="continue"/>
            <w:shd w:val="clear" w:color="auto" w:fill="auto"/>
            <w:vAlign w:val="center"/>
          </w:tcPr>
          <w:p w14:paraId="2423152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2BA5601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C457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40" w:hRule="atLeast"/>
        </w:trPr>
        <w:tc>
          <w:tcPr>
            <w:tcW w:w="1048" w:type="pct"/>
            <w:vMerge w:val="continue"/>
            <w:shd w:val="clear" w:color="auto" w:fill="auto"/>
            <w:vAlign w:val="center"/>
          </w:tcPr>
          <w:p w14:paraId="4218A81C">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3324D81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3.流媒体服务：支持视频流的接收、转码（H.264/H.265）、分发（RTMP/RTSP/FLV/HLS），满足多路并发预览与回放需求。</w:t>
            </w:r>
          </w:p>
        </w:tc>
        <w:tc>
          <w:tcPr>
            <w:tcW w:w="452" w:type="pct"/>
            <w:vMerge w:val="continue"/>
            <w:shd w:val="clear" w:color="auto" w:fill="auto"/>
            <w:vAlign w:val="center"/>
          </w:tcPr>
          <w:p w14:paraId="535E49C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217DF18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C7B9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1048" w:type="pct"/>
            <w:vMerge w:val="continue"/>
            <w:shd w:val="clear" w:color="auto" w:fill="auto"/>
            <w:vAlign w:val="center"/>
          </w:tcPr>
          <w:p w14:paraId="7034780E">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06FBA33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4.智能运维：实时监测设备在线率、视频质量（信号丢失、画面冻结、清晰度、亮度异常），并生成运维报告。</w:t>
            </w:r>
          </w:p>
        </w:tc>
        <w:tc>
          <w:tcPr>
            <w:tcW w:w="452" w:type="pct"/>
            <w:vMerge w:val="continue"/>
            <w:shd w:val="clear" w:color="auto" w:fill="auto"/>
            <w:vAlign w:val="center"/>
          </w:tcPr>
          <w:p w14:paraId="4188792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3F89804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EB9D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0" w:hRule="atLeast"/>
        </w:trPr>
        <w:tc>
          <w:tcPr>
            <w:tcW w:w="1048" w:type="pct"/>
            <w:vMerge w:val="restart"/>
            <w:shd w:val="clear" w:color="auto" w:fill="auto"/>
            <w:vAlign w:val="center"/>
          </w:tcPr>
          <w:p w14:paraId="0F64F78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2.智能分析引擎</w:t>
            </w:r>
          </w:p>
        </w:tc>
        <w:tc>
          <w:tcPr>
            <w:tcW w:w="3044" w:type="pct"/>
            <w:shd w:val="clear" w:color="auto" w:fill="auto"/>
            <w:vAlign w:val="center"/>
          </w:tcPr>
          <w:p w14:paraId="36114EE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1.算法仓库：以容器化方式集成不少于15类AI算法（人脸/车辆识别、区域入侵、人群聚集、烟火检测、渔船识别、占道经营等），实现算法的热插拔、版本管理。</w:t>
            </w:r>
          </w:p>
        </w:tc>
        <w:tc>
          <w:tcPr>
            <w:tcW w:w="452" w:type="pct"/>
            <w:vMerge w:val="restart"/>
            <w:shd w:val="clear" w:color="auto" w:fill="auto"/>
            <w:vAlign w:val="center"/>
          </w:tcPr>
          <w:p w14:paraId="50DE175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54" w:type="pct"/>
            <w:vMerge w:val="restart"/>
            <w:shd w:val="clear" w:color="auto" w:fill="auto"/>
            <w:vAlign w:val="center"/>
          </w:tcPr>
          <w:p w14:paraId="7930F6FC">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ECC6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1048" w:type="pct"/>
            <w:vMerge w:val="continue"/>
            <w:shd w:val="clear" w:color="auto" w:fill="auto"/>
            <w:vAlign w:val="center"/>
          </w:tcPr>
          <w:p w14:paraId="356EDD41">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02C7830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2.任务调度中心：支持按点位、时间段创建分析任务，动态调度GPU算力资源，实现分析任务的负载均衡与高可用。</w:t>
            </w:r>
          </w:p>
        </w:tc>
        <w:tc>
          <w:tcPr>
            <w:tcW w:w="452" w:type="pct"/>
            <w:vMerge w:val="continue"/>
            <w:shd w:val="clear" w:color="auto" w:fill="auto"/>
            <w:vAlign w:val="center"/>
          </w:tcPr>
          <w:p w14:paraId="0CD8CA0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0124716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B915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1048" w:type="pct"/>
            <w:vMerge w:val="continue"/>
            <w:shd w:val="clear" w:color="auto" w:fill="auto"/>
            <w:vAlign w:val="center"/>
          </w:tcPr>
          <w:p w14:paraId="16B33D45">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3E38973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3.分析服务管理：提供算法运行状态监控、分析结果质量评估、性能指标统计（识别率、误报率）。</w:t>
            </w:r>
          </w:p>
        </w:tc>
        <w:tc>
          <w:tcPr>
            <w:tcW w:w="452" w:type="pct"/>
            <w:vMerge w:val="continue"/>
            <w:shd w:val="clear" w:color="auto" w:fill="auto"/>
            <w:vAlign w:val="center"/>
          </w:tcPr>
          <w:p w14:paraId="1DDBF97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3D42A14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59E9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1048" w:type="pct"/>
            <w:vMerge w:val="continue"/>
            <w:shd w:val="clear" w:color="auto" w:fill="auto"/>
            <w:vAlign w:val="center"/>
          </w:tcPr>
          <w:p w14:paraId="6F4F367A">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0F2B664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4.数据服务接口：对外提供标准化的结构化数据（图片、目标属性、坐标等）推送服务。</w:t>
            </w:r>
          </w:p>
        </w:tc>
        <w:tc>
          <w:tcPr>
            <w:tcW w:w="452" w:type="pct"/>
            <w:vMerge w:val="continue"/>
            <w:shd w:val="clear" w:color="auto" w:fill="auto"/>
            <w:vAlign w:val="center"/>
          </w:tcPr>
          <w:p w14:paraId="188DE57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5E9F84A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31CC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1048" w:type="pct"/>
            <w:vMerge w:val="restart"/>
            <w:shd w:val="clear" w:color="auto" w:fill="auto"/>
            <w:vAlign w:val="center"/>
          </w:tcPr>
          <w:p w14:paraId="3E56363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3.智能事件中心</w:t>
            </w:r>
          </w:p>
        </w:tc>
        <w:tc>
          <w:tcPr>
            <w:tcW w:w="3044" w:type="pct"/>
            <w:shd w:val="clear" w:color="auto" w:fill="auto"/>
            <w:vAlign w:val="center"/>
          </w:tcPr>
          <w:p w14:paraId="50331DA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1.事件标准化：定义统一事件Schema，将不同算法产生的异构告警信息（如违章停车、明火告警）格式化为标准事件。</w:t>
            </w:r>
          </w:p>
        </w:tc>
        <w:tc>
          <w:tcPr>
            <w:tcW w:w="452" w:type="pct"/>
            <w:vMerge w:val="restart"/>
            <w:shd w:val="clear" w:color="auto" w:fill="auto"/>
            <w:vAlign w:val="center"/>
          </w:tcPr>
          <w:p w14:paraId="14D22AF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54" w:type="pct"/>
            <w:vMerge w:val="restart"/>
            <w:shd w:val="clear" w:color="auto" w:fill="auto"/>
            <w:vAlign w:val="center"/>
          </w:tcPr>
          <w:p w14:paraId="5659FB04">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32C8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1048" w:type="pct"/>
            <w:vMerge w:val="continue"/>
            <w:shd w:val="clear" w:color="auto" w:fill="auto"/>
            <w:vAlign w:val="center"/>
          </w:tcPr>
          <w:p w14:paraId="779DE2DB">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198B610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2.规则引擎：支持基于时间、地点、事件类型、置信度等条件配置复杂告警规则，实现告警去重、升级、抑制。</w:t>
            </w:r>
          </w:p>
        </w:tc>
        <w:tc>
          <w:tcPr>
            <w:tcW w:w="452" w:type="pct"/>
            <w:vMerge w:val="continue"/>
            <w:shd w:val="clear" w:color="auto" w:fill="auto"/>
            <w:vAlign w:val="center"/>
          </w:tcPr>
          <w:p w14:paraId="6FD5B8D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0EDD8C1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42EC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60" w:hRule="atLeast"/>
        </w:trPr>
        <w:tc>
          <w:tcPr>
            <w:tcW w:w="1048" w:type="pct"/>
            <w:vMerge w:val="continue"/>
            <w:shd w:val="clear" w:color="auto" w:fill="auto"/>
            <w:vAlign w:val="center"/>
          </w:tcPr>
          <w:p w14:paraId="56BEDB82">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79BAE11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3.事件分发与闭环：通过消息中间件（如Kafka）将事件实时推送至12345、数字城管、应急指挥等业务系统，并跟踪事件处置状态，形成闭环。</w:t>
            </w:r>
          </w:p>
        </w:tc>
        <w:tc>
          <w:tcPr>
            <w:tcW w:w="452" w:type="pct"/>
            <w:vMerge w:val="continue"/>
            <w:shd w:val="clear" w:color="auto" w:fill="auto"/>
            <w:vAlign w:val="center"/>
          </w:tcPr>
          <w:p w14:paraId="5E26ACF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0D81236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3AD9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48" w:type="pct"/>
            <w:vMerge w:val="continue"/>
            <w:shd w:val="clear" w:color="auto" w:fill="auto"/>
            <w:vAlign w:val="center"/>
          </w:tcPr>
          <w:p w14:paraId="04B13EAC">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44926D9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4.事件可视化：在地图上实时展示事件分布、动态，支持历史事件查询与统计。</w:t>
            </w:r>
          </w:p>
        </w:tc>
        <w:tc>
          <w:tcPr>
            <w:tcW w:w="452" w:type="pct"/>
            <w:vMerge w:val="continue"/>
            <w:shd w:val="clear" w:color="auto" w:fill="auto"/>
            <w:vAlign w:val="center"/>
          </w:tcPr>
          <w:p w14:paraId="7BC8DF2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2B5A4A9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765D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20" w:hRule="atLeast"/>
        </w:trPr>
        <w:tc>
          <w:tcPr>
            <w:tcW w:w="1048" w:type="pct"/>
            <w:vMerge w:val="restart"/>
            <w:shd w:val="clear" w:color="auto" w:fill="auto"/>
            <w:vAlign w:val="center"/>
          </w:tcPr>
          <w:p w14:paraId="0EB57CA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4.API服务网关</w:t>
            </w:r>
          </w:p>
        </w:tc>
        <w:tc>
          <w:tcPr>
            <w:tcW w:w="3044" w:type="pct"/>
            <w:shd w:val="clear" w:color="auto" w:fill="auto"/>
            <w:vAlign w:val="center"/>
          </w:tcPr>
          <w:p w14:paraId="2CCC8CE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1.服务聚合：聚合视频预览、录像回放（按时间/事件）、云台控制、事件订阅、设备状态查询等核心能力。</w:t>
            </w:r>
          </w:p>
        </w:tc>
        <w:tc>
          <w:tcPr>
            <w:tcW w:w="452" w:type="pct"/>
            <w:vMerge w:val="restart"/>
            <w:shd w:val="clear" w:color="auto" w:fill="auto"/>
            <w:vAlign w:val="center"/>
          </w:tcPr>
          <w:p w14:paraId="749FCF4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54" w:type="pct"/>
            <w:vMerge w:val="continue"/>
            <w:shd w:val="clear" w:color="auto" w:fill="auto"/>
            <w:vAlign w:val="center"/>
          </w:tcPr>
          <w:p w14:paraId="56D701B8">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p>
        </w:tc>
      </w:tr>
      <w:tr w14:paraId="454F9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1048" w:type="pct"/>
            <w:vMerge w:val="continue"/>
            <w:shd w:val="clear" w:color="auto" w:fill="auto"/>
            <w:vAlign w:val="center"/>
          </w:tcPr>
          <w:p w14:paraId="5D23A31F">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4126D4F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2.身份鉴权与授权：集成统一身份认证，实现API访问的密钥管理、权限控制、IP白名单等功能。</w:t>
            </w:r>
          </w:p>
        </w:tc>
        <w:tc>
          <w:tcPr>
            <w:tcW w:w="452" w:type="pct"/>
            <w:vMerge w:val="continue"/>
            <w:shd w:val="clear" w:color="auto" w:fill="auto"/>
            <w:vAlign w:val="center"/>
          </w:tcPr>
          <w:p w14:paraId="705F518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5B8FF24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E449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20" w:hRule="atLeast"/>
        </w:trPr>
        <w:tc>
          <w:tcPr>
            <w:tcW w:w="1048" w:type="pct"/>
            <w:vMerge w:val="continue"/>
            <w:shd w:val="clear" w:color="auto" w:fill="auto"/>
            <w:vAlign w:val="center"/>
          </w:tcPr>
          <w:p w14:paraId="369EB819">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44" w:type="pct"/>
            <w:shd w:val="clear" w:color="auto" w:fill="auto"/>
            <w:vAlign w:val="center"/>
          </w:tcPr>
          <w:p w14:paraId="2D66013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3.流量控制与监控：实现API调用频次、并发数的精细化管理，实时监控API健康状况、性能指标与调用日志。</w:t>
            </w:r>
          </w:p>
        </w:tc>
        <w:tc>
          <w:tcPr>
            <w:tcW w:w="452" w:type="pct"/>
            <w:vMerge w:val="continue"/>
            <w:shd w:val="clear" w:color="auto" w:fill="auto"/>
            <w:vAlign w:val="center"/>
          </w:tcPr>
          <w:p w14:paraId="13FF2EA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shd w:val="clear" w:color="auto" w:fill="auto"/>
            <w:vAlign w:val="center"/>
          </w:tcPr>
          <w:p w14:paraId="56C0287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3B9450E3">
      <w:pPr>
        <w:keepNext w:val="0"/>
        <w:keepLines w:val="0"/>
        <w:widowControl/>
        <w:numPr>
          <w:ilvl w:val="0"/>
          <w:numId w:val="4"/>
        </w:numPr>
        <w:suppressLineNumbers w:val="0"/>
        <w:spacing w:before="0" w:beforeAutospacing="0" w:after="0" w:afterAutospacing="0" w:line="240" w:lineRule="auto"/>
        <w:ind w:left="0" w:leftChars="0" w:right="0" w:rightChars="0"/>
        <w:jc w:val="both"/>
        <w:outlineLvl w:val="1"/>
        <w:rPr>
          <w:rFonts w:hint="eastAsia" w:ascii="仿宋_GB2312" w:eastAsia="仿宋_GB2312"/>
          <w:color w:val="000000" w:themeColor="text1"/>
          <w:sz w:val="28"/>
          <w:szCs w:val="28"/>
          <w:highlight w:val="none"/>
          <w:lang w:val="en-US" w:eastAsia="zh-CN"/>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一体化大数据平台</w:t>
      </w:r>
    </w:p>
    <w:tbl>
      <w:tblPr>
        <w:tblStyle w:val="47"/>
        <w:tblW w:w="9872"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60"/>
        <w:gridCol w:w="1065"/>
        <w:gridCol w:w="1011"/>
        <w:gridCol w:w="1196"/>
        <w:gridCol w:w="4124"/>
        <w:gridCol w:w="917"/>
        <w:gridCol w:w="899"/>
      </w:tblGrid>
      <w:tr w14:paraId="1A9EF1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53" w:hRule="atLeast"/>
        </w:trPr>
        <w:tc>
          <w:tcPr>
            <w:tcW w:w="660"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513C4EDA">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序号</w:t>
            </w:r>
          </w:p>
        </w:tc>
        <w:tc>
          <w:tcPr>
            <w:tcW w:w="1065"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4BE3393B">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系统名称</w:t>
            </w:r>
          </w:p>
        </w:tc>
        <w:tc>
          <w:tcPr>
            <w:tcW w:w="1011"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4C2458EA">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产品类型</w:t>
            </w:r>
          </w:p>
        </w:tc>
        <w:tc>
          <w:tcPr>
            <w:tcW w:w="1196"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2B87296E">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产品名称</w:t>
            </w:r>
          </w:p>
        </w:tc>
        <w:tc>
          <w:tcPr>
            <w:tcW w:w="4124"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745424FE">
            <w:pPr>
              <w:keepNext w:val="0"/>
              <w:keepLines w:val="0"/>
              <w:widowControl/>
              <w:suppressLineNumbers w:val="0"/>
              <w:jc w:val="left"/>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功能/参数</w:t>
            </w:r>
          </w:p>
        </w:tc>
        <w:tc>
          <w:tcPr>
            <w:tcW w:w="917" w:type="dxa"/>
            <w:tcBorders>
              <w:top w:val="single" w:color="000000" w:sz="4" w:space="0"/>
              <w:left w:val="single" w:color="000000" w:sz="4" w:space="0"/>
              <w:bottom w:val="single" w:color="000000" w:sz="4" w:space="0"/>
              <w:right w:val="single" w:color="000000" w:sz="4" w:space="0"/>
            </w:tcBorders>
            <w:shd w:val="clear" w:color="auto" w:fill="BFBFBF"/>
            <w:noWrap/>
            <w:vAlign w:val="center"/>
          </w:tcPr>
          <w:p w14:paraId="4202ADE5">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单位</w:t>
            </w:r>
          </w:p>
        </w:tc>
        <w:tc>
          <w:tcPr>
            <w:tcW w:w="899" w:type="dxa"/>
            <w:tcBorders>
              <w:top w:val="single" w:color="000000" w:sz="4" w:space="0"/>
              <w:left w:val="single" w:color="000000" w:sz="4" w:space="0"/>
              <w:bottom w:val="single" w:color="000000" w:sz="4" w:space="0"/>
              <w:right w:val="single" w:color="000000" w:sz="4" w:space="0"/>
            </w:tcBorders>
            <w:shd w:val="clear" w:color="auto" w:fill="BFBFBF"/>
            <w:noWrap/>
            <w:vAlign w:val="center"/>
          </w:tcPr>
          <w:p w14:paraId="5AE9C2FA">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数量</w:t>
            </w:r>
          </w:p>
        </w:tc>
      </w:tr>
      <w:tr w14:paraId="542302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0" w:hRule="atLeast"/>
        </w:trPr>
        <w:tc>
          <w:tcPr>
            <w:tcW w:w="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AA447A">
            <w:pPr>
              <w:keepNext w:val="0"/>
              <w:keepLines w:val="0"/>
              <w:widowControl/>
              <w:suppressLineNumbers w:val="0"/>
              <w:jc w:val="center"/>
              <w:textAlignment w:val="center"/>
              <w:rPr>
                <w:rFonts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c>
          <w:tcPr>
            <w:tcW w:w="106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09406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企业一体化服务平台</w:t>
            </w:r>
          </w:p>
        </w:tc>
        <w:tc>
          <w:tcPr>
            <w:tcW w:w="10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9C5D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资产信息采集设备</w:t>
            </w:r>
          </w:p>
        </w:tc>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BF95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高拍仪</w:t>
            </w:r>
          </w:p>
        </w:tc>
        <w:tc>
          <w:tcPr>
            <w:tcW w:w="4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670B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扫描幅面: A4</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分辨率: ≥500万像素</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功能:文档、实物、身份证扫描，自带补光灯</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输出格式: PDF/JPG</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接口: USB 3.0</w:t>
            </w:r>
          </w:p>
        </w:tc>
        <w:tc>
          <w:tcPr>
            <w:tcW w:w="9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DE65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个</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516F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5</w:t>
            </w:r>
          </w:p>
        </w:tc>
      </w:tr>
      <w:tr w14:paraId="0483D5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E2661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99526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420F6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输出与展示设备</w:t>
            </w:r>
          </w:p>
        </w:tc>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B923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电视</w:t>
            </w:r>
          </w:p>
        </w:tc>
        <w:tc>
          <w:tcPr>
            <w:tcW w:w="4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9C8F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尺寸: 65英寸/75英寸</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分辨率: 4K UHD (3840×2160)</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系统: 智能电视系统</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接口: HDMI×3, USB×2</w:t>
            </w:r>
          </w:p>
        </w:tc>
        <w:tc>
          <w:tcPr>
            <w:tcW w:w="9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54FA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个</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5D19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28F62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B0E83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2D921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37629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95B9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电子屏</w:t>
            </w:r>
          </w:p>
        </w:tc>
        <w:tc>
          <w:tcPr>
            <w:tcW w:w="4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6804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Style w:val="284"/>
                <w:color w:val="000000" w:themeColor="text1"/>
                <w:highlight w:val="none"/>
                <w:lang w:val="en-US" w:eastAsia="zh-CN" w:bidi="ar"/>
                <w14:textFill>
                  <w14:solidFill>
                    <w14:schemeClr w14:val="tx1"/>
                  </w14:solidFill>
                </w14:textFill>
              </w:rPr>
              <w:t>类型: 室内全彩LED显示屏</w:t>
            </w:r>
            <w:r>
              <w:rPr>
                <w:rStyle w:val="284"/>
                <w:color w:val="000000" w:themeColor="text1"/>
                <w:highlight w:val="none"/>
                <w:lang w:val="en-US" w:eastAsia="zh-CN" w:bidi="ar"/>
                <w14:textFill>
                  <w14:solidFill>
                    <w14:schemeClr w14:val="tx1"/>
                  </w14:solidFill>
                </w14:textFill>
              </w:rPr>
              <w:br w:type="textWrapping"/>
            </w:r>
            <w:r>
              <w:rPr>
                <w:rStyle w:val="284"/>
                <w:color w:val="000000" w:themeColor="text1"/>
                <w:highlight w:val="none"/>
                <w:lang w:val="en-US" w:eastAsia="zh-CN" w:bidi="ar"/>
                <w14:textFill>
                  <w14:solidFill>
                    <w14:schemeClr w14:val="tx1"/>
                  </w14:solidFill>
                </w14:textFill>
              </w:rPr>
              <w:t>像素间距: P2-P3</w:t>
            </w:r>
            <w:r>
              <w:rPr>
                <w:rStyle w:val="284"/>
                <w:color w:val="000000" w:themeColor="text1"/>
                <w:highlight w:val="none"/>
                <w:lang w:val="en-US" w:eastAsia="zh-CN" w:bidi="ar"/>
                <w14:textFill>
                  <w14:solidFill>
                    <w14:schemeClr w14:val="tx1"/>
                  </w14:solidFill>
                </w14:textFill>
              </w:rPr>
              <w:br w:type="textWrapping"/>
            </w:r>
            <w:r>
              <w:rPr>
                <w:rStyle w:val="284"/>
                <w:color w:val="000000" w:themeColor="text1"/>
                <w:highlight w:val="none"/>
                <w:lang w:val="en-US" w:eastAsia="zh-CN" w:bidi="ar"/>
                <w14:textFill>
                  <w14:solidFill>
                    <w14:schemeClr w14:val="tx1"/>
                  </w14:solidFill>
                </w14:textFill>
              </w:rPr>
              <w:t>面积: 约4-6㎡（根据墙面定制）</w:t>
            </w:r>
            <w:r>
              <w:rPr>
                <w:rStyle w:val="284"/>
                <w:color w:val="000000" w:themeColor="text1"/>
                <w:highlight w:val="none"/>
                <w:lang w:val="en-US" w:eastAsia="zh-CN" w:bidi="ar"/>
                <w14:textFill>
                  <w14:solidFill>
                    <w14:schemeClr w14:val="tx1"/>
                  </w14:solidFill>
                </w14:textFill>
              </w:rPr>
              <w:br w:type="textWrapping"/>
            </w:r>
            <w:r>
              <w:rPr>
                <w:rStyle w:val="284"/>
                <w:color w:val="000000" w:themeColor="text1"/>
                <w:highlight w:val="none"/>
                <w:lang w:val="en-US" w:eastAsia="zh-CN" w:bidi="ar"/>
                <w14:textFill>
                  <w14:solidFill>
                    <w14:schemeClr w14:val="tx1"/>
                  </w14:solidFill>
                </w14:textFill>
              </w:rPr>
              <w:t>亮度: ≥600 cd/m</w:t>
            </w:r>
            <w:r>
              <w:rPr>
                <w:rFonts w:hint="eastAsia" w:ascii="宋体" w:hAnsi="宋体" w:eastAsia="宋体" w:cs="宋体"/>
                <w:i w:val="0"/>
                <w:iCs w:val="0"/>
                <w:color w:val="000000" w:themeColor="text1"/>
                <w:kern w:val="0"/>
                <w:sz w:val="20"/>
                <w:szCs w:val="20"/>
                <w:highlight w:val="none"/>
                <w:u w:val="none"/>
                <w:lang w:val="en-US" w:eastAsia="zh-CN" w:bidi="ar"/>
                <w14:textFill>
                  <w14:solidFill>
                    <w14:schemeClr w14:val="tx1"/>
                  </w14:solidFill>
                </w14:textFill>
              </w:rPr>
              <w:t>²</w:t>
            </w:r>
            <w:r>
              <w:rPr>
                <w:rStyle w:val="284"/>
                <w:color w:val="000000" w:themeColor="text1"/>
                <w:highlight w:val="none"/>
                <w:lang w:val="en-US" w:eastAsia="zh-CN" w:bidi="ar"/>
                <w14:textFill>
                  <w14:solidFill>
                    <w14:schemeClr w14:val="tx1"/>
                  </w14:solidFill>
                </w14:textFill>
              </w:rPr>
              <w:br w:type="textWrapping"/>
            </w:r>
            <w:r>
              <w:rPr>
                <w:rStyle w:val="284"/>
                <w:color w:val="000000" w:themeColor="text1"/>
                <w:highlight w:val="none"/>
                <w:lang w:val="en-US" w:eastAsia="zh-CN" w:bidi="ar"/>
                <w14:textFill>
                  <w14:solidFill>
                    <w14:schemeClr w14:val="tx1"/>
                  </w14:solidFill>
                </w14:textFill>
              </w:rPr>
              <w:t>控制系统: 含发送卡、接收卡、控制软件</w:t>
            </w:r>
          </w:p>
        </w:tc>
        <w:tc>
          <w:tcPr>
            <w:tcW w:w="9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2B4D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个</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7CE7C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2EFD9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6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9C1DD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8ECF1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327B0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AD9A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台式电脑</w:t>
            </w:r>
          </w:p>
        </w:tc>
        <w:tc>
          <w:tcPr>
            <w:tcW w:w="4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5190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CPU: 8核心处理器</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内存: 16GB DDR4</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硬盘: 512GB NVMe SSD (系统) + 1TB HDD (数据)</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显卡: 集成显卡或入门级独显</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网络: 千兆网卡，支持Wi-Fi 6</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系统: 正版Windows 11/专业版Linux</w:t>
            </w:r>
          </w:p>
        </w:tc>
        <w:tc>
          <w:tcPr>
            <w:tcW w:w="9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98DA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025D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12</w:t>
            </w:r>
          </w:p>
        </w:tc>
      </w:tr>
      <w:tr w14:paraId="5351F6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6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1487A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89C89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3FACC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E059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A3打印复印机</w:t>
            </w:r>
          </w:p>
        </w:tc>
        <w:tc>
          <w:tcPr>
            <w:tcW w:w="4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4BF3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类型: 数码复合机</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功能: 打印/复印/扫描/传真</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速度: ≥30页/分钟(A4)</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分辨率: 1200×1200 dpi</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纸张: 支持A3-A5，双面自动</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连接: 有线网络/USB/无线打印</w:t>
            </w:r>
          </w:p>
        </w:tc>
        <w:tc>
          <w:tcPr>
            <w:tcW w:w="9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DAF2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AB24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r>
      <w:tr w14:paraId="3DF534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6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9E725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C99E0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86DEA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B633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打印机</w:t>
            </w:r>
          </w:p>
        </w:tc>
        <w:tc>
          <w:tcPr>
            <w:tcW w:w="4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A16F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类型: 黑白激光打印机</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功能: 打印</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速度: ≥20页/分钟</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分辨率: 1200×1200 dpi</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纸张: 支持A4，双面打印</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连接: USB/有线网络</w:t>
            </w:r>
          </w:p>
        </w:tc>
        <w:tc>
          <w:tcPr>
            <w:tcW w:w="9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5C0EB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37F3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4</w:t>
            </w:r>
          </w:p>
        </w:tc>
      </w:tr>
      <w:tr w14:paraId="6E7A1B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60" w:hRule="atLeast"/>
        </w:trPr>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547D5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567F6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E9B86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AA8C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监控1批</w:t>
            </w:r>
          </w:p>
        </w:tc>
        <w:tc>
          <w:tcPr>
            <w:tcW w:w="4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F6AE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摄像机: 200万像素半球型或筒型，支持H.265，红外夜视≥30米，IP67</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录像机: 8路/16路网络硬盘录像机，支持4K解码</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硬盘: 监控级硬盘，4TB/块，按存储30天配置</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交换机: 8口/16口千兆PoE交换机</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辅材: 网线、电源、立杆/支架等</w:t>
            </w:r>
          </w:p>
        </w:tc>
        <w:tc>
          <w:tcPr>
            <w:tcW w:w="9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6584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批</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C55C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r>
    </w:tbl>
    <w:p w14:paraId="253E7FDA">
      <w:pPr>
        <w:bidi w:val="0"/>
        <w:rPr>
          <w:rFonts w:hint="eastAsia"/>
          <w:color w:val="000000" w:themeColor="text1"/>
          <w:highlight w:val="none"/>
          <w:lang w:val="en-US" w:eastAsia="zh-CN"/>
          <w14:textFill>
            <w14:solidFill>
              <w14:schemeClr w14:val="tx1"/>
            </w14:solidFill>
          </w14:textFill>
        </w:rPr>
      </w:pP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58"/>
        <w:gridCol w:w="6198"/>
        <w:gridCol w:w="917"/>
        <w:gridCol w:w="895"/>
      </w:tblGrid>
      <w:tr w14:paraId="7806CE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6EB7F2B">
            <w:pPr>
              <w:jc w:val="center"/>
              <w:rPr>
                <w:rFonts w:hint="eastAsia" w:ascii="仿宋" w:hAnsi="仿宋" w:eastAsia="仿宋" w:cs="仿宋"/>
                <w:b/>
                <w:bCs/>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二、一体化大数据平台</w:t>
            </w:r>
          </w:p>
        </w:tc>
      </w:tr>
      <w:tr w14:paraId="190F62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9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E10B2">
            <w:pPr>
              <w:keepNext w:val="0"/>
              <w:keepLines w:val="0"/>
              <w:widowControl/>
              <w:suppressLineNumbers w:val="0"/>
              <w:jc w:val="left"/>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BCCEB">
            <w:pPr>
              <w:keepNext w:val="0"/>
              <w:keepLines w:val="0"/>
              <w:widowControl/>
              <w:suppressLineNumbers w:val="0"/>
              <w:jc w:val="left"/>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9A064">
            <w:pPr>
              <w:jc w:val="center"/>
              <w:rPr>
                <w:rFonts w:hint="eastAsia" w:ascii="仿宋" w:hAnsi="仿宋" w:eastAsia="仿宋" w:cs="仿宋"/>
                <w:b/>
                <w:bCs/>
                <w:i w:val="0"/>
                <w:iCs w:val="0"/>
                <w:color w:val="000000" w:themeColor="text1"/>
                <w:kern w:val="2"/>
                <w:sz w:val="20"/>
                <w:szCs w:val="20"/>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sz w:val="20"/>
                <w:szCs w:val="20"/>
                <w:highlight w:val="none"/>
                <w:u w:val="none"/>
                <w:lang w:val="en-US" w:eastAsia="zh-CN"/>
                <w14:textFill>
                  <w14:solidFill>
                    <w14:schemeClr w14:val="tx1"/>
                  </w14:solidFill>
                </w14:textFill>
              </w:rPr>
              <w:t>单位</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559A53">
            <w:pPr>
              <w:jc w:val="center"/>
              <w:rPr>
                <w:rFonts w:hint="eastAsia" w:ascii="仿宋" w:hAnsi="仿宋" w:eastAsia="仿宋" w:cs="仿宋"/>
                <w:b/>
                <w:bCs/>
                <w:i w:val="0"/>
                <w:iCs w:val="0"/>
                <w:color w:val="000000" w:themeColor="text1"/>
                <w:kern w:val="2"/>
                <w:sz w:val="20"/>
                <w:szCs w:val="20"/>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sz w:val="20"/>
                <w:szCs w:val="20"/>
                <w:highlight w:val="none"/>
                <w:u w:val="none"/>
                <w:lang w:val="en-US" w:eastAsia="zh-CN"/>
                <w14:textFill>
                  <w14:solidFill>
                    <w14:schemeClr w14:val="tx1"/>
                  </w14:solidFill>
                </w14:textFill>
              </w:rPr>
              <w:t>数量</w:t>
            </w:r>
          </w:p>
        </w:tc>
      </w:tr>
      <w:tr w14:paraId="0F8BD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04191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1.数据资源体系构建</w:t>
            </w: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D2C2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1.数据汇聚：通过实时接口、批量交换等方式，汇聚全市40+个部门的业务数据，形成覆盖人口、法人、地理信息等6大主题的数据资源池。</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41BF8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项</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12B0F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9E2A3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870995">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714C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2.数据治理：制定数据标准，开展数据清洗、质量核查（1000+规则）、血缘分析，提升数据可用性。</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4CAF3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CC382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FC4A4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242E3B">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BCFC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3.库表建设：构建原始库、共享库（500+张可共享表）、主题库（如经济运行、城市管理主题库）。</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7A443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5DD20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60396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A909F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2.技术平台开发</w:t>
            </w: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432C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1.数据集成开发：部署可视化数据集成工具，配置300+个数据同步作业，支持Oracle、MySQL、API等10+种数据源。</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F47CF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5247A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5F6AD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B729F1">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9886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2.数据服务网关：开发统一数据服务门户，封装并提供200+个数据服务API，实现服务的申请、审批、调用与审计。</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62974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60723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5A4A1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5722C1">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A4FEE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3.可视化分析平台：采购并部署成熟BI软件，提供15+种可视化组件，快速构建10+张综合研判大屏。</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B7A04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FAFFE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3D740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518BE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3.智能应用开发</w:t>
            </w: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D9B22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1.AI问数助手：基于大模型技术，开发自然语言查询系统，用户可通过语音/文本提问，自动生成数据图表与分析结论。</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3C2A5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95560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CB333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C29DEC">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5C922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2.AI企业画像：整合工商、税务、社保等多源数据，为全市2.6万余家企业构建360°画像，实现风险预警、产业链分析等功能。</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C5F01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40E11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4F17806E">
      <w:pPr>
        <w:keepNext w:val="0"/>
        <w:keepLines w:val="0"/>
        <w:widowControl/>
        <w:numPr>
          <w:ilvl w:val="0"/>
          <w:numId w:val="4"/>
        </w:numPr>
        <w:suppressLineNumbers w:val="0"/>
        <w:spacing w:before="0" w:beforeAutospacing="0" w:after="0" w:afterAutospacing="0" w:line="240" w:lineRule="auto"/>
        <w:ind w:left="0" w:leftChars="0" w:right="0" w:rightChars="0" w:firstLine="0" w:firstLineChars="0"/>
        <w:jc w:val="both"/>
        <w:outlineLvl w:val="1"/>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数据安全空间</w:t>
      </w:r>
    </w:p>
    <w:tbl>
      <w:tblPr>
        <w:tblStyle w:val="47"/>
        <w:tblW w:w="9863"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79"/>
        <w:gridCol w:w="1067"/>
        <w:gridCol w:w="1067"/>
        <w:gridCol w:w="1236"/>
        <w:gridCol w:w="4107"/>
        <w:gridCol w:w="917"/>
        <w:gridCol w:w="890"/>
      </w:tblGrid>
      <w:tr w14:paraId="4BD9FF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10" w:hRule="atLeast"/>
        </w:trPr>
        <w:tc>
          <w:tcPr>
            <w:tcW w:w="579"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2AB1EEFD">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序号</w:t>
            </w:r>
          </w:p>
        </w:tc>
        <w:tc>
          <w:tcPr>
            <w:tcW w:w="1067"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4A485C81">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系统名称</w:t>
            </w:r>
          </w:p>
        </w:tc>
        <w:tc>
          <w:tcPr>
            <w:tcW w:w="1067"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03C4B586">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产品类型</w:t>
            </w:r>
          </w:p>
        </w:tc>
        <w:tc>
          <w:tcPr>
            <w:tcW w:w="1236"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5F147A80">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产品名称</w:t>
            </w:r>
          </w:p>
        </w:tc>
        <w:tc>
          <w:tcPr>
            <w:tcW w:w="4107"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21581505">
            <w:pPr>
              <w:keepNext w:val="0"/>
              <w:keepLines w:val="0"/>
              <w:widowControl/>
              <w:suppressLineNumbers w:val="0"/>
              <w:jc w:val="left"/>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功能/参数</w:t>
            </w:r>
          </w:p>
        </w:tc>
        <w:tc>
          <w:tcPr>
            <w:tcW w:w="917"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6CE364EB">
            <w:pPr>
              <w:keepNext w:val="0"/>
              <w:keepLines w:val="0"/>
              <w:widowControl/>
              <w:suppressLineNumbers w:val="0"/>
              <w:jc w:val="center"/>
              <w:textAlignment w:val="center"/>
              <w:rPr>
                <w:rFonts w:hint="eastAsia" w:ascii="仿宋" w:hAnsi="仿宋" w:eastAsia="仿宋" w:cs="仿宋"/>
                <w:b/>
                <w:bCs/>
                <w:i w:val="0"/>
                <w:iCs w:val="0"/>
                <w:color w:val="000000" w:themeColor="text1"/>
                <w:kern w:val="2"/>
                <w:sz w:val="22"/>
                <w:szCs w:val="22"/>
                <w:highlight w:val="none"/>
                <w:u w:val="none"/>
                <w:lang w:val="en-US" w:eastAsia="zh-CN" w:bidi="ar-SA"/>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单位</w:t>
            </w:r>
          </w:p>
        </w:tc>
        <w:tc>
          <w:tcPr>
            <w:tcW w:w="890" w:type="dxa"/>
            <w:tcBorders>
              <w:top w:val="single" w:color="000000" w:sz="4" w:space="0"/>
              <w:left w:val="single" w:color="000000" w:sz="4" w:space="0"/>
              <w:bottom w:val="single" w:color="000000" w:sz="4" w:space="0"/>
              <w:right w:val="single" w:color="000000" w:sz="4" w:space="0"/>
            </w:tcBorders>
            <w:shd w:val="clear" w:color="auto" w:fill="BFBFBF"/>
            <w:vAlign w:val="center"/>
          </w:tcPr>
          <w:p w14:paraId="315218A8">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2"/>
                <w:szCs w:val="22"/>
                <w:highlight w:val="none"/>
                <w:u w:val="none"/>
                <w:lang w:val="en-US" w:eastAsia="zh-CN" w:bidi="ar"/>
                <w14:textFill>
                  <w14:solidFill>
                    <w14:schemeClr w14:val="tx1"/>
                  </w14:solidFill>
                </w14:textFill>
              </w:rPr>
              <w:t>数量</w:t>
            </w:r>
          </w:p>
        </w:tc>
      </w:tr>
      <w:tr w14:paraId="2E331A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80" w:hRule="atLeast"/>
        </w:trPr>
        <w:tc>
          <w:tcPr>
            <w:tcW w:w="57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F45E73">
            <w:pPr>
              <w:keepNext w:val="0"/>
              <w:keepLines w:val="0"/>
              <w:widowControl/>
              <w:suppressLineNumbers w:val="0"/>
              <w:jc w:val="center"/>
              <w:textAlignment w:val="center"/>
              <w:rPr>
                <w:rFonts w:ascii="微软雅黑" w:hAnsi="微软雅黑" w:eastAsia="微软雅黑" w:cs="微软雅黑"/>
                <w:i w:val="0"/>
                <w:iCs w:val="0"/>
                <w:color w:val="000000" w:themeColor="text1"/>
                <w:sz w:val="20"/>
                <w:szCs w:val="20"/>
                <w:highlight w:val="none"/>
                <w:u w:val="none"/>
                <w14:textFill>
                  <w14:solidFill>
                    <w14:schemeClr w14:val="tx1"/>
                  </w14:solidFill>
                </w14:textFill>
              </w:rPr>
            </w:pPr>
            <w:r>
              <w:rPr>
                <w:rFonts w:hint="eastAsia" w:ascii="微软雅黑" w:hAnsi="微软雅黑" w:eastAsia="微软雅黑" w:cs="微软雅黑"/>
                <w:i w:val="0"/>
                <w:iCs w:val="0"/>
                <w:color w:val="000000" w:themeColor="text1"/>
                <w:kern w:val="0"/>
                <w:sz w:val="20"/>
                <w:szCs w:val="20"/>
                <w:highlight w:val="none"/>
                <w:u w:val="none"/>
                <w:lang w:val="en-US" w:eastAsia="zh-CN" w:bidi="ar"/>
                <w14:textFill>
                  <w14:solidFill>
                    <w14:schemeClr w14:val="tx1"/>
                  </w14:solidFill>
                </w14:textFill>
              </w:rPr>
              <w:t>3</w:t>
            </w:r>
          </w:p>
        </w:tc>
        <w:tc>
          <w:tcPr>
            <w:tcW w:w="106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53FD8B">
            <w:pPr>
              <w:keepNext w:val="0"/>
              <w:keepLines w:val="0"/>
              <w:widowControl/>
              <w:suppressLineNumbers w:val="0"/>
              <w:jc w:val="center"/>
              <w:textAlignment w:val="center"/>
              <w:rPr>
                <w:rFonts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数据安全空间</w:t>
            </w:r>
          </w:p>
        </w:tc>
        <w:tc>
          <w:tcPr>
            <w:tcW w:w="106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CBD7D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信任基石与安全</w:t>
            </w: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5EC9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密码运算专用设备(加密机)</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BFAC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加密算法：支持SM2, SM3, SM4, SM9等国密算法及RSA, AES等国际算法</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签名性能：SM2签名速度 ≥ 10000次/秒</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密钥存储：支持≥1000对密钥生成与存储</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安全认证：通过国密局二级认证，符合GM/T 0018标准</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接口：2 * 10/100/1000M自适应电口，2*SFP光口</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电源：冗余热插拔电源</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B342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D0F8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6489B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80" w:hRule="atLeast"/>
        </w:trPr>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6D318C">
            <w:pPr>
              <w:jc w:val="center"/>
              <w:rPr>
                <w:rFonts w:hint="eastAsia" w:ascii="微软雅黑" w:hAnsi="微软雅黑" w:eastAsia="微软雅黑" w:cs="微软雅黑"/>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C9242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A0ECF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3D43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密钥管理系统</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869B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标准符合：符合GM/T 0030-2014《服务器密码机技术规范》</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密钥管理：支持对称密钥、非对称密钥、数字证书的全生命周期管理</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加密速度：SM4算法加密 ≥ 2Gbps</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备份与恢复：支持密钥异地容灾备份与快速恢复</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审计日志：具备完整的操作审计功能，日志不可删除、不可篡改</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7EB1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59BC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601C4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00" w:hRule="atLeast"/>
        </w:trPr>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3BC0E1">
            <w:pPr>
              <w:jc w:val="center"/>
              <w:rPr>
                <w:rFonts w:hint="eastAsia" w:ascii="微软雅黑" w:hAnsi="微软雅黑" w:eastAsia="微软雅黑" w:cs="微软雅黑"/>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9B14D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85CAD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F4D5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区块链专用节点设备</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A88F4">
            <w:pPr>
              <w:keepNext w:val="0"/>
              <w:keepLines w:val="0"/>
              <w:widowControl/>
              <w:suppressLineNumbers w:val="0"/>
              <w:jc w:val="left"/>
              <w:textAlignment w:val="center"/>
              <w:rPr>
                <w:rFonts w:hint="default" w:ascii="Times New Roman" w:hAnsi="Times New Roman" w:eastAsia="微软雅黑" w:cs="Times New Roman"/>
                <w:i w:val="0"/>
                <w:iCs w:val="0"/>
                <w:color w:val="000000" w:themeColor="text1"/>
                <w:sz w:val="20"/>
                <w:szCs w:val="20"/>
                <w:highlight w:val="none"/>
                <w:u w:val="none"/>
                <w14:textFill>
                  <w14:solidFill>
                    <w14:schemeClr w14:val="tx1"/>
                  </w14:solidFill>
                </w14:textFill>
              </w:rPr>
            </w:pP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区块链性能：区块数据生成时间≤2秒，交易处理速度 ≥ 5000 TPS</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并发支持：稳定支持不少于50个节点组网下的高并发数据共识。</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存储与可靠性：内置高速存储系统，确保数据读写高效可靠，满足企业级应用连续性要求。</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加密模块：内置国密算法硬件加密卡</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网络：≥4千兆电口+2万兆光口</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共识机制：支持RBFT、RAFT等共识算法，预置企业级区块链系统</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FBA6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A7C5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r>
      <w:tr w14:paraId="596CD7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20" w:hRule="atLeast"/>
        </w:trPr>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1981F9">
            <w:pPr>
              <w:jc w:val="center"/>
              <w:rPr>
                <w:rFonts w:hint="eastAsia" w:ascii="微软雅黑" w:hAnsi="微软雅黑" w:eastAsia="微软雅黑" w:cs="微软雅黑"/>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DD624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4911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隐私计算加速</w:t>
            </w: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8470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隐私计算硬件加速模块</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72CE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加速算法：支持多方安全计算（MPC）、同态加密（FHE/SHE）硬件加速</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性能提升：MPC计算性能提升 ≥ 20倍（相较于纯软件实现）</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接口：PCIe 3.0/4.0 x16</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功耗：≤75W（无需外接供电）</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兼容性：支持主流服务器并提供标准API接口</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9830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块</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1FB0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6</w:t>
            </w:r>
          </w:p>
        </w:tc>
      </w:tr>
      <w:tr w14:paraId="74F623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20" w:hRule="atLeast"/>
        </w:trPr>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390F39">
            <w:pPr>
              <w:jc w:val="center"/>
              <w:rPr>
                <w:rFonts w:hint="eastAsia" w:ascii="微软雅黑" w:hAnsi="微软雅黑" w:eastAsia="微软雅黑" w:cs="微软雅黑"/>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D8924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BC0C3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存储与网络</w:t>
            </w: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7152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加密存储系统</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BBFB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有效容量：≥200TB（配置后）</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加密引擎：支持即时数据加密（D@RE），256位AES加密</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RAID支持：RAID 0, 1, 5, 6, 10, 50, 60</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接口：16Gb/32Gb FC, 10Gb/25Gb iSCSI</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高可用：Active-Active双控制器，冗余电源、风扇</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136B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95E2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DF77B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60" w:hRule="atLeast"/>
        </w:trPr>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87FA2B">
            <w:pPr>
              <w:jc w:val="center"/>
              <w:rPr>
                <w:rFonts w:hint="eastAsia" w:ascii="微软雅黑" w:hAnsi="微软雅黑" w:eastAsia="微软雅黑" w:cs="微软雅黑"/>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20171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D4E39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68A7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核心网络交换设备</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4A5E7">
            <w:pPr>
              <w:keepNext w:val="0"/>
              <w:keepLines w:val="0"/>
              <w:widowControl/>
              <w:suppressLineNumbers w:val="0"/>
              <w:jc w:val="left"/>
              <w:textAlignment w:val="center"/>
              <w:rPr>
                <w:rFonts w:hint="default" w:ascii="Times New Roman" w:hAnsi="Times New Roman" w:eastAsia="微软雅黑" w:cs="Times New Roman"/>
                <w:i w:val="0"/>
                <w:iCs w:val="0"/>
                <w:color w:val="000000" w:themeColor="text1"/>
                <w:sz w:val="20"/>
                <w:szCs w:val="20"/>
                <w:highlight w:val="none"/>
                <w:u w:val="none"/>
                <w14:textFill>
                  <w14:solidFill>
                    <w14:schemeClr w14:val="tx1"/>
                  </w14:solidFill>
                </w14:textFill>
              </w:rPr>
            </w:pP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端口配置：48个10G SFP+光口，6个40G QSFP+上行端口</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交换容量：≥12Tbps</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包转发率：≥960Mpps</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特性：支持VXLAN, EVPN，可编程</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可靠性：电源1+1冗余，风扇N+1冗余</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CF88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7BD2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r>
      <w:tr w14:paraId="6C6BC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20" w:hRule="atLeast"/>
        </w:trPr>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96F3F1">
            <w:pPr>
              <w:jc w:val="center"/>
              <w:rPr>
                <w:rFonts w:hint="eastAsia" w:ascii="微软雅黑" w:hAnsi="微软雅黑" w:eastAsia="微软雅黑" w:cs="微软雅黑"/>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11DF5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85733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CBC3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数据安全网关</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F6EF4">
            <w:pPr>
              <w:keepNext w:val="0"/>
              <w:keepLines w:val="0"/>
              <w:widowControl/>
              <w:suppressLineNumbers w:val="0"/>
              <w:jc w:val="left"/>
              <w:textAlignment w:val="center"/>
              <w:rPr>
                <w:rFonts w:hint="default" w:ascii="Times New Roman" w:hAnsi="Times New Roman" w:eastAsia="微软雅黑" w:cs="Times New Roman"/>
                <w:i w:val="0"/>
                <w:iCs w:val="0"/>
                <w:color w:val="000000" w:themeColor="text1"/>
                <w:sz w:val="20"/>
                <w:szCs w:val="20"/>
                <w:highlight w:val="none"/>
                <w:u w:val="none"/>
                <w14:textFill>
                  <w14:solidFill>
                    <w14:schemeClr w14:val="tx1"/>
                  </w14:solidFill>
                </w14:textFill>
              </w:rPr>
            </w:pP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吞吐量：≥5Gbps</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安全功能：集成数据脱敏、动态加密、数据防泄漏（DLP）、API安全管控、数据库审计</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协议支持：支持SQL, FTP, HTTP, API等多种协议深度解析</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default" w:ascii="Times New Roman" w:hAnsi="Times New Roman" w:eastAsia="微软雅黑" w:cs="Times New Roman"/>
                <w:i w:val="0"/>
                <w:iCs w:val="0"/>
                <w:color w:val="000000" w:themeColor="text1"/>
                <w:kern w:val="0"/>
                <w:sz w:val="20"/>
                <w:szCs w:val="20"/>
                <w:highlight w:val="none"/>
                <w:u w:val="none"/>
                <w:lang w:val="en-US" w:eastAsia="zh-CN" w:bidi="ar"/>
                <w14:textFill>
                  <w14:solidFill>
                    <w14:schemeClr w14:val="tx1"/>
                  </w14:solidFill>
                </w14:textFill>
              </w:rPr>
              <w:t>•</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xml:space="preserve"> 策略管理：支持基于数据分类分级的精细化管理策略</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EFEE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台</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70BB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r>
      <w:tr w14:paraId="0DC886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60" w:hRule="atLeast"/>
        </w:trPr>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9005A2">
            <w:pPr>
              <w:jc w:val="center"/>
              <w:rPr>
                <w:rFonts w:hint="eastAsia" w:ascii="微软雅黑" w:hAnsi="微软雅黑" w:eastAsia="微软雅黑" w:cs="微软雅黑"/>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49726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2EBCB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数据加工与运营</w:t>
            </w: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CAEB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安全隔离与分析沙箱</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6000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计算节点：每套≥2节点，每节点配置：≥16核/128GB内存/2 * 1TB NVMe SSD</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网络隔离：硬件VLAN/SDN隔离，确保数据不出域</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数据接入：支持多种数据源安全接入与脱敏</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环境封装：支持Docker容器化环境，快速部署分析算法</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BFD4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2EBB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w:t>
            </w:r>
          </w:p>
        </w:tc>
      </w:tr>
      <w:tr w14:paraId="5D7907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60" w:hRule="atLeast"/>
        </w:trPr>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EB34B9">
            <w:pPr>
              <w:jc w:val="center"/>
              <w:rPr>
                <w:rFonts w:hint="eastAsia" w:ascii="微软雅黑" w:hAnsi="微软雅黑" w:eastAsia="微软雅黑" w:cs="微软雅黑"/>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1E850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0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8167B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D285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数据运营大屏</w:t>
            </w:r>
          </w:p>
        </w:tc>
        <w:tc>
          <w:tcPr>
            <w:tcW w:w="4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623B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屏幕规格：55英寸LED液晶拼接屏，拼缝≤3.5mm，3 * 4拼接</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亮度：≥500cd/m²</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控制系统：含图像拼接处理器，支持多路信号源开窗、漫游、叠加</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 安装：含落地支架或机柜</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D221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8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DF86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bl>
    <w:p w14:paraId="3E0F9AAA">
      <w:pPr>
        <w:bidi w:val="0"/>
        <w:rPr>
          <w:rFonts w:hint="eastAsia"/>
          <w:color w:val="000000" w:themeColor="text1"/>
          <w:highlight w:val="none"/>
          <w:lang w:val="en-US" w:eastAsia="zh-CN"/>
          <w14:textFill>
            <w14:solidFill>
              <w14:schemeClr w14:val="tx1"/>
            </w14:solidFill>
          </w14:textFill>
        </w:rPr>
      </w:pPr>
    </w:p>
    <w:p w14:paraId="7829B63B">
      <w:pPr>
        <w:bidi w:val="0"/>
        <w:rPr>
          <w:rFonts w:hint="eastAsia"/>
          <w:color w:val="000000" w:themeColor="text1"/>
          <w:highlight w:val="none"/>
          <w:lang w:val="en-US" w:eastAsia="zh-CN"/>
          <w14:textFill>
            <w14:solidFill>
              <w14:schemeClr w14:val="tx1"/>
            </w14:solidFill>
          </w14:textFill>
        </w:rPr>
      </w:pP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58"/>
        <w:gridCol w:w="6200"/>
        <w:gridCol w:w="917"/>
        <w:gridCol w:w="893"/>
      </w:tblGrid>
      <w:tr w14:paraId="66BE8D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F3280C1">
            <w:pPr>
              <w:jc w:val="center"/>
              <w:rPr>
                <w:rFonts w:hint="eastAsia" w:ascii="仿宋" w:hAnsi="仿宋" w:eastAsia="仿宋" w:cs="仿宋"/>
                <w:b/>
                <w:bCs/>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三、数据安全空间</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0BF1FF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C9DFC">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38C9B">
            <w:pPr>
              <w:keepNext w:val="0"/>
              <w:keepLines w:val="0"/>
              <w:widowControl/>
              <w:suppressLineNumbers w:val="0"/>
              <w:jc w:val="center"/>
              <w:textAlignment w:val="center"/>
              <w:rPr>
                <w:rFonts w:hint="default"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A3F67">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26CC3">
            <w:pPr>
              <w:keepNext w:val="0"/>
              <w:keepLines w:val="0"/>
              <w:widowControl/>
              <w:suppressLineNumbers w:val="0"/>
              <w:jc w:val="center"/>
              <w:textAlignment w:val="center"/>
              <w:rPr>
                <w:rFonts w:hint="default"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1A86C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29F0C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数据分类分级与资产目录</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4586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1.自动化数据发现与分类分级：通过扫描元数据、采样分析数据内容，自动识别敏感个人信息（如身份证、健康信息）和重要数据，并依据国标/行标自动打标，形成分类分级目录。</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C7407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F29FF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E024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B3D27E">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1A94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2.数据资产地图：提供全局数据资产地图，可视化展示数据分布、敏感度、血缘关系、访问权限和责任人，实现数据资产一目了然。</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EE185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28299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83039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13D26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BCF8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3.数据安全合规性评估：内置法律法规知识库和评估模型，自动检测数据存储、使用、共享环节的合规风险，生成评估报告和建议。</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7445C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034CD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74ED5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3E1FD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数据安全策略中心</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547E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1.统一策略管理与下发：提供集中化的策略管理界面，可定义基于角色、数据分类、环境上下文（如IP、时间）的精细化访问控制、脱敏、加密策略，并一键下发至各数据节点。</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7E84D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CE79B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AA2E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FA0A0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7610E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2.策略仿真与验证：支持在策略生效前进行仿真测试，验证策略的有效性和是否存在过度授权，避免影响业务。</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F6AF4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511C9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845FB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C4C020">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081D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3.自适应安全引擎：利用AI学习用户行为基线，对异常数据访问行为（如非工作时间批量下载敏感数据）进行实时告警和动态权限调整。</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D3BBE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08764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AF084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D840F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数据血缘与合规审计</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3742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1.全链路数据血缘分析：跟踪数据从产生到销毁的全生命周期轨迹，清晰展示数据的来源、加工过程、流转路径和使用方，支撑事中追溯和事后定责。</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C02FD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C519A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E6688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AD8BC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9966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2.全面审计与报表：记录所有数据访问、操作、策略变更日志，提供多维度、可视化的审计报表，满足等保、关基、行业监管等审计要求。</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39833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C2CB7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1DDF8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4D95F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隐私计算基础平台</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2D6BA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1.多技术融合引擎：集成联邦学习（FL）、安全多方计算（MPC）、可信执行环境（TEE）​三大主流隐私计算技术，可根据不同场景选择最优或组合技术方案，实现数据“不出域”、价值“流通”。</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98963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54C1F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CCA79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55FD2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4AC4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2.高性能计算框架：针对大规模数据联合建模和统计分析的性能优化，支持分布式集群部署，将计算耗时控制在业务可接受的范围内。</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BE01A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AC50A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E45D3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2B30D0">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639C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3.算法库与模板市场：提供开箱即用的联合统计、联合建模、隐匿查询等算法模板，降低业务方使用门槛。</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6A8C4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E26F1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00B29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BDB90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数据可信流通与运营平台</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AEA7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1.数据资源登记与确权：提供数据产品登记、确权存证服务，为数据要素市场化奠定法律基础。</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90850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799AE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26396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4DA60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C774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2.流通规则管理与智能合约：支持定义数据使用的目的、范围、次数、时长等规则，并通过智能合约自动执行，确保“用途可控可计量”。</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5126C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E2D69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5529E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83F5E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873E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3.数据沙箱环境：为敏感数据提供安全的隔离计算环境，允许外部算法“入库”计算，但只输出结果，不带走数据。</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3C738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2DFC5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B9E3E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F36DF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数据加密与脱敏系统</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488A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1.统一密钥管理服务：提供符合国密标准的全生命周期密钥管理，支持硬件加密机（HSM）集成，确保密钥安全。</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ECB45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8A18F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288E2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929481">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B00B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2.动态与静态数据加密：支持数据库透明加密、文件系统加密、应用层加密等多种方式，覆盖数据存储、传输、使用全环节。</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450AB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4A9FD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9159A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F4D0DA">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87FE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3.智能数据脱敏：提供静态脱敏（用于开发测试）和动态脱敏（用于生产查询），支持可逆脱敏（用于隐私计算后结果还原）和不可逆脱敏。</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6C43E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4B1AA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8F995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48990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数据泄露防护系统</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F39A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1.全方位内容识别：通过深度内容识别（DLP）引擎，精准识别通过网络、邮件、U盘、云盘等渠道外发的敏感数据。</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DDA66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CF567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AECA0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9083D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E2EB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2.智能风险预警与阻断：基于策略对高风险外发行为进行实时告警、审批或阻断，并记录审计日志。</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AFFDF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39BC8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79D8F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C1AF7E">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A23BD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3.水印溯源技术：为分发的数据添加可见或不可见的数字水印，一旦发生泄露，可精准定位泄露源。</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FC524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C1733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6AB40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31DB6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API安全与数据服务网关</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BB41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1.统一API安全管控：作为所有数据服务API的统一出口，提供身份认证、权限校验、流量控制、风险识别（防爬虫、防滥用）、数据加密等功能。</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09F2A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A852A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39A6E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7EBB71">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0761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2.安全审计与监控：全面监控API调用情况，对异常访问进行实时告警和防护。</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8EE31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01F6C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779E9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857CB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统一安全运营中心</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02765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1.安全态势感知大屏：全局可视化展示数据资产安全状态、风险态势、攻击威胁、流通情况等。</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CD87B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EDE1D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D10F8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61463E">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93A9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2.安全事件协同响应：建立标准化的安全事件应急响应流程，实现告警、研判、处置、优化的闭环管理。</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9C388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8FDDA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207EE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FF178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0C0E9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3.攻防演练与培训体系：建立红蓝对抗机制，定期进行实战演练，并提供全员数据安全意识培训平台。</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A230A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FC49E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80047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2B6F9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密码服务与国密改造</w:t>
            </w:r>
            <w:r>
              <w:rPr>
                <w:rStyle w:val="288"/>
                <w:rFonts w:eastAsia="仿宋"/>
                <w:color w:val="000000" w:themeColor="text1"/>
                <w:sz w:val="20"/>
                <w:szCs w:val="20"/>
                <w:highlight w:val="none"/>
                <w:lang w:val="en-US" w:eastAsia="zh-CN" w:bidi="ar"/>
                <w14:textFill>
                  <w14:solidFill>
                    <w14:schemeClr w14:val="tx1"/>
                  </w14:solidFill>
                </w14:textFill>
              </w:rPr>
              <w:t>​</w:t>
            </w: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5C03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1.统一密码服务池：为上层应用提供合规、便捷的密码运算（加密、解密、签名、验签）服务接口。</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50A0D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A0C76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09E34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19ECB3">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E36C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2.国密算法全面应用与改造：对现有系统进行国密算法改造，确保核心技术和密码设备的自主可控。</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2C287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2E5AE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40A8ECEC">
      <w:pPr>
        <w:bidi w:val="0"/>
        <w:rPr>
          <w:rFonts w:hint="eastAsia"/>
          <w:color w:val="000000" w:themeColor="text1"/>
          <w:highlight w:val="none"/>
          <w:lang w:val="en-US" w:eastAsia="zh-CN"/>
          <w14:textFill>
            <w14:solidFill>
              <w14:schemeClr w14:val="tx1"/>
            </w14:solidFill>
          </w14:textFill>
        </w:rPr>
      </w:pPr>
    </w:p>
    <w:p w14:paraId="281EA4B1">
      <w:pPr>
        <w:keepNext w:val="0"/>
        <w:keepLines w:val="0"/>
        <w:widowControl/>
        <w:suppressLineNumbers w:val="0"/>
        <w:spacing w:before="0" w:beforeAutospacing="0" w:after="0" w:afterAutospacing="0" w:line="240" w:lineRule="auto"/>
        <w:ind w:left="0" w:leftChars="0" w:right="0" w:rightChars="0"/>
        <w:jc w:val="both"/>
        <w:outlineLvl w:val="1"/>
        <w:rPr>
          <w:rFonts w:hint="eastAsia" w:ascii="宋体" w:hAnsi="宋体" w:eastAsia="宋体" w:cs="宋体"/>
          <w:b/>
          <w:bCs/>
          <w:i w:val="0"/>
          <w:strike w:val="0"/>
          <w:color w:val="000000" w:themeColor="text1"/>
          <w:kern w:val="0"/>
          <w:sz w:val="28"/>
          <w:szCs w:val="16"/>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30"/>
          <w:szCs w:val="30"/>
          <w:highlight w:val="none"/>
          <w:u w:val="none"/>
          <w:lang w:val="en-US" w:eastAsia="zh-CN" w:bidi="ar"/>
          <w14:textFill>
            <w14:solidFill>
              <w14:schemeClr w14:val="tx1"/>
            </w14:solidFill>
          </w14:textFill>
        </w:rPr>
        <w:t>二、城市智能协同中枢</w:t>
      </w:r>
    </w:p>
    <w:p w14:paraId="429BBE99">
      <w:pPr>
        <w:keepNext w:val="0"/>
        <w:keepLines w:val="0"/>
        <w:widowControl/>
        <w:suppressLineNumbers w:val="0"/>
        <w:spacing w:before="0" w:beforeAutospacing="0" w:after="0" w:afterAutospacing="0" w:line="240" w:lineRule="auto"/>
        <w:ind w:left="0" w:leftChars="0" w:right="0" w:rightChars="0"/>
        <w:jc w:val="both"/>
        <w:outlineLvl w:val="1"/>
        <w:rPr>
          <w:rFonts w:hint="eastAsia" w:ascii="宋体" w:hAnsi="宋体" w:eastAsia="宋体" w:cs="宋体"/>
          <w:b/>
          <w:bCs/>
          <w:i w:val="0"/>
          <w:strike w:val="0"/>
          <w:color w:val="000000" w:themeColor="text1"/>
          <w:kern w:val="0"/>
          <w:sz w:val="28"/>
          <w:szCs w:val="16"/>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（一）数字孪生基础平台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8"/>
        <w:gridCol w:w="6180"/>
        <w:gridCol w:w="893"/>
        <w:gridCol w:w="927"/>
      </w:tblGrid>
      <w:tr w14:paraId="03702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115F109">
            <w:pPr>
              <w:jc w:val="center"/>
              <w:rPr>
                <w:rFonts w:hint="eastAsia" w:ascii="仿宋" w:hAnsi="仿宋" w:eastAsia="仿宋" w:cs="仿宋"/>
                <w:b/>
                <w:bCs/>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四、数字孪生基础平台​</w:t>
            </w:r>
          </w:p>
        </w:tc>
      </w:tr>
      <w:tr w14:paraId="774E6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0CB9E">
            <w:pPr>
              <w:keepNext w:val="0"/>
              <w:keepLines w:val="0"/>
              <w:widowControl/>
              <w:suppressLineNumbers w:val="0"/>
              <w:jc w:val="left"/>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0D89A">
            <w:pPr>
              <w:keepNext w:val="0"/>
              <w:keepLines w:val="0"/>
              <w:widowControl/>
              <w:suppressLineNumbers w:val="0"/>
              <w:jc w:val="left"/>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1F8DA">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5CD53">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1ADA6C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6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5CB18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时空大数据平台​</w:t>
            </w: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EEBA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多源数据融合引擎：建立统一的空间数据标准，实现对二维/三维地理信息数据（DLG/DEM/DOM）、倾斜摄影实景三维模型、BIM模型、城市部件模型、地下管线数据等多源异构空间数据的自动化接入、坐标统一、格式转换与轻量化处理。</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483FB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FDD3C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A8AB8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D4E6C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20E3A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2.动态数据接入与可视化：提供标准接口，无缝接入物联网（IoT）传感器数据、视频监控数据、业务系统数据（如交通流量、人口热力、事件工单），并在三维场景中进行实时渲染与表达。</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FC4C5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2E314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2129A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FEA8FA">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51B0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3.时空信息数据库：构建支持海量空间数据存储、管理、查询和分析的分布式空间数据库。</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A17B4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B5CD5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51932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BAA6E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城市信息模型基础平台​</w:t>
            </w: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386D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要素三维场景构建：基于倾斜摄影、激光点云等技术，生产覆盖全市域的L2级（城市级）和重点区域的L3级（部件级）高精度实景三维模型，并实现与规划审批BIM模型的无缝集成，形成完整的城市信息模型（CIM）。</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04D5A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5A190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EDC70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0A4A8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200EC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2.模型轻量化与Web发布：对大型三维模型进行自动化轻量化处理，支持在Web浏览器中进行流畅的浏览、查询、剖切、测量等操作。</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99E86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793F9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CC8E7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D8DAE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848B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3.语义化与信息关联：为三维模型中的建筑、道路、管线等对象添加语义信息（如产权人、建筑面积、材质），并与业务数据库关联，实现“图属联动”。</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8E024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A5EC5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F30C9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74F4E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可视化渲染与交互引擎​</w:t>
            </w: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A91A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1.高性能可视化渲染：基于WebGL技术，构建支持海量城市级三维数据在浏览器端流畅渲染的引擎，支持白天/黑夜、天气效果等动态切换。</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E0820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13F42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C1909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076941">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6241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2.多维数据一体化展示：支持在三维场景中融合展示二维图表、视频监控、传感器位置与实时数据、业务数据面板，实现“一图统览”。</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9E808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3F3DA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A774D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81ECB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9505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3.沉浸式交互体验：提供第一人称/第三人称漫游、飞行巡检、场景切换、对象点选查询、属性面板弹出等丰富的交互功能。</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985CF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A6EF5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8DDD6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BA63F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分析模拟与决策支持引擎​</w:t>
            </w: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A065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1.空间分析工具集：提供通视分析、可视域分析、日照分析、坡度坡向分析、填挖方分析、洪水淹没分析等专业的空间分析工具。</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2D08C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A2825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B0D6C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95FD07">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F874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2.交通与人流仿真：集成微观交通仿真引擎，模拟车流、人流的移动，用于交通疏导方案预演、应急疏散路径规划。</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31D81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1A6EC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CD768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A46EA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CA7C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3.城市规划方案对比：支持将不同规划方案（如新建建筑、道路改扩建）的BIM模型置入现状场景，进行天际线、日照遮挡等影响分析，辅助科学决策。</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14A26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57EFD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A8B5C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FEF04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物联感知与控制引擎​</w:t>
            </w: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9C69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1.虚实映射与驱动：建立物理实体（如路灯、摄像头、环境传感器）与三维模型中虚拟对象的映射关系，实现状态同步显示和反向控制。</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9EBCE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CF2E7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496A1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E36E12">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818BA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2.规则引擎与自动化：支持设定基于空间位置的联动规则（如消防告警时自动定位并调取周边监控），实现跨系统智能联动。</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F584F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7DAB5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A620D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DFBFB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二次开发与API开放平台​</w:t>
            </w: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F7A5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1.丰富的开发接口（API/SDK）：提供完整的三维场景调用、数据查询、分析功能调用等API接口，方便各业务部门（如社区、交通、康养）基于平台快速开发专业应用。</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24712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C24A1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C5260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33A27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DC29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2.低代码应用构建工具：提供图形化界面，允许业务人员通过拖拽方式，配置生成专题应用场景和指挥大屏，降低使用门槛。</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699BE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417A9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585E9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B313C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平台运维与管理体系​</w:t>
            </w: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B2B9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1.统一运维监控中心：监控平台各项服务的运行状态、资源消耗、API调用情况，实现故障预警和健康度评估。</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1A15B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504E9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2DBF4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E33A6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490D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2.用户权限与资源管理：实现精细化的用户、角色、权限管理，以及对平台数据、模型、应用等资源的分级授权管理。</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CB594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5100E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17018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0AD5D0">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6A99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3.标准规范与安全体系：制定数据、模型、接口、安全等全套标准规范，确保平台可持续、安全发展。</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3D50F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1B450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7854C9CE">
      <w:pPr>
        <w:pStyle w:val="3"/>
        <w:numPr>
          <w:ilvl w:val="0"/>
          <w:numId w:val="5"/>
        </w:numPr>
        <w:bidi w:val="0"/>
        <w:rPr>
          <w:rFonts w:hint="eastAsia" w:ascii="仿宋" w:hAnsi="仿宋" w:eastAsia="仿宋" w:cs="仿宋"/>
          <w:color w:val="000000" w:themeColor="text1"/>
          <w:sz w:val="28"/>
          <w:szCs w:val="28"/>
          <w:highlight w:val="none"/>
          <w:lang w:val="en-US" w:eastAsia="zh-CN"/>
          <w14:textFill>
            <w14:solidFill>
              <w14:schemeClr w14:val="tx1"/>
            </w14:solidFill>
          </w14:textFill>
        </w:rPr>
      </w:pPr>
      <w:r>
        <w:rPr>
          <w:rFonts w:hint="eastAsia" w:ascii="仿宋" w:hAnsi="仿宋" w:eastAsia="仿宋" w:cs="仿宋"/>
          <w:color w:val="000000" w:themeColor="text1"/>
          <w:sz w:val="28"/>
          <w:szCs w:val="28"/>
          <w:highlight w:val="none"/>
          <w:lang w:val="en-US" w:eastAsia="zh-CN"/>
          <w14:textFill>
            <w14:solidFill>
              <w14:schemeClr w14:val="tx1"/>
            </w14:solidFill>
          </w14:textFill>
        </w:rPr>
        <w:t>联动中心一体化平台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8"/>
        <w:gridCol w:w="6182"/>
        <w:gridCol w:w="893"/>
        <w:gridCol w:w="925"/>
      </w:tblGrid>
      <w:tr w14:paraId="2EBC9B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6BFEA9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五、联动中心一体化平台</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67ECE3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3E1A8">
            <w:pPr>
              <w:keepNext w:val="0"/>
              <w:keepLines w:val="0"/>
              <w:widowControl/>
              <w:suppressLineNumbers w:val="0"/>
              <w:jc w:val="left"/>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EB06C6">
            <w:pPr>
              <w:keepNext w:val="0"/>
              <w:keepLines w:val="0"/>
              <w:widowControl/>
              <w:suppressLineNumbers w:val="0"/>
              <w:jc w:val="left"/>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BBAD1">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421D7">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428CB2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709A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统一移动工作平台</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7EDE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网格通APP、领导通APP开发</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CCEE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3FCC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3729C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1205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统一受理分发中心</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2D1B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统一受理、已处理、分类、协同调度、分发、流转、督办、批示、反馈、评价等</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CABC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217D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EA982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2C5E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统一考核</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39D02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年度考核、上级考核、考核设置等</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542B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71BB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A059A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B503D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统一研判分析平台</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44AD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对民生110公共服务平台整合的关键数据和事件状态信息进行深度分析，深层次挖掘各类复杂多样的数据中包含的信息</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2F46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14E7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E0889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D6B47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社会治理重要应用场景开发</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C36A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全要素资源管理</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7E112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4A776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4C461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41F03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8AFC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社会治理GIS应用</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CF8FA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D3D97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176F9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FE895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DBF69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物联网管理</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EF296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02B45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F10A8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F0F5A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数据服务API</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DAF0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数据服务API开发</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2433A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AA62A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5CCD6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805B1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00BD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数据服务API鉴权、管理、监控</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C580D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E568B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077E8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D89F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统一基础支撑平台</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42064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统一用户体系、应用统一接入、统一消息中心、标准规范</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C395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DE5EC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B0E50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89A2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荣成市社会综合治理联动指挥数据中心</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92BD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数据建仓、数据管理、数据对接实施</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CDD7B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681B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26D99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4D76A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现有系统重构、对接</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2F7F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荣成市民生110平台重构</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5E8BF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C54C8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C7600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BD6EB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D37B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荣成市数字城管平台重构</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A1ED3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2B371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E19D9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1C734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CA10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荣成市12345市长热线平台重构</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F3F7A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9FC61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BB61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E3B7D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63C7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荣成市指挥社区平台对接</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C13D0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22EED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FBE14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5172C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269E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荣成市网格化社会综治平台对接</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1BDB8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26D37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549D1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FD3F4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52B8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荣成社会信用管理系统（信易+）对接</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054D4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D4A6E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20DA1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35C92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1E25E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威海市大数据中心平台对接</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B89A8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A73B1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D50B6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F4AD5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3CC1B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威海市12345政务热线平台对接</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9BDC8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66F0A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DB118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1FA9C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8D20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威海市政民互通系统对接</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E9552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318D4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39EFD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8353F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1BA2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威海市考核对接（数字城管、12345、网格化联动等）</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88CD5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0A4B0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90E93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84FE3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数据智能分析模块</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C607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1.态势感知：对全量事件进行多维度（类型、区域、时间）统计分析和趋势研判。</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FB51E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B61AE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15E52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AB6B4A">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B2491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2.热点挖掘与预警：利用大数据技术，识别民意热点、矛盾风险区域，实现超前预警。</w:t>
            </w: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E7AF9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A19DE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228C7979">
      <w:pPr>
        <w:numPr>
          <w:ilvl w:val="0"/>
          <w:numId w:val="0"/>
        </w:numPr>
        <w:bidi w:val="0"/>
        <w:rPr>
          <w:rFonts w:hint="eastAsia"/>
          <w:color w:val="000000" w:themeColor="text1"/>
          <w:highlight w:val="none"/>
          <w:lang w:val="en-US" w:eastAsia="zh-CN"/>
          <w14:textFill>
            <w14:solidFill>
              <w14:schemeClr w14:val="tx1"/>
            </w14:solidFill>
          </w14:textFill>
        </w:rPr>
      </w:pPr>
    </w:p>
    <w:p w14:paraId="718F5538">
      <w:pPr>
        <w:keepNext w:val="0"/>
        <w:keepLines w:val="0"/>
        <w:widowControl/>
        <w:numPr>
          <w:ilvl w:val="0"/>
          <w:numId w:val="5"/>
        </w:numPr>
        <w:suppressLineNumbers w:val="0"/>
        <w:spacing w:before="0" w:beforeAutospacing="0" w:after="0" w:afterAutospacing="0" w:line="240" w:lineRule="auto"/>
        <w:ind w:left="0" w:leftChars="0" w:right="0" w:rightChars="0" w:firstLine="0" w:firstLineChars="0"/>
        <w:jc w:val="both"/>
        <w:outlineLvl w:val="1"/>
        <w:rPr>
          <w:rFonts w:hint="eastAsia" w:ascii="仿宋_GB2312" w:eastAsia="仿宋_GB2312"/>
          <w:color w:val="000000" w:themeColor="text1"/>
          <w:sz w:val="28"/>
          <w:szCs w:val="28"/>
          <w:highlight w:val="none"/>
          <w:lang w:val="en-US" w:eastAsia="zh-CN"/>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人工智能公共服务平台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8"/>
        <w:gridCol w:w="6166"/>
        <w:gridCol w:w="907"/>
        <w:gridCol w:w="927"/>
      </w:tblGrid>
      <w:tr w14:paraId="6520B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27E93AD">
            <w:pPr>
              <w:jc w:val="center"/>
              <w:rPr>
                <w:rFonts w:hint="eastAsia" w:ascii="仿宋" w:hAnsi="仿宋" w:eastAsia="仿宋" w:cs="仿宋"/>
                <w:b/>
                <w:bCs/>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六、人工智能公共服务平台</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2B25BC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6"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B398A4">
            <w:pPr>
              <w:keepNext w:val="0"/>
              <w:keepLines w:val="0"/>
              <w:widowControl/>
              <w:suppressLineNumbers w:val="0"/>
              <w:jc w:val="left"/>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C100D">
            <w:pPr>
              <w:keepNext w:val="0"/>
              <w:keepLines w:val="0"/>
              <w:widowControl/>
              <w:suppressLineNumbers w:val="0"/>
              <w:jc w:val="left"/>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418CE">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8A831A">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37DA99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1F322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AI调度与管理平台</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96CA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1.异构资源抽象与调度引擎：开发或采购成熟的容器编排与调度系统（基于Kubernetes的增强版），实现对CPU、GPU、NPU等异构计算资源的统一抽象、细粒度切割和弹性分配，支持多租户隔离和资源配额管理。</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E8664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CEB6C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6B09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105DC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B69FE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2.分布式训练框架支持：平台深度集成并优化PyTorch、TensorFlow、MindSpore等主流框架，提供一键式的分布式训练任务部署、监控和性能优化能力。</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5DD9F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5CD2D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A8885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B0138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7525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3.运维监控与管理门户：提供图形化门户，集中监控整个软件平台的健康度、资源利用率、任务运行状态，并实现智能运维和故障自愈。</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D2B8C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F1E51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33739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36C03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数据资源与智能标注平台</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2457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1.多模态数据湖仓与特征工程：构建强大的ETL/ELT数据管道，实现对结构化与非结构化数据的统一融合治理，并建立特征平台对常用数据特征进行预计算、管理和版本控制，提升算法研发效率。</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9C57C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F1AF4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99C3F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64317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13E4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2.AI赋能的数据标注平台：集成预训练模型提供智能预标注功能，大幅提升图片、语音、文本的标注效率；支持创建众包任务并进行质量管控，确保训练数据的高质量。</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39897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CD333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A37FB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29AF0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计算机视觉（CV）引擎</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009A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超精细化识别与视频结构化：提供超过1000类物体的检测与识别，支持城市部件、细粒度车辆型号等的识别；具备复杂行为分析（人群态势、异常事件）、跨镜头目标追踪、遥感影像解译及医疗影像辅助分析等深度能力。</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08E97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88292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67086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D4C66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AE16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2.自适应优化与模型生产：针对海量场景数据进行深度定制化训练和持续优化，集成模型压缩与加速工具链，确保算法在实际场景中的高性能与高精度。</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C0CBC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1D978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E77BF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9F0FE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自然语言处理（NLP）与知识引擎</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F012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1.深度语义理解与知识图谱：能够从多源文本中抽取实体关系，构建城市级知识图谱，支持智能问答与决策推理；集成大型语言模型（LLM）并提供领域微调服务，实现高质量的文本生成、摘要、分类和情感分析。</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F24DB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7F01D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F9AA9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3139AE">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DFCA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2.多轮对话与智能交互：提供支持上下文理解的多轮对话引擎，为智能客服、虚拟座席等应用提供核心交互能力。</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AEDF7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74117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89F61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6A532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多模态融合与决策优化引擎</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3A2C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1.跨模态分析与时空预测：实现视觉、语音、文本信息的深度融合分析，支持“以图搜图”、跨模态检索；提供强大的时空预测模型，用于交通流量、人流密度、事件风险的精准预测。</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A3669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D2947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82BAD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92784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CA83E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2.运筹优化与仿真决策：集成运筹优化算法，解决智慧停车中的车位分配、环卫路径规划、应急资源调度等复杂决策问题，实现资源利用最优化。</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54F35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C521C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FA002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6B780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AI能力开放与MLOps平台</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9F19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1.一体化AI服务市场与网关：提供类似应用商店的Web界面，方便业务部门浏览、测试、调用所有AI能力；构建完整的API全生命周期管理体系，包括鉴权、计量、监控等。</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3EEA8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51211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C035A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E6B681">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62C2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2.自动化机器学习与模型全链路管理：提供可视化拖拽式建模工具，降低使用门槛；实现从数据准备、训练、评估、部署到监控的MLOps自动化流水线，保障AI模型的持续迭代和稳定服务。</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446EE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C3203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3521D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07C84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运维监控与安全合规体系</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0A38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1.全域可视化运维中心：通过大屏实时监控集群资源、API性能、模型指标；利用AI技术实现智能运维，预测故障并自动扩容。</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9B532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29D37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13D8A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5B2970">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92CC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2.安全与合规保障：集成联邦学习、差分隐私技术保护数据安全；提供算法公平性、可解释性工具以满足合规审计要求；制定完整的AI开发、管理与服务标准规范。</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1A0DD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91D40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8F66F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B0728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核心AI能力中心</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35AA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1.模型广场：提供30+个预训练模型的导入、评估、部署、服务化发布与全生命周期管理。</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442F6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B6E10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992FF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237528">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F61F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2.低代码开发平台：提供可视化拖拽界面和50+个行业组件，支持非专业开发者快速构建AI应用。</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5A3A1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FFB7A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D68B9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EDD4F1">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1164F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3.知识库管理：支持多格式文档的解析、向量化存储与智能检索，为智能问答提供知识支撑。</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B6DDA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90D1D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1A2C5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D7237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重点领域应用套件</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35B5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1.智慧渔业套件：开发渔船出海报备智能审核、水产品病害图像识别、渔港视频智能分析等应用。</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80626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03FFD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14226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6FD153">
            <w:pPr>
              <w:jc w:val="left"/>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CB92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2.智慧政务套件：开发“一网通办”智能客服、政策文件智能解读、“免申即享”智能核验等应用。</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1BF20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34EBF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08FA522A">
      <w:pPr>
        <w:keepNext w:val="0"/>
        <w:keepLines w:val="0"/>
        <w:widowControl/>
        <w:numPr>
          <w:ilvl w:val="0"/>
          <w:numId w:val="0"/>
        </w:numPr>
        <w:suppressLineNumbers w:val="0"/>
        <w:spacing w:before="0" w:beforeAutospacing="0" w:after="0" w:afterAutospacing="0" w:line="240" w:lineRule="auto"/>
        <w:ind w:left="0" w:leftChars="0" w:right="0" w:rightChars="0"/>
        <w:jc w:val="both"/>
        <w:outlineLvl w:val="1"/>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lang w:val="en-US" w:eastAsia="zh-CN" w:bidi="ar"/>
          <w14:textFill>
            <w14:solidFill>
              <w14:schemeClr w14:val="tx1"/>
            </w14:solidFill>
          </w14:textFill>
        </w:rPr>
        <w:t>三、</w:t>
      </w: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N 个领域数字赋能生态</w:t>
      </w:r>
    </w:p>
    <w:p w14:paraId="1E1D7D19">
      <w:pPr>
        <w:keepNext w:val="0"/>
        <w:keepLines w:val="0"/>
        <w:widowControl/>
        <w:numPr>
          <w:ilvl w:val="0"/>
          <w:numId w:val="0"/>
        </w:numPr>
        <w:suppressLineNumbers w:val="0"/>
        <w:spacing w:before="0" w:beforeAutospacing="0" w:after="0" w:afterAutospacing="0" w:line="240" w:lineRule="auto"/>
        <w:ind w:left="0" w:leftChars="0" w:right="0" w:rightChars="0"/>
        <w:jc w:val="both"/>
        <w:outlineLvl w:val="1"/>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（一）智能治理领域</w:t>
      </w:r>
    </w:p>
    <w:p w14:paraId="6CA5A76A">
      <w:pPr>
        <w:numPr>
          <w:ilvl w:val="0"/>
          <w:numId w:val="6"/>
        </w:numPr>
        <w:bidi w:val="0"/>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sz w:val="28"/>
          <w:szCs w:val="28"/>
          <w:highlight w:val="none"/>
          <w14:textFill>
            <w14:solidFill>
              <w14:schemeClr w14:val="tx1"/>
            </w14:solidFill>
          </w14:textFill>
        </w:rPr>
        <w:t>砂石资源综合监管系统</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8"/>
        <w:gridCol w:w="6166"/>
        <w:gridCol w:w="907"/>
        <w:gridCol w:w="927"/>
      </w:tblGrid>
      <w:tr w14:paraId="5E653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3594783">
            <w:pPr>
              <w:jc w:val="center"/>
              <w:rPr>
                <w:rFonts w:hint="eastAsia" w:ascii="仿宋" w:hAnsi="仿宋" w:eastAsia="仿宋" w:cs="仿宋"/>
                <w:b/>
                <w:bCs/>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七、砂石资源综合监管系统</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3049D9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45B018">
            <w:pPr>
              <w:keepNext w:val="0"/>
              <w:keepLines w:val="0"/>
              <w:widowControl/>
              <w:suppressLineNumbers w:val="0"/>
              <w:jc w:val="left"/>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DFAA7">
            <w:pPr>
              <w:keepNext w:val="0"/>
              <w:keepLines w:val="0"/>
              <w:widowControl/>
              <w:suppressLineNumbers w:val="0"/>
              <w:jc w:val="left"/>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2C56D">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A6B30">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58B20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9B419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资源一张图可视化模块</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4E20E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1.资源空间数据库建设：整合国土、规划、遥感数据，形成矢量化的“资源底账”。</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19B52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7F12F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38051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58FD8A">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B0FA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2.三维实景建模：对重点矿区进行无人机倾斜摄影，构建三维模型。</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244E6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14D41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C83A9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67D771">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D6D4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3.智能视频融合与AI识别：接入监控视频，通过AI算法自动识别非法开采、未篷布覆盖等行为并告警。</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55C24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CE780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DDA5A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8BCB93">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9A61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4.物联数据叠加显示：将地磅数据、车辆轨迹等在图上动态展示。</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22F82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2041A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21140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C0DB8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开采与运输监管模块</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81CF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1.物联网数据接入：开发接口接入地磅、传感器、车辆GPS数据。</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2D9AE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C4995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97DB3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AD290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6FE4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2.电子围栏与轨迹分析：对运输车辆实时追踪，智能研判偏航、异常停留等行为。</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47A98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3CBAB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4AB79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E82DF2">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3084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3.业务闭环管理：实现从“开采申报-&gt;称重-&gt;运输-&gt;销售确认”全流程电子化监管。</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F6CC2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BBE9E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5D227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5D6A5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税费稽核与决策支持模块</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4916E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1.智慧财税管控：系统自动计税，并与企业申报数比对预警。</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F0553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D5087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5204A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A25A2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EB70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2.数据交叉稽核：打通税务、电力数据，通过用电量反推产量。</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347AC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4776E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1C673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9BD3B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662F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3.综合分析决策驾驶舱：提供资源消耗趋势、开采强度热力图等多维度分析。</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E54B5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3A4F8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7E2A5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DB188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移动执法与公众监督模块</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AFC9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1.移动执法APP：支持现场取证、信息查询、文书开具。</w:t>
            </w:r>
          </w:p>
        </w:tc>
        <w:tc>
          <w:tcPr>
            <w:tcW w:w="45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D9997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50C23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B05B5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723277">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7567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2.公众监督小程序：开通渠道供公众上报非法开采、运输撒漏等问题，形成社会共治。</w:t>
            </w:r>
          </w:p>
        </w:tc>
        <w:tc>
          <w:tcPr>
            <w:tcW w:w="45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A9EAE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B1E43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EECEE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BF7C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运输申请与政府审批</w:t>
            </w:r>
            <w:r>
              <w:rPr>
                <w:rFonts w:ascii="微软雅黑" w:hAnsi="微软雅黑" w:eastAsia="微软雅黑" w:cs="微软雅黑"/>
                <w:i w:val="0"/>
                <w:iCs w:val="0"/>
                <w:color w:val="000000" w:themeColor="text1"/>
                <w:kern w:val="0"/>
                <w:sz w:val="21"/>
                <w:szCs w:val="21"/>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3FDB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实现运输计划的线上申请、提交、多部门协同审批与全流程跟踪，替代传统纸质流程。</w:t>
            </w:r>
          </w:p>
        </w:tc>
        <w:tc>
          <w:tcPr>
            <w:tcW w:w="4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22E5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43C4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6D077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E5EA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系统后台管理</w:t>
            </w:r>
            <w:r>
              <w:rPr>
                <w:rFonts w:ascii="微软雅黑" w:hAnsi="微软雅黑" w:eastAsia="微软雅黑" w:cs="微软雅黑"/>
                <w:i w:val="0"/>
                <w:iCs w:val="0"/>
                <w:color w:val="000000" w:themeColor="text1"/>
                <w:kern w:val="0"/>
                <w:sz w:val="21"/>
                <w:szCs w:val="21"/>
                <w:highlight w:val="none"/>
                <w:u w:val="none"/>
                <w:lang w:val="en-US" w:eastAsia="zh-CN" w:bidi="ar"/>
                <w14:textFill>
                  <w14:solidFill>
                    <w14:schemeClr w14:val="tx1"/>
                  </w14:solidFill>
                </w14:textFill>
              </w:rPr>
              <w:t>​</w:t>
            </w:r>
          </w:p>
        </w:tc>
        <w:tc>
          <w:tcPr>
            <w:tcW w:w="30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206A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提供用户、角色、权限、菜单、操作日志等全方位的系统配置与运维管理功能。</w:t>
            </w:r>
          </w:p>
        </w:tc>
        <w:tc>
          <w:tcPr>
            <w:tcW w:w="4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0B8D4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E5D4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bl>
    <w:p w14:paraId="5EFFBD71">
      <w:pPr>
        <w:bidi w:val="0"/>
        <w:rPr>
          <w:rStyle w:val="50"/>
          <w:rFonts w:hint="eastAsia"/>
          <w:color w:val="000000" w:themeColor="text1"/>
          <w:highlight w:val="none"/>
          <w14:textFill>
            <w14:solidFill>
              <w14:schemeClr w14:val="tx1"/>
            </w14:solidFill>
          </w14:textFill>
          <w:woUserID w:val="0"/>
        </w:rPr>
      </w:pPr>
    </w:p>
    <w:p w14:paraId="6295A101">
      <w:pPr>
        <w:numPr>
          <w:ilvl w:val="0"/>
          <w:numId w:val="6"/>
        </w:numPr>
        <w:bidi w:val="0"/>
        <w:ind w:left="0" w:leftChars="0" w:firstLine="0" w:firstLineChars="0"/>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sz w:val="28"/>
          <w:szCs w:val="28"/>
          <w:highlight w:val="none"/>
          <w14:textFill>
            <w14:solidFill>
              <w14:schemeClr w14:val="tx1"/>
            </w14:solidFill>
          </w14:textFill>
        </w:rPr>
        <w:t>渔港智能监管系统</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6"/>
        <w:gridCol w:w="6158"/>
        <w:gridCol w:w="905"/>
        <w:gridCol w:w="939"/>
      </w:tblGrid>
      <w:tr w14:paraId="7BCE5D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53F0CF8">
            <w:pPr>
              <w:jc w:val="center"/>
              <w:rPr>
                <w:rFonts w:hint="eastAsia" w:ascii="仿宋" w:hAnsi="仿宋" w:eastAsia="仿宋" w:cs="仿宋"/>
                <w:b/>
                <w:bCs/>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八、渔港智能监管系统</w:t>
            </w:r>
          </w:p>
        </w:tc>
      </w:tr>
      <w:tr w14:paraId="22B432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7B3B27">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614879">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AF088">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72124">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6AA497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2D96A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船舶渔港全景监控模块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C8708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1.全要素融合指挥舱：深度融合AIS、雷达、视频监控等数据，实时呈现船舶、车辆、人员动态。</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F919A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93692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9FB15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7B91D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5F52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2.智能视频分析预警：自动识别渔船非法搭靠、违规出海、明火作业等风险场景。</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3E674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FD030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AF162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50A8B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1297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3.船舶行为大数据分析：挖掘历史轨迹，识别习惯航路、碰撞高风险区。</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977AD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61EB8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C2D4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DC1A7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船员与出入港闭环管理模块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626F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1.船员“一人一档”管理：建立电子档案库，通过人脸闸机自动记录上下船信息。</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B0377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812F0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8914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31C62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9991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2.出入港报告“零次跑”：渔民通过APP完成出海预报、进出港报告，系统自动校验证书。</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E7AA5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B64DA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CD9AD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C2C25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A148A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3.智能抽检与风险布控：根据船舶风险等级、气象海况，智能生成重点检查名单。</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D99A1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E5048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8BE8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FBE8E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安全生产与智能应急调度模块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24E8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1.精准预警信息靶向发布：根据台风路径自动圈定受影响船舶，发布个性化预警。</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35898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6B041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3741E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F3B27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E6F8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2.应急资源可视化调度：建立救援资源电子地图，突发事件时一键调度、轨迹追踪。</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E086F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F9D51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0190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D7E49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EC76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3.应急预案数字化推演：在三维地图上进行碰撞、火灾等场景模拟推演。</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37F5C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48C0C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F58C9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310A7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渔获物溯源与产业服务模块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46CC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1.全链条溯源体系：为渔获物赋予溯源二维码，记录捕捞、交易、流通全过程。</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E5D8B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681DA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16E78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17BF3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DF35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2.市场交易与冷链监管：对接交易市场数据，监测价格变化；监控冷链车辆温湿度。</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98885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6D53A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255EF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615F12">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2584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3.产业大数据分析服务：分析产量趋势，为渔民和市场提供供需信息。</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A97AC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E15B9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37996FC4">
      <w:pPr>
        <w:numPr>
          <w:ilvl w:val="0"/>
          <w:numId w:val="6"/>
        </w:numPr>
        <w:bidi w:val="0"/>
        <w:rPr>
          <w:rFonts w:hint="eastAsia"/>
          <w:color w:val="000000" w:themeColor="text1"/>
          <w:highlight w:val="none"/>
          <w14:textFill>
            <w14:solidFill>
              <w14:schemeClr w14:val="tx1"/>
            </w14:solidFill>
          </w14:textFill>
        </w:rPr>
      </w:pPr>
      <w:r>
        <w:rPr>
          <w:rFonts w:hint="eastAsia" w:ascii="仿宋" w:hAnsi="仿宋" w:eastAsia="仿宋" w:cs="仿宋"/>
          <w:b/>
          <w:bCs/>
          <w:color w:val="000000" w:themeColor="text1"/>
          <w:sz w:val="28"/>
          <w:szCs w:val="28"/>
          <w:highlight w:val="none"/>
          <w14:textFill>
            <w14:solidFill>
              <w14:schemeClr w14:val="tx1"/>
            </w14:solidFill>
          </w14:textFill>
        </w:rPr>
        <w:t>应急管理指挥系统</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6"/>
        <w:gridCol w:w="6158"/>
        <w:gridCol w:w="905"/>
        <w:gridCol w:w="939"/>
      </w:tblGrid>
      <w:tr w14:paraId="4E710D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A80548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九、应急管理指挥系统</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57ACB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9" w:hRule="atLeast"/>
        </w:trPr>
        <w:tc>
          <w:tcPr>
            <w:tcW w:w="9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8B9FF">
            <w:pPr>
              <w:keepNext w:val="0"/>
              <w:keepLines w:val="0"/>
              <w:widowControl/>
              <w:suppressLineNumbers w:val="0"/>
              <w:jc w:val="left"/>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361E9">
            <w:pPr>
              <w:keepNext w:val="0"/>
              <w:keepLines w:val="0"/>
              <w:widowControl/>
              <w:suppressLineNumbers w:val="0"/>
              <w:jc w:val="left"/>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820E05">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11323">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26597A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6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3BA76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融合通信与指挥调度模块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D5EB7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多网融合通信枢纽：开发或采购核心融合通信平台，深度适配并整合政务专网、运营商公网、PDT数字集群、卫星通信、自组网等多种网络制式，实现语音、视频、数据在异构网络间的无缝漫游与智能路由，确保在公网中断等极端情况下关键指令的可靠传达。</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B5A03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6F3B0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6AA25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F6950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4F2AB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2.一体化指挥调度台：定制开发集GIS地图、视频监控、资源态势、通讯录、即时消息于一体的指挥席位软件。支持基于地图的“圈选呼叫”、“轨迹跟踪”，以及跨系统的指令一键下发与执行反馈闭环。</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CAAE4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49FFE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E8808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440DC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1CF7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能会商与协同：建立支持多种终端（移动单兵、无人机、车载终端、固定会议室）快速接入的融合会商环境，支持多方音视频交互、屏幕共享、电子白板协同标绘，并实现会商过程全程记录与关键信息结构化提取。</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49317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85EAD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C95A7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6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03212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风险监测预警“一张图”模块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B74D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风险因子感知网络：构建标准化数据接入网关，实时汇聚并治理气象、海洋、水文、地质灾害监测点、重点危化企业重大危险源监控、城市生命线（燃气、供水）传感器等超过15类异构风险监测数据，在统一时空基准下进行融合展示与关联分析。</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3DCAD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BD63D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FB4F4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B25461">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671E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预警模型与研判引擎：集成或研发专业级预测模型，如基于数值天气预报的暴雨内涝淹没模型、海岸带风暴潮漫滩模型、山洪地质灾害风险评价模型，实现对重点灾害风险的定量化、精细化预警，自动生成风险研判报告。</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885E4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83695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BA963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6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52E21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02D5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分级靶向精准发布：建立基于GIS地理围栏的预警信息发布引擎，可根据预警级别和影响范围，通过应急广播、政务短信、手机APP推送、社会媒体等渠道，自动、精准触达受影响区域的特定人员（如社区负责人、学校安全员、渔船船主），并跟踪确认率。</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C23EA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15EB2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F26BB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6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94C08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数字孪生与预案推演模块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83A3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高保真应急数字孪生基座：基于城市信息模型（CIM），融合重点区域倾斜摄影、BIM、地下管线等数据，构建毫米级至米级精度的三维虚拟城市。针对化工园区、水库、港口等重点防护对象，进行物理级精细化建模，支撑灾害过程的精确模拟。</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CA36C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0038F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5149E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46FFC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46FE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2.灾害模拟推演：在三维城市信息模型（CIM）底图上，模拟洪水淹没、危化品扩散、地震破坏等灾害场景，直观展示影响范围、疏散路径、资源需求。</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A05B6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EDD93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C778E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B1AAD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F69F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3.智能方案生成：接报突发事件后，系统根据事件类型、地点、级别，自动匹配预案，并结合实时交通、人口热力图，智能生成辅助救援方案和物资调配方案。</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C1F46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5D148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8985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CCCD6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应急资源保障与救援模块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55E32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1.资源数字化管理：建立救援队伍、专家、物资、装备、医疗等资源的电子档案，实现位置、数量、状态的动态管理。</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C4C51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1891F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2D6F4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3A6B4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6633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2.智能匹配与调度：根据灾情需求，自动匹配并推荐最近、最合适的应急资源，优化调度路径。</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BAD41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9E07F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CCD6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ADEEF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D655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3.救援过程跟踪：对救援队伍、物资运输车辆进行全程GPS追踪，实时掌握救援进度，确保物资精准投送。</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E1F8A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C5D1F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5AC30A17">
      <w:pPr>
        <w:numPr>
          <w:ilvl w:val="0"/>
          <w:numId w:val="6"/>
        </w:numPr>
        <w:bidi w:val="0"/>
        <w:ind w:left="0" w:leftChars="0" w:firstLine="0" w:firstLineChars="0"/>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sz w:val="28"/>
          <w:szCs w:val="28"/>
          <w:highlight w:val="none"/>
          <w14:textFill>
            <w14:solidFill>
              <w14:schemeClr w14:val="tx1"/>
            </w14:solidFill>
          </w14:textFill>
        </w:rPr>
        <w:t>河湖长制平台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4"/>
        <w:gridCol w:w="6172"/>
        <w:gridCol w:w="905"/>
        <w:gridCol w:w="927"/>
      </w:tblGrid>
      <w:tr w14:paraId="00209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DE823A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十、河湖长制平台</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74C49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8" w:hRule="atLeast"/>
        </w:trPr>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8D830">
            <w:pPr>
              <w:keepNext w:val="0"/>
              <w:keepLines w:val="0"/>
              <w:widowControl/>
              <w:suppressLineNumbers w:val="0"/>
              <w:jc w:val="left"/>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C16F4">
            <w:pPr>
              <w:keepNext w:val="0"/>
              <w:keepLines w:val="0"/>
              <w:widowControl/>
              <w:suppressLineNumbers w:val="0"/>
              <w:jc w:val="left"/>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6427D">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9FE27">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1A5383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7314B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河湖资源“一张图”模块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78D8B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1.水系空间数据库：整合河道、水库、湖泊、水源地、排污口、取水口等基础信息，形成矢量化的河湖“健康档案”。</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D5B3B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4C1F7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06CE0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2A0D51">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145C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2.立体化监测感知：接入水质自动站、视频监控、无人机巡河数据，在图上实时展示水质类别、水位流量、水面保洁状况等。</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64A80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F9A41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AC88A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1A4C02">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9D62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3.问题可视化标注：将巡河发现的问题、群众举报的点位在图上精准落位，用不同颜色图标区分问题类型和处理状态。</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41DB4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4EFB7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2864C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4F531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巡河履职与闭环管理模块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FA18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1.移动巡河APP：河长通过APP记录巡河轨迹、上报问题（图文并茂）、查看交办任务，实现巡河过程留痕。</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6114C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92B10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BC295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4DAD6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6B9D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2.智能任务分办：系统根据问题类型和职责分工，自动分办至相关乡镇、部门，全程跟踪处理进度，超期自动督办。</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A7711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94869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9832F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19FB8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BF07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3.履职考核评估：自动统计各级河长巡河频次、里程、问题上报与处理率，生成履职考核报告。</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36EBE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4C8E0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031B5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7A66E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水质水环境分析模块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7CE5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1.水质评价与预警：自动计算水质综合指数，对水质超标、断面的水质类别变化进行预警，分析污染成因。</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4B82C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1384E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DEFE7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2892A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4ADF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2.水环境容量分析：结合水文数据，分析重点河湖的水环境容量，为排污总量控制提供依据。</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60992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304C5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17B49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2B3F7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F11D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3.溯源分析：结合排污口、雨洪管网数据，对水质异常断面进行上游溯源，辅助锁定污染来源。</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5F733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F08FC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7849A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48C39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公众参与与社会监督模块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3A7D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1.“绿水币”积分激励：开发公众小程序，鼓励市民举报河湖问题，根据有效举报给予积分奖励，形成良性互动。</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3CA0F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3E0FE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3325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CD279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CE4F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2.信息公开发布：公示河长名单、政策法规、水质状况、重点项目进展，保障公众知情权。</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E6B88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B8B68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448BE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D42B52">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2ABC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3.满意度调查：对已处理问题的整改效果进行公众满意度回访，形成社会监督闭环。</w:t>
            </w: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889EC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C6235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5998A4D0">
      <w:pPr>
        <w:keepNext w:val="0"/>
        <w:keepLines w:val="0"/>
        <w:widowControl/>
        <w:numPr>
          <w:ilvl w:val="0"/>
          <w:numId w:val="0"/>
        </w:numPr>
        <w:suppressLineNumbers w:val="0"/>
        <w:spacing w:before="0" w:beforeAutospacing="0" w:after="0" w:afterAutospacing="0" w:line="240" w:lineRule="auto"/>
        <w:ind w:left="0" w:leftChars="0" w:right="0" w:rightChars="0" w:firstLine="0" w:firstLineChars="0"/>
        <w:jc w:val="both"/>
        <w:outlineLvl w:val="1"/>
        <w:rPr>
          <w:rFonts w:hint="eastAsia"/>
          <w:color w:val="000000" w:themeColor="text1"/>
          <w:highlight w:val="none"/>
          <w:lang w:val="en-US" w:eastAsia="zh-CN"/>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lang w:val="en-US" w:eastAsia="zh-CN" w:bidi="ar"/>
          <w14:textFill>
            <w14:solidFill>
              <w14:schemeClr w14:val="tx1"/>
            </w14:solidFill>
          </w14:textFill>
        </w:rPr>
        <w:t>（二）</w:t>
      </w: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精准服务领域</w:t>
      </w:r>
    </w:p>
    <w:p w14:paraId="68DFAD6E">
      <w:pPr>
        <w:bidi w:val="0"/>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sz w:val="28"/>
          <w:szCs w:val="28"/>
          <w:highlight w:val="none"/>
          <w14:textFill>
            <w14:solidFill>
              <w14:schemeClr w14:val="tx1"/>
            </w14:solidFill>
          </w14:textFill>
        </w:rPr>
        <w:t>1.综合执法监管平台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4"/>
        <w:gridCol w:w="6172"/>
        <w:gridCol w:w="947"/>
        <w:gridCol w:w="885"/>
      </w:tblGrid>
      <w:tr w14:paraId="58AD66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847CCF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十一、综合执法监管平台</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68170E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4" w:hRule="atLeast"/>
        </w:trPr>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3BE93D">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70A6A">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277D9">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912DD">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47D135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13AFA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智慧办案系统</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81E6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1.全过程网上办案：实现从立案、调查、取证、告知、决定、执行、结案的全流程线上流转，生成标准电子卷宗。</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B76B0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AFA8E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CCC75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196B8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9C50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2.电子签章与文书生成：集成电子签章，自动调用法律条文库，智能生成处罚决定书等法律文书，规范执法行为。</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14913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1C7F0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80890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A8FD87">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3A24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3.自由裁量权智能辅助：内置自由裁量基准，根据违法情节自动计算处罚幅度区间，减少人为干预，促进公平公正。</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FE7F3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3E5B2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ABE4B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3699C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移动执法终端APP</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9031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1.现场执法作业：支持现场检查、取证、笔录制作、文书打印、信息查询（相对人信息、法律法规），提升执法效率。</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DE472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86DE8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3BEE8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A6985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DEDA4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2.实时联动指挥：与指挥中心实时音视频通话，接收指令、上报情况，实现前后方协同。</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DD2FD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D2206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969D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7277A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77D0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3.电子罚没款缴纳：集成支付接口，支持当事人通过扫码等方式现场缴纳罚款，实现罚款直接上缴国库。</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6E22D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4264E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ADCFB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72DED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“双随机、一公开”监管模块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42D2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1.一单两库管理：动态管理检查事项清单、检查对象库和执法检查人员库。</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6F10A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23F3E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6E39A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0CF49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1CBE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2.智能随机摇号：按设定规则（如区域、行业、风险等级）随机抽取检查对象和执法人员，自动派发检查任务。</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5FE2C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A78C4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E1149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F1CE3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49A4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3.检查结果公开：检查结果通过政府网站等渠道向社会公开，实现阳光执法，接受社会监督。</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D28F0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A2DEB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B7B89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9BFA8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信用协同与数据分析模块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58272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1.信用信息归集：将行政处罚、红黑名单等信息归集至市场主体信用档案。</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5D7DAB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0559B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5F1B2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734DA2">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4E0E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2.信用分类监管：根据信用等级实施差异化监管措施，对信用良好者减少检查频次，对失信者加大检查力度。</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8F122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826CE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D5889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75FB4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B13C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3.执法大数据分析：对案件类型、高发区域、时间段等进行多维度分析，为精准执法和决策提供数据支持。</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17202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318E7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626758C3">
      <w:pPr>
        <w:numPr>
          <w:ilvl w:val="0"/>
          <w:numId w:val="0"/>
        </w:numPr>
        <w:bidi w:val="0"/>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kern w:val="2"/>
          <w:sz w:val="28"/>
          <w:szCs w:val="28"/>
          <w:highlight w:val="none"/>
          <w:lang w:val="en-US" w:eastAsia="zh-CN" w:bidi="ar-SA"/>
          <w14:textFill>
            <w14:solidFill>
              <w14:schemeClr w14:val="tx1"/>
            </w14:solidFill>
          </w14:textFill>
        </w:rPr>
        <w:t>2.</w:t>
      </w:r>
      <w:r>
        <w:rPr>
          <w:rFonts w:hint="eastAsia" w:ascii="仿宋" w:hAnsi="仿宋" w:eastAsia="仿宋" w:cs="仿宋"/>
          <w:b/>
          <w:bCs/>
          <w:color w:val="000000" w:themeColor="text1"/>
          <w:sz w:val="28"/>
          <w:szCs w:val="28"/>
          <w:highlight w:val="none"/>
          <w14:textFill>
            <w14:solidFill>
              <w14:schemeClr w14:val="tx1"/>
            </w14:solidFill>
          </w14:textFill>
        </w:rPr>
        <w:t>医保信用监管系统</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2"/>
        <w:gridCol w:w="6178"/>
        <w:gridCol w:w="917"/>
        <w:gridCol w:w="911"/>
      </w:tblGrid>
      <w:tr w14:paraId="6123A4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6B8D5A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十二、医保信用监管系统</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623B3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6" w:hRule="atLeast"/>
        </w:trPr>
        <w:tc>
          <w:tcPr>
            <w:tcW w:w="9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85A98">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8AE74">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6DFFD">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35EF1">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343AE0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CAF6F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医保信用评价模型与指标体系模块</w:t>
            </w: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3A28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1.多主体信用档案库：为定点医疗机构、零售药店、医保医师、参保人员分别建立动态信用档案，全面记录基础信息、履约行为、奖惩记录等。</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BA570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B13DC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1F3A2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989F1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5B16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2.科学信用评价模型：构建涵盖履约合规性、服务规范性、基金安全性、社会评价等多维度的信用评价指标体系，并建立定量与定性相结合的信用评分数学模型，实现信用等级的自动评定与动态更新。</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E5D6F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F323C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8CD8F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97156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F240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3.信用数据挖掘与画像：基于历史结算、稽查、投诉数据，运用大数据技术挖掘异常行为模式，为每个信用主体生成精准的“信用画像”，识别潜在风险点。</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AC9E4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EB8B2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D0D0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7DA1E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智能监控与大数据风控模块</w:t>
            </w: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E4CF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1.AI智能审单：基于医学规则库和机器学习算法，对医疗费用结算数据进行实时扫描，自动识别疑似欺诈骗保行为，如分解住院、挂床住院、虚构医疗服务、超标准收费等。</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9CD31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534FF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B76D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2ABFC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E670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2.就医行为轨迹分析：分析参保人就医轨迹，精准识别“医托”、冒名就医、超量开药等异常行为网络。</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B42E1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3BD3E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0874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6FD29E">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CE4E1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3.实时预警与拦截：对高风险交易实现事中实时预警和事后快速筛查，将预警信息推送至稽查人员，对极高风险行为设置基金支付拦截规则。</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14F5E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60B60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0CFC4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9BE8F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信用评价结果应用与联动奖惩模块</w:t>
            </w: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04A5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1.信用分级分类监管：根据信用等级对定点医药机构实施差异化监管措施，如对信用优良者减少检查频次，对失信者列为重点监控对象。</w:t>
            </w:r>
          </w:p>
        </w:tc>
        <w:tc>
          <w:tcPr>
            <w:tcW w:w="4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CFFC7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9B4D3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86B73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4047D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58F3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2.联动奖惩与信息公开：建立与发改、市场监管、卫健等部门的信用信息共享机制，实施联合奖惩。依法依规向社会公开信用评价结果，发挥社会监督作用。</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04C2C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6270E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B6F8D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BE2D0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790A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3.信用修复与异议处理：提供线上信用修复申请、异议申诉渠道，并配套规范的处理流程，保障主体权益。</w:t>
            </w:r>
          </w:p>
        </w:tc>
        <w:tc>
          <w:tcPr>
            <w:tcW w:w="4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9541E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5641A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67E07E42">
      <w:pPr>
        <w:numPr>
          <w:ilvl w:val="0"/>
          <w:numId w:val="0"/>
        </w:numPr>
        <w:bidi w:val="0"/>
        <w:ind w:left="0" w:leftChars="0" w:firstLine="0" w:firstLineChars="0"/>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kern w:val="2"/>
          <w:sz w:val="28"/>
          <w:szCs w:val="28"/>
          <w:highlight w:val="none"/>
          <w:lang w:val="en-US" w:eastAsia="zh-CN" w:bidi="ar-SA"/>
          <w14:textFill>
            <w14:solidFill>
              <w14:schemeClr w14:val="tx1"/>
            </w14:solidFill>
          </w14:textFill>
        </w:rPr>
        <w:t>3.</w:t>
      </w:r>
      <w:r>
        <w:rPr>
          <w:rFonts w:hint="eastAsia" w:ascii="仿宋" w:hAnsi="仿宋" w:eastAsia="仿宋" w:cs="仿宋"/>
          <w:b/>
          <w:bCs/>
          <w:color w:val="000000" w:themeColor="text1"/>
          <w:sz w:val="28"/>
          <w:szCs w:val="28"/>
          <w:highlight w:val="none"/>
          <w14:textFill>
            <w14:solidFill>
              <w14:schemeClr w14:val="tx1"/>
            </w14:solidFill>
          </w14:textFill>
        </w:rPr>
        <w:t>资产管理系统</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4"/>
        <w:gridCol w:w="6172"/>
        <w:gridCol w:w="947"/>
        <w:gridCol w:w="885"/>
      </w:tblGrid>
      <w:tr w14:paraId="3C84F0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1"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3CFE5C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十三、资产管理系统</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3B6C95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1" w:hRule="atLeast"/>
        </w:trPr>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F6AAF">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00043">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94C6D8">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59AF4">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25EC0F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B62FD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资产全生命周期管理模块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8D29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1.资产卡片与电子身份：为每项固定资产（房屋、设备、车辆等）建立唯一电子身份证（二维码/RFID），记录名称、规格、价值、位置、图片等全量信息。</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50E0C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D70EF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1F563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C0103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799F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2.业务流程线上化：实现资产申购、入库、领用、调拨、维修、盘点、报废处置的全流程线上审批与流转，处处留痕，责任到人。</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C5811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180A6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21D46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CE09A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4108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3.智能盘点：支持通过PDA扫描二维码或RFID批量盘点，自动生成盘盈、盘亏报告，极大提升盘点效率和准确性。</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6CCF4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9AF0C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C0BD5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903E9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资产GIS一张图与空间管理模块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72367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1.资产可视化落图：将房产、土地、大型设备等重要资产在GIS地图上精准定位，实现资产分布、使用状态、闲置情况一图统览。</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C118A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19F64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29191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8AAB8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AC1F8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2.空间资源管理：对办公用房、经营性房产等进行图形化管理和统计分析，动态掌握空间使用率，为优化配置提供依据。</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936C7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2F048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BB94E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0F1BA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0EBC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3.资产导航与定位：快速查询定位资产所在楼栋、楼层、房间，方便资产查找与现场核查。</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2D44F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B21D4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1D30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2E681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资产预算绩效与共享调剂模块</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51D78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1.资产配置预算联动：资产申购与部门预算挂钩，对新购资产进行存量比对与必要性审核，从源头控制盲目购置。</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2FD64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BCB20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D0340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F53DE0">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EDF1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2.资产绩效评价：建立资产使用效益评价模型，对资产使用率、完好率、贡献度等进行量化考核，生成绩效报告。</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A05A2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6C5FB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E21F1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57923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A36E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3.公物仓与共享调剂：建立虚拟“公物仓”，对闲置、报废可再利用的资产进行登记、发布，支持部门间在线调剂申请，盘活存量资产。</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B5342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92FAD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555DDBED">
      <w:pPr>
        <w:keepNext w:val="0"/>
        <w:keepLines w:val="0"/>
        <w:widowControl/>
        <w:numPr>
          <w:ilvl w:val="0"/>
          <w:numId w:val="0"/>
        </w:numPr>
        <w:suppressLineNumbers w:val="0"/>
        <w:spacing w:before="0" w:beforeAutospacing="0" w:after="0" w:afterAutospacing="0" w:line="240" w:lineRule="auto"/>
        <w:ind w:left="0" w:leftChars="0" w:right="0" w:rightChars="0" w:firstLine="0" w:firstLineChars="0"/>
        <w:jc w:val="both"/>
        <w:outlineLvl w:val="1"/>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lang w:val="en-US" w:eastAsia="zh-CN" w:bidi="ar"/>
          <w14:textFill>
            <w14:solidFill>
              <w14:schemeClr w14:val="tx1"/>
            </w14:solidFill>
          </w14:textFill>
        </w:rPr>
        <w:t>（三）</w:t>
      </w: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产业经济领域</w:t>
      </w:r>
    </w:p>
    <w:p w14:paraId="176D0213">
      <w:pPr>
        <w:bidi w:val="0"/>
        <w:rPr>
          <w:rFonts w:hint="eastAsia" w:ascii="仿宋" w:hAnsi="仿宋" w:eastAsia="仿宋" w:cs="仿宋"/>
          <w:b/>
          <w:bCs/>
          <w:color w:val="000000" w:themeColor="text1"/>
          <w:sz w:val="28"/>
          <w:szCs w:val="28"/>
          <w:highlight w:val="none"/>
          <w:lang w:val="en-US" w:eastAsia="zh-CN"/>
          <w14:textFill>
            <w14:solidFill>
              <w14:schemeClr w14:val="tx1"/>
            </w14:solidFill>
          </w14:textFill>
        </w:rPr>
      </w:pPr>
      <w:r>
        <w:rPr>
          <w:rFonts w:hint="eastAsia" w:ascii="仿宋" w:hAnsi="仿宋" w:eastAsia="仿宋" w:cs="仿宋"/>
          <w:b/>
          <w:bCs/>
          <w:color w:val="000000" w:themeColor="text1"/>
          <w:sz w:val="28"/>
          <w:szCs w:val="28"/>
          <w:highlight w:val="none"/>
          <w14:textFill>
            <w14:solidFill>
              <w14:schemeClr w14:val="tx1"/>
            </w14:solidFill>
          </w14:textFill>
        </w:rPr>
        <w:t>1.国企在线安全管理信息化平台</w:t>
      </w:r>
      <w:r>
        <w:rPr>
          <w:rFonts w:hint="eastAsia" w:ascii="仿宋" w:hAnsi="仿宋" w:eastAsia="仿宋" w:cs="仿宋"/>
          <w:b/>
          <w:bCs/>
          <w:color w:val="000000" w:themeColor="text1"/>
          <w:sz w:val="28"/>
          <w:szCs w:val="28"/>
          <w:highlight w:val="none"/>
          <w:lang w:val="en-US" w:eastAsia="zh-CN"/>
          <w14:textFill>
            <w14:solidFill>
              <w14:schemeClr w14:val="tx1"/>
            </w14:solidFill>
          </w14:textFill>
        </w:rPr>
        <w:t xml:space="preserve"> </w:t>
      </w:r>
    </w:p>
    <w:tbl>
      <w:tblPr>
        <w:tblStyle w:val="47"/>
        <w:tblW w:w="0" w:type="auto"/>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558"/>
        <w:gridCol w:w="7286"/>
        <w:gridCol w:w="513"/>
        <w:gridCol w:w="513"/>
      </w:tblGrid>
      <w:tr w14:paraId="5DA8CE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4C0F0F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十四、国企在线安全管理信息化平台</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1D7B06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C456F8">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F57EC7">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DABA74">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65D298">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14210F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BFE27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安全风险分级管控与预警模块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58D09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1.风险点“一张图”：基于GIS地图，对重大危险源、高风险工艺装置、有限空间等风险点进行标识，并用“红橙黄蓝”四色图展示风险等级。</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69F6C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CB620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15A3F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46A16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CF0BA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2.动态风险评估：结合实时监测数据（如温度、压力、气体浓度）、设备状态、巡检结果，动态计算风险等级，实现风险早期预警。</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7C849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C138D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B99F4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DC83C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2DC2F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3.风险管控措施清单：为每个风险点明确管控措施、责任部门和责任人，确保措施落地。</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58231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C79FE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E6A58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643A6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隐患排查治理闭环管理模块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2871A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1.隐患排查任务推送：系统定期生成排查任务，并通过APP推送至具体责任人，支持日常、专项、季节性等多种排查计划。</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D70E0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8F0BB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95C23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6E500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5BF4F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2.移动巡检与AI识别：巡检人员通过APP执行巡检，可拍照、录像上报隐患，并可利用AI图像识别自动识别常见安全隐患（如消防通道堵塞、安全帽未佩戴）。</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F8A18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9512A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358B0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BD859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F1D0C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3.整改闭环跟踪：隐患上报后，系统自动生成整改任务，明确整改时限，并对整改过程进行跟踪、督办，直至销号，形成PDCA闭环。</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5A60A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529AF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BDF8F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17143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应急管理与指挥联动模块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3BE19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1.应急预案数字化：将文本预案转化为结构化的电子预案，明确应急流程、资源、人员，支持一键启动。</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8F624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D75B2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315CF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FEA627">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41573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2.应急资源管理：管理应急物资、装备、救援队伍信息，并在地图上显示分布，方便应急调度。</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B14FC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E37BB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876EA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B7A84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36C25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3.在线模拟演练与指挥：支持在三维模型或地图上进行桌面推演，事故发生时可通过系统进行人员疏散通知、应急资源调度和协同指挥。</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86C34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F5BB2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7936982C">
      <w:pPr>
        <w:numPr>
          <w:ilvl w:val="0"/>
          <w:numId w:val="0"/>
        </w:numPr>
        <w:bidi w:val="0"/>
        <w:rPr>
          <w:rFonts w:hint="eastAsia" w:ascii="仿宋" w:hAnsi="仿宋" w:eastAsia="仿宋" w:cs="仿宋"/>
          <w:color w:val="000000" w:themeColor="text1"/>
          <w:sz w:val="28"/>
          <w:szCs w:val="28"/>
          <w:highlight w:val="none"/>
          <w:lang w:val="en-US" w:eastAsia="zh-CN"/>
          <w14:textFill>
            <w14:solidFill>
              <w14:schemeClr w14:val="tx1"/>
            </w14:solidFill>
          </w14:textFill>
        </w:rPr>
      </w:pPr>
      <w:r>
        <w:rPr>
          <w:rFonts w:hint="eastAsia" w:ascii="仿宋" w:hAnsi="仿宋" w:eastAsia="仿宋" w:cs="仿宋"/>
          <w:color w:val="000000" w:themeColor="text1"/>
          <w:kern w:val="2"/>
          <w:sz w:val="28"/>
          <w:szCs w:val="28"/>
          <w:highlight w:val="none"/>
          <w:lang w:val="en-US" w:eastAsia="zh-CN" w:bidi="ar-SA"/>
          <w14:textFill>
            <w14:solidFill>
              <w14:schemeClr w14:val="tx1"/>
            </w14:solidFill>
          </w14:textFill>
        </w:rPr>
        <w:t>2.</w:t>
      </w:r>
      <w:r>
        <w:rPr>
          <w:rFonts w:hint="eastAsia" w:ascii="仿宋" w:hAnsi="仿宋" w:eastAsia="仿宋" w:cs="仿宋"/>
          <w:b/>
          <w:bCs/>
          <w:color w:val="000000" w:themeColor="text1"/>
          <w:sz w:val="28"/>
          <w:szCs w:val="28"/>
          <w:highlight w:val="none"/>
          <w:lang w:val="en-US" w:eastAsia="zh-CN"/>
          <w14:textFill>
            <w14:solidFill>
              <w14:schemeClr w14:val="tx1"/>
            </w14:solidFill>
          </w14:textFill>
        </w:rPr>
        <w:t>智慧招商平台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8"/>
        <w:gridCol w:w="6182"/>
        <w:gridCol w:w="947"/>
        <w:gridCol w:w="871"/>
      </w:tblGrid>
      <w:tr w14:paraId="791A9F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281996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十五、智慧招商平台</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1A959B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9"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3062F">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70255">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72A4E">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E221F">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4B740C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C3313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招商资源智能挖掘与目标企业匹配模块</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0D0F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1.全球企业投资大数据分析：通过网络爬虫和第三方数据，获取重点产业领域龙头企业的投资动态、扩张计划、技术布局等信息，构建目标企业库。</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8AAE3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6F021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8006E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EF00F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B729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2.多维度精准匹配引擎：建立匹配算法模型，从产业契合度、市场半径、要素成本（土地、人才、能源）、产业链配套、政策优惠等多个维度，为荣成的招商方向与目标企业进行匹配度打分和智能推荐。</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60DE3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C6B55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3593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C6938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FCE6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3.企业全景画像：生成目标企业的全景画像，包括实力分析、投资偏好、关键联系人、竞争对手分析等，为招商人员提供精准“敲门砖”。</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56C30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3E267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23A33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B8211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项目管理与协同服务模块</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47FC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1.项目库与流程跟踪：对招商项目进行全生命周期管理，从项目信息录入、意向洽谈、签约落地到开工建设，全程跟踪记录，生成项目推进甘特图。</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DBFEA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CCDBF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6C08B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2406E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DE0A9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2.协同办公与知识库：为招商团队提供共享日历、任务分配、在线文档协作工具，并建立招商政策、载体信息、推介材料等知识库，提升团队效率。</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16525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19500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AC281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FFDB9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2F36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3.决策支持驾驶舱：为领导提供招商全景图，实时展示在谈项目、签约项目、到位资金、产业分布等关键指标，辅助招商决策。</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ACC94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4CA85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280B1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75823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可视化招商推介与载体管理模块</w:t>
            </w: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5097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1.投资热力图：基于GIS地图，可视化展示荣成的产业布局、可用地块、闲置厂房、楼宇、重点园区、优惠政策等信息，一目了然。</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D1017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A9587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53E64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DF4CAA">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237F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2.云上推介与VR实景看地：制作重点园区和载体的VR全景视频，投资者可在线720度实景考察投资环境，打破时空限制。</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EB48F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72BEA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E8D5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59381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D0F4F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3.载体智能匹配：输入企业对面积、层高、配套等需求，系统可自动匹配并推荐符合条件的可用载体。</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DCB37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81D94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6D4F1E9A">
      <w:pPr>
        <w:numPr>
          <w:ilvl w:val="0"/>
          <w:numId w:val="0"/>
        </w:numPr>
        <w:bidi w:val="0"/>
        <w:ind w:left="0" w:leftChars="0" w:firstLine="0" w:firstLineChars="0"/>
        <w:rPr>
          <w:rFonts w:hint="eastAsia" w:ascii="仿宋" w:hAnsi="仿宋" w:eastAsia="仿宋" w:cs="仿宋"/>
          <w:b/>
          <w:bCs/>
          <w:color w:val="000000" w:themeColor="text1"/>
          <w:sz w:val="28"/>
          <w:szCs w:val="28"/>
          <w:highlight w:val="none"/>
          <w:lang w:val="en-US" w:eastAsia="zh-CN"/>
          <w14:textFill>
            <w14:solidFill>
              <w14:schemeClr w14:val="tx1"/>
            </w14:solidFill>
          </w14:textFill>
        </w:rPr>
      </w:pPr>
      <w:r>
        <w:rPr>
          <w:rFonts w:hint="eastAsia" w:ascii="仿宋" w:hAnsi="仿宋" w:eastAsia="仿宋" w:cs="仿宋"/>
          <w:b/>
          <w:bCs/>
          <w:color w:val="000000" w:themeColor="text1"/>
          <w:kern w:val="2"/>
          <w:sz w:val="28"/>
          <w:szCs w:val="28"/>
          <w:highlight w:val="none"/>
          <w:lang w:val="en-US" w:eastAsia="zh-CN" w:bidi="ar-SA"/>
          <w14:textFill>
            <w14:solidFill>
              <w14:schemeClr w14:val="tx1"/>
            </w14:solidFill>
          </w14:textFill>
        </w:rPr>
        <w:t>3.</w:t>
      </w:r>
      <w:r>
        <w:rPr>
          <w:rFonts w:hint="eastAsia" w:ascii="仿宋" w:hAnsi="仿宋" w:eastAsia="仿宋" w:cs="仿宋"/>
          <w:b/>
          <w:bCs/>
          <w:color w:val="000000" w:themeColor="text1"/>
          <w:sz w:val="28"/>
          <w:szCs w:val="28"/>
          <w:highlight w:val="none"/>
          <w:lang w:val="en-US" w:eastAsia="zh-CN"/>
          <w14:textFill>
            <w14:solidFill>
              <w14:schemeClr w14:val="tx1"/>
            </w14:solidFill>
          </w14:textFill>
        </w:rPr>
        <w:t>企业一体化服务平台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8"/>
        <w:gridCol w:w="6194"/>
        <w:gridCol w:w="935"/>
        <w:gridCol w:w="871"/>
      </w:tblGrid>
      <w:tr w14:paraId="5AD440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3A3B68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十六、企业一体化服务平台</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67F40B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6" w:hRule="atLeast"/>
        </w:trPr>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0811A">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3E9A9">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82690">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885C8">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027669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35144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惠企政策精准服务模块</w:t>
            </w: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AC91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1.政策数字库与智能标签：全面归集国家、省、市、区各级涉企政策原文，利用自然语言处理（NLP）技术对政策进行拆解、打标，形成结构化“政策知识图谱”。</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94499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58382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10150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A2CF3E">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8B6B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2.企业画像与智能匹配：建立企业画像系统（规模、行业、资质、研发投入等），通过算法将企业画像与政策标签进行自动匹配，实现“政策找企业”的精准推送。</w:t>
            </w: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87BF0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DB3CD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A5D50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2573B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C7CD2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3.免申即享与线上兑付：对于认定类政策，通过数据共享自动校验企业资质，符合条件的企业无需申报即可直接享受政策红利，并支持扶持资金线上兑付，直达企业。</w:t>
            </w: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E2662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65C75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52D9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DE76B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涉企服务一网通办模块</w:t>
            </w: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00E4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1.统一服务门户：打造面向企业的统一办事入口，整合分散在各部门的涉企服务事项，实现单点登录、一次认证、全网通办。</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0F0AD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F4CC9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8A731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CC7E40">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F99B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2.一件事一次办：围绕企业全生命周期（开办、运营、变更、注销等），将多个关联的单项事整合为“一件事”，提供主题式、套餐式服务，实现一次告知、一表申请、一套材料、一窗（端）受理、一网办理。</w:t>
            </w: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8407C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5BCB4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8EC1E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45149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EF49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3.智慧导办与帮代办：提供智能问答机器人，精准解答办事疑问；对复杂事项或有意愿的企业，提供线上、线下结合的帮办代办服务。</w:t>
            </w: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574B5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212D4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53D2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4A4C0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企业诉求闭环办理模块</w:t>
            </w: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EFC3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1.统一诉求受理池：整合热线、网站、公众号等全渠道诉求，建立统一受理、按责转办、限时办结、统一督办、评价反馈的全流程闭环管理机制。</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264BF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D0740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2B89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B71C9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4C99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2.疑难问题会商与提级管理：对职责不清、涉及多部门的复杂问题，建立线上会商机制，支持提级管理，由营商办或上级领导协调督办。</w:t>
            </w: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1580C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8590E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A752E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4C59D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1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F151C6">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3.政企互动与满意度测评：建立企业专属网页或空间，主动推送办理进度，并可对部门服务进行“好差评”，评价结果纳入绩效考核。</w:t>
            </w: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1A095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F7EF4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52130D07">
      <w:pPr>
        <w:numPr>
          <w:ilvl w:val="0"/>
          <w:numId w:val="0"/>
        </w:numPr>
        <w:bidi w:val="0"/>
        <w:ind w:left="0" w:leftChars="0" w:firstLine="0" w:firstLineChars="0"/>
        <w:rPr>
          <w:rFonts w:hint="eastAsia" w:ascii="仿宋" w:hAnsi="仿宋" w:eastAsia="仿宋" w:cs="仿宋"/>
          <w:b/>
          <w:bCs/>
          <w:color w:val="000000" w:themeColor="text1"/>
          <w:sz w:val="28"/>
          <w:szCs w:val="28"/>
          <w:highlight w:val="none"/>
          <w:lang w:val="en-US" w:eastAsia="zh-CN"/>
          <w14:textFill>
            <w14:solidFill>
              <w14:schemeClr w14:val="tx1"/>
            </w14:solidFill>
          </w14:textFill>
        </w:rPr>
      </w:pPr>
      <w:r>
        <w:rPr>
          <w:rFonts w:hint="eastAsia" w:ascii="仿宋" w:hAnsi="仿宋" w:eastAsia="仿宋" w:cs="仿宋"/>
          <w:b/>
          <w:bCs/>
          <w:color w:val="000000" w:themeColor="text1"/>
          <w:kern w:val="2"/>
          <w:sz w:val="28"/>
          <w:szCs w:val="28"/>
          <w:highlight w:val="none"/>
          <w:lang w:val="en-US" w:eastAsia="zh-CN" w:bidi="ar-SA"/>
          <w14:textFill>
            <w14:solidFill>
              <w14:schemeClr w14:val="tx1"/>
            </w14:solidFill>
          </w14:textFill>
        </w:rPr>
        <w:t>4.</w:t>
      </w:r>
      <w:r>
        <w:rPr>
          <w:rFonts w:hint="eastAsia" w:ascii="仿宋" w:hAnsi="仿宋" w:eastAsia="仿宋" w:cs="仿宋"/>
          <w:b/>
          <w:bCs/>
          <w:color w:val="000000" w:themeColor="text1"/>
          <w:sz w:val="28"/>
          <w:szCs w:val="28"/>
          <w:highlight w:val="none"/>
          <w:lang w:val="en-US" w:eastAsia="zh-CN"/>
          <w14:textFill>
            <w14:solidFill>
              <w14:schemeClr w14:val="tx1"/>
            </w14:solidFill>
          </w14:textFill>
        </w:rPr>
        <w:t>荣成市企业经济和人员信息管理平台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4"/>
        <w:gridCol w:w="6158"/>
        <w:gridCol w:w="947"/>
        <w:gridCol w:w="899"/>
      </w:tblGrid>
      <w:tr w14:paraId="7D8918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AACC1F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十七、荣成市企业经济和人员信息管理平台</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0CC524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8" w:hRule="atLeast"/>
        </w:trPr>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F84CC">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7C4E6">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49A4A">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18CB0">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6464CB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288CC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经济数据监测与决策支持模块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A6E0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1.经济运行监测仪表盘：动态汇聚工业用电量、税收、货运量、银行贷款等高频数据，构建区域经济活跃度指数，实时感知宏观经济态势。</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EE043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BE2BC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F7306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E5852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412A2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2.产业地图与产业链分析：可视化展示重点产业的空间布局、企业分布、产值规模，分析产业链上下游关联和薄弱环节，为“补链、强链、延链”提供决策依据。</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5E1C7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6C02E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661B6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B08C17">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B720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3.企业发展预测与预警：利用机器学习模型，对企业经营异常（如利润持续下滑、用工大幅减少）进行早期预警，为精准帮扶和风险防范提供信号。</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F3A66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3BDCB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3D65F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7261B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企业全景画像与精准服务模块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9DEC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1.企业综合档案库：融合工商、税务、社保、用水用电等超30个维度数据，为每个企业生成包含基本信息、经营状况、创新能力、信用水平、风险信息的“全景画像”。</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A9FC6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031C87">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BA713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F4356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66F3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2.分类分级管理与靶向服务：根据画像结果对企业进行科学分类（如规上/规下、龙头/小微、行业类型）和信用分级，为不同类别企业提供差异化、精准化的政策和服务。</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921E7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E37C4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D9253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DF6E33">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CCA9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3.数据比对与核验服务：为其他业务系统（如政策兑现、项目申报）提供权威的企业数据核验接口，确保政策享受主体资格的真实准确。</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80864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F05DA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44582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509CF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人才与用工态势分析模块</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6679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1.人才资源一张图：汇聚社保参保、学历、职称、技能等级等数据，动态掌握全市人才数量、结构、行业分布、流动情况。</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10798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B7B78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3A1DAE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A5B7F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A861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2.用工供需智能分析：对接招聘网站和重点企业用工数据，分析就业市场供需矛盾、紧缺工种，为人才引进和职业技能培训提供导向。</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CF67D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229F9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D9C6C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51E90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21E4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3.人才流动预警与挽留：对核心技术人员、高层次人才的异常流动进行预警，并辅助分析流动原因，为制定人才挽留政策提供参考。</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74099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93E7A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0A4D9791">
      <w:pPr>
        <w:numPr>
          <w:ilvl w:val="0"/>
          <w:numId w:val="0"/>
        </w:numPr>
        <w:bidi w:val="0"/>
        <w:ind w:left="0" w:leftChars="0" w:firstLine="0" w:firstLineChars="0"/>
        <w:rPr>
          <w:rFonts w:hint="eastAsia" w:ascii="仿宋" w:hAnsi="仿宋" w:eastAsia="仿宋" w:cs="仿宋"/>
          <w:b/>
          <w:bCs/>
          <w:color w:val="000000" w:themeColor="text1"/>
          <w:sz w:val="28"/>
          <w:szCs w:val="28"/>
          <w:highlight w:val="none"/>
          <w:lang w:val="en-US" w:eastAsia="zh-CN"/>
          <w14:textFill>
            <w14:solidFill>
              <w14:schemeClr w14:val="tx1"/>
            </w14:solidFill>
          </w14:textFill>
        </w:rPr>
      </w:pPr>
      <w:r>
        <w:rPr>
          <w:rFonts w:hint="eastAsia" w:ascii="仿宋" w:hAnsi="仿宋" w:eastAsia="仿宋" w:cs="仿宋"/>
          <w:b/>
          <w:bCs/>
          <w:color w:val="000000" w:themeColor="text1"/>
          <w:kern w:val="2"/>
          <w:sz w:val="28"/>
          <w:szCs w:val="28"/>
          <w:highlight w:val="none"/>
          <w:lang w:val="en-US" w:eastAsia="zh-CN" w:bidi="ar-SA"/>
          <w14:textFill>
            <w14:solidFill>
              <w14:schemeClr w14:val="tx1"/>
            </w14:solidFill>
          </w14:textFill>
        </w:rPr>
        <w:t>5.</w:t>
      </w:r>
      <w:r>
        <w:rPr>
          <w:rFonts w:hint="eastAsia" w:ascii="仿宋" w:hAnsi="仿宋" w:eastAsia="仿宋" w:cs="仿宋"/>
          <w:b/>
          <w:bCs/>
          <w:color w:val="000000" w:themeColor="text1"/>
          <w:sz w:val="28"/>
          <w:szCs w:val="28"/>
          <w:highlight w:val="none"/>
          <w:lang w:val="en-US" w:eastAsia="zh-CN"/>
          <w14:textFill>
            <w14:solidFill>
              <w14:schemeClr w14:val="tx1"/>
            </w14:solidFill>
          </w14:textFill>
        </w:rPr>
        <w:t>荣成市数字荣成融合提升项目</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2"/>
        <w:gridCol w:w="6150"/>
        <w:gridCol w:w="959"/>
        <w:gridCol w:w="897"/>
      </w:tblGrid>
      <w:tr w14:paraId="094450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3849AB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十八、荣成市数字荣成融合提升项目</w:t>
            </w:r>
            <w:r>
              <w:rPr>
                <w:rFonts w:hint="default" w:ascii="Times New Roman" w:hAnsi="Times New Roman" w:eastAsia="仿宋" w:cs="Times New Roman"/>
                <w:b/>
                <w:bCs/>
                <w:i w:val="0"/>
                <w:iCs w:val="0"/>
                <w:color w:val="000000" w:themeColor="text1"/>
                <w:kern w:val="0"/>
                <w:sz w:val="20"/>
                <w:szCs w:val="20"/>
                <w:highlight w:val="none"/>
                <w:u w:val="none"/>
                <w:lang w:val="en-US" w:eastAsia="zh-CN" w:bidi="ar"/>
                <w14:textFill>
                  <w14:solidFill>
                    <w14:schemeClr w14:val="tx1"/>
                  </w14:solidFill>
                </w14:textFill>
              </w:rPr>
              <w:t>​</w:t>
            </w:r>
          </w:p>
        </w:tc>
      </w:tr>
      <w:tr w14:paraId="15862C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1" w:hRule="atLeast"/>
        </w:trPr>
        <w:tc>
          <w:tcPr>
            <w:tcW w:w="9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9D633">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BA130F">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92F3B5">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920222">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7E4021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272A3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城市信息模型基础平台</w:t>
            </w:r>
          </w:p>
        </w:tc>
        <w:tc>
          <w:tcPr>
            <w:tcW w:w="3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AB06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1.统一的数字底板：集成基础地理信息、遥感影像、倾斜摄影实景三维模型、BIM模型、地下管线等，构建覆盖地上下、室内外、历史现状未来的一体化城市信息模型。</w:t>
            </w:r>
          </w:p>
        </w:tc>
        <w:tc>
          <w:tcPr>
            <w:tcW w:w="48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DF29F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AF401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62712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905B2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AB5B1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2.全要素数字化表达：将城市部件（道路、桥梁、建筑、市政设施）和社会经济要素（人口、企业、事件）在CIM底板上进行空间化定位和关联，实现“数字孪生城市”。</w:t>
            </w:r>
          </w:p>
        </w:tc>
        <w:tc>
          <w:tcPr>
            <w:tcW w:w="4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C65C4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163CB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7FAE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2502DD">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FC7C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3.模拟仿真与空间分析：提供日照分析、可视域分析、淹没分析、应急疏散模拟等通用空间分析工具，为规划、建设、管理提供量化决策支持。</w:t>
            </w:r>
          </w:p>
        </w:tc>
        <w:tc>
          <w:tcPr>
            <w:tcW w:w="4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24AD2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38D39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91AD1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98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A9227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数据中台与共性能力支撑</w:t>
            </w:r>
          </w:p>
        </w:tc>
        <w:tc>
          <w:tcPr>
            <w:tcW w:w="3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ED89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1.数据资源体系治理：建立完善的数据采集、清洗、融合、质量管理体系，形成标准统一、质量可靠的主题数据库（人口、法人、信用、电子证照等）。</w:t>
            </w:r>
          </w:p>
        </w:tc>
        <w:tc>
          <w:tcPr>
            <w:tcW w:w="48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A158F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CB7E9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F98FF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C43C42">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0C4FF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2.共性服务能力中心：将身份认证、电子签章、消息推送、GIS服务、AI算法（如OCR、NLP）等封装成标准API，供所有上层应用快速调用，避免重复建设。</w:t>
            </w:r>
          </w:p>
        </w:tc>
        <w:tc>
          <w:tcPr>
            <w:tcW w:w="4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98135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F5200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24DE9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6CFE4F">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10AA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3.数据共享与开放门户：面向政府部门提供安全可控的数据共享交换服务，面向社会公众在脱敏脱密后提供数据开放服务，促进数据要素流通。</w:t>
            </w:r>
          </w:p>
        </w:tc>
        <w:tc>
          <w:tcPr>
            <w:tcW w:w="4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187D7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F5E8D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189454D3">
      <w:pPr>
        <w:keepNext w:val="0"/>
        <w:keepLines w:val="0"/>
        <w:widowControl/>
        <w:suppressLineNumbers w:val="0"/>
        <w:spacing w:before="0" w:beforeAutospacing="0" w:after="0" w:afterAutospacing="0" w:line="240" w:lineRule="auto"/>
        <w:ind w:left="0" w:leftChars="0" w:right="0" w:rightChars="0"/>
        <w:jc w:val="both"/>
        <w:outlineLvl w:val="1"/>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pPr>
      <w:r>
        <w:rPr>
          <w:rFonts w:hint="eastAsia" w:ascii="仿宋" w:hAnsi="仿宋" w:eastAsia="仿宋" w:cs="仿宋"/>
          <w:b/>
          <w:bCs/>
          <w:i w:val="0"/>
          <w:strike w:val="0"/>
          <w:color w:val="000000" w:themeColor="text1"/>
          <w:kern w:val="0"/>
          <w:sz w:val="28"/>
          <w:szCs w:val="16"/>
          <w:highlight w:val="none"/>
          <w:u w:val="none"/>
          <w:lang w:val="en-US" w:eastAsia="zh-CN" w:bidi="ar"/>
          <w14:textFill>
            <w14:solidFill>
              <w14:schemeClr w14:val="tx1"/>
            </w14:solidFill>
          </w14:textFill>
        </w:rPr>
        <w:t>（四）民生服务领域</w:t>
      </w:r>
    </w:p>
    <w:p w14:paraId="5473B145">
      <w:pPr>
        <w:keepNext w:val="0"/>
        <w:keepLines w:val="0"/>
        <w:widowControl/>
        <w:numPr>
          <w:ilvl w:val="0"/>
          <w:numId w:val="0"/>
        </w:numPr>
        <w:suppressLineNumbers w:val="0"/>
        <w:spacing w:before="0" w:beforeAutospacing="0" w:after="120" w:afterAutospacing="0" w:line="360" w:lineRule="auto"/>
        <w:ind w:leftChars="-200" w:right="0" w:rightChars="0" w:firstLine="562" w:firstLineChars="200"/>
        <w:jc w:val="both"/>
        <w:rPr>
          <w:rFonts w:hint="eastAsia" w:ascii="仿宋" w:hAnsi="仿宋" w:eastAsia="仿宋" w:cs="仿宋"/>
          <w:b/>
          <w:bCs/>
          <w:i w:val="0"/>
          <w:strike w:val="0"/>
          <w:color w:val="000000" w:themeColor="text1"/>
          <w:kern w:val="2"/>
          <w:sz w:val="28"/>
          <w:szCs w:val="28"/>
          <w:highlight w:val="none"/>
          <w:u w:val="none"/>
          <w:lang w:val="en-US" w:eastAsia="zh-CN" w:bidi="ar-SA"/>
          <w14:textFill>
            <w14:solidFill>
              <w14:schemeClr w14:val="tx1"/>
            </w14:solidFill>
          </w14:textFill>
        </w:rPr>
      </w:pPr>
      <w:r>
        <w:rPr>
          <w:rFonts w:hint="eastAsia" w:ascii="仿宋" w:hAnsi="仿宋" w:eastAsia="仿宋" w:cs="仿宋"/>
          <w:b/>
          <w:bCs/>
          <w:i w:val="0"/>
          <w:strike w:val="0"/>
          <w:color w:val="000000" w:themeColor="text1"/>
          <w:kern w:val="2"/>
          <w:sz w:val="28"/>
          <w:szCs w:val="28"/>
          <w:highlight w:val="none"/>
          <w:u w:val="none"/>
          <w:lang w:val="en-US" w:eastAsia="zh-CN" w:bidi="ar-SA"/>
          <w14:textFill>
            <w14:solidFill>
              <w14:schemeClr w14:val="tx1"/>
            </w14:solidFill>
          </w14:textFill>
        </w:rPr>
        <w:t>1.社区智慧治理与主动服务平台</w:t>
      </w:r>
    </w:p>
    <w:p w14:paraId="40D0584B">
      <w:pPr>
        <w:ind w:firstLine="560" w:firstLineChars="200"/>
        <w:rPr>
          <w:rFonts w:hint="default" w:ascii="仿宋" w:hAnsi="仿宋" w:eastAsia="仿宋" w:cs="仿宋"/>
          <w:b/>
          <w:bCs/>
          <w:i w:val="0"/>
          <w:strike w:val="0"/>
          <w:color w:val="000000" w:themeColor="text1"/>
          <w:kern w:val="2"/>
          <w:sz w:val="28"/>
          <w:szCs w:val="28"/>
          <w:highlight w:val="none"/>
          <w:u w:val="none"/>
          <w:lang w:val="en-US" w:eastAsia="zh-CN" w:bidi="ar-SA"/>
          <w14:textFill>
            <w14:solidFill>
              <w14:schemeClr w14:val="tx1"/>
            </w14:solidFill>
          </w14:textFill>
        </w:rPr>
      </w:pPr>
      <w:r>
        <w:rPr>
          <w:rFonts w:hint="eastAsia" w:ascii="仿宋" w:hAnsi="仿宋" w:eastAsia="仿宋" w:cs="仿宋"/>
          <w:b w:val="0"/>
          <w:bCs w:val="0"/>
          <w:i w:val="0"/>
          <w:strike w:val="0"/>
          <w:color w:val="000000" w:themeColor="text1"/>
          <w:kern w:val="2"/>
          <w:sz w:val="28"/>
          <w:szCs w:val="28"/>
          <w:highlight w:val="none"/>
          <w:u w:val="none"/>
          <w:lang w:val="en-US" w:eastAsia="zh-CN" w:bidi="ar-SA"/>
          <w14:textFill>
            <w14:solidFill>
              <w14:schemeClr w14:val="tx1"/>
            </w14:solidFill>
          </w14:textFill>
        </w:rPr>
        <w:t>拟在</w:t>
      </w:r>
      <w:r>
        <w:rPr>
          <w:rFonts w:hint="eastAsia" w:ascii="仿宋" w:hAnsi="仿宋" w:eastAsia="仿宋" w:cs="仿宋"/>
          <w:b w:val="0"/>
          <w:bCs w:val="0"/>
          <w:i w:val="0"/>
          <w:iCs w:val="0"/>
          <w:caps w:val="0"/>
          <w:color w:val="000000" w:themeColor="text1"/>
          <w:spacing w:val="0"/>
          <w:sz w:val="28"/>
          <w:szCs w:val="28"/>
          <w:highlight w:val="none"/>
          <w:shd w:val="clear" w:color="auto" w:fill="FFFFFF"/>
          <w14:textFill>
            <w14:solidFill>
              <w14:schemeClr w14:val="tx1"/>
            </w14:solidFill>
          </w14:textFill>
        </w:rPr>
        <w:t>‌</w:t>
      </w:r>
      <w:r>
        <w:rPr>
          <w:rStyle w:val="50"/>
          <w:rFonts w:hint="eastAsia" w:ascii="仿宋" w:hAnsi="仿宋" w:eastAsia="仿宋" w:cs="仿宋"/>
          <w:b w:val="0"/>
          <w:bCs w:val="0"/>
          <w:i w:val="0"/>
          <w:iCs w:val="0"/>
          <w:caps w:val="0"/>
          <w:color w:val="000000" w:themeColor="text1"/>
          <w:spacing w:val="0"/>
          <w:sz w:val="28"/>
          <w:szCs w:val="28"/>
          <w:highlight w:val="none"/>
          <w14:textFill>
            <w14:solidFill>
              <w14:schemeClr w14:val="tx1"/>
            </w14:solidFill>
          </w14:textFill>
        </w:rPr>
        <w:t>崖头街道</w:t>
      </w:r>
      <w:r>
        <w:rPr>
          <w:rFonts w:hint="eastAsia" w:ascii="仿宋" w:hAnsi="仿宋" w:eastAsia="仿宋" w:cs="仿宋"/>
          <w:b w:val="0"/>
          <w:bCs w:val="0"/>
          <w:i w:val="0"/>
          <w:iCs w:val="0"/>
          <w:caps w:val="0"/>
          <w:color w:val="000000" w:themeColor="text1"/>
          <w:spacing w:val="0"/>
          <w:sz w:val="28"/>
          <w:szCs w:val="28"/>
          <w:highlight w:val="none"/>
          <w:shd w:val="clear" w:color="auto" w:fill="FFFFFF"/>
          <w14:textFill>
            <w14:solidFill>
              <w14:schemeClr w14:val="tx1"/>
            </w14:solidFill>
          </w14:textFill>
        </w:rPr>
        <w:t>：‌</w:t>
      </w:r>
      <w:r>
        <w:rPr>
          <w:rStyle w:val="50"/>
          <w:rFonts w:hint="eastAsia" w:ascii="仿宋" w:hAnsi="仿宋" w:eastAsia="仿宋" w:cs="仿宋"/>
          <w:b w:val="0"/>
          <w:bCs w:val="0"/>
          <w:i w:val="0"/>
          <w:iCs w:val="0"/>
          <w:caps w:val="0"/>
          <w:color w:val="000000" w:themeColor="text1"/>
          <w:spacing w:val="0"/>
          <w:sz w:val="28"/>
          <w:szCs w:val="28"/>
          <w:highlight w:val="none"/>
          <w14:textFill>
            <w14:solidFill>
              <w14:schemeClr w14:val="tx1"/>
            </w14:solidFill>
          </w14:textFill>
        </w:rPr>
        <w:t>花园社区、河西社区、青山社区、华侨社区、荣盛社区、府新社区、三环社区、玉兰社区、康平社区、南山社区、新庄社区、马家庄社区、蒲头社区、西龙家社区、台上刘家社区、亚飞社区、得润社区</w:t>
      </w:r>
      <w:r>
        <w:rPr>
          <w:rStyle w:val="50"/>
          <w:rFonts w:hint="eastAsia" w:ascii="仿宋" w:hAnsi="仿宋" w:eastAsia="仿宋" w:cs="仿宋"/>
          <w:b w:val="0"/>
          <w:bCs w:val="0"/>
          <w:i w:val="0"/>
          <w:iCs w:val="0"/>
          <w:caps w:val="0"/>
          <w:color w:val="000000" w:themeColor="text1"/>
          <w:spacing w:val="0"/>
          <w:sz w:val="28"/>
          <w:szCs w:val="28"/>
          <w:highlight w:val="none"/>
          <w:lang w:val="en-US" w:eastAsia="zh-CN"/>
          <w14:textFill>
            <w14:solidFill>
              <w14:schemeClr w14:val="tx1"/>
            </w14:solidFill>
          </w14:textFill>
        </w:rPr>
        <w:t>落地社区智慧治理与主动服务平台建设。</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4"/>
        <w:gridCol w:w="6172"/>
        <w:gridCol w:w="947"/>
        <w:gridCol w:w="885"/>
      </w:tblGrid>
      <w:tr w14:paraId="11D01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3FF2FD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十九、社区智慧治理与主动服务平台</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r>
      <w:tr w14:paraId="37F4D0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4" w:hRule="atLeast"/>
        </w:trPr>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975E4">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B2177">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18BD5">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BFA267">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228FE1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259A9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统一工作门户与身份认证平台</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C1D1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1.统一门户集成：建立社区工作人员统一工作台，整合各子系统，实现单点登录（SSO）和内容聚合。</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EE7C2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8274C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A486A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B163E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BA45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2.统一用户与授权中心：实现组织架构、人员、角色的集中管理，提供功能级、数据级精细化权限控制。</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11822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D8BE5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979AC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9752E4">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8248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3.内部通讯录与应用中心：提供组织人员查询和各类应用入口集成管理。</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9E195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BCF2A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E5AFD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D1CBF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网格化综合管理指挥调度系统</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C4CB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1.GIS“一张图”指挥舱：在二维/三维地图上实现单元网格划分、人、房、企、事、物等要素落图展示，集成视频监控、人员定位。</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3BC2F4">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76D951">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94C0C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AD71A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6DCC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2.智能工单闭环管理：实现从事件上报（多渠道）、立案、派发、处置、核查、结案、评价的全流程线上化、可视化跟踪与督办。</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38D2D5">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DB717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377A6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F19A67">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1518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3.指挥调度与协同通讯：基于地图进行可视化调度，支持与网格员APP的音视频通讯、群组通知、应急指挥。</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C4140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22D3F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2B9BB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13463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大数据分析与决策支持平台</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A2E0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1.主题数据库建设：构建标准化的“人、地、事、物、组织”社区主题数据库，完成多源数据清洗、融合。</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557BD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2169A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40605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198AF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E48E3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2.智能分析模型与算法：集成人口结构分析、事件态势分析、特殊人群（如孤寡老人）识别、民生诉求热点分析等模型。</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72D5C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7B769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95883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C1BC63">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B292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3.可视化决策驾驶舱：为领导提供多维度、可视化的数据报表和统计图表，支撑精准决策。</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A7A87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354F5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6B384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E3485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公众服务与互动平台（APP/小程序）</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6932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1.“随手拍”事件上报：居民通过APP上报问题，图文并茂，可跟踪处理进度和进行满意度评价。</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C9591B">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F6D92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CF0AD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5746A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406F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2.便民服务：集成物业报修、政务办事查询、志愿者活动、社区通知、邻里交流等功能。</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69080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6F9C1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7B2BD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F128D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4D94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3.个人中心：居民档案查询、我的积分、我的投诉建议管理等。</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E6CA8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70A70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60017A20">
      <w:pPr>
        <w:keepNext w:val="0"/>
        <w:keepLines w:val="0"/>
        <w:widowControl/>
        <w:numPr>
          <w:ilvl w:val="0"/>
          <w:numId w:val="0"/>
        </w:numPr>
        <w:suppressLineNumbers w:val="0"/>
        <w:spacing w:before="0" w:beforeAutospacing="0" w:after="120" w:afterAutospacing="0" w:line="360" w:lineRule="auto"/>
        <w:ind w:right="0" w:rightChars="0"/>
        <w:jc w:val="both"/>
        <w:rPr>
          <w:rFonts w:hint="eastAsia" w:ascii="仿宋" w:hAnsi="仿宋" w:eastAsia="仿宋" w:cs="仿宋"/>
          <w:b/>
          <w:bCs/>
          <w:i w:val="0"/>
          <w:strike w:val="0"/>
          <w:color w:val="000000" w:themeColor="text1"/>
          <w:kern w:val="2"/>
          <w:sz w:val="28"/>
          <w:szCs w:val="28"/>
          <w:highlight w:val="none"/>
          <w:u w:val="none"/>
          <w:lang w:val="en-US" w:eastAsia="zh-CN" w:bidi="ar-SA"/>
          <w14:textFill>
            <w14:solidFill>
              <w14:schemeClr w14:val="tx1"/>
            </w14:solidFill>
          </w14:textFill>
        </w:rPr>
      </w:pPr>
      <w:r>
        <w:rPr>
          <w:rFonts w:hint="eastAsia" w:ascii="仿宋" w:hAnsi="仿宋" w:eastAsia="仿宋" w:cs="仿宋"/>
          <w:b/>
          <w:bCs/>
          <w:i w:val="0"/>
          <w:strike w:val="0"/>
          <w:color w:val="000000" w:themeColor="text1"/>
          <w:kern w:val="2"/>
          <w:sz w:val="28"/>
          <w:szCs w:val="28"/>
          <w:highlight w:val="none"/>
          <w:lang w:val="en-US" w:eastAsia="zh-CN" w:bidi="ar-SA"/>
          <w14:textFill>
            <w14:solidFill>
              <w14:schemeClr w14:val="tx1"/>
            </w14:solidFill>
          </w14:textFill>
        </w:rPr>
        <w:t>2.</w:t>
      </w:r>
      <w:r>
        <w:rPr>
          <w:rFonts w:hint="eastAsia" w:ascii="仿宋" w:hAnsi="仿宋" w:eastAsia="仿宋" w:cs="仿宋"/>
          <w:b/>
          <w:bCs/>
          <w:i w:val="0"/>
          <w:strike w:val="0"/>
          <w:color w:val="000000" w:themeColor="text1"/>
          <w:kern w:val="2"/>
          <w:sz w:val="28"/>
          <w:szCs w:val="28"/>
          <w:highlight w:val="none"/>
          <w:u w:val="none"/>
          <w:lang w:val="en-US" w:eastAsia="zh-CN" w:bidi="ar-SA"/>
          <w14:textFill>
            <w14:solidFill>
              <w14:schemeClr w14:val="tx1"/>
            </w14:solidFill>
          </w14:textFill>
        </w:rPr>
        <w:t>智慧停车与交通诱导平台</w:t>
      </w:r>
    </w:p>
    <w:p w14:paraId="60A8068A">
      <w:pPr>
        <w:keepNext w:val="0"/>
        <w:keepLines w:val="0"/>
        <w:widowControl/>
        <w:numPr>
          <w:ilvl w:val="0"/>
          <w:numId w:val="0"/>
        </w:numPr>
        <w:suppressLineNumbers w:val="0"/>
        <w:spacing w:before="0" w:beforeAutospacing="0" w:after="120" w:afterAutospacing="0" w:line="360" w:lineRule="auto"/>
        <w:ind w:right="0" w:rightChars="0" w:firstLine="560" w:firstLineChars="200"/>
        <w:jc w:val="both"/>
        <w:rPr>
          <w:rFonts w:hint="default" w:ascii="仿宋" w:hAnsi="仿宋" w:eastAsia="仿宋" w:cs="仿宋"/>
          <w:b/>
          <w:bCs/>
          <w:i w:val="0"/>
          <w:strike w:val="0"/>
          <w:color w:val="000000" w:themeColor="text1"/>
          <w:kern w:val="2"/>
          <w:sz w:val="28"/>
          <w:szCs w:val="28"/>
          <w:highlight w:val="none"/>
          <w:u w:val="none"/>
          <w:lang w:val="en-US" w:eastAsia="zh-CN" w:bidi="ar-SA"/>
          <w14:textFill>
            <w14:solidFill>
              <w14:schemeClr w14:val="tx1"/>
            </w14:solidFill>
          </w14:textFill>
        </w:rPr>
      </w:pPr>
      <w:r>
        <w:rPr>
          <w:rFonts w:hint="eastAsia" w:ascii="仿宋" w:hAnsi="仿宋" w:eastAsia="仿宋" w:cs="仿宋"/>
          <w:color w:val="000000" w:themeColor="text1"/>
          <w:kern w:val="2"/>
          <w:sz w:val="28"/>
          <w:szCs w:val="28"/>
          <w:highlight w:val="none"/>
          <w:lang w:val="en-US" w:eastAsia="zh-CN" w:bidi="ar-SA"/>
          <w14:textFill>
            <w14:solidFill>
              <w14:schemeClr w14:val="tx1"/>
            </w14:solidFill>
          </w14:textFill>
        </w:rPr>
        <w:t>拟在樱花湖体育公园、蜊江港、荣成高铁站、</w:t>
      </w:r>
      <w:r>
        <w:rPr>
          <w:rFonts w:hint="eastAsia" w:ascii="仿宋" w:hAnsi="仿宋" w:eastAsia="仿宋" w:cs="仿宋"/>
          <w:color w:val="000000" w:themeColor="text1"/>
          <w:sz w:val="28"/>
          <w:szCs w:val="28"/>
          <w:highlight w:val="none"/>
          <w:lang w:val="en-US" w:eastAsia="zh-CN"/>
          <w14:textFill>
            <w14:solidFill>
              <w14:schemeClr w14:val="tx1"/>
            </w14:solidFill>
          </w14:textFill>
        </w:rPr>
        <w:t>吉兴商场北侧、</w:t>
      </w:r>
      <w:r>
        <w:rPr>
          <w:rFonts w:hint="eastAsia" w:ascii="仿宋" w:hAnsi="仿宋" w:eastAsia="仿宋" w:cs="仿宋"/>
          <w:color w:val="000000" w:themeColor="text1"/>
          <w:kern w:val="2"/>
          <w:sz w:val="28"/>
          <w:szCs w:val="28"/>
          <w:highlight w:val="none"/>
          <w:lang w:val="en-US" w:eastAsia="zh-CN" w:bidi="ar-SA"/>
          <w14:textFill>
            <w14:solidFill>
              <w14:schemeClr w14:val="tx1"/>
            </w14:solidFill>
          </w14:textFill>
        </w:rPr>
        <w:t>蜊江小学东侧、</w:t>
      </w:r>
      <w:r>
        <w:rPr>
          <w:rFonts w:hint="eastAsia" w:ascii="仿宋" w:hAnsi="仿宋" w:eastAsia="仿宋" w:cs="仿宋"/>
          <w:color w:val="000000" w:themeColor="text1"/>
          <w:sz w:val="28"/>
          <w:szCs w:val="28"/>
          <w:highlight w:val="none"/>
          <w:lang w:val="en-US" w:eastAsia="zh-CN"/>
          <w14:textFill>
            <w14:solidFill>
              <w14:schemeClr w14:val="tx1"/>
            </w14:solidFill>
          </w14:textFill>
        </w:rPr>
        <w:t>博隆金街夜市、荣成市体育场、荣成市车管所停车场、中韩边贸城停车场、</w:t>
      </w:r>
      <w:r>
        <w:rPr>
          <w:rFonts w:hint="eastAsia" w:ascii="仿宋" w:hAnsi="仿宋" w:eastAsia="仿宋" w:cs="仿宋"/>
          <w:color w:val="000000" w:themeColor="text1"/>
          <w:kern w:val="2"/>
          <w:sz w:val="28"/>
          <w:szCs w:val="28"/>
          <w:highlight w:val="none"/>
          <w:lang w:val="en-US" w:eastAsia="zh-CN" w:bidi="ar-SA"/>
          <w14:textFill>
            <w14:solidFill>
              <w14:schemeClr w14:val="tx1"/>
            </w14:solidFill>
          </w14:textFill>
        </w:rPr>
        <w:t>市政府家家悦北侧十大区域停车场，落地智慧停车与交通诱导平台建设。</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4"/>
        <w:gridCol w:w="6172"/>
        <w:gridCol w:w="947"/>
        <w:gridCol w:w="885"/>
      </w:tblGrid>
      <w:tr w14:paraId="2461B1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BDF9AB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二十、智慧停车与交通诱导平台</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r>
      <w:tr w14:paraId="20BDC7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4" w:hRule="atLeast"/>
        </w:trPr>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B122C7">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4495D">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4804E">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1C3B9">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1B4BD6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E5579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智能停车管理子系统</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1B65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1.出入口无人值守系统：集成车牌识别、费显屏、道闸，支持视频识别、无感支付、扫码支付、中央缴费等多种方式。</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C1E5C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010C5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4EE16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3C2E1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3FB4C">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2.停车场联网管理：对全市路内泊位和公共停车场进行联网，实现车位状态、收费数据实时上传。</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84776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4315B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DA494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46A49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CFB9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3.运营监管中心：提供财务对账、异常事件监管、设备状态监控等功能。</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9C585F">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817CA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B119E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F86E2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城市级停车诱导与预约子系统</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E600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1.数据汇聚与处理引擎：实时汇聚全市停车位数据，进行空闲车位预测和状态发布。</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465D0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246950">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4DDC6C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240E49">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2071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2.多级诱导信息发布：通过交通诱导屏、APP、小程序向车主发布周边停车场位置、空余车位数、收费标准等信息。</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55B89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DC3A4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439837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DCC0C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797F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3.车位预约功能：支持车主对特定场库的车位进行提前预约和锁定。</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6FE77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1CE53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DB1D8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B3985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市民服务与大数据分析子系统</w:t>
            </w: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B4EF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1.“荣成停车”APP/小程序：为市民提供车位查询、导航、支付、充值、发票开具、投诉建议等一站式服务。</w:t>
            </w:r>
          </w:p>
        </w:tc>
        <w:tc>
          <w:tcPr>
            <w:tcW w:w="47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ECDDBD">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ECD423">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9489F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46EC1E">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32EA6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2.停车大数据分析：分析停车热点区域、周转率、高峰时段，为城市规划、交通管理、价格调控提供数据支持。</w:t>
            </w:r>
          </w:p>
        </w:tc>
        <w:tc>
          <w:tcPr>
            <w:tcW w:w="47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DE894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4A81A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258371FB">
      <w:pPr>
        <w:numPr>
          <w:ilvl w:val="0"/>
          <w:numId w:val="0"/>
        </w:numPr>
        <w:ind w:leftChars="0"/>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sz w:val="28"/>
          <w:szCs w:val="28"/>
          <w:highlight w:val="none"/>
          <w:lang w:val="en-US" w:eastAsia="zh-CN"/>
          <w14:textFill>
            <w14:solidFill>
              <w14:schemeClr w14:val="tx1"/>
            </w14:solidFill>
          </w14:textFill>
        </w:rPr>
        <w:t>3.</w:t>
      </w:r>
      <w:r>
        <w:rPr>
          <w:rFonts w:hint="eastAsia" w:ascii="仿宋" w:hAnsi="仿宋" w:eastAsia="仿宋" w:cs="仿宋"/>
          <w:b/>
          <w:bCs/>
          <w:color w:val="000000" w:themeColor="text1"/>
          <w:sz w:val="28"/>
          <w:szCs w:val="28"/>
          <w:highlight w:val="none"/>
          <w14:textFill>
            <w14:solidFill>
              <w14:schemeClr w14:val="tx1"/>
            </w14:solidFill>
          </w14:textFill>
        </w:rPr>
        <w:t>智慧康养关怀平台</w:t>
      </w:r>
    </w:p>
    <w:tbl>
      <w:tblPr>
        <w:tblStyle w:val="4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4"/>
        <w:gridCol w:w="6158"/>
        <w:gridCol w:w="975"/>
        <w:gridCol w:w="871"/>
      </w:tblGrid>
      <w:tr w14:paraId="6042BE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5040BE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二十一、智慧康养关怀平台</w:t>
            </w:r>
            <w:r>
              <w:rPr>
                <w:rFonts w:hint="default" w:ascii="Times New Roman" w:hAnsi="Times New Roman" w:eastAsia="仿宋" w:cs="Times New Roman"/>
                <w:i w:val="0"/>
                <w:iCs w:val="0"/>
                <w:color w:val="000000" w:themeColor="text1"/>
                <w:kern w:val="0"/>
                <w:sz w:val="20"/>
                <w:szCs w:val="20"/>
                <w:highlight w:val="none"/>
                <w:u w:val="none"/>
                <w:lang w:val="en-US" w:eastAsia="zh-CN" w:bidi="ar"/>
                <w14:textFill>
                  <w14:solidFill>
                    <w14:schemeClr w14:val="tx1"/>
                  </w14:solidFill>
                </w14:textFill>
              </w:rPr>
              <w:t>​</w:t>
            </w:r>
          </w:p>
        </w:tc>
      </w:tr>
      <w:tr w14:paraId="62F299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DDB4E6">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43FF5F">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51813">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7FCD7">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23A371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21DA75">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养老基础信息与资源管理系统</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05F9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老年人一体化档案：依托人工智能大数据、智能识别、算法分析技术，搭建全维度、动态化、智能化老年人口专属数据库，替代传统静态档案录入、存储模式，实现老年人档案的智能采集、自动更新、精准画像、动态研判全流程AI赋能管理，覆盖辖区内所有老年人群体。</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CB77E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2B12A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EE831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D536D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6470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养老资源管理：基于AI人工智能审核、智能评级、大数据风控、智能调度算法，构建养老服务全资源数字化、智能化管理体系，实现养老机构、社区养老驿站、养老服务商、从业人员四大核心资源的智能资质审核、动态星级评定、服务质量监管、资源智能调度、风险自动预警，解决传统人工管理效率低、评级不客观、监管有盲区、资源匹配不均衡等问题。</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A2D3B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02B35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204B96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C522F6">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09548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3.补贴发放管理：实现高龄津贴、养老补贴的线上申请、审核、发放与监管。</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F6035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43CE7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BB79A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A0C37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居家社区养老服务子系统</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4DC98">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服务呼叫与调度：系统支持老人通过一键通、电话、APP等多渠道发起服务呼叫，依托AI语音识别、用户画像及智能调度算法，自动识别服务诉求并划分工单优先级。平台结合服务人员位置、技能、星级、在岗状态等多维数据，智能匹配最优服务人员完成精准派单，针对高龄、失能、独居老人紧急场景自动升级优先响应机制，有效提升养老服务响应效率与服务精准度。</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6AAF1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96F302">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53E12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2"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457A68">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FDC17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服务过程监管：依托AI影像识别、行为分析与大数据技术，实现养老服务接单、上门、执行、评价全流程留痕、可视可溯源。系统可智能识别虚假打卡、服务缺项、服务不规范等违规行为并自动预警，同时通过AI智能回访采集用户评价，自动生成服务质量分析数据，形成智能化服务监管与考核闭环。</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CE9A6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09227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000B35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ABEBF3">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2FF3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养老商城”：AI智慧养老商城整合家政、送餐、康复护理等各类社会化养老服务资源，实现服务线上浏览、预约、下单、评价全流程便民操作。基于AI用户画像与智能推荐算法，结合老人身体状况、服务习惯、健康情况精准推送个性化服务，同时依托AI动态审核监管入驻服务商与从业人员，助力规范养老服务市场，精准补齐区域养老服务资源缺口。</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460CE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1B3A3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7DE4E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0978A7">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智能养老物联网与健康管理子系统</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C430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1.智能设备接入与管理：接入智能手环、跌倒检测、烟感报警、水浸传感器等设备，数据实时上传平台。</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592B1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72242A">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CC048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45D26E">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E846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2.健康监测与预警：对老人心率、血压、位置、行为异常等进行自动监测和风险预警，通知家属或社区人员。</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A8265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F5673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FD59D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160393">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DB64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3.健康数据追踪：记录并可视化展示老人的健康趋势，提供健康建议。</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3C7613">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0DE624">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AC232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B34A75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3.4机构养老管理与医养结合子系统</w:t>
            </w: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2F97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1.机构内部管理为养老院提供入住管理、餐饮管理、护理计划、药品管理等信息化服务。</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1E4BA5">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981A8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AFC5A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2D3E6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5D16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2.医养结合服务：与医疗健康平台对接，实现线上问诊、慢病管理、双向转诊、用药提醒等功能。</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2169D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D284C6">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bl>
    <w:p w14:paraId="7EC7A85E">
      <w:pPr>
        <w:numPr>
          <w:ilvl w:val="0"/>
          <w:numId w:val="0"/>
        </w:numPr>
        <w:ind w:left="0" w:leftChars="0" w:firstLine="0" w:firstLineChars="0"/>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kern w:val="2"/>
          <w:sz w:val="28"/>
          <w:szCs w:val="28"/>
          <w:highlight w:val="none"/>
          <w:lang w:val="en-US" w:eastAsia="zh-CN" w:bidi="ar-SA"/>
          <w14:textFill>
            <w14:solidFill>
              <w14:schemeClr w14:val="tx1"/>
            </w14:solidFill>
          </w14:textFill>
        </w:rPr>
        <w:t>4.</w:t>
      </w:r>
      <w:r>
        <w:rPr>
          <w:rFonts w:hint="eastAsia" w:ascii="仿宋" w:hAnsi="仿宋" w:eastAsia="仿宋" w:cs="仿宋"/>
          <w:b/>
          <w:bCs/>
          <w:color w:val="000000" w:themeColor="text1"/>
          <w:sz w:val="28"/>
          <w:szCs w:val="28"/>
          <w:highlight w:val="none"/>
          <w14:textFill>
            <w14:solidFill>
              <w14:schemeClr w14:val="tx1"/>
            </w14:solidFill>
          </w14:textFill>
        </w:rPr>
        <w:t>医疗健康数据智能服务平台</w:t>
      </w:r>
    </w:p>
    <w:tbl>
      <w:tblPr>
        <w:tblStyle w:val="47"/>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6"/>
        <w:gridCol w:w="6171"/>
        <w:gridCol w:w="975"/>
        <w:gridCol w:w="854"/>
      </w:tblGrid>
      <w:tr w14:paraId="5482EE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0" w:hRule="atLeast"/>
        </w:trPr>
        <w:tc>
          <w:tcPr>
            <w:tcW w:w="408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EB3796">
            <w:pPr>
              <w:keepNext w:val="0"/>
              <w:keepLines w:val="0"/>
              <w:widowControl/>
              <w:suppressLineNumbers w:val="0"/>
              <w:jc w:val="center"/>
              <w:textAlignment w:val="center"/>
              <w:rPr>
                <w:rFonts w:ascii="仿宋" w:hAnsi="仿宋" w:eastAsia="仿宋" w:cs="仿宋"/>
                <w:b/>
                <w:bCs/>
                <w:i w:val="0"/>
                <w:iCs w:val="0"/>
                <w:color w:val="000000" w:themeColor="text1"/>
                <w:sz w:val="20"/>
                <w:szCs w:val="20"/>
                <w:highlight w:val="none"/>
                <w:u w:val="none"/>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二十二、医疗健康数据智能服务平台</w:t>
            </w:r>
          </w:p>
        </w:tc>
        <w:tc>
          <w:tcPr>
            <w:tcW w:w="4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FC61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4CFE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05BFE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3" w:hRule="atLeast"/>
        </w:trPr>
        <w:tc>
          <w:tcPr>
            <w:tcW w:w="9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78249">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建设项</w:t>
            </w: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181B40">
            <w:pPr>
              <w:keepNext w:val="0"/>
              <w:keepLines w:val="0"/>
              <w:widowControl/>
              <w:suppressLineNumbers w:val="0"/>
              <w:jc w:val="center"/>
              <w:textAlignment w:val="cente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功能要求</w:t>
            </w:r>
          </w:p>
        </w:tc>
        <w:tc>
          <w:tcPr>
            <w:tcW w:w="4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93171">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单位</w:t>
            </w:r>
          </w:p>
        </w:tc>
        <w:tc>
          <w:tcPr>
            <w:tcW w:w="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EB3EA0">
            <w:pPr>
              <w:keepNext w:val="0"/>
              <w:keepLines w:val="0"/>
              <w:widowControl/>
              <w:suppressLineNumbers w:val="0"/>
              <w:jc w:val="center"/>
              <w:textAlignment w:val="cente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pPr>
            <w:r>
              <w:rPr>
                <w:rFonts w:hint="eastAsia" w:ascii="仿宋" w:hAnsi="仿宋" w:eastAsia="仿宋" w:cs="仿宋"/>
                <w:b/>
                <w:bCs/>
                <w:i w:val="0"/>
                <w:iCs w:val="0"/>
                <w:color w:val="000000" w:themeColor="text1"/>
                <w:kern w:val="0"/>
                <w:sz w:val="20"/>
                <w:szCs w:val="20"/>
                <w:highlight w:val="none"/>
                <w:u w:val="none"/>
                <w:lang w:val="en-US" w:eastAsia="zh-CN" w:bidi="ar"/>
                <w14:textFill>
                  <w14:solidFill>
                    <w14:schemeClr w14:val="tx1"/>
                  </w14:solidFill>
                </w14:textFill>
              </w:rPr>
              <w:t>数量</w:t>
            </w:r>
          </w:p>
        </w:tc>
      </w:tr>
      <w:tr w14:paraId="3B02E0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9"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9C7A06">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区域健康信息数据中心</w:t>
            </w: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8C407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1.数据集成与治理平台：对接全市4家市级医院、26家卫生院等机构的HIS、LIS、PACS等系统，完成数据抽取、清洗、标准化和融合。</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3B23F8">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30106F">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75219E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333C7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CA043">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2.四大基础库建设：构建全员人口信息库、电子病历库、电子健康档案库、基础资源库。</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4046B1">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9468B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A6973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E6A347">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3DC70">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3.主数据管理：统一患者、医护人员、机构等主数据，解决信息孤岛问题。</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00371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92BE7A">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691B8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4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A1235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80FE1">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4.提供海量数据处理能力。​</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•Hadoop通用平台：构建包含HDFS、Hive、HBase等组件的稳定大数据存储与计算环境。</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•调度管理与ETL引擎：部署可视化作业调度、监控及ETL工具，实现复杂数据加工流程的自动化管理。</w:t>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br w:type="textWrapping"/>
            </w: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•行式数据库与数据治理：配备高性能行式数据库集群，并建立覆盖元数据、数据质量的全生命周期数据治理体系。</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C1552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F65E6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77E542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28693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惠民便民服务应用体系</w:t>
            </w: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7A14B">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1.“健康荣成”统一门户：为居民提供一站式预约挂号、诊间支付、报告查询、家医签约、健康档案查询等服务。</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DC63A6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D054E9">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29AF3B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9CD71A">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91A9F">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2.分级诊疗与远程医疗：支撑基层医疗机构向上级医院发起会诊、转诊，开展远程影像、远程心电诊断。</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80C19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BAB6F8">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51D5FA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5BDAE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F786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3.统一支付对账平台：整合各类支付渠道，实现医疗场景下的统一支付与财务对账。</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2E4B1E">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1A8BB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4AD50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A92BA4">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医共体协同与智慧公卫应用体系</w:t>
            </w: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2D0AD">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1.医共体业务协同：实现检查检验结果互认、双向转诊、资源调配、协同诊疗，提升区域医疗效率。</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56C8F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AE6AE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1590D4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7CDE45">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629B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2.智慧公卫与慢病管理：基于健康档案，对传染病、慢性病患者进行智能筛查、建档、随访和健康干预。</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0649B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BE64CB">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695A9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419C0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0B253E">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3.综合监管与决策支持：为卫健部门提供医疗质量、费用、资源使用等情况的实时监管和决策分析看板。</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68565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B9AB12">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1280A5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4F54E9">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数据智能与互联互通平台</w:t>
            </w: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4A1D72">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1.医疗AI能力平台：集成临床辅助决策（CDSS）、病案首页质控、合理用药监测等AI应用，提升医疗质量。</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097D8E">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套</w:t>
            </w:r>
          </w:p>
        </w:tc>
        <w:tc>
          <w:tcPr>
            <w:tcW w:w="4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33A92C">
            <w:pPr>
              <w:keepNext w:val="0"/>
              <w:keepLines w:val="0"/>
              <w:widowControl/>
              <w:suppressLineNumbers w:val="0"/>
              <w:jc w:val="center"/>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1</w:t>
            </w:r>
          </w:p>
        </w:tc>
      </w:tr>
      <w:tr w14:paraId="069699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F1A4EC">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4582F">
            <w:pPr>
              <w:keepNext w:val="0"/>
              <w:keepLines w:val="0"/>
              <w:widowControl/>
              <w:suppressLineNumbers w:val="0"/>
              <w:ind w:left="200" w:hanging="200" w:hangingChars="10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2.信息标                                                  准化与互联互通成熟度测评：遵循国家医疗健康信息标准，确保平台通过国家四级甲等及以上测评。</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7BCB8D">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1531BC">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tr w14:paraId="329A65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9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BA3E9B">
            <w:pP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30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B5A0A">
            <w:pPr>
              <w:keepNext w:val="0"/>
              <w:keepLines w:val="0"/>
              <w:widowControl/>
              <w:suppressLineNumbers w:val="0"/>
              <w:jc w:val="left"/>
              <w:textAlignment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r>
              <w:rPr>
                <w:rFonts w:hint="eastAsia" w:ascii="仿宋" w:hAnsi="仿宋" w:eastAsia="仿宋" w:cs="仿宋"/>
                <w:i w:val="0"/>
                <w:iCs w:val="0"/>
                <w:color w:val="000000" w:themeColor="text1"/>
                <w:kern w:val="0"/>
                <w:sz w:val="20"/>
                <w:szCs w:val="20"/>
                <w:highlight w:val="none"/>
                <w:u w:val="none"/>
                <w:lang w:val="en-US" w:eastAsia="zh-CN" w:bidi="ar"/>
                <w14:textFill>
                  <w14:solidFill>
                    <w14:schemeClr w14:val="tx1"/>
                  </w14:solidFill>
                </w14:textFill>
              </w:rPr>
              <w:t>3.平台运维与安全体系：保障平台的高可用性、数据安全和患者隐私保护。</w:t>
            </w: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7D95C9">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c>
          <w:tcPr>
            <w:tcW w:w="4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524BE0">
            <w:pPr>
              <w:jc w:val="center"/>
              <w:rPr>
                <w:rFonts w:hint="eastAsia" w:ascii="仿宋" w:hAnsi="仿宋" w:eastAsia="仿宋" w:cs="仿宋"/>
                <w:i w:val="0"/>
                <w:iCs w:val="0"/>
                <w:color w:val="000000" w:themeColor="text1"/>
                <w:sz w:val="20"/>
                <w:szCs w:val="20"/>
                <w:highlight w:val="none"/>
                <w:u w:val="none"/>
                <w14:textFill>
                  <w14:solidFill>
                    <w14:schemeClr w14:val="tx1"/>
                  </w14:solidFill>
                </w14:textFill>
              </w:rPr>
            </w:pPr>
          </w:p>
        </w:tc>
      </w:tr>
      <w:bookmarkEnd w:id="15"/>
      <w:bookmarkEnd w:id="16"/>
    </w:tbl>
    <w:p w14:paraId="7B98A16A">
      <w:pPr>
        <w:keepNext w:val="0"/>
        <w:keepLines w:val="0"/>
        <w:widowControl/>
        <w:suppressLineNumbers w:val="0"/>
        <w:jc w:val="left"/>
        <w:rPr>
          <w:rFonts w:hint="eastAsia" w:ascii="仿宋" w:hAnsi="仿宋" w:eastAsia="仿宋"/>
          <w:b/>
          <w:color w:val="000000" w:themeColor="text1"/>
          <w:sz w:val="28"/>
          <w:szCs w:val="28"/>
          <w:highlight w:val="none"/>
          <w:lang w:val="en-US" w:eastAsia="zh-CN"/>
          <w14:textFill>
            <w14:solidFill>
              <w14:schemeClr w14:val="tx1"/>
            </w14:solidFill>
          </w14:textFill>
        </w:rPr>
      </w:pPr>
      <w:r>
        <w:rPr>
          <w:rFonts w:ascii="仿宋" w:hAnsi="仿宋" w:eastAsia="仿宋" w:cs="仿宋"/>
          <w:color w:val="000000" w:themeColor="text1"/>
          <w:kern w:val="0"/>
          <w:sz w:val="24"/>
          <w:szCs w:val="24"/>
          <w:highlight w:val="none"/>
          <w:lang w:val="en-US" w:eastAsia="zh-CN" w:bidi="ar"/>
          <w14:textFill>
            <w14:solidFill>
              <w14:schemeClr w14:val="tx1"/>
            </w14:solidFill>
          </w14:textFill>
        </w:rPr>
        <w:t>注：技术规格、要求、参数和标准仅系说明并非进行限制，</w:t>
      </w:r>
      <w:r>
        <w:rPr>
          <w:rFonts w:hint="eastAsia" w:ascii="仿宋" w:hAnsi="仿宋" w:eastAsia="仿宋" w:cs="仿宋"/>
          <w:color w:val="000000" w:themeColor="text1"/>
          <w:kern w:val="0"/>
          <w:sz w:val="24"/>
          <w:szCs w:val="24"/>
          <w:highlight w:val="none"/>
          <w:lang w:val="en-US" w:eastAsia="zh-CN" w:bidi="ar"/>
          <w14:textFill>
            <w14:solidFill>
              <w14:schemeClr w14:val="tx1"/>
            </w14:solidFill>
          </w14:textFill>
        </w:rPr>
        <w:t>投标人</w:t>
      </w:r>
      <w:r>
        <w:rPr>
          <w:rFonts w:ascii="仿宋" w:hAnsi="仿宋" w:eastAsia="仿宋" w:cs="仿宋"/>
          <w:color w:val="000000" w:themeColor="text1"/>
          <w:kern w:val="0"/>
          <w:sz w:val="24"/>
          <w:szCs w:val="24"/>
          <w:highlight w:val="none"/>
          <w:lang w:val="en-US" w:eastAsia="zh-CN" w:bidi="ar"/>
          <w14:textFill>
            <w14:solidFill>
              <w14:schemeClr w14:val="tx1"/>
            </w14:solidFill>
          </w14:textFill>
        </w:rPr>
        <w:t>可提出替代的技术规格、要求、参数</w:t>
      </w:r>
      <w:r>
        <w:rPr>
          <w:rFonts w:hint="eastAsia" w:ascii="仿宋" w:hAnsi="仿宋" w:eastAsia="仿宋" w:cs="仿宋"/>
          <w:color w:val="000000" w:themeColor="text1"/>
          <w:kern w:val="0"/>
          <w:sz w:val="24"/>
          <w:szCs w:val="24"/>
          <w:highlight w:val="none"/>
          <w:lang w:val="en-US" w:eastAsia="zh-CN" w:bidi="ar"/>
          <w14:textFill>
            <w14:solidFill>
              <w14:schemeClr w14:val="tx1"/>
            </w14:solidFill>
          </w14:textFill>
        </w:rPr>
        <w:t>和标准，并在技术文件中详细说明，但该替代应不低于采购文件的规定和要求。</w:t>
      </w:r>
    </w:p>
    <w:p w14:paraId="71B7B5FD">
      <w:pPr>
        <w:spacing w:line="560" w:lineRule="exact"/>
        <w:ind w:firstLine="562" w:firstLineChars="200"/>
        <w:rPr>
          <w:rFonts w:hint="eastAsia" w:ascii="仿宋_GB2312" w:hAnsi="宋体" w:eastAsia="仿宋_GB2312" w:cs="Times New Roman"/>
          <w:bCs/>
          <w:color w:val="000000" w:themeColor="text1"/>
          <w:sz w:val="30"/>
          <w:szCs w:val="30"/>
          <w:highlight w:val="none"/>
          <w:lang w:val="en-US" w:eastAsia="zh-CN"/>
          <w14:textFill>
            <w14:solidFill>
              <w14:schemeClr w14:val="tx1"/>
            </w14:solidFill>
          </w14:textFill>
        </w:rPr>
      </w:pPr>
      <w:r>
        <w:rPr>
          <w:rFonts w:hint="eastAsia" w:ascii="仿宋" w:hAnsi="仿宋" w:eastAsia="仿宋"/>
          <w:b/>
          <w:color w:val="000000" w:themeColor="text1"/>
          <w:sz w:val="28"/>
          <w:szCs w:val="28"/>
          <w:highlight w:val="none"/>
          <w:lang w:val="en-US" w:eastAsia="zh-CN"/>
          <w14:textFill>
            <w14:solidFill>
              <w14:schemeClr w14:val="tx1"/>
            </w14:solidFill>
          </w14:textFill>
        </w:rPr>
        <w:t>四</w:t>
      </w:r>
      <w:r>
        <w:rPr>
          <w:rFonts w:hint="eastAsia" w:ascii="仿宋" w:hAnsi="仿宋" w:eastAsia="仿宋"/>
          <w:b/>
          <w:color w:val="000000" w:themeColor="text1"/>
          <w:sz w:val="28"/>
          <w:szCs w:val="28"/>
          <w:highlight w:val="none"/>
          <w14:textFill>
            <w14:solidFill>
              <w14:schemeClr w14:val="tx1"/>
            </w14:solidFill>
          </w14:textFill>
        </w:rPr>
        <w:t>、付款方式：</w:t>
      </w:r>
      <w:bookmarkStart w:id="17" w:name="OLE_LINK46"/>
      <w:bookmarkStart w:id="18" w:name="OLE_LINK45"/>
      <w:r>
        <w:rPr>
          <w:rFonts w:hint="eastAsia" w:ascii="仿宋_GB2312" w:hAnsi="宋体" w:eastAsia="仿宋_GB2312" w:cs="Times New Roman"/>
          <w:bCs/>
          <w:color w:val="000000" w:themeColor="text1"/>
          <w:sz w:val="30"/>
          <w:szCs w:val="30"/>
          <w:highlight w:val="none"/>
          <w:lang w:val="en-US" w:eastAsia="zh-CN"/>
          <w14:textFill>
            <w14:solidFill>
              <w14:schemeClr w14:val="tx1"/>
            </w14:solidFill>
          </w14:textFill>
        </w:rPr>
        <w:t>采购人根据项目实施进度付款。</w:t>
      </w:r>
    </w:p>
    <w:p w14:paraId="218040F2">
      <w:pPr>
        <w:widowControl/>
        <w:adjustRightInd w:val="0"/>
        <w:snapToGrid w:val="0"/>
        <w:spacing w:line="560" w:lineRule="exact"/>
        <w:ind w:firstLine="562" w:firstLineChars="200"/>
        <w:jc w:val="left"/>
        <w:rPr>
          <w:rFonts w:ascii="仿宋_GB2312" w:hAnsi="宋体" w:eastAsia="仿宋_GB2312"/>
          <w:bCs/>
          <w:color w:val="000000" w:themeColor="text1"/>
          <w:sz w:val="30"/>
          <w:szCs w:val="30"/>
          <w:highlight w:val="none"/>
          <w14:textFill>
            <w14:solidFill>
              <w14:schemeClr w14:val="tx1"/>
            </w14:solidFill>
          </w14:textFill>
        </w:rPr>
      </w:pPr>
      <w:r>
        <w:rPr>
          <w:rFonts w:hint="eastAsia" w:ascii="仿宋" w:hAnsi="仿宋" w:eastAsia="仿宋"/>
          <w:b/>
          <w:color w:val="000000" w:themeColor="text1"/>
          <w:sz w:val="28"/>
          <w:szCs w:val="28"/>
          <w:highlight w:val="none"/>
          <w:lang w:val="en-US" w:eastAsia="zh-CN"/>
          <w14:textFill>
            <w14:solidFill>
              <w14:schemeClr w14:val="tx1"/>
            </w14:solidFill>
          </w14:textFill>
        </w:rPr>
        <w:t>五</w:t>
      </w:r>
      <w:r>
        <w:rPr>
          <w:rFonts w:hint="eastAsia" w:ascii="仿宋" w:hAnsi="仿宋" w:eastAsia="仿宋"/>
          <w:b/>
          <w:color w:val="000000" w:themeColor="text1"/>
          <w:sz w:val="28"/>
          <w:szCs w:val="28"/>
          <w:highlight w:val="none"/>
          <w14:textFill>
            <w14:solidFill>
              <w14:schemeClr w14:val="tx1"/>
            </w14:solidFill>
          </w14:textFill>
        </w:rPr>
        <w:t>、交付期：</w:t>
      </w:r>
      <w:r>
        <w:rPr>
          <w:rFonts w:hint="eastAsia" w:ascii="仿宋" w:hAnsi="仿宋" w:eastAsia="仿宋"/>
          <w:b/>
          <w:color w:val="000000" w:themeColor="text1"/>
          <w:sz w:val="28"/>
          <w:szCs w:val="28"/>
          <w:highlight w:val="none"/>
          <w:lang w:val="en-US" w:eastAsia="zh-CN"/>
          <w14:textFill>
            <w14:solidFill>
              <w14:schemeClr w14:val="tx1"/>
            </w14:solidFill>
          </w14:textFill>
        </w:rPr>
        <w:t>2</w:t>
      </w:r>
      <w:r>
        <w:rPr>
          <w:rFonts w:hint="eastAsia" w:ascii="仿宋_GB2312" w:hAnsi="宋体" w:eastAsia="仿宋_GB2312" w:cs="Times New Roman"/>
          <w:bCs/>
          <w:color w:val="000000" w:themeColor="text1"/>
          <w:sz w:val="30"/>
          <w:szCs w:val="30"/>
          <w:highlight w:val="none"/>
          <w:lang w:val="en-US" w:eastAsia="zh-CN"/>
          <w14:textFill>
            <w14:solidFill>
              <w14:schemeClr w14:val="tx1"/>
            </w14:solidFill>
          </w14:textFill>
        </w:rPr>
        <w:t>026年12月31日前交付</w:t>
      </w:r>
      <w:r>
        <w:rPr>
          <w:rFonts w:hint="eastAsia" w:ascii="仿宋_GB2312" w:hAnsi="宋体" w:eastAsia="仿宋_GB2312" w:cs="Times New Roman"/>
          <w:bCs/>
          <w:color w:val="000000" w:themeColor="text1"/>
          <w:sz w:val="30"/>
          <w:szCs w:val="30"/>
          <w:highlight w:val="none"/>
          <w14:textFill>
            <w14:solidFill>
              <w14:schemeClr w14:val="tx1"/>
            </w14:solidFill>
          </w14:textFill>
        </w:rPr>
        <w:t>。</w:t>
      </w:r>
    </w:p>
    <w:bookmarkEnd w:id="17"/>
    <w:bookmarkEnd w:id="18"/>
    <w:p w14:paraId="009DA718">
      <w:pPr>
        <w:widowControl/>
        <w:adjustRightInd w:val="0"/>
        <w:snapToGrid w:val="0"/>
        <w:spacing w:line="560" w:lineRule="exact"/>
        <w:ind w:firstLine="562" w:firstLineChars="200"/>
        <w:jc w:val="left"/>
        <w:rPr>
          <w:rFonts w:ascii="仿宋_GB2312" w:hAnsi="宋体" w:eastAsia="仿宋_GB2312"/>
          <w:bCs/>
          <w:color w:val="000000" w:themeColor="text1"/>
          <w:sz w:val="30"/>
          <w:szCs w:val="30"/>
          <w:highlight w:val="none"/>
          <w14:textFill>
            <w14:solidFill>
              <w14:schemeClr w14:val="tx1"/>
            </w14:solidFill>
          </w14:textFill>
        </w:rPr>
      </w:pPr>
      <w:r>
        <w:rPr>
          <w:rFonts w:hint="eastAsia" w:ascii="仿宋" w:hAnsi="仿宋" w:eastAsia="仿宋"/>
          <w:b/>
          <w:color w:val="000000" w:themeColor="text1"/>
          <w:sz w:val="28"/>
          <w:szCs w:val="28"/>
          <w:highlight w:val="none"/>
          <w:lang w:val="en-US" w:eastAsia="zh-CN"/>
          <w14:textFill>
            <w14:solidFill>
              <w14:schemeClr w14:val="tx1"/>
            </w14:solidFill>
          </w14:textFill>
        </w:rPr>
        <w:t>六</w:t>
      </w:r>
      <w:r>
        <w:rPr>
          <w:rFonts w:hint="eastAsia" w:ascii="仿宋" w:hAnsi="仿宋" w:eastAsia="仿宋"/>
          <w:b/>
          <w:color w:val="000000" w:themeColor="text1"/>
          <w:sz w:val="28"/>
          <w:szCs w:val="28"/>
          <w:highlight w:val="none"/>
          <w14:textFill>
            <w14:solidFill>
              <w14:schemeClr w14:val="tx1"/>
            </w14:solidFill>
          </w14:textFill>
        </w:rPr>
        <w:t>、</w:t>
      </w:r>
      <w:r>
        <w:rPr>
          <w:rFonts w:hint="eastAsia" w:ascii="仿宋" w:hAnsi="仿宋" w:eastAsia="仿宋"/>
          <w:b/>
          <w:color w:val="000000" w:themeColor="text1"/>
          <w:sz w:val="28"/>
          <w:szCs w:val="28"/>
          <w:highlight w:val="none"/>
          <w:lang w:val="en-US" w:eastAsia="zh-CN"/>
          <w14:textFill>
            <w14:solidFill>
              <w14:schemeClr w14:val="tx1"/>
            </w14:solidFill>
          </w14:textFill>
        </w:rPr>
        <w:t>服务期</w:t>
      </w:r>
      <w:r>
        <w:rPr>
          <w:rFonts w:hint="eastAsia" w:ascii="仿宋" w:hAnsi="仿宋" w:eastAsia="仿宋"/>
          <w:b/>
          <w:color w:val="000000" w:themeColor="text1"/>
          <w:sz w:val="28"/>
          <w:szCs w:val="28"/>
          <w:highlight w:val="none"/>
          <w14:textFill>
            <w14:solidFill>
              <w14:schemeClr w14:val="tx1"/>
            </w14:solidFill>
          </w14:textFill>
        </w:rPr>
        <w:t>：</w:t>
      </w:r>
      <w:r>
        <w:rPr>
          <w:rFonts w:hint="eastAsia" w:ascii="仿宋_GB2312" w:hAnsi="宋体" w:eastAsia="仿宋_GB2312"/>
          <w:bCs/>
          <w:color w:val="000000" w:themeColor="text1"/>
          <w:sz w:val="30"/>
          <w:szCs w:val="30"/>
          <w:highlight w:val="none"/>
          <w14:textFill>
            <w14:solidFill>
              <w14:schemeClr w14:val="tx1"/>
            </w14:solidFill>
          </w14:textFill>
        </w:rPr>
        <w:t>自项目验收合格之日起不得低于</w:t>
      </w:r>
      <w:r>
        <w:rPr>
          <w:rFonts w:hint="eastAsia" w:ascii="仿宋_GB2312" w:hAnsi="宋体" w:eastAsia="仿宋_GB2312"/>
          <w:bCs/>
          <w:color w:val="000000" w:themeColor="text1"/>
          <w:sz w:val="30"/>
          <w:szCs w:val="30"/>
          <w:highlight w:val="none"/>
          <w:lang w:val="en-US" w:eastAsia="zh-CN"/>
          <w14:textFill>
            <w14:solidFill>
              <w14:schemeClr w14:val="tx1"/>
            </w14:solidFill>
          </w14:textFill>
        </w:rPr>
        <w:t>一</w:t>
      </w:r>
      <w:r>
        <w:rPr>
          <w:rFonts w:hint="eastAsia" w:ascii="仿宋_GB2312" w:hAnsi="宋体" w:eastAsia="仿宋_GB2312"/>
          <w:bCs/>
          <w:color w:val="000000" w:themeColor="text1"/>
          <w:sz w:val="30"/>
          <w:szCs w:val="30"/>
          <w:highlight w:val="none"/>
          <w14:textFill>
            <w14:solidFill>
              <w14:schemeClr w14:val="tx1"/>
            </w14:solidFill>
          </w14:textFill>
        </w:rPr>
        <w:t>年。</w:t>
      </w:r>
    </w:p>
    <w:p w14:paraId="2796912C">
      <w:pPr>
        <w:widowControl/>
        <w:adjustRightInd w:val="0"/>
        <w:snapToGrid w:val="0"/>
        <w:spacing w:line="560" w:lineRule="exact"/>
        <w:ind w:firstLine="562" w:firstLineChars="200"/>
        <w:jc w:val="left"/>
        <w:rPr>
          <w:rFonts w:ascii="仿宋" w:hAnsi="仿宋" w:eastAsia="仿宋"/>
          <w:b/>
          <w:color w:val="000000" w:themeColor="text1"/>
          <w:sz w:val="28"/>
          <w:szCs w:val="28"/>
          <w:highlight w:val="none"/>
          <w14:textFill>
            <w14:solidFill>
              <w14:schemeClr w14:val="tx1"/>
            </w14:solidFill>
          </w14:textFill>
        </w:rPr>
        <w:sectPr>
          <w:pgSz w:w="11906" w:h="16838"/>
          <w:pgMar w:top="1440" w:right="1077" w:bottom="1440" w:left="1077" w:header="851" w:footer="992" w:gutter="0"/>
          <w:cols w:space="720" w:num="1"/>
          <w:docGrid w:type="lines" w:linePitch="312" w:charSpace="0"/>
        </w:sectPr>
      </w:pPr>
    </w:p>
    <w:p w14:paraId="45139C28">
      <w:pPr>
        <w:pStyle w:val="42"/>
        <w:spacing w:before="0" w:after="0" w:line="360" w:lineRule="auto"/>
        <w:ind w:firstLine="646" w:firstLineChars="201"/>
        <w:rPr>
          <w:rFonts w:ascii="Times New Roman" w:hAnsi="Times New Roman"/>
          <w:color w:val="000000" w:themeColor="text1"/>
          <w:sz w:val="24"/>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第四章 评标文件内容及格式</w:t>
      </w:r>
    </w:p>
    <w:p w14:paraId="56625541">
      <w:pPr>
        <w:spacing w:line="520" w:lineRule="exact"/>
        <w:ind w:left="0" w:leftChars="0" w:firstLine="639" w:firstLineChars="213"/>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一、</w:t>
      </w:r>
      <w:r>
        <w:rPr>
          <w:rFonts w:hint="eastAsia" w:ascii="仿宋_GB2312" w:hAnsi="宋体" w:eastAsia="仿宋_GB2312"/>
          <w:color w:val="000000" w:themeColor="text1"/>
          <w:sz w:val="30"/>
          <w:szCs w:val="30"/>
          <w:highlight w:val="none"/>
          <w14:textFill>
            <w14:solidFill>
              <w14:schemeClr w14:val="tx1"/>
            </w14:solidFill>
          </w14:textFill>
        </w:rPr>
        <w:t>评标原则</w:t>
      </w:r>
    </w:p>
    <w:p w14:paraId="30970B37">
      <w:pPr>
        <w:tabs>
          <w:tab w:val="left" w:pos="540"/>
        </w:tabs>
        <w:spacing w:line="520" w:lineRule="exact"/>
        <w:ind w:firstLine="441" w:firstLineChars="147"/>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 xml:space="preserve"> “公平、公正、科学、择优”为本次评标的基本原则，评标委员会将按照这一原则的要求，公正、平等地对待各投标人，同时，在评标时恪守以下原则：</w:t>
      </w:r>
    </w:p>
    <w:p w14:paraId="54F0EBC8">
      <w:pPr>
        <w:tabs>
          <w:tab w:val="left" w:pos="540"/>
        </w:tabs>
        <w:spacing w:line="520" w:lineRule="exact"/>
        <w:ind w:firstLine="561" w:firstLineChars="187"/>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1.</w:t>
      </w:r>
      <w:r>
        <w:rPr>
          <w:rFonts w:hint="eastAsia" w:ascii="仿宋_GB2312" w:hAnsi="宋体" w:eastAsia="仿宋_GB2312"/>
          <w:color w:val="000000" w:themeColor="text1"/>
          <w:sz w:val="30"/>
          <w:szCs w:val="30"/>
          <w:highlight w:val="none"/>
          <w14:textFill>
            <w14:solidFill>
              <w14:schemeClr w14:val="tx1"/>
            </w14:solidFill>
          </w14:textFill>
        </w:rPr>
        <w:t>客观性原则：评标委员会将严格按照招标文件的要求，对投标人的投标文件进行认真评审，评标委员会对投标文件的评审仅依据投标文件本身，而不依靠投标文件以外的任何因素。</w:t>
      </w:r>
    </w:p>
    <w:p w14:paraId="4EDB2CA7">
      <w:pPr>
        <w:tabs>
          <w:tab w:val="left" w:pos="540"/>
        </w:tabs>
        <w:spacing w:line="520" w:lineRule="exact"/>
        <w:ind w:firstLine="561" w:firstLineChars="187"/>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2.</w:t>
      </w:r>
      <w:r>
        <w:rPr>
          <w:rFonts w:hint="eastAsia" w:ascii="仿宋_GB2312" w:hAnsi="宋体" w:eastAsia="仿宋_GB2312"/>
          <w:color w:val="000000" w:themeColor="text1"/>
          <w:sz w:val="30"/>
          <w:szCs w:val="30"/>
          <w:highlight w:val="none"/>
          <w14:textFill>
            <w14:solidFill>
              <w14:schemeClr w14:val="tx1"/>
            </w14:solidFill>
          </w14:textFill>
        </w:rPr>
        <w:t>统一性原则：评标委员会将按照统一的评标原则和评标方法，采用统一标准进行评标。</w:t>
      </w:r>
    </w:p>
    <w:p w14:paraId="797BAD0F">
      <w:pPr>
        <w:tabs>
          <w:tab w:val="left" w:pos="540"/>
        </w:tabs>
        <w:spacing w:line="520" w:lineRule="exact"/>
        <w:ind w:firstLine="561" w:firstLineChars="187"/>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3.</w:t>
      </w:r>
      <w:r>
        <w:rPr>
          <w:rFonts w:hint="eastAsia" w:ascii="仿宋_GB2312" w:hAnsi="宋体" w:eastAsia="仿宋_GB2312"/>
          <w:color w:val="000000" w:themeColor="text1"/>
          <w:sz w:val="30"/>
          <w:szCs w:val="30"/>
          <w:highlight w:val="none"/>
          <w14:textFill>
            <w14:solidFill>
              <w14:schemeClr w14:val="tx1"/>
            </w14:solidFill>
          </w14:textFill>
        </w:rPr>
        <w:t>独立性原则：评标工作在评标委员会内部独立进行，不受外界任何因素的干扰和影响。</w:t>
      </w:r>
    </w:p>
    <w:p w14:paraId="2819EFC3">
      <w:pPr>
        <w:tabs>
          <w:tab w:val="left" w:pos="540"/>
        </w:tabs>
        <w:spacing w:line="520" w:lineRule="exact"/>
        <w:ind w:firstLine="561" w:firstLineChars="187"/>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4.</w:t>
      </w:r>
      <w:r>
        <w:rPr>
          <w:rFonts w:hint="eastAsia" w:ascii="仿宋_GB2312" w:hAnsi="宋体" w:eastAsia="仿宋_GB2312"/>
          <w:color w:val="000000" w:themeColor="text1"/>
          <w:sz w:val="30"/>
          <w:szCs w:val="30"/>
          <w:highlight w:val="none"/>
          <w14:textFill>
            <w14:solidFill>
              <w14:schemeClr w14:val="tx1"/>
            </w14:solidFill>
          </w14:textFill>
        </w:rPr>
        <w:t>保密性原则：评标委员会及熟知情况的有关工作人员必须对每位评委的评标意见和投标人的商业秘密严格保密，不得外泄。</w:t>
      </w:r>
    </w:p>
    <w:p w14:paraId="51606B26">
      <w:pPr>
        <w:tabs>
          <w:tab w:val="left" w:pos="540"/>
        </w:tabs>
        <w:spacing w:line="520" w:lineRule="exact"/>
        <w:ind w:firstLine="561" w:firstLineChars="187"/>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5.</w:t>
      </w:r>
      <w:r>
        <w:rPr>
          <w:rFonts w:hint="eastAsia" w:ascii="仿宋_GB2312" w:hAnsi="宋体" w:eastAsia="仿宋_GB2312"/>
          <w:color w:val="000000" w:themeColor="text1"/>
          <w:sz w:val="30"/>
          <w:szCs w:val="30"/>
          <w:highlight w:val="none"/>
          <w14:textFill>
            <w14:solidFill>
              <w14:schemeClr w14:val="tx1"/>
            </w14:solidFill>
          </w14:textFill>
        </w:rPr>
        <w:t>综合性原则：评标委员会将综合分析、评审投标人的各项指标，而不以单项指标的优劣评定出中标人。</w:t>
      </w:r>
    </w:p>
    <w:p w14:paraId="0DB771E3">
      <w:pPr>
        <w:tabs>
          <w:tab w:val="left" w:pos="540"/>
          <w:tab w:val="left" w:pos="72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二、评标程序</w:t>
      </w:r>
    </w:p>
    <w:p w14:paraId="5EC20D34">
      <w:pPr>
        <w:adjustRightInd w:val="0"/>
        <w:snapToGrid w:val="0"/>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1.开标结束后，采购人或者采购代理机构依法对投标人的资格进行审查。</w:t>
      </w:r>
    </w:p>
    <w:p w14:paraId="5595519B">
      <w:pPr>
        <w:adjustRightInd w:val="0"/>
        <w:snapToGrid w:val="0"/>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2.评标委员会对符合资格的投标人的投标文件进行符合性审查，以确定其是否满足招标文件的实质性要求。</w:t>
      </w:r>
    </w:p>
    <w:p w14:paraId="74051BE3">
      <w:pPr>
        <w:adjustRightInd w:val="0"/>
        <w:snapToGrid w:val="0"/>
        <w:spacing w:line="520" w:lineRule="exact"/>
        <w:ind w:firstLine="600" w:firstLineChars="200"/>
        <w:rPr>
          <w:rFonts w:ascii="仿宋_GB2312" w:hAnsi="宋体" w:eastAsia="仿宋_GB2312"/>
          <w:b/>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3.出现下列情形之一的，视为对招标文件未做出实质性响应，按照无效投标处理。</w:t>
      </w:r>
    </w:p>
    <w:p w14:paraId="253E03BA">
      <w:pPr>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详见《投标须知前附表》-《实质性条款一览表》中符合性检查条款。</w:t>
      </w:r>
    </w:p>
    <w:p w14:paraId="4C861B53">
      <w:pPr>
        <w:tabs>
          <w:tab w:val="left" w:pos="540"/>
          <w:tab w:val="left" w:pos="72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4.属于无效投标的，投标人不能通过修正或撤销投标文件中不符合之处而成为实质性响应的投标，招标公司将通知投标人，并说明无效投标理由；属于有效投标文件的，将进行下一轮次的询标和澄清。</w:t>
      </w:r>
    </w:p>
    <w:p w14:paraId="085C5E8B">
      <w:pPr>
        <w:tabs>
          <w:tab w:val="left" w:pos="540"/>
          <w:tab w:val="left" w:pos="72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5.询标和澄清</w:t>
      </w:r>
    </w:p>
    <w:p w14:paraId="0DD8857E">
      <w:pPr>
        <w:tabs>
          <w:tab w:val="left" w:pos="540"/>
          <w:tab w:val="left" w:pos="72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依法登记的负责人）或被授权人签字，且不得超出投标文件的范围或者改变投标文件的实质性内容。</w:t>
      </w:r>
    </w:p>
    <w:p w14:paraId="4BDD6442">
      <w:pPr>
        <w:tabs>
          <w:tab w:val="left" w:pos="540"/>
          <w:tab w:val="left" w:pos="72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(2)投标人依据评审要求进行澄清、说明或者补正的内容构成投标文件的组成部分。</w:t>
      </w:r>
    </w:p>
    <w:p w14:paraId="4868A087">
      <w:pPr>
        <w:tabs>
          <w:tab w:val="left" w:pos="540"/>
          <w:tab w:val="left" w:pos="72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6.比较与评价</w:t>
      </w:r>
    </w:p>
    <w:p w14:paraId="34776DBF">
      <w:pPr>
        <w:tabs>
          <w:tab w:val="left" w:pos="540"/>
          <w:tab w:val="left" w:pos="72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技术方面得分高的排前。</w:t>
      </w:r>
    </w:p>
    <w:p w14:paraId="7E7D6707">
      <w:pPr>
        <w:tabs>
          <w:tab w:val="left" w:pos="540"/>
        </w:tabs>
        <w:spacing w:line="520" w:lineRule="exact"/>
        <w:ind w:firstLine="602" w:firstLineChars="200"/>
        <w:rPr>
          <w:rFonts w:ascii="仿宋_GB2312" w:hAnsi="宋体" w:eastAsia="仿宋_GB2312"/>
          <w:bCs/>
          <w:color w:val="000000" w:themeColor="text1"/>
          <w:sz w:val="30"/>
          <w:szCs w:val="30"/>
          <w:highlight w:val="none"/>
          <w14:textFill>
            <w14:solidFill>
              <w14:schemeClr w14:val="tx1"/>
            </w14:solidFill>
          </w14:textFill>
        </w:rPr>
      </w:pPr>
      <w:r>
        <w:rPr>
          <w:rFonts w:ascii="仿宋_GB2312" w:eastAsia="仿宋_GB2312"/>
          <w:b/>
          <w:bCs/>
          <w:color w:val="000000" w:themeColor="text1"/>
          <w:sz w:val="30"/>
          <w:szCs w:val="30"/>
          <w:highlight w:val="none"/>
          <w14:textFill>
            <w14:solidFill>
              <w14:schemeClr w14:val="tx1"/>
            </w14:solidFill>
          </w14:textFill>
        </w:rPr>
        <w:t>7</w:t>
      </w:r>
      <w:r>
        <w:rPr>
          <w:rFonts w:hint="eastAsia" w:ascii="仿宋_GB2312" w:eastAsia="仿宋_GB2312"/>
          <w:b/>
          <w:bCs/>
          <w:color w:val="000000" w:themeColor="text1"/>
          <w:sz w:val="30"/>
          <w:szCs w:val="30"/>
          <w:highlight w:val="none"/>
          <w14:textFill>
            <w14:solidFill>
              <w14:schemeClr w14:val="tx1"/>
            </w14:solidFill>
          </w14:textFill>
        </w:rPr>
        <w:t>.评标方法</w:t>
      </w:r>
    </w:p>
    <w:p w14:paraId="3EA57B21">
      <w:pPr>
        <w:tabs>
          <w:tab w:val="left" w:pos="54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(1)评标方法：综合评分法。</w:t>
      </w:r>
    </w:p>
    <w:p w14:paraId="09537B57">
      <w:pPr>
        <w:tabs>
          <w:tab w:val="left" w:pos="540"/>
        </w:tabs>
        <w:spacing w:line="520" w:lineRule="exact"/>
        <w:ind w:firstLine="600" w:firstLineChars="200"/>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(2)评标细则：</w:t>
      </w:r>
    </w:p>
    <w:tbl>
      <w:tblPr>
        <w:tblStyle w:val="47"/>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5"/>
        <w:gridCol w:w="738"/>
        <w:gridCol w:w="1134"/>
        <w:gridCol w:w="5256"/>
        <w:gridCol w:w="1026"/>
        <w:gridCol w:w="773"/>
      </w:tblGrid>
      <w:tr w14:paraId="7B05CE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shd w:val="clear" w:color="auto" w:fill="D9D9D9"/>
            <w:vAlign w:val="center"/>
          </w:tcPr>
          <w:p w14:paraId="32700108">
            <w:pPr>
              <w:pStyle w:val="13"/>
              <w:ind w:firstLine="0"/>
              <w:jc w:val="center"/>
              <w:rPr>
                <w:rFonts w:ascii="仿宋_GB2312" w:hAnsi="仿宋" w:eastAsia="仿宋_GB2312"/>
                <w:b/>
                <w:color w:val="000000" w:themeColor="text1"/>
                <w:sz w:val="24"/>
                <w:szCs w:val="24"/>
                <w:highlight w:val="none"/>
                <w14:textFill>
                  <w14:solidFill>
                    <w14:schemeClr w14:val="tx1"/>
                  </w14:solidFill>
                </w14:textFill>
              </w:rPr>
            </w:pPr>
            <w:r>
              <w:rPr>
                <w:rFonts w:hint="eastAsia" w:ascii="仿宋_GB2312" w:hAnsi="仿宋" w:eastAsia="仿宋_GB2312"/>
                <w:b/>
                <w:color w:val="000000" w:themeColor="text1"/>
                <w:sz w:val="24"/>
                <w:szCs w:val="24"/>
                <w:highlight w:val="none"/>
                <w14:textFill>
                  <w14:solidFill>
                    <w14:schemeClr w14:val="tx1"/>
                  </w14:solidFill>
                </w14:textFill>
              </w:rPr>
              <w:t>编号</w:t>
            </w:r>
          </w:p>
        </w:tc>
        <w:tc>
          <w:tcPr>
            <w:tcW w:w="738" w:type="dxa"/>
            <w:shd w:val="clear" w:color="auto" w:fill="D9D9D9"/>
            <w:vAlign w:val="center"/>
          </w:tcPr>
          <w:p w14:paraId="28E270E6">
            <w:pPr>
              <w:pStyle w:val="13"/>
              <w:ind w:firstLine="0"/>
              <w:jc w:val="center"/>
              <w:rPr>
                <w:rFonts w:ascii="仿宋_GB2312" w:hAnsi="仿宋" w:eastAsia="仿宋_GB2312"/>
                <w:b/>
                <w:color w:val="000000" w:themeColor="text1"/>
                <w:sz w:val="24"/>
                <w:szCs w:val="24"/>
                <w:highlight w:val="none"/>
                <w14:textFill>
                  <w14:solidFill>
                    <w14:schemeClr w14:val="tx1"/>
                  </w14:solidFill>
                </w14:textFill>
              </w:rPr>
            </w:pPr>
            <w:r>
              <w:rPr>
                <w:rFonts w:hint="eastAsia" w:ascii="仿宋_GB2312" w:hAnsi="仿宋" w:eastAsia="仿宋_GB2312"/>
                <w:b/>
                <w:color w:val="000000" w:themeColor="text1"/>
                <w:sz w:val="24"/>
                <w:szCs w:val="24"/>
                <w:highlight w:val="none"/>
                <w14:textFill>
                  <w14:solidFill>
                    <w14:schemeClr w14:val="tx1"/>
                  </w14:solidFill>
                </w14:textFill>
              </w:rPr>
              <w:t>类型</w:t>
            </w:r>
          </w:p>
        </w:tc>
        <w:tc>
          <w:tcPr>
            <w:tcW w:w="1134" w:type="dxa"/>
            <w:shd w:val="clear" w:color="auto" w:fill="D9D9D9"/>
            <w:vAlign w:val="center"/>
          </w:tcPr>
          <w:p w14:paraId="1D5674C6">
            <w:pPr>
              <w:pStyle w:val="13"/>
              <w:ind w:firstLine="0"/>
              <w:jc w:val="center"/>
              <w:rPr>
                <w:rFonts w:ascii="仿宋_GB2312" w:hAnsi="仿宋" w:eastAsia="仿宋_GB2312"/>
                <w:b/>
                <w:color w:val="000000" w:themeColor="text1"/>
                <w:sz w:val="24"/>
                <w:szCs w:val="24"/>
                <w:highlight w:val="none"/>
                <w14:textFill>
                  <w14:solidFill>
                    <w14:schemeClr w14:val="tx1"/>
                  </w14:solidFill>
                </w14:textFill>
              </w:rPr>
            </w:pPr>
            <w:r>
              <w:rPr>
                <w:rFonts w:hint="eastAsia" w:ascii="仿宋_GB2312" w:hAnsi="仿宋" w:eastAsia="仿宋_GB2312"/>
                <w:b/>
                <w:color w:val="000000" w:themeColor="text1"/>
                <w:sz w:val="24"/>
                <w:szCs w:val="24"/>
                <w:highlight w:val="none"/>
                <w14:textFill>
                  <w14:solidFill>
                    <w14:schemeClr w14:val="tx1"/>
                  </w14:solidFill>
                </w14:textFill>
              </w:rPr>
              <w:t>评分标题</w:t>
            </w:r>
          </w:p>
        </w:tc>
        <w:tc>
          <w:tcPr>
            <w:tcW w:w="5256" w:type="dxa"/>
            <w:shd w:val="clear" w:color="auto" w:fill="D9D9D9"/>
            <w:vAlign w:val="center"/>
          </w:tcPr>
          <w:p w14:paraId="17218F67">
            <w:pPr>
              <w:pStyle w:val="13"/>
              <w:ind w:firstLine="0"/>
              <w:jc w:val="center"/>
              <w:rPr>
                <w:rFonts w:ascii="仿宋_GB2312" w:hAnsi="仿宋" w:eastAsia="仿宋_GB2312"/>
                <w:b/>
                <w:color w:val="000000" w:themeColor="text1"/>
                <w:sz w:val="24"/>
                <w:szCs w:val="24"/>
                <w:highlight w:val="none"/>
                <w14:textFill>
                  <w14:solidFill>
                    <w14:schemeClr w14:val="tx1"/>
                  </w14:solidFill>
                </w14:textFill>
              </w:rPr>
            </w:pPr>
            <w:r>
              <w:rPr>
                <w:rFonts w:hint="eastAsia" w:ascii="仿宋_GB2312" w:hAnsi="仿宋" w:eastAsia="仿宋_GB2312"/>
                <w:b/>
                <w:color w:val="000000" w:themeColor="text1"/>
                <w:sz w:val="24"/>
                <w:szCs w:val="24"/>
                <w:highlight w:val="none"/>
                <w14:textFill>
                  <w14:solidFill>
                    <w14:schemeClr w14:val="tx1"/>
                  </w14:solidFill>
                </w14:textFill>
              </w:rPr>
              <w:t>评分标准</w:t>
            </w:r>
          </w:p>
        </w:tc>
        <w:tc>
          <w:tcPr>
            <w:tcW w:w="1026" w:type="dxa"/>
            <w:shd w:val="clear" w:color="auto" w:fill="D9D9D9"/>
            <w:vAlign w:val="center"/>
          </w:tcPr>
          <w:p w14:paraId="38F3F11D">
            <w:pPr>
              <w:pStyle w:val="13"/>
              <w:ind w:firstLine="0"/>
              <w:jc w:val="center"/>
              <w:rPr>
                <w:rFonts w:ascii="仿宋_GB2312" w:hAnsi="仿宋" w:eastAsia="仿宋_GB2312"/>
                <w:b/>
                <w:color w:val="000000" w:themeColor="text1"/>
                <w:sz w:val="24"/>
                <w:szCs w:val="24"/>
                <w:highlight w:val="none"/>
                <w14:textFill>
                  <w14:solidFill>
                    <w14:schemeClr w14:val="tx1"/>
                  </w14:solidFill>
                </w14:textFill>
              </w:rPr>
            </w:pPr>
            <w:r>
              <w:rPr>
                <w:rFonts w:hint="eastAsia" w:ascii="仿宋_GB2312" w:hAnsi="仿宋" w:eastAsia="仿宋_GB2312"/>
                <w:b/>
                <w:color w:val="000000" w:themeColor="text1"/>
                <w:sz w:val="24"/>
                <w:szCs w:val="24"/>
                <w:highlight w:val="none"/>
                <w14:textFill>
                  <w14:solidFill>
                    <w14:schemeClr w14:val="tx1"/>
                  </w14:solidFill>
                </w14:textFill>
              </w:rPr>
              <w:t>性质</w:t>
            </w:r>
          </w:p>
        </w:tc>
        <w:tc>
          <w:tcPr>
            <w:tcW w:w="773" w:type="dxa"/>
            <w:shd w:val="clear" w:color="auto" w:fill="D9D9D9"/>
            <w:vAlign w:val="center"/>
          </w:tcPr>
          <w:p w14:paraId="3BD1F381">
            <w:pPr>
              <w:pStyle w:val="13"/>
              <w:ind w:firstLine="0"/>
              <w:jc w:val="center"/>
              <w:rPr>
                <w:rFonts w:ascii="仿宋_GB2312" w:hAnsi="仿宋" w:eastAsia="仿宋_GB2312"/>
                <w:b/>
                <w:color w:val="000000" w:themeColor="text1"/>
                <w:sz w:val="24"/>
                <w:szCs w:val="24"/>
                <w:highlight w:val="none"/>
                <w14:textFill>
                  <w14:solidFill>
                    <w14:schemeClr w14:val="tx1"/>
                  </w14:solidFill>
                </w14:textFill>
              </w:rPr>
            </w:pPr>
            <w:r>
              <w:rPr>
                <w:rFonts w:hint="eastAsia" w:ascii="仿宋_GB2312" w:hAnsi="仿宋" w:eastAsia="仿宋_GB2312"/>
                <w:b/>
                <w:color w:val="000000" w:themeColor="text1"/>
                <w:sz w:val="24"/>
                <w:szCs w:val="24"/>
                <w:highlight w:val="none"/>
                <w14:textFill>
                  <w14:solidFill>
                    <w14:schemeClr w14:val="tx1"/>
                  </w14:solidFill>
                </w14:textFill>
              </w:rPr>
              <w:t>分数</w:t>
            </w:r>
          </w:p>
        </w:tc>
      </w:tr>
      <w:tr w14:paraId="4EFA77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vAlign w:val="center"/>
          </w:tcPr>
          <w:p w14:paraId="0E205407">
            <w:pPr>
              <w:pStyle w:val="13"/>
              <w:ind w:firstLine="0"/>
              <w:jc w:val="center"/>
              <w:rPr>
                <w:rFonts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14:textFill>
                  <w14:solidFill>
                    <w14:schemeClr w14:val="tx1"/>
                  </w14:solidFill>
                </w14:textFill>
              </w:rPr>
              <w:t>1</w:t>
            </w:r>
          </w:p>
        </w:tc>
        <w:tc>
          <w:tcPr>
            <w:tcW w:w="738" w:type="dxa"/>
            <w:vAlign w:val="center"/>
          </w:tcPr>
          <w:p w14:paraId="43482A4D">
            <w:pPr>
              <w:pStyle w:val="13"/>
              <w:ind w:firstLine="0"/>
              <w:jc w:val="center"/>
              <w:rPr>
                <w:rFonts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14:textFill>
                  <w14:solidFill>
                    <w14:schemeClr w14:val="tx1"/>
                  </w14:solidFill>
                </w14:textFill>
              </w:rPr>
              <w:t>价格</w:t>
            </w:r>
          </w:p>
        </w:tc>
        <w:tc>
          <w:tcPr>
            <w:tcW w:w="1134" w:type="dxa"/>
            <w:vAlign w:val="center"/>
          </w:tcPr>
          <w:p w14:paraId="698A4955">
            <w:pPr>
              <w:pStyle w:val="13"/>
              <w:ind w:firstLine="0"/>
              <w:jc w:val="center"/>
              <w:rPr>
                <w:rFonts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14:textFill>
                  <w14:solidFill>
                    <w14:schemeClr w14:val="tx1"/>
                  </w14:solidFill>
                </w14:textFill>
              </w:rPr>
              <w:t>价格分</w:t>
            </w:r>
          </w:p>
        </w:tc>
        <w:tc>
          <w:tcPr>
            <w:tcW w:w="5256" w:type="dxa"/>
            <w:vAlign w:val="center"/>
          </w:tcPr>
          <w:p w14:paraId="4E34A216">
            <w:pPr>
              <w:pStyle w:val="13"/>
              <w:ind w:firstLine="0"/>
              <w:rPr>
                <w:rFonts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14:textFill>
                  <w14:solidFill>
                    <w14:schemeClr w14:val="tx1"/>
                  </w14:solidFill>
                </w14:textFill>
              </w:rPr>
              <w:t>满足招标文件要求且投标价格最低的投标报价为评标基准价，其价格分为满分（标准分）。其他投标人的价格分统一按照下列公式计算：投标报价得分=(评标基准价／投标报价)×</w:t>
            </w: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1</w:t>
            </w:r>
            <w:r>
              <w:rPr>
                <w:rFonts w:hint="eastAsia" w:ascii="仿宋_GB2312" w:hAnsi="仿宋" w:eastAsia="仿宋_GB2312"/>
                <w:bCs/>
                <w:color w:val="000000" w:themeColor="text1"/>
                <w:sz w:val="24"/>
                <w:szCs w:val="24"/>
                <w:highlight w:val="none"/>
                <w14:textFill>
                  <w14:solidFill>
                    <w14:schemeClr w14:val="tx1"/>
                  </w14:solidFill>
                </w14:textFill>
              </w:rPr>
              <w:t>0。</w:t>
            </w:r>
          </w:p>
        </w:tc>
        <w:tc>
          <w:tcPr>
            <w:tcW w:w="1026" w:type="dxa"/>
            <w:vAlign w:val="center"/>
          </w:tcPr>
          <w:p w14:paraId="01D80C2C">
            <w:pPr>
              <w:pStyle w:val="13"/>
              <w:ind w:firstLine="0"/>
              <w:jc w:val="center"/>
              <w:rPr>
                <w:rFonts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14:textFill>
                  <w14:solidFill>
                    <w14:schemeClr w14:val="tx1"/>
                  </w14:solidFill>
                </w14:textFill>
              </w:rPr>
              <w:t>系统分</w:t>
            </w:r>
          </w:p>
        </w:tc>
        <w:tc>
          <w:tcPr>
            <w:tcW w:w="773" w:type="dxa"/>
            <w:vAlign w:val="center"/>
          </w:tcPr>
          <w:p w14:paraId="59742F6F">
            <w:pPr>
              <w:pStyle w:val="13"/>
              <w:ind w:firstLine="0"/>
              <w:jc w:val="center"/>
              <w:rPr>
                <w:rFonts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1</w:t>
            </w:r>
            <w:r>
              <w:rPr>
                <w:rFonts w:hint="eastAsia" w:ascii="仿宋_GB2312" w:hAnsi="仿宋" w:eastAsia="仿宋_GB2312"/>
                <w:bCs/>
                <w:color w:val="000000" w:themeColor="text1"/>
                <w:sz w:val="24"/>
                <w:szCs w:val="24"/>
                <w:highlight w:val="none"/>
                <w14:textFill>
                  <w14:solidFill>
                    <w14:schemeClr w14:val="tx1"/>
                  </w14:solidFill>
                </w14:textFill>
              </w:rPr>
              <w:t>0.00</w:t>
            </w:r>
          </w:p>
        </w:tc>
      </w:tr>
      <w:tr w14:paraId="72B80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vAlign w:val="center"/>
          </w:tcPr>
          <w:p w14:paraId="4E0C4AB3">
            <w:pPr>
              <w:pStyle w:val="13"/>
              <w:ind w:firstLine="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2</w:t>
            </w:r>
          </w:p>
        </w:tc>
        <w:tc>
          <w:tcPr>
            <w:tcW w:w="738" w:type="dxa"/>
            <w:vAlign w:val="center"/>
          </w:tcPr>
          <w:p w14:paraId="1A06965B">
            <w:pPr>
              <w:pStyle w:val="13"/>
              <w:ind w:firstLine="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技术</w:t>
            </w:r>
          </w:p>
        </w:tc>
        <w:tc>
          <w:tcPr>
            <w:tcW w:w="1134" w:type="dxa"/>
            <w:vAlign w:val="center"/>
          </w:tcPr>
          <w:p w14:paraId="3C2BB254">
            <w:pPr>
              <w:pStyle w:val="13"/>
              <w:ind w:firstLine="0"/>
              <w:jc w:val="center"/>
              <w:rPr>
                <w:rFonts w:hint="eastAsia"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14:textFill>
                  <w14:solidFill>
                    <w14:schemeClr w14:val="tx1"/>
                  </w14:solidFill>
                </w14:textFill>
              </w:rPr>
              <w:t>系统开发方案</w:t>
            </w:r>
          </w:p>
        </w:tc>
        <w:tc>
          <w:tcPr>
            <w:tcW w:w="5256" w:type="dxa"/>
            <w:vAlign w:val="center"/>
          </w:tcPr>
          <w:p w14:paraId="4DDBF394">
            <w:pPr>
              <w:pStyle w:val="13"/>
              <w:ind w:firstLine="0"/>
              <w:jc w:val="left"/>
              <w:rPr>
                <w:rFonts w:hint="eastAsia" w:ascii="仿宋_GB2312" w:hAnsi="Times New Roman" w:eastAsia="仿宋_GB2312"/>
                <w:bCs/>
                <w:color w:val="000000" w:themeColor="text1"/>
                <w:sz w:val="24"/>
                <w:szCs w:val="24"/>
                <w:highlight w:val="none"/>
                <w14:textFill>
                  <w14:solidFill>
                    <w14:schemeClr w14:val="tx1"/>
                  </w14:solidFill>
                </w14:textFill>
              </w:rPr>
            </w:pPr>
            <w:r>
              <w:rPr>
                <w:rFonts w:hint="eastAsia" w:ascii="仿宋_GB2312" w:hAnsi="Times New Roman" w:eastAsia="仿宋_GB2312"/>
                <w:bCs/>
                <w:color w:val="000000" w:themeColor="text1"/>
                <w:sz w:val="24"/>
                <w:szCs w:val="24"/>
                <w:highlight w:val="none"/>
                <w14:textFill>
                  <w14:solidFill>
                    <w14:schemeClr w14:val="tx1"/>
                  </w14:solidFill>
                </w14:textFill>
              </w:rPr>
              <w:t>由评委审核各投标人的投标文件后根据以下标准进行打分：</w:t>
            </w:r>
          </w:p>
          <w:p w14:paraId="4EEE4365">
            <w:pPr>
              <w:pStyle w:val="13"/>
              <w:ind w:firstLine="0"/>
              <w:jc w:val="left"/>
              <w:rPr>
                <w:rFonts w:hint="eastAsia" w:ascii="仿宋_GB2312" w:hAnsi="Times New Roman" w:eastAsia="仿宋_GB2312"/>
                <w:bCs/>
                <w:color w:val="000000" w:themeColor="text1"/>
                <w:sz w:val="24"/>
                <w:szCs w:val="24"/>
                <w:highlight w:val="none"/>
                <w:lang w:val="en-US" w:eastAsia="zh-CN"/>
                <w14:textFill>
                  <w14:solidFill>
                    <w14:schemeClr w14:val="tx1"/>
                  </w14:solidFill>
                </w14:textFill>
              </w:rPr>
            </w:pPr>
            <w:r>
              <w:rPr>
                <w:rFonts w:hint="eastAsia" w:ascii="仿宋_GB2312" w:hAnsi="Times New Roman" w:eastAsia="仿宋_GB2312"/>
                <w:bCs/>
                <w:color w:val="000000" w:themeColor="text1"/>
                <w:sz w:val="24"/>
                <w:szCs w:val="24"/>
                <w:highlight w:val="none"/>
                <w14:textFill>
                  <w14:solidFill>
                    <w14:schemeClr w14:val="tx1"/>
                  </w14:solidFill>
                </w14:textFill>
              </w:rPr>
              <w:t>1</w:t>
            </w:r>
            <w:r>
              <w:rPr>
                <w:rFonts w:hint="eastAsia" w:ascii="仿宋_GB2312" w:hAnsi="Times New Roman" w:eastAsia="仿宋_GB2312"/>
                <w:bCs/>
                <w:color w:val="000000" w:themeColor="text1"/>
                <w:sz w:val="24"/>
                <w:szCs w:val="24"/>
                <w:highlight w:val="none"/>
                <w:lang w:val="en-US" w:eastAsia="zh-CN"/>
                <w14:textFill>
                  <w14:solidFill>
                    <w14:schemeClr w14:val="tx1"/>
                  </w14:solidFill>
                </w14:textFill>
              </w:rPr>
              <w:t>.投标人的系统开发方案对采购人的要求理解准确，切实可行，能够透彻理解并全面分析本项目所需各系统的业务场景、功能边界与技术要求，精准识别核心需求与潜在风险。</w:t>
            </w:r>
          </w:p>
          <w:p w14:paraId="348E1081">
            <w:pPr>
              <w:pStyle w:val="13"/>
              <w:ind w:firstLine="0"/>
              <w:jc w:val="left"/>
              <w:rPr>
                <w:rFonts w:hint="eastAsia" w:ascii="仿宋_GB2312" w:hAnsi="Times New Roman" w:eastAsia="仿宋_GB2312"/>
                <w:bCs/>
                <w:color w:val="000000" w:themeColor="text1"/>
                <w:sz w:val="24"/>
                <w:szCs w:val="24"/>
                <w:highlight w:val="none"/>
                <w:lang w:val="en-US" w:eastAsia="zh-CN"/>
                <w14:textFill>
                  <w14:solidFill>
                    <w14:schemeClr w14:val="tx1"/>
                  </w14:solidFill>
                </w14:textFill>
              </w:rPr>
            </w:pPr>
            <w:r>
              <w:rPr>
                <w:rFonts w:hint="eastAsia" w:ascii="仿宋_GB2312" w:hAnsi="Times New Roman" w:eastAsia="仿宋_GB2312"/>
                <w:bCs/>
                <w:color w:val="000000" w:themeColor="text1"/>
                <w:sz w:val="24"/>
                <w:szCs w:val="24"/>
                <w:highlight w:val="none"/>
                <w:lang w:val="en-US" w:eastAsia="zh-CN"/>
                <w14:textFill>
                  <w14:solidFill>
                    <w14:schemeClr w14:val="tx1"/>
                  </w14:solidFill>
                </w14:textFill>
              </w:rPr>
              <w:t>2.投标人的系统开发方案内容齐全、结构完整、逻辑清晰，功能模块划分清晰，完整覆盖本项目各系统的建设目标、实施路径、技术架构与交付标准，且表述严谨、条理分明。</w:t>
            </w:r>
          </w:p>
          <w:p w14:paraId="47FBB991">
            <w:pPr>
              <w:pStyle w:val="13"/>
              <w:ind w:firstLine="0"/>
              <w:jc w:val="left"/>
              <w:rPr>
                <w:rFonts w:hint="eastAsia" w:ascii="仿宋_GB2312" w:hAnsi="Times New Roman" w:eastAsia="仿宋_GB2312"/>
                <w:bCs/>
                <w:color w:val="000000" w:themeColor="text1"/>
                <w:sz w:val="24"/>
                <w:szCs w:val="24"/>
                <w:highlight w:val="none"/>
                <w:lang w:val="en-US" w:eastAsia="zh-CN"/>
                <w14:textFill>
                  <w14:solidFill>
                    <w14:schemeClr w14:val="tx1"/>
                  </w14:solidFill>
                </w14:textFill>
              </w:rPr>
            </w:pPr>
            <w:r>
              <w:rPr>
                <w:rFonts w:hint="eastAsia" w:ascii="仿宋_GB2312" w:hAnsi="Times New Roman" w:eastAsia="仿宋_GB2312"/>
                <w:bCs/>
                <w:color w:val="000000" w:themeColor="text1"/>
                <w:sz w:val="24"/>
                <w:szCs w:val="24"/>
                <w:highlight w:val="none"/>
                <w:lang w:val="en-US" w:eastAsia="zh-CN"/>
                <w14:textFill>
                  <w14:solidFill>
                    <w14:schemeClr w14:val="tx1"/>
                  </w14:solidFill>
                </w14:textFill>
              </w:rPr>
              <w:t>3.投标人的系统开发方案能够充分满足系统的实用性、先进性与规范性要求，同时配套硬件设施配置完善、参数达标，可完全支撑系统稳定运行并满足采购需求。</w:t>
            </w:r>
          </w:p>
          <w:p w14:paraId="512D99CD">
            <w:pPr>
              <w:pStyle w:val="13"/>
              <w:ind w:firstLine="0"/>
              <w:jc w:val="left"/>
              <w:rPr>
                <w:rFonts w:hint="default" w:ascii="仿宋_GB2312" w:hAnsi="Times New Roman" w:eastAsia="仿宋_GB2312"/>
                <w:bCs/>
                <w:color w:val="000000" w:themeColor="text1"/>
                <w:sz w:val="24"/>
                <w:szCs w:val="24"/>
                <w:highlight w:val="none"/>
                <w:lang w:val="en-US" w:eastAsia="zh-CN"/>
                <w14:textFill>
                  <w14:solidFill>
                    <w14:schemeClr w14:val="tx1"/>
                  </w14:solidFill>
                </w14:textFill>
              </w:rPr>
            </w:pPr>
            <w:r>
              <w:rPr>
                <w:rFonts w:hint="eastAsia" w:ascii="仿宋_GB2312" w:hAnsi="Times New Roman" w:eastAsia="仿宋_GB2312"/>
                <w:bCs/>
                <w:color w:val="000000" w:themeColor="text1"/>
                <w:sz w:val="24"/>
                <w:szCs w:val="24"/>
                <w:highlight w:val="none"/>
                <w:lang w:val="en-US" w:eastAsia="zh-CN"/>
                <w14:textFill>
                  <w14:solidFill>
                    <w14:schemeClr w14:val="tx1"/>
                  </w14:solidFill>
                </w14:textFill>
              </w:rPr>
              <w:t>4.投标人所开发的系统兼容性能良好，能够与采购人现有平台、数据标准及第三方业务系统实现无缝对接，且在架构设计、数据处理或扩展能力等方面具备独到技术优势。</w:t>
            </w:r>
          </w:p>
          <w:p w14:paraId="4751B182">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共计3项，每项满分8分，在此基础上每有一处瑕疵减1分，减完为止。缺条项，该项不得分。</w:t>
            </w:r>
          </w:p>
          <w:p w14:paraId="1837EE7D">
            <w:pPr>
              <w:pStyle w:val="13"/>
              <w:ind w:firstLine="0"/>
              <w:rPr>
                <w:rFonts w:hint="eastAsia"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注：瑕疵指内容凭空编造、存在无关的事项、内容不全面、套用其他项目方案、规范标准错误、项目地点错误、内容粗略、存在不可能实现的夸大情形。</w:t>
            </w:r>
          </w:p>
        </w:tc>
        <w:tc>
          <w:tcPr>
            <w:tcW w:w="1026" w:type="dxa"/>
            <w:vAlign w:val="center"/>
          </w:tcPr>
          <w:p w14:paraId="554659A4">
            <w:pPr>
              <w:pStyle w:val="13"/>
              <w:ind w:firstLine="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主观分</w:t>
            </w:r>
          </w:p>
        </w:tc>
        <w:tc>
          <w:tcPr>
            <w:tcW w:w="773" w:type="dxa"/>
            <w:vAlign w:val="center"/>
          </w:tcPr>
          <w:p w14:paraId="3D28FC9B">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24.00</w:t>
            </w:r>
          </w:p>
        </w:tc>
      </w:tr>
      <w:tr w14:paraId="33B180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vAlign w:val="center"/>
          </w:tcPr>
          <w:p w14:paraId="14B4182A">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3</w:t>
            </w:r>
          </w:p>
        </w:tc>
        <w:tc>
          <w:tcPr>
            <w:tcW w:w="738" w:type="dxa"/>
            <w:vAlign w:val="center"/>
          </w:tcPr>
          <w:p w14:paraId="6A229646">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技术</w:t>
            </w:r>
          </w:p>
        </w:tc>
        <w:tc>
          <w:tcPr>
            <w:tcW w:w="1134" w:type="dxa"/>
            <w:vAlign w:val="center"/>
          </w:tcPr>
          <w:p w14:paraId="0325AB60">
            <w:pPr>
              <w:pStyle w:val="13"/>
              <w:ind w:firstLine="0"/>
              <w:jc w:val="center"/>
              <w:rPr>
                <w:rFonts w:hint="eastAsia" w:ascii="仿宋_GB2312" w:hAnsi="仿宋" w:eastAsia="仿宋_GB2312"/>
                <w:bCs/>
                <w:color w:val="000000" w:themeColor="text1"/>
                <w:sz w:val="24"/>
                <w:szCs w:val="24"/>
                <w:highlight w:val="none"/>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项目实施方案</w:t>
            </w:r>
          </w:p>
        </w:tc>
        <w:tc>
          <w:tcPr>
            <w:tcW w:w="5256" w:type="dxa"/>
            <w:vAlign w:val="center"/>
          </w:tcPr>
          <w:p w14:paraId="043E9074">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根据投标人提供的项目组织实施方案按照以下标准进行打分：</w:t>
            </w:r>
          </w:p>
          <w:p w14:paraId="12B61C34">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①安装调试方案流程清晰、步骤完整、可落地性强。</w:t>
            </w:r>
          </w:p>
          <w:p w14:paraId="0790238E">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②试运行方案阶段划分合理、监测机制完善、能有效验证系统稳定性。</w:t>
            </w:r>
          </w:p>
          <w:p w14:paraId="70217C7F">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③测试方案场景覆盖全面、标准明确、能完整验证系统功能性能。</w:t>
            </w:r>
          </w:p>
          <w:p w14:paraId="285651C9">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④实施进度计划节点清晰、路径合理、能保障按期交付。</w:t>
            </w:r>
          </w:p>
          <w:p w14:paraId="17092D1A">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⑤实施过程和步骤阶段衔接顺畅、关键环节管控到位。</w:t>
            </w:r>
          </w:p>
          <w:p w14:paraId="6F1E2E31">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⑥投标人项目质量保证措施完整、可行、具有针对性。</w:t>
            </w:r>
          </w:p>
          <w:p w14:paraId="1ABBE808">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⑦配备的专职培训人员或讲师，制定详细的培训计划，进行现场培训并免费提供相关培训资料，培训内容完备、安排合理，对培训实行效果跟踪。</w:t>
            </w:r>
          </w:p>
          <w:p w14:paraId="38E09D11">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共计7项，每项内容具有科学性、合理性、规范性和可操作性得满分3分，在此基础上每有一处描述不清或瑕疵减1分，减完为止。缺条项该项不得分。</w:t>
            </w:r>
          </w:p>
        </w:tc>
        <w:tc>
          <w:tcPr>
            <w:tcW w:w="1026" w:type="dxa"/>
            <w:vAlign w:val="center"/>
          </w:tcPr>
          <w:p w14:paraId="34F16098">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主观分</w:t>
            </w:r>
          </w:p>
        </w:tc>
        <w:tc>
          <w:tcPr>
            <w:tcW w:w="773" w:type="dxa"/>
            <w:vAlign w:val="center"/>
          </w:tcPr>
          <w:p w14:paraId="398048CE">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21.00</w:t>
            </w:r>
          </w:p>
        </w:tc>
      </w:tr>
      <w:tr w14:paraId="64AB10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vAlign w:val="center"/>
          </w:tcPr>
          <w:p w14:paraId="3A102E7F">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4</w:t>
            </w:r>
          </w:p>
        </w:tc>
        <w:tc>
          <w:tcPr>
            <w:tcW w:w="738" w:type="dxa"/>
            <w:vAlign w:val="center"/>
          </w:tcPr>
          <w:p w14:paraId="2B15AC1E">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技术</w:t>
            </w:r>
          </w:p>
        </w:tc>
        <w:tc>
          <w:tcPr>
            <w:tcW w:w="1134" w:type="dxa"/>
            <w:vAlign w:val="center"/>
          </w:tcPr>
          <w:p w14:paraId="1CC85B43">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拟派团队</w:t>
            </w:r>
          </w:p>
        </w:tc>
        <w:tc>
          <w:tcPr>
            <w:tcW w:w="5256" w:type="dxa"/>
            <w:vAlign w:val="center"/>
          </w:tcPr>
          <w:p w14:paraId="49FB06C7">
            <w:pPr>
              <w:pStyle w:val="13"/>
              <w:spacing w:line="360" w:lineRule="exact"/>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根据项目拟派人员情况（包括但不限于①人员配备数量②人员架构③团队分工④从业经验⑤人员培训等）进行评审，投标人根据需求制定合理的人员配置方案，所配备的人员数量有理有据，整体人员架构合理，团队成员分工明确，执行能力强，在人员配备及数量、从业经验、资质履历等方面能够为本项目实施提供优质的服务及健全的保障，能够定期组织人员培训，培训讲师经验丰富，能够完全满足甚至优于本项目的需求。</w:t>
            </w:r>
          </w:p>
          <w:p w14:paraId="455D5444">
            <w:pPr>
              <w:pStyle w:val="13"/>
              <w:spacing w:line="360" w:lineRule="exact"/>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共计5项，每项满分4 分, 在此基础上每有一处描述不清或瑕疵减1分，减完为止。缺条项该项不得分。</w:t>
            </w:r>
          </w:p>
          <w:p w14:paraId="751F328A">
            <w:pPr>
              <w:pStyle w:val="13"/>
              <w:ind w:firstLine="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注：瑕疵指内容凭空编造、存在无关的事项、内容不全面、套用其他项目方案、规范标准错误、项目地点错误、内容粗略、存在不可能实现的夸大情形。</w:t>
            </w:r>
          </w:p>
        </w:tc>
        <w:tc>
          <w:tcPr>
            <w:tcW w:w="1026" w:type="dxa"/>
            <w:vAlign w:val="center"/>
          </w:tcPr>
          <w:p w14:paraId="24EC1741">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主观分</w:t>
            </w:r>
          </w:p>
        </w:tc>
        <w:tc>
          <w:tcPr>
            <w:tcW w:w="773" w:type="dxa"/>
            <w:vAlign w:val="center"/>
          </w:tcPr>
          <w:p w14:paraId="2FCC44E0">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20.00</w:t>
            </w:r>
          </w:p>
        </w:tc>
      </w:tr>
      <w:tr w14:paraId="78C2EE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vAlign w:val="center"/>
          </w:tcPr>
          <w:p w14:paraId="6E6FD2AB">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5</w:t>
            </w:r>
          </w:p>
        </w:tc>
        <w:tc>
          <w:tcPr>
            <w:tcW w:w="738" w:type="dxa"/>
            <w:vAlign w:val="center"/>
          </w:tcPr>
          <w:p w14:paraId="615699DB">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技术</w:t>
            </w:r>
          </w:p>
        </w:tc>
        <w:tc>
          <w:tcPr>
            <w:tcW w:w="1134" w:type="dxa"/>
            <w:vAlign w:val="center"/>
          </w:tcPr>
          <w:p w14:paraId="0D10F6D6">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内部管控及应急处理方案</w:t>
            </w:r>
          </w:p>
        </w:tc>
        <w:tc>
          <w:tcPr>
            <w:tcW w:w="5256" w:type="dxa"/>
            <w:vAlign w:val="center"/>
          </w:tcPr>
          <w:p w14:paraId="5D1B503B">
            <w:pPr>
              <w:pStyle w:val="13"/>
              <w:spacing w:line="360" w:lineRule="exact"/>
              <w:ind w:firstLine="0"/>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根据投标人提供的内部管控及应急处理方案按照以下标准进行打分：</w:t>
            </w:r>
          </w:p>
          <w:p w14:paraId="2BEFC565">
            <w:pPr>
              <w:pStyle w:val="13"/>
              <w:spacing w:line="360" w:lineRule="exact"/>
              <w:ind w:firstLine="0"/>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①投标人针对本项目制定完善的内部管控方案，管理和协调方法架构清晰、沟通机制健全、管控措施有效，具有完备的项目管理制度。</w:t>
            </w:r>
          </w:p>
          <w:p w14:paraId="70EB16E9">
            <w:pPr>
              <w:pStyle w:val="13"/>
              <w:spacing w:line="360" w:lineRule="exact"/>
              <w:ind w:firstLine="0"/>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②投标人应急措施方案完善，风险识别全面、突发状况考虑周全，预案针对性强、处置流程到位。</w:t>
            </w:r>
          </w:p>
          <w:p w14:paraId="509EEA46">
            <w:pPr>
              <w:pStyle w:val="13"/>
              <w:spacing w:line="360" w:lineRule="exact"/>
              <w:ind w:firstLine="0"/>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共计</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2</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项，每项内容具有科学性、合理性、规范性和可操作性得满分</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4</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分，在此基础上每有一处描述不清或瑕疵减</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1</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分，减完为止。缺条项该项不得分。</w:t>
            </w:r>
          </w:p>
          <w:p w14:paraId="28504B5E">
            <w:pPr>
              <w:pStyle w:val="13"/>
              <w:spacing w:line="360" w:lineRule="exact"/>
              <w:ind w:firstLine="0" w:firstLineChars="0"/>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注：瑕疵指内容凭空编造、存在无关的事项、内容不全面、套用其他项目方案、规范标准错误、项目地点错误、内容粗略、存在不可能实现的夸大情形。</w:t>
            </w:r>
          </w:p>
        </w:tc>
        <w:tc>
          <w:tcPr>
            <w:tcW w:w="1026" w:type="dxa"/>
            <w:vAlign w:val="center"/>
          </w:tcPr>
          <w:p w14:paraId="33D939BF">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主观分</w:t>
            </w:r>
          </w:p>
        </w:tc>
        <w:tc>
          <w:tcPr>
            <w:tcW w:w="773" w:type="dxa"/>
            <w:vAlign w:val="center"/>
          </w:tcPr>
          <w:p w14:paraId="6C5FAF7A">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8.00</w:t>
            </w:r>
          </w:p>
        </w:tc>
      </w:tr>
      <w:tr w14:paraId="5AC6DC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vAlign w:val="center"/>
          </w:tcPr>
          <w:p w14:paraId="6CEE1E2A">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6</w:t>
            </w:r>
          </w:p>
        </w:tc>
        <w:tc>
          <w:tcPr>
            <w:tcW w:w="738" w:type="dxa"/>
            <w:vAlign w:val="center"/>
          </w:tcPr>
          <w:p w14:paraId="4CC95F51">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技术</w:t>
            </w:r>
          </w:p>
        </w:tc>
        <w:tc>
          <w:tcPr>
            <w:tcW w:w="1134" w:type="dxa"/>
            <w:vAlign w:val="center"/>
          </w:tcPr>
          <w:p w14:paraId="09C30448">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档案管理及数据保密措施</w:t>
            </w:r>
          </w:p>
        </w:tc>
        <w:tc>
          <w:tcPr>
            <w:tcW w:w="5256" w:type="dxa"/>
            <w:vAlign w:val="center"/>
          </w:tcPr>
          <w:p w14:paraId="1A4805F0">
            <w:pPr>
              <w:pStyle w:val="13"/>
              <w:spacing w:line="360" w:lineRule="exact"/>
              <w:ind w:firstLine="0" w:firstLineChars="0"/>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投标人提供的档案管理及</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数据</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保密措施完善，科学合理，可行性强得</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5</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分；投标人提供的档案管理及</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数据</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保密措施较完善，可行性较强，但存在少量不足得</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3</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分；投标人提供的档案管理及</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数据</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保密措施简陋，不能保障采购人的数据安全，得</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1</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分；未提供相关说明不得分。</w:t>
            </w:r>
          </w:p>
        </w:tc>
        <w:tc>
          <w:tcPr>
            <w:tcW w:w="1026" w:type="dxa"/>
            <w:vAlign w:val="center"/>
          </w:tcPr>
          <w:p w14:paraId="3CAE849D">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主观分</w:t>
            </w:r>
          </w:p>
        </w:tc>
        <w:tc>
          <w:tcPr>
            <w:tcW w:w="773" w:type="dxa"/>
            <w:vAlign w:val="center"/>
          </w:tcPr>
          <w:p w14:paraId="500305E1">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5.00</w:t>
            </w:r>
          </w:p>
        </w:tc>
      </w:tr>
      <w:tr w14:paraId="76F609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vAlign w:val="center"/>
          </w:tcPr>
          <w:p w14:paraId="4A3881B2">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7</w:t>
            </w:r>
          </w:p>
        </w:tc>
        <w:tc>
          <w:tcPr>
            <w:tcW w:w="738" w:type="dxa"/>
            <w:vAlign w:val="center"/>
          </w:tcPr>
          <w:p w14:paraId="2316222D">
            <w:pPr>
              <w:pStyle w:val="13"/>
              <w:ind w:firstLine="0"/>
              <w:jc w:val="center"/>
              <w:rPr>
                <w:rFonts w:hint="default"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技术</w:t>
            </w:r>
          </w:p>
        </w:tc>
        <w:tc>
          <w:tcPr>
            <w:tcW w:w="1134" w:type="dxa"/>
            <w:vAlign w:val="center"/>
          </w:tcPr>
          <w:p w14:paraId="74ED6AC8">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售后服务承诺</w:t>
            </w:r>
          </w:p>
        </w:tc>
        <w:tc>
          <w:tcPr>
            <w:tcW w:w="5256" w:type="dxa"/>
            <w:vAlign w:val="center"/>
          </w:tcPr>
          <w:p w14:paraId="2E8A8D9F">
            <w:pPr>
              <w:pStyle w:val="13"/>
              <w:spacing w:line="360" w:lineRule="exact"/>
              <w:ind w:firstLine="0"/>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由评委审核各投标人的售后服务方案后根据以下标准进行打分：</w:t>
            </w:r>
          </w:p>
          <w:p w14:paraId="09A34D5F">
            <w:pPr>
              <w:pStyle w:val="13"/>
              <w:spacing w:line="360" w:lineRule="exact"/>
              <w:ind w:firstLine="0"/>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①服务期内外服务响应迅速，售后服务计划合理、有针对性。</w:t>
            </w:r>
          </w:p>
          <w:p w14:paraId="6D2C306E">
            <w:pPr>
              <w:pStyle w:val="13"/>
              <w:spacing w:line="360" w:lineRule="exact"/>
              <w:ind w:firstLine="0"/>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②</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售后服务机构技术服务人员情况，提供姓名、工作经验，人员配备充足售后服务经验丰富</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w:t>
            </w:r>
          </w:p>
          <w:p w14:paraId="6DA3C701">
            <w:pPr>
              <w:pStyle w:val="13"/>
              <w:spacing w:line="360" w:lineRule="exact"/>
              <w:ind w:firstLine="0"/>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③关键技术向需求方开放，</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针对</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系统</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的使用环境、使用频率及更新</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升级</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等进行回访、巡检、维护</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w:t>
            </w:r>
          </w:p>
          <w:p w14:paraId="2ED38E36">
            <w:pPr>
              <w:pStyle w:val="13"/>
              <w:spacing w:line="360" w:lineRule="exact"/>
              <w:ind w:firstLine="0"/>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共计</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3</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项，每项内容具有科学性、合理性、规范性和可操作性得满分</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4</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分，在此基础上每有一处描述不清或瑕疵减</w:t>
            </w:r>
            <w:r>
              <w:rPr>
                <w:rFonts w:hint="eastAsia" w:ascii="仿宋_GB2312" w:hAnsi="仿宋" w:eastAsia="仿宋_GB2312" w:cs="Times New Roman"/>
                <w:bCs/>
                <w:color w:val="000000" w:themeColor="text1"/>
                <w:sz w:val="24"/>
                <w:szCs w:val="24"/>
                <w:highlight w:val="none"/>
                <w:lang w:val="en-US" w:eastAsia="zh-CN"/>
                <w14:textFill>
                  <w14:solidFill>
                    <w14:schemeClr w14:val="tx1"/>
                  </w14:solidFill>
                </w14:textFill>
              </w:rPr>
              <w:t>1</w:t>
            </w: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分，减完为止。缺条项该项不得分。</w:t>
            </w:r>
          </w:p>
          <w:p w14:paraId="15C0DFBB">
            <w:pPr>
              <w:pStyle w:val="13"/>
              <w:spacing w:line="360" w:lineRule="exact"/>
              <w:ind w:firstLine="0" w:firstLineChars="0"/>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pPr>
            <w:r>
              <w:rPr>
                <w:rFonts w:hint="default" w:ascii="仿宋_GB2312" w:hAnsi="仿宋" w:eastAsia="仿宋_GB2312" w:cs="Times New Roman"/>
                <w:bCs/>
                <w:color w:val="000000" w:themeColor="text1"/>
                <w:sz w:val="24"/>
                <w:szCs w:val="24"/>
                <w:highlight w:val="none"/>
                <w:lang w:val="en-US" w:eastAsia="zh-CN"/>
                <w14:textFill>
                  <w14:solidFill>
                    <w14:schemeClr w14:val="tx1"/>
                  </w14:solidFill>
                </w14:textFill>
              </w:rPr>
              <w:t>注：瑕疵指内容凭空编造、存在无关的事项、内容不全面、套用其他项目方案、规范标准错误、项目地点错误、内容粗略、存在不可能实现的夸大情形。</w:t>
            </w:r>
          </w:p>
        </w:tc>
        <w:tc>
          <w:tcPr>
            <w:tcW w:w="1026" w:type="dxa"/>
            <w:vAlign w:val="center"/>
          </w:tcPr>
          <w:p w14:paraId="58F4B269">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主观分</w:t>
            </w:r>
          </w:p>
        </w:tc>
        <w:tc>
          <w:tcPr>
            <w:tcW w:w="773" w:type="dxa"/>
            <w:vAlign w:val="center"/>
          </w:tcPr>
          <w:p w14:paraId="3260ADA9">
            <w:pPr>
              <w:pStyle w:val="13"/>
              <w:spacing w:line="360" w:lineRule="exact"/>
              <w:ind w:firstLine="0" w:firstLineChars="0"/>
              <w:jc w:val="center"/>
              <w:rPr>
                <w:rFonts w:hint="eastAsia" w:ascii="仿宋_GB2312" w:hAnsi="仿宋" w:eastAsia="仿宋_GB2312"/>
                <w:bCs/>
                <w:color w:val="000000" w:themeColor="text1"/>
                <w:sz w:val="24"/>
                <w:szCs w:val="24"/>
                <w:highlight w:val="none"/>
                <w:lang w:val="en-US" w:eastAsia="zh-CN"/>
                <w14:textFill>
                  <w14:solidFill>
                    <w14:schemeClr w14:val="tx1"/>
                  </w14:solidFill>
                </w14:textFill>
              </w:rPr>
            </w:pPr>
            <w:r>
              <w:rPr>
                <w:rFonts w:hint="eastAsia" w:ascii="仿宋_GB2312" w:hAnsi="仿宋" w:eastAsia="仿宋_GB2312"/>
                <w:bCs/>
                <w:color w:val="000000" w:themeColor="text1"/>
                <w:sz w:val="24"/>
                <w:szCs w:val="24"/>
                <w:highlight w:val="none"/>
                <w:lang w:val="en-US" w:eastAsia="zh-CN"/>
                <w14:textFill>
                  <w14:solidFill>
                    <w14:schemeClr w14:val="tx1"/>
                  </w14:solidFill>
                </w14:textFill>
              </w:rPr>
              <w:t>12.00</w:t>
            </w:r>
          </w:p>
        </w:tc>
      </w:tr>
    </w:tbl>
    <w:p w14:paraId="28A0250D">
      <w:pPr>
        <w:spacing w:line="520" w:lineRule="exact"/>
        <w:ind w:firstLine="602"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b/>
          <w:bCs/>
          <w:color w:val="000000" w:themeColor="text1"/>
          <w:sz w:val="30"/>
          <w:szCs w:val="30"/>
          <w:highlight w:val="none"/>
          <w14:textFill>
            <w14:solidFill>
              <w14:schemeClr w14:val="tx1"/>
            </w14:solidFill>
          </w14:textFill>
        </w:rPr>
        <w:t>三、定标</w:t>
      </w:r>
    </w:p>
    <w:p w14:paraId="612D668D">
      <w:pPr>
        <w:spacing w:line="520" w:lineRule="exact"/>
        <w:ind w:firstLine="600" w:firstLineChars="200"/>
        <w:rPr>
          <w:rFonts w:ascii="仿宋_GB2312" w:hAnsi="仿宋" w:eastAsia="仿宋_GB2312"/>
          <w:bCs/>
          <w:color w:val="000000" w:themeColor="text1"/>
          <w:sz w:val="30"/>
          <w:szCs w:val="30"/>
          <w:highlight w:val="none"/>
          <w14:textFill>
            <w14:solidFill>
              <w14:schemeClr w14:val="tx1"/>
            </w14:solidFill>
          </w14:textFill>
        </w:rPr>
      </w:pPr>
      <w:r>
        <w:rPr>
          <w:rFonts w:hint="eastAsia" w:ascii="仿宋_GB2312" w:hAnsi="仿宋" w:eastAsia="仿宋_GB2312"/>
          <w:bCs/>
          <w:color w:val="000000" w:themeColor="text1"/>
          <w:sz w:val="30"/>
          <w:szCs w:val="30"/>
          <w:highlight w:val="none"/>
          <w14:textFill>
            <w14:solidFill>
              <w14:schemeClr w14:val="tx1"/>
            </w14:solidFill>
          </w14:textFill>
        </w:rPr>
        <w:t>1.评标委员会将综合得分排序第一的投标人确定为中标人。</w:t>
      </w:r>
    </w:p>
    <w:p w14:paraId="21B8D870">
      <w:pPr>
        <w:spacing w:line="520" w:lineRule="exact"/>
        <w:ind w:firstLine="600" w:firstLineChars="200"/>
        <w:rPr>
          <w:rFonts w:ascii="仿宋_GB2312" w:hAnsi="仿宋" w:eastAsia="仿宋_GB2312"/>
          <w:bCs/>
          <w:color w:val="000000" w:themeColor="text1"/>
          <w:sz w:val="30"/>
          <w:szCs w:val="30"/>
          <w:highlight w:val="none"/>
          <w14:textFill>
            <w14:solidFill>
              <w14:schemeClr w14:val="tx1"/>
            </w14:solidFill>
          </w14:textFill>
        </w:rPr>
      </w:pPr>
      <w:r>
        <w:rPr>
          <w:rFonts w:hint="eastAsia" w:ascii="仿宋_GB2312" w:hAnsi="仿宋" w:eastAsia="仿宋_GB2312"/>
          <w:bCs/>
          <w:color w:val="000000" w:themeColor="text1"/>
          <w:sz w:val="30"/>
          <w:szCs w:val="30"/>
          <w:highlight w:val="none"/>
          <w14:textFill>
            <w14:solidFill>
              <w14:schemeClr w14:val="tx1"/>
            </w14:solidFill>
          </w14:textFill>
        </w:rPr>
        <w:t>2.评标结果将在威海市公共资源交易网（荣成市）、中国招标投标公共服务平台上予以公告。</w:t>
      </w:r>
    </w:p>
    <w:p w14:paraId="4DADF1A4">
      <w:pPr>
        <w:spacing w:line="520" w:lineRule="exact"/>
        <w:ind w:firstLine="590" w:firstLineChars="196"/>
        <w:rPr>
          <w:rFonts w:ascii="仿宋_GB2312" w:hAnsi="宋体" w:eastAsia="仿宋_GB2312"/>
          <w:b/>
          <w:color w:val="000000" w:themeColor="text1"/>
          <w:sz w:val="30"/>
          <w:szCs w:val="30"/>
          <w:highlight w:val="none"/>
          <w14:textFill>
            <w14:solidFill>
              <w14:schemeClr w14:val="tx1"/>
            </w14:solidFill>
          </w14:textFill>
        </w:rPr>
      </w:pPr>
      <w:r>
        <w:rPr>
          <w:rFonts w:hint="eastAsia" w:ascii="仿宋_GB2312" w:hAnsi="宋体" w:eastAsia="仿宋_GB2312"/>
          <w:b/>
          <w:color w:val="000000" w:themeColor="text1"/>
          <w:sz w:val="30"/>
          <w:szCs w:val="30"/>
          <w:highlight w:val="none"/>
          <w14:textFill>
            <w14:solidFill>
              <w14:schemeClr w14:val="tx1"/>
            </w14:solidFill>
          </w14:textFill>
        </w:rPr>
        <w:t>四、编写评标报告</w:t>
      </w:r>
    </w:p>
    <w:p w14:paraId="07D15818">
      <w:pPr>
        <w:spacing w:line="520" w:lineRule="exact"/>
        <w:ind w:firstLine="588" w:firstLineChars="196"/>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依据评委评标签字的原始记录和评标结果，按照规定的内容要求编写评标报告，并由全体评委签名。</w:t>
      </w:r>
    </w:p>
    <w:p w14:paraId="3534F46B">
      <w:pPr>
        <w:pStyle w:val="24"/>
        <w:spacing w:line="520" w:lineRule="exact"/>
        <w:ind w:left="550" w:leftChars="262"/>
        <w:jc w:val="left"/>
        <w:rPr>
          <w:rFonts w:ascii="仿宋_GB2312" w:eastAsia="仿宋_GB2312"/>
          <w:b/>
          <w:color w:val="000000" w:themeColor="text1"/>
          <w:sz w:val="30"/>
          <w:szCs w:val="30"/>
          <w:highlight w:val="none"/>
          <w14:textFill>
            <w14:solidFill>
              <w14:schemeClr w14:val="tx1"/>
            </w14:solidFill>
          </w14:textFill>
        </w:rPr>
      </w:pPr>
      <w:r>
        <w:rPr>
          <w:rFonts w:hint="eastAsia" w:ascii="仿宋_GB2312" w:eastAsia="仿宋_GB2312"/>
          <w:b/>
          <w:bCs/>
          <w:color w:val="000000" w:themeColor="text1"/>
          <w:sz w:val="30"/>
          <w:szCs w:val="30"/>
          <w:highlight w:val="none"/>
          <w14:textFill>
            <w14:solidFill>
              <w14:schemeClr w14:val="tx1"/>
            </w14:solidFill>
          </w14:textFill>
        </w:rPr>
        <w:t>五、</w:t>
      </w:r>
      <w:r>
        <w:rPr>
          <w:rFonts w:hint="eastAsia" w:ascii="仿宋_GB2312" w:eastAsia="仿宋_GB2312"/>
          <w:b/>
          <w:color w:val="000000" w:themeColor="text1"/>
          <w:sz w:val="30"/>
          <w:szCs w:val="30"/>
          <w:highlight w:val="none"/>
          <w14:textFill>
            <w14:solidFill>
              <w14:schemeClr w14:val="tx1"/>
            </w14:solidFill>
          </w14:textFill>
        </w:rPr>
        <w:t>签订合同</w:t>
      </w:r>
    </w:p>
    <w:p w14:paraId="7DA0CFEA">
      <w:pPr>
        <w:pStyle w:val="24"/>
        <w:spacing w:line="520" w:lineRule="exact"/>
        <w:ind w:firstLine="588" w:firstLineChars="196"/>
        <w:jc w:val="left"/>
        <w:rPr>
          <w:rFonts w:ascii="仿宋_GB2312"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1.评标结果公告后，由采购人与招标公司联合向中标人签发中标通知书。</w:t>
      </w:r>
    </w:p>
    <w:p w14:paraId="2AA7BFFF">
      <w:pPr>
        <w:pStyle w:val="24"/>
        <w:tabs>
          <w:tab w:val="left" w:pos="0"/>
        </w:tabs>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2.中标合同原则以第六部分合同书（范本）为基础，并根据投标、答疑情况进行修改补充，自签订之日起生效。</w:t>
      </w:r>
    </w:p>
    <w:p w14:paraId="6970491C">
      <w:pPr>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r>
        <w:rPr>
          <w:rFonts w:hint="eastAsia" w:ascii="仿宋_GB2312" w:hAnsi="宋体" w:eastAsia="仿宋_GB2312"/>
          <w:color w:val="000000" w:themeColor="text1"/>
          <w:sz w:val="30"/>
          <w:szCs w:val="30"/>
          <w:highlight w:val="none"/>
          <w14:textFill>
            <w14:solidFill>
              <w14:schemeClr w14:val="tx1"/>
            </w14:solidFill>
          </w14:textFill>
        </w:rPr>
        <w:t>3.中标人在规定的期限内无正当理由拒绝签订合同，取消原中标决定，与排位在中标人之后第一位的中标候选投标人签订采购合同或重新组织采购。</w:t>
      </w:r>
    </w:p>
    <w:p w14:paraId="00632E39">
      <w:pPr>
        <w:pStyle w:val="42"/>
        <w:spacing w:before="0" w:after="0" w:line="360" w:lineRule="auto"/>
        <w:ind w:firstLine="2891" w:firstLineChars="900"/>
        <w:jc w:val="both"/>
        <w:rPr>
          <w:rFonts w:ascii="宋体" w:hAnsi="宋体" w:cs="宋体"/>
          <w:color w:val="000000" w:themeColor="text1"/>
          <w:highlight w:val="none"/>
          <w14:textFill>
            <w14:solidFill>
              <w14:schemeClr w14:val="tx1"/>
            </w14:solidFill>
          </w14:textFill>
        </w:rPr>
        <w:sectPr>
          <w:headerReference r:id="rId9" w:type="even"/>
          <w:footerReference r:id="rId10" w:type="even"/>
          <w:pgSz w:w="11906" w:h="16838"/>
          <w:pgMar w:top="1440" w:right="1080" w:bottom="1440" w:left="1080" w:header="851" w:footer="992" w:gutter="0"/>
          <w:cols w:space="425" w:num="1"/>
          <w:docGrid w:type="lines" w:linePitch="312" w:charSpace="0"/>
        </w:sectPr>
      </w:pPr>
      <w:r>
        <w:rPr>
          <w:rFonts w:hint="eastAsia" w:ascii="宋体" w:hAnsi="宋体" w:cs="宋体"/>
          <w:color w:val="000000" w:themeColor="text1"/>
          <w:highlight w:val="none"/>
          <w14:textFill>
            <w14:solidFill>
              <w14:schemeClr w14:val="tx1"/>
            </w14:solidFill>
          </w14:textFill>
        </w:rPr>
        <w:t>第五章投标文件格式与要求</w:t>
      </w:r>
    </w:p>
    <w:p w14:paraId="7B70BF27">
      <w:pPr>
        <w:spacing w:before="100" w:beforeAutospacing="1" w:after="100" w:afterAutospacing="1" w:line="415" w:lineRule="auto"/>
        <w:jc w:val="center"/>
        <w:outlineLvl w:val="0"/>
        <w:rPr>
          <w:rFonts w:ascii="楷体_GB2312" w:hAnsi="宋体" w:eastAsia="楷体_GB2312" w:cs="宋体"/>
          <w:b/>
          <w:bCs/>
          <w:color w:val="000000" w:themeColor="text1"/>
          <w:sz w:val="44"/>
          <w:szCs w:val="44"/>
          <w:highlight w:val="none"/>
          <w14:textFill>
            <w14:solidFill>
              <w14:schemeClr w14:val="tx1"/>
            </w14:solidFill>
          </w14:textFill>
        </w:rPr>
        <w:sectPr>
          <w:headerReference r:id="rId11" w:type="default"/>
          <w:footerReference r:id="rId12" w:type="default"/>
          <w:pgSz w:w="11906" w:h="16838"/>
          <w:pgMar w:top="1440" w:right="1077" w:bottom="1440" w:left="1077" w:header="851" w:footer="992" w:gutter="0"/>
          <w:cols w:space="425" w:num="1"/>
          <w:vAlign w:val="center"/>
          <w:docGrid w:linePitch="312" w:charSpace="0"/>
        </w:sectPr>
      </w:pPr>
      <w:r>
        <w:rPr>
          <w:rFonts w:hint="eastAsia" w:ascii="楷体_GB2312" w:hAnsi="宋体" w:eastAsia="楷体_GB2312" w:cs="宋体"/>
          <w:b/>
          <w:bCs/>
          <w:color w:val="000000" w:themeColor="text1"/>
          <w:sz w:val="44"/>
          <w:szCs w:val="44"/>
          <w:highlight w:val="none"/>
          <w14:textFill>
            <w14:solidFill>
              <w14:schemeClr w14:val="tx1"/>
            </w14:solidFill>
          </w14:textFill>
        </w:rPr>
        <w:t xml:space="preserve">  投标（响应）文件格式</w:t>
      </w:r>
    </w:p>
    <w:p w14:paraId="2A681952">
      <w:pPr>
        <w:spacing w:line="460" w:lineRule="exact"/>
        <w:jc w:val="left"/>
        <w:rPr>
          <w:b/>
          <w:color w:val="000000" w:themeColor="text1"/>
          <w:kern w:val="0"/>
          <w:sz w:val="24"/>
          <w:highlight w:val="none"/>
          <w14:textFill>
            <w14:solidFill>
              <w14:schemeClr w14:val="tx1"/>
            </w14:solidFill>
          </w14:textFill>
        </w:rPr>
      </w:pPr>
    </w:p>
    <w:p w14:paraId="0AE8D358">
      <w:pPr>
        <w:ind w:right="2080"/>
        <w:rPr>
          <w:rFonts w:ascii="仿宋" w:hAnsi="仿宋" w:eastAsia="仿宋"/>
          <w:color w:val="000000" w:themeColor="text1"/>
          <w:sz w:val="52"/>
          <w:highlight w:val="none"/>
          <w14:textFill>
            <w14:solidFill>
              <w14:schemeClr w14:val="tx1"/>
            </w14:solidFill>
          </w14:textFill>
        </w:rPr>
      </w:pPr>
    </w:p>
    <w:p w14:paraId="69470BAF">
      <w:pPr>
        <w:pStyle w:val="24"/>
        <w:tabs>
          <w:tab w:val="left" w:pos="580"/>
        </w:tabs>
        <w:ind w:left="201" w:leftChars="50" w:hanging="96" w:hangingChars="22"/>
        <w:jc w:val="right"/>
        <w:rPr>
          <w:rFonts w:ascii="仿宋_GB2312" w:hAnsi="宋体" w:eastAsia="仿宋_GB2312"/>
          <w:bCs/>
          <w:color w:val="000000" w:themeColor="text1"/>
          <w:sz w:val="44"/>
          <w:szCs w:val="44"/>
          <w:highlight w:val="none"/>
          <w14:textFill>
            <w14:solidFill>
              <w14:schemeClr w14:val="tx1"/>
            </w14:solidFill>
          </w14:textFill>
        </w:rPr>
      </w:pPr>
    </w:p>
    <w:p w14:paraId="78F07467">
      <w:pPr>
        <w:jc w:val="center"/>
        <w:rPr>
          <w:rFonts w:ascii="仿宋_GB2312" w:hAnsi="宋体" w:eastAsia="仿宋_GB2312"/>
          <w:color w:val="000000" w:themeColor="text1"/>
          <w:sz w:val="72"/>
          <w:highlight w:val="none"/>
          <w14:textFill>
            <w14:solidFill>
              <w14:schemeClr w14:val="tx1"/>
            </w14:solidFill>
          </w14:textFill>
        </w:rPr>
      </w:pPr>
      <w:r>
        <w:rPr>
          <w:rFonts w:hint="eastAsia" w:ascii="仿宋_GB2312" w:hAnsi="宋体" w:eastAsia="仿宋_GB2312"/>
          <w:color w:val="000000" w:themeColor="text1"/>
          <w:sz w:val="52"/>
          <w:highlight w:val="none"/>
          <w14:textFill>
            <w14:solidFill>
              <w14:schemeClr w14:val="tx1"/>
            </w14:solidFill>
          </w14:textFill>
        </w:rPr>
        <w:cr/>
      </w:r>
      <w:r>
        <w:rPr>
          <w:rFonts w:hint="eastAsia" w:ascii="仿宋_GB2312" w:hAnsi="宋体" w:eastAsia="仿宋_GB2312"/>
          <w:b/>
          <w:bCs/>
          <w:color w:val="000000" w:themeColor="text1"/>
          <w:sz w:val="84"/>
          <w:highlight w:val="none"/>
          <w14:textFill>
            <w14:solidFill>
              <w14:schemeClr w14:val="tx1"/>
            </w14:solidFill>
          </w14:textFill>
        </w:rPr>
        <w:t>投 标 文 件</w:t>
      </w:r>
      <w:r>
        <w:rPr>
          <w:rFonts w:hint="eastAsia" w:ascii="仿宋_GB2312" w:hAnsi="宋体" w:eastAsia="仿宋_GB2312"/>
          <w:b/>
          <w:bCs/>
          <w:color w:val="000000" w:themeColor="text1"/>
          <w:sz w:val="84"/>
          <w:highlight w:val="none"/>
          <w14:textFill>
            <w14:solidFill>
              <w14:schemeClr w14:val="tx1"/>
            </w14:solidFill>
          </w14:textFill>
        </w:rPr>
        <w:cr/>
      </w:r>
    </w:p>
    <w:p w14:paraId="19683FD9">
      <w:pPr>
        <w:pStyle w:val="13"/>
        <w:rPr>
          <w:rFonts w:ascii="仿宋_GB2312" w:hAnsi="宋体" w:eastAsia="仿宋_GB2312"/>
          <w:color w:val="000000" w:themeColor="text1"/>
          <w:sz w:val="72"/>
          <w:highlight w:val="none"/>
          <w14:textFill>
            <w14:solidFill>
              <w14:schemeClr w14:val="tx1"/>
            </w14:solidFill>
          </w14:textFill>
        </w:rPr>
      </w:pPr>
    </w:p>
    <w:p w14:paraId="23641DCE">
      <w:pPr>
        <w:pStyle w:val="13"/>
        <w:rPr>
          <w:rFonts w:ascii="仿宋_GB2312" w:hAnsi="宋体" w:eastAsia="仿宋_GB2312"/>
          <w:color w:val="000000" w:themeColor="text1"/>
          <w:sz w:val="72"/>
          <w:highlight w:val="none"/>
          <w14:textFill>
            <w14:solidFill>
              <w14:schemeClr w14:val="tx1"/>
            </w14:solidFill>
          </w14:textFill>
        </w:rPr>
      </w:pPr>
    </w:p>
    <w:p w14:paraId="17C17093">
      <w:pPr>
        <w:ind w:left="2518" w:leftChars="1199"/>
        <w:rPr>
          <w:rFonts w:hint="eastAsia" w:ascii="仿宋_GB2312" w:hAnsi="宋体" w:eastAsia="仿宋_GB2312"/>
          <w:color w:val="000000" w:themeColor="text1"/>
          <w:sz w:val="36"/>
          <w:highlight w:val="none"/>
          <w14:textFill>
            <w14:solidFill>
              <w14:schemeClr w14:val="tx1"/>
            </w14:solidFill>
          </w14:textFill>
        </w:rPr>
      </w:pPr>
      <w:r>
        <w:rPr>
          <w:rFonts w:hint="eastAsia" w:ascii="仿宋_GB2312" w:hAnsi="宋体" w:eastAsia="仿宋_GB2312"/>
          <w:b/>
          <w:bCs/>
          <w:color w:val="000000" w:themeColor="text1"/>
          <w:sz w:val="36"/>
          <w:highlight w:val="none"/>
          <w14:textFill>
            <w14:solidFill>
              <w14:schemeClr w14:val="tx1"/>
            </w14:solidFill>
          </w14:textFill>
        </w:rPr>
        <w:t>采购项目：</w:t>
      </w:r>
      <w:r>
        <w:rPr>
          <w:rFonts w:hint="eastAsia" w:ascii="仿宋_GB2312" w:hAnsi="宋体" w:eastAsia="仿宋_GB2312"/>
          <w:color w:val="000000" w:themeColor="text1"/>
          <w:sz w:val="36"/>
          <w:highlight w:val="none"/>
          <w:lang w:val="en-US" w:eastAsia="zh-CN"/>
          <w14:textFill>
            <w14:solidFill>
              <w14:schemeClr w14:val="tx1"/>
            </w14:solidFill>
          </w14:textFill>
        </w:rPr>
        <w:t>荣成市城市数智化转型与数字生态建设</w:t>
      </w:r>
    </w:p>
    <w:p w14:paraId="62AF798C">
      <w:pPr>
        <w:ind w:left="2518" w:leftChars="1199"/>
        <w:rPr>
          <w:rFonts w:hint="eastAsia" w:ascii="仿宋_GB2312" w:hAnsi="宋体" w:eastAsia="仿宋_GB2312"/>
          <w:color w:val="000000" w:themeColor="text1"/>
          <w:sz w:val="36"/>
          <w:highlight w:val="none"/>
          <w:lang w:eastAsia="zh-CN"/>
          <w14:textFill>
            <w14:solidFill>
              <w14:schemeClr w14:val="tx1"/>
            </w14:solidFill>
          </w14:textFill>
        </w:rPr>
      </w:pPr>
      <w:r>
        <w:rPr>
          <w:rFonts w:hint="eastAsia" w:ascii="仿宋_GB2312" w:hAnsi="宋体" w:eastAsia="仿宋_GB2312"/>
          <w:b/>
          <w:bCs/>
          <w:color w:val="000000" w:themeColor="text1"/>
          <w:sz w:val="36"/>
          <w:highlight w:val="none"/>
          <w14:textFill>
            <w14:solidFill>
              <w14:schemeClr w14:val="tx1"/>
            </w14:solidFill>
          </w14:textFill>
        </w:rPr>
        <w:t>采购编号：</w:t>
      </w:r>
      <w:r>
        <w:rPr>
          <w:rFonts w:hint="eastAsia" w:ascii="仿宋_GB2312" w:hAnsi="宋体" w:eastAsia="仿宋_GB2312"/>
          <w:color w:val="000000" w:themeColor="text1"/>
          <w:sz w:val="36"/>
          <w:highlight w:val="none"/>
          <w:lang w:eastAsia="zh-CN"/>
          <w14:textFill>
            <w14:solidFill>
              <w14:schemeClr w14:val="tx1"/>
            </w14:solidFill>
          </w14:textFill>
        </w:rPr>
        <w:t>RCTDFZ2026-006</w:t>
      </w:r>
    </w:p>
    <w:p w14:paraId="1D90AF91">
      <w:pPr>
        <w:ind w:left="2518" w:leftChars="1199"/>
        <w:rPr>
          <w:rFonts w:ascii="仿宋_GB2312" w:hAnsi="宋体" w:eastAsia="仿宋_GB2312"/>
          <w:color w:val="000000" w:themeColor="text1"/>
          <w:sz w:val="36"/>
          <w:highlight w:val="none"/>
          <w14:textFill>
            <w14:solidFill>
              <w14:schemeClr w14:val="tx1"/>
            </w14:solidFill>
          </w14:textFill>
        </w:rPr>
      </w:pPr>
      <w:r>
        <w:rPr>
          <w:rFonts w:hint="eastAsia" w:ascii="仿宋_GB2312" w:hAnsi="宋体" w:eastAsia="仿宋_GB2312"/>
          <w:color w:val="000000" w:themeColor="text1"/>
          <w:sz w:val="36"/>
          <w:highlight w:val="none"/>
          <w14:textFill>
            <w14:solidFill>
              <w14:schemeClr w14:val="tx1"/>
            </w14:solidFill>
          </w14:textFill>
        </w:rPr>
        <w:t>所投包段： 　　　　　　</w:t>
      </w:r>
    </w:p>
    <w:p w14:paraId="56A421F1">
      <w:pPr>
        <w:jc w:val="left"/>
        <w:rPr>
          <w:rFonts w:ascii="仿宋_GB2312" w:hAnsi="宋体" w:eastAsia="仿宋_GB2312"/>
          <w:color w:val="000000" w:themeColor="text1"/>
          <w:sz w:val="36"/>
          <w:highlight w:val="none"/>
          <w14:textFill>
            <w14:solidFill>
              <w14:schemeClr w14:val="tx1"/>
            </w14:solidFill>
          </w14:textFill>
        </w:rPr>
      </w:pPr>
    </w:p>
    <w:p w14:paraId="2131B95B">
      <w:pPr>
        <w:pStyle w:val="13"/>
        <w:rPr>
          <w:rFonts w:ascii="仿宋_GB2312" w:hAnsi="宋体" w:eastAsia="仿宋_GB2312"/>
          <w:color w:val="000000" w:themeColor="text1"/>
          <w:sz w:val="36"/>
          <w:highlight w:val="none"/>
          <w14:textFill>
            <w14:solidFill>
              <w14:schemeClr w14:val="tx1"/>
            </w14:solidFill>
          </w14:textFill>
        </w:rPr>
      </w:pPr>
    </w:p>
    <w:p w14:paraId="2BEFDA31">
      <w:pPr>
        <w:pStyle w:val="13"/>
        <w:rPr>
          <w:rFonts w:ascii="仿宋_GB2312" w:hAnsi="宋体" w:eastAsia="仿宋_GB2312"/>
          <w:color w:val="000000" w:themeColor="text1"/>
          <w:sz w:val="36"/>
          <w:highlight w:val="none"/>
          <w14:textFill>
            <w14:solidFill>
              <w14:schemeClr w14:val="tx1"/>
            </w14:solidFill>
          </w14:textFill>
        </w:rPr>
      </w:pPr>
    </w:p>
    <w:p w14:paraId="5FA2536A">
      <w:pPr>
        <w:pStyle w:val="13"/>
        <w:rPr>
          <w:color w:val="000000" w:themeColor="text1"/>
          <w:highlight w:val="none"/>
          <w14:textFill>
            <w14:solidFill>
              <w14:schemeClr w14:val="tx1"/>
            </w14:solidFill>
          </w14:textFill>
        </w:rPr>
      </w:pPr>
    </w:p>
    <w:p w14:paraId="69F9795E">
      <w:pPr>
        <w:pStyle w:val="24"/>
        <w:tabs>
          <w:tab w:val="left" w:pos="580"/>
        </w:tabs>
        <w:ind w:left="185" w:leftChars="88" w:firstLine="2340" w:firstLineChars="650"/>
        <w:rPr>
          <w:rFonts w:ascii="仿宋_GB2312" w:hAnsi="宋体" w:eastAsia="仿宋_GB2312"/>
          <w:color w:val="000000" w:themeColor="text1"/>
          <w:sz w:val="36"/>
          <w:highlight w:val="none"/>
          <w14:textFill>
            <w14:solidFill>
              <w14:schemeClr w14:val="tx1"/>
            </w14:solidFill>
          </w14:textFill>
        </w:rPr>
      </w:pPr>
      <w:r>
        <w:rPr>
          <w:rFonts w:hint="eastAsia" w:ascii="仿宋_GB2312" w:hAnsi="宋体" w:eastAsia="仿宋_GB2312"/>
          <w:color w:val="000000" w:themeColor="text1"/>
          <w:sz w:val="36"/>
          <w:highlight w:val="none"/>
          <w14:textFill>
            <w14:solidFill>
              <w14:schemeClr w14:val="tx1"/>
            </w14:solidFill>
          </w14:textFill>
        </w:rPr>
        <w:t>投标人名称：***有限公司（加盖公章）</w:t>
      </w:r>
    </w:p>
    <w:p w14:paraId="1B63CA16">
      <w:pPr>
        <w:ind w:right="720" w:firstLine="2520" w:firstLineChars="700"/>
        <w:rPr>
          <w:rFonts w:ascii="仿宋_GB2312" w:hAnsi="宋体" w:eastAsia="仿宋_GB2312"/>
          <w:color w:val="000000" w:themeColor="text1"/>
          <w:sz w:val="36"/>
          <w:highlight w:val="none"/>
          <w14:textFill>
            <w14:solidFill>
              <w14:schemeClr w14:val="tx1"/>
            </w14:solidFill>
          </w14:textFill>
        </w:rPr>
      </w:pPr>
      <w:r>
        <w:rPr>
          <w:rFonts w:hint="eastAsia" w:ascii="仿宋_GB2312" w:hAnsi="宋体" w:eastAsia="仿宋_GB2312"/>
          <w:color w:val="000000" w:themeColor="text1"/>
          <w:sz w:val="36"/>
          <w:highlight w:val="none"/>
          <w14:textFill>
            <w14:solidFill>
              <w14:schemeClr w14:val="tx1"/>
            </w14:solidFill>
          </w14:textFill>
        </w:rPr>
        <w:t>日期：2026年  月  日</w:t>
      </w:r>
      <w:r>
        <w:rPr>
          <w:rFonts w:hint="eastAsia" w:ascii="仿宋_GB2312" w:hAnsi="宋体" w:eastAsia="仿宋_GB2312"/>
          <w:color w:val="000000" w:themeColor="text1"/>
          <w:sz w:val="36"/>
          <w:highlight w:val="none"/>
          <w14:textFill>
            <w14:solidFill>
              <w14:schemeClr w14:val="tx1"/>
            </w14:solidFill>
          </w14:textFill>
        </w:rPr>
        <w:cr/>
      </w:r>
    </w:p>
    <w:p w14:paraId="11F76751">
      <w:pPr>
        <w:ind w:right="720"/>
        <w:jc w:val="center"/>
        <w:rPr>
          <w:rFonts w:hAnsi="宋体"/>
          <w:b/>
          <w:bCs/>
          <w:color w:val="000000" w:themeColor="text1"/>
          <w:sz w:val="44"/>
          <w:szCs w:val="44"/>
          <w:highlight w:val="none"/>
          <w14:textFill>
            <w14:solidFill>
              <w14:schemeClr w14:val="tx1"/>
            </w14:solidFill>
          </w14:textFill>
        </w:rPr>
      </w:pPr>
      <w:r>
        <w:rPr>
          <w:rFonts w:hint="eastAsia" w:hAnsi="宋体"/>
          <w:b/>
          <w:color w:val="000000" w:themeColor="text1"/>
          <w:sz w:val="44"/>
          <w:szCs w:val="44"/>
          <w:highlight w:val="none"/>
          <w14:textFill>
            <w14:solidFill>
              <w14:schemeClr w14:val="tx1"/>
            </w14:solidFill>
          </w14:textFill>
        </w:rPr>
        <w:t>投标承诺函</w:t>
      </w:r>
    </w:p>
    <w:p w14:paraId="01938CBD">
      <w:pPr>
        <w:pStyle w:val="24"/>
        <w:spacing w:line="520" w:lineRule="exact"/>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山东志诚工程咨询管理有限公司：</w:t>
      </w:r>
    </w:p>
    <w:p w14:paraId="21D63435">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我方收到</w:t>
      </w:r>
      <w:r>
        <w:rPr>
          <w:rFonts w:hint="eastAsia" w:ascii="仿宋_GB2312" w:hAnsi="宋体" w:eastAsia="仿宋_GB2312"/>
          <w:color w:val="000000" w:themeColor="text1"/>
          <w:sz w:val="30"/>
          <w:szCs w:val="30"/>
          <w:highlight w:val="none"/>
          <w:lang w:eastAsia="zh-CN"/>
          <w14:textFill>
            <w14:solidFill>
              <w14:schemeClr w14:val="tx1"/>
            </w14:solidFill>
          </w14:textFill>
        </w:rPr>
        <w:t>RCTDFZ2026-006</w:t>
      </w:r>
      <w:r>
        <w:rPr>
          <w:rFonts w:hint="eastAsia" w:ascii="仿宋_GB2312" w:hAnsi="宋体" w:eastAsia="仿宋_GB2312"/>
          <w:color w:val="000000" w:themeColor="text1"/>
          <w:sz w:val="30"/>
          <w:szCs w:val="30"/>
          <w:highlight w:val="none"/>
          <w14:textFill>
            <w14:solidFill>
              <w14:schemeClr w14:val="tx1"/>
            </w14:solidFill>
          </w14:textFill>
        </w:rPr>
        <w:t>号招标文件，经详细研究，决定参加投标。</w:t>
      </w:r>
    </w:p>
    <w:p w14:paraId="56C339E9">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1.我方愿意按照招标文件的规定和要求提供货物和服务，报价详见《开标一览表》。</w:t>
      </w:r>
    </w:p>
    <w:p w14:paraId="43F14D28">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2.我方同意90天的投标有效期，严格遵守投标文件的各项承诺。在此期限届满之前，本投标文件始终对我方具有约束力，并随时接受中标。我方承诺在投标有效期内不修改、撤销投标文件。</w:t>
      </w:r>
    </w:p>
    <w:p w14:paraId="40158364">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3.我方愿意遵守招标文件的规定和要求，并提供招标文件中要求的所有资料。</w:t>
      </w:r>
    </w:p>
    <w:p w14:paraId="04AC7457">
      <w:pPr>
        <w:pStyle w:val="24"/>
        <w:spacing w:line="520" w:lineRule="exact"/>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 xml:space="preserve">    4.我方同意最低价是中标的主要选择标准，但不是唯一的选择标准。</w:t>
      </w:r>
    </w:p>
    <w:p w14:paraId="5D1951F1">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5.我方愿意按招标文件规定，全额交纳投标代理费。</w:t>
      </w:r>
    </w:p>
    <w:p w14:paraId="35D162B0">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ascii="仿宋_GB2312" w:hAnsi="宋体" w:eastAsia="仿宋_GB2312"/>
          <w:color w:val="000000" w:themeColor="text1"/>
          <w:sz w:val="30"/>
          <w:szCs w:val="30"/>
          <w:highlight w:val="none"/>
          <w14:textFill>
            <w14:solidFill>
              <w14:schemeClr w14:val="tx1"/>
            </w14:solidFill>
          </w14:textFill>
        </w:rPr>
        <w:t>6</w:t>
      </w:r>
      <w:r>
        <w:rPr>
          <w:rFonts w:hint="eastAsia" w:ascii="仿宋_GB2312" w:hAnsi="宋体" w:eastAsia="仿宋_GB2312"/>
          <w:color w:val="000000" w:themeColor="text1"/>
          <w:sz w:val="30"/>
          <w:szCs w:val="30"/>
          <w:highlight w:val="none"/>
          <w14:textFill>
            <w14:solidFill>
              <w14:schemeClr w14:val="tx1"/>
            </w14:solidFill>
          </w14:textFill>
        </w:rPr>
        <w:t>.如果我方中标：</w:t>
      </w:r>
    </w:p>
    <w:p w14:paraId="698B1EEC">
      <w:pPr>
        <w:pStyle w:val="24"/>
        <w:spacing w:line="520" w:lineRule="exact"/>
        <w:ind w:firstLine="57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（1）我方承诺将按照招标文件的规定全额交纳代理服务费；</w:t>
      </w:r>
    </w:p>
    <w:p w14:paraId="5B596755">
      <w:pPr>
        <w:pStyle w:val="24"/>
        <w:spacing w:line="520" w:lineRule="exact"/>
        <w:ind w:firstLine="57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（2）我方承诺在中标通知书发出后，在规定期限内与招标人签订合同；</w:t>
      </w:r>
    </w:p>
    <w:p w14:paraId="719B8CB7">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（3）我方承诺在合同约定的期限内，按期、保质、保量完成供货安装任务。</w:t>
      </w:r>
    </w:p>
    <w:p w14:paraId="63B6D19C">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ascii="仿宋_GB2312" w:hAnsi="宋体" w:eastAsia="仿宋_GB2312"/>
          <w:color w:val="000000" w:themeColor="text1"/>
          <w:sz w:val="30"/>
          <w:szCs w:val="30"/>
          <w:highlight w:val="none"/>
          <w14:textFill>
            <w14:solidFill>
              <w14:schemeClr w14:val="tx1"/>
            </w14:solidFill>
          </w14:textFill>
        </w:rPr>
        <w:t>7</w:t>
      </w:r>
      <w:r>
        <w:rPr>
          <w:rFonts w:hint="eastAsia" w:ascii="仿宋_GB2312" w:hAnsi="宋体" w:eastAsia="仿宋_GB2312"/>
          <w:color w:val="000000" w:themeColor="text1"/>
          <w:sz w:val="30"/>
          <w:szCs w:val="30"/>
          <w:highlight w:val="none"/>
          <w14:textFill>
            <w14:solidFill>
              <w14:schemeClr w14:val="tx1"/>
            </w14:solidFill>
          </w14:textFill>
        </w:rPr>
        <w:t>.所有有关本投标的函电，请按下列地址联系：</w:t>
      </w:r>
    </w:p>
    <w:p w14:paraId="69240A64">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单    位：                     邮政编码：</w:t>
      </w:r>
    </w:p>
    <w:p w14:paraId="285F3BAD">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地    址：                     联 系 人：</w:t>
      </w:r>
    </w:p>
    <w:p w14:paraId="52DD63C5">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电    话：                     传    真：</w:t>
      </w:r>
    </w:p>
    <w:p w14:paraId="53FCAAEB">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开户名称：</w:t>
      </w:r>
    </w:p>
    <w:p w14:paraId="154F0DD5">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开户银行：</w:t>
      </w:r>
    </w:p>
    <w:p w14:paraId="2D73A750">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开户账号：</w:t>
      </w:r>
    </w:p>
    <w:p w14:paraId="1E9ED575">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 xml:space="preserve">投标人（盖章）： </w:t>
      </w:r>
    </w:p>
    <w:p w14:paraId="079E9531">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法定代表人（依法登记的负责人）或被授权人（签字或盖章）：</w:t>
      </w:r>
    </w:p>
    <w:p w14:paraId="335E94F3">
      <w:pPr>
        <w:pStyle w:val="24"/>
        <w:spacing w:line="520" w:lineRule="exact"/>
        <w:ind w:firstLine="64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 xml:space="preserve">投标日期：××年××月××日 </w:t>
      </w:r>
    </w:p>
    <w:p w14:paraId="2ACD2FE3">
      <w:pPr>
        <w:pStyle w:val="24"/>
        <w:spacing w:line="520" w:lineRule="exact"/>
        <w:jc w:val="center"/>
        <w:rPr>
          <w:rFonts w:ascii="仿宋_GB2312" w:hAnsi="宋体" w:eastAsia="仿宋_GB2312"/>
          <w:b/>
          <w:bCs/>
          <w:color w:val="000000" w:themeColor="text1"/>
          <w:sz w:val="36"/>
          <w:highlight w:val="none"/>
          <w14:textFill>
            <w14:solidFill>
              <w14:schemeClr w14:val="tx1"/>
            </w14:solidFill>
          </w14:textFill>
        </w:rPr>
      </w:pPr>
    </w:p>
    <w:p w14:paraId="09CD3EF3">
      <w:pPr>
        <w:pStyle w:val="24"/>
        <w:jc w:val="right"/>
        <w:rPr>
          <w:rFonts w:ascii="仿宋_GB2312" w:hAnsi="宋体" w:eastAsia="仿宋_GB2312"/>
          <w:b/>
          <w:bCs/>
          <w:color w:val="000000" w:themeColor="text1"/>
          <w:sz w:val="28"/>
          <w:szCs w:val="28"/>
          <w:highlight w:val="none"/>
          <w14:textFill>
            <w14:solidFill>
              <w14:schemeClr w14:val="tx1"/>
            </w14:solidFill>
          </w14:textFill>
        </w:rPr>
        <w:sectPr>
          <w:headerReference r:id="rId13" w:type="default"/>
          <w:footerReference r:id="rId14" w:type="default"/>
          <w:pgSz w:w="11906" w:h="16838"/>
          <w:pgMar w:top="1418" w:right="1134" w:bottom="1134" w:left="1418" w:header="851" w:footer="992" w:gutter="0"/>
          <w:cols w:space="720" w:num="1"/>
          <w:docGrid w:type="lines" w:linePitch="520" w:charSpace="0"/>
        </w:sectPr>
      </w:pPr>
      <w:r>
        <w:rPr>
          <w:rFonts w:hint="eastAsia" w:ascii="仿宋" w:hAnsi="仿宋" w:eastAsia="仿宋"/>
          <w:color w:val="000000" w:themeColor="text1"/>
          <w:sz w:val="32"/>
          <w:szCs w:val="32"/>
          <w:highlight w:val="none"/>
          <w:u w:val="single"/>
          <w14:textFill>
            <w14:solidFill>
              <w14:schemeClr w14:val="tx1"/>
            </w14:solidFill>
          </w14:textFill>
        </w:rPr>
        <w:t xml:space="preserve">           　　　</w:t>
      </w:r>
    </w:p>
    <w:p w14:paraId="3A7E0786">
      <w:pPr>
        <w:pStyle w:val="13"/>
        <w:rPr>
          <w:color w:val="000000" w:themeColor="text1"/>
          <w:highlight w:val="none"/>
          <w14:textFill>
            <w14:solidFill>
              <w14:schemeClr w14:val="tx1"/>
            </w14:solidFill>
          </w14:textFill>
        </w:rPr>
      </w:pPr>
    </w:p>
    <w:p w14:paraId="667F3966">
      <w:pPr>
        <w:pStyle w:val="24"/>
        <w:spacing w:line="520" w:lineRule="exact"/>
        <w:jc w:val="center"/>
        <w:rPr>
          <w:rFonts w:hint="eastAsia" w:ascii="Times New Roman" w:hAnsi="Times New Roman" w:eastAsia="仿宋"/>
          <w:b/>
          <w:color w:val="000000" w:themeColor="text1"/>
          <w:sz w:val="44"/>
          <w:szCs w:val="44"/>
          <w:highlight w:val="none"/>
          <w:lang w:eastAsia="zh-CN"/>
          <w14:textFill>
            <w14:solidFill>
              <w14:schemeClr w14:val="tx1"/>
            </w14:solidFill>
          </w14:textFill>
        </w:rPr>
      </w:pPr>
      <w:r>
        <w:rPr>
          <w:rFonts w:hint="eastAsia" w:ascii="Times New Roman" w:hAnsi="Times New Roman" w:eastAsia="仿宋"/>
          <w:b/>
          <w:color w:val="000000" w:themeColor="text1"/>
          <w:sz w:val="44"/>
          <w:szCs w:val="44"/>
          <w:highlight w:val="none"/>
          <w14:textFill>
            <w14:solidFill>
              <w14:schemeClr w14:val="tx1"/>
            </w14:solidFill>
          </w14:textFill>
        </w:rPr>
        <w:t>有效的营业执照副本扫描件</w:t>
      </w:r>
      <w:r>
        <w:rPr>
          <w:rFonts w:hint="eastAsia" w:ascii="Times New Roman" w:hAnsi="Times New Roman" w:eastAsia="仿宋"/>
          <w:b/>
          <w:color w:val="000000" w:themeColor="text1"/>
          <w:sz w:val="44"/>
          <w:szCs w:val="44"/>
          <w:highlight w:val="none"/>
          <w:lang w:eastAsia="zh-CN"/>
          <w14:textFill>
            <w14:solidFill>
              <w14:schemeClr w14:val="tx1"/>
            </w14:solidFill>
          </w14:textFill>
        </w:rPr>
        <w:t>；或其他能证明具有独立承担民事责任能力的材料扫描件（银行、保险、石油石化、电力、电信等特殊行业，分公司参与投标（响应）的，须提供总公司的授权）</w:t>
      </w:r>
    </w:p>
    <w:p w14:paraId="6C630AB5">
      <w:pPr>
        <w:pStyle w:val="24"/>
        <w:spacing w:line="520" w:lineRule="exact"/>
        <w:jc w:val="center"/>
        <w:rPr>
          <w:rFonts w:hAnsi="宋体"/>
          <w:b/>
          <w:color w:val="000000" w:themeColor="text1"/>
          <w:sz w:val="44"/>
          <w:szCs w:val="44"/>
          <w:highlight w:val="none"/>
          <w14:textFill>
            <w14:solidFill>
              <w14:schemeClr w14:val="tx1"/>
            </w14:solidFill>
          </w14:textFill>
        </w:rPr>
      </w:pPr>
    </w:p>
    <w:p w14:paraId="5FF8D1F1">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038D7137">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2D9E7491">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0AB3A031">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302E0126">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5563FF85">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51F930B3">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1FD667F2">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0DD58636">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69F9D9DC">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6251D8B1">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5D27A704">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43A59FB0">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27899E61">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1C56FED0">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26ACB71D">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7818CD41">
      <w:pPr>
        <w:pStyle w:val="24"/>
        <w:spacing w:line="520" w:lineRule="exact"/>
        <w:jc w:val="right"/>
        <w:rPr>
          <w:rFonts w:ascii="仿宋_GB2312" w:hAnsi="宋体" w:eastAsia="仿宋_GB2312"/>
          <w:b/>
          <w:bCs/>
          <w:color w:val="000000" w:themeColor="text1"/>
          <w:sz w:val="30"/>
          <w:szCs w:val="30"/>
          <w:highlight w:val="none"/>
          <w14:textFill>
            <w14:solidFill>
              <w14:schemeClr w14:val="tx1"/>
            </w14:solidFill>
          </w14:textFill>
        </w:rPr>
      </w:pPr>
    </w:p>
    <w:p w14:paraId="5711B8F7">
      <w:pPr>
        <w:pStyle w:val="24"/>
        <w:spacing w:line="520" w:lineRule="exact"/>
        <w:ind w:right="600"/>
        <w:jc w:val="center"/>
        <w:rPr>
          <w:rFonts w:hint="eastAsia" w:ascii="仿宋_GB2312" w:hAnsi="宋体" w:eastAsia="仿宋_GB2312"/>
          <w:color w:val="000000" w:themeColor="text1"/>
          <w:sz w:val="30"/>
          <w:szCs w:val="30"/>
          <w:highlight w:val="none"/>
          <w14:textFill>
            <w14:solidFill>
              <w14:schemeClr w14:val="tx1"/>
            </w14:solidFill>
          </w14:textFill>
        </w:rPr>
        <w:sectPr>
          <w:pgSz w:w="11906" w:h="16838"/>
          <w:pgMar w:top="1440" w:right="1080" w:bottom="1440" w:left="1080" w:header="851" w:footer="992" w:gutter="0"/>
          <w:cols w:space="720" w:num="1"/>
          <w:docGrid w:type="lines" w:linePitch="312" w:charSpace="0"/>
        </w:sectPr>
      </w:pPr>
      <w:r>
        <w:rPr>
          <w:rFonts w:hint="eastAsia" w:ascii="仿宋_GB2312" w:hAnsi="宋体" w:eastAsia="仿宋_GB2312"/>
          <w:color w:val="000000" w:themeColor="text1"/>
          <w:sz w:val="30"/>
          <w:szCs w:val="30"/>
          <w:highlight w:val="none"/>
          <w14:textFill>
            <w14:solidFill>
              <w14:schemeClr w14:val="tx1"/>
            </w14:solidFill>
          </w14:textFill>
        </w:rPr>
        <w:t>投标人(盖章)：</w:t>
      </w:r>
    </w:p>
    <w:p w14:paraId="1B490878">
      <w:pPr>
        <w:pStyle w:val="24"/>
        <w:spacing w:line="520" w:lineRule="exact"/>
        <w:jc w:val="center"/>
        <w:rPr>
          <w:rFonts w:ascii="Times New Roman" w:hAnsi="Times New Roman" w:eastAsia="仿宋"/>
          <w:b/>
          <w:color w:val="000000" w:themeColor="text1"/>
          <w:sz w:val="44"/>
          <w:szCs w:val="44"/>
          <w:highlight w:val="none"/>
          <w14:textFill>
            <w14:solidFill>
              <w14:schemeClr w14:val="tx1"/>
            </w14:solidFill>
          </w14:textFill>
        </w:rPr>
      </w:pPr>
      <w:r>
        <w:rPr>
          <w:rFonts w:ascii="Times New Roman" w:hAnsi="Times New Roman" w:eastAsia="仿宋"/>
          <w:b/>
          <w:color w:val="000000" w:themeColor="text1"/>
          <w:sz w:val="44"/>
          <w:szCs w:val="44"/>
          <w:highlight w:val="none"/>
          <w14:textFill>
            <w14:solidFill>
              <w14:schemeClr w14:val="tx1"/>
            </w14:solidFill>
          </w14:textFill>
        </w:rPr>
        <w:t>报价明细表（参考）</w:t>
      </w:r>
    </w:p>
    <w:p w14:paraId="5E67FC5B">
      <w:pPr>
        <w:ind w:right="280"/>
        <w:jc w:val="right"/>
        <w:rPr>
          <w:rFonts w:ascii="Times New Roman" w:hAnsi="Times New Roman" w:eastAsia="仿宋"/>
          <w:bCs/>
          <w:color w:val="000000" w:themeColor="text1"/>
          <w:sz w:val="28"/>
          <w:highlight w:val="none"/>
          <w:u w:val="single"/>
          <w14:textFill>
            <w14:solidFill>
              <w14:schemeClr w14:val="tx1"/>
            </w14:solidFill>
          </w14:textFill>
        </w:rPr>
      </w:pPr>
      <w:r>
        <w:rPr>
          <w:rFonts w:ascii="Times New Roman" w:hAnsi="Times New Roman" w:eastAsia="仿宋"/>
          <w:bCs/>
          <w:color w:val="000000" w:themeColor="text1"/>
          <w:sz w:val="28"/>
          <w:highlight w:val="none"/>
          <w14:textFill>
            <w14:solidFill>
              <w14:schemeClr w14:val="tx1"/>
            </w14:solidFill>
          </w14:textFill>
        </w:rPr>
        <w:t>单位：元</w:t>
      </w:r>
    </w:p>
    <w:tbl>
      <w:tblPr>
        <w:tblStyle w:val="47"/>
        <w:tblW w:w="92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5"/>
        <w:gridCol w:w="2381"/>
        <w:gridCol w:w="1560"/>
        <w:gridCol w:w="992"/>
        <w:gridCol w:w="992"/>
        <w:gridCol w:w="992"/>
        <w:gridCol w:w="1612"/>
      </w:tblGrid>
      <w:tr w14:paraId="7D59C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6A413DC3">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r>
              <w:rPr>
                <w:rFonts w:ascii="Times New Roman" w:hAnsi="Times New Roman" w:eastAsia="仿宋"/>
                <w:color w:val="000000" w:themeColor="text1"/>
                <w:sz w:val="24"/>
                <w:szCs w:val="24"/>
                <w:highlight w:val="none"/>
                <w14:textFill>
                  <w14:solidFill>
                    <w14:schemeClr w14:val="tx1"/>
                  </w14:solidFill>
                </w14:textFill>
              </w:rPr>
              <w:t>序号</w:t>
            </w:r>
          </w:p>
        </w:tc>
        <w:tc>
          <w:tcPr>
            <w:tcW w:w="2381" w:type="dxa"/>
            <w:noWrap w:val="0"/>
            <w:vAlign w:val="center"/>
          </w:tcPr>
          <w:p w14:paraId="1495A8D4">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r>
              <w:rPr>
                <w:rFonts w:ascii="Times New Roman" w:hAnsi="Times New Roman" w:eastAsia="仿宋"/>
                <w:color w:val="000000" w:themeColor="text1"/>
                <w:sz w:val="24"/>
                <w:szCs w:val="24"/>
                <w:highlight w:val="none"/>
                <w14:textFill>
                  <w14:solidFill>
                    <w14:schemeClr w14:val="tx1"/>
                  </w14:solidFill>
                </w14:textFill>
              </w:rPr>
              <w:t>费用构成</w:t>
            </w:r>
          </w:p>
        </w:tc>
        <w:tc>
          <w:tcPr>
            <w:tcW w:w="1560" w:type="dxa"/>
            <w:noWrap w:val="0"/>
            <w:vAlign w:val="center"/>
          </w:tcPr>
          <w:p w14:paraId="2321DFBC">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r>
              <w:rPr>
                <w:rFonts w:ascii="Times New Roman" w:hAnsi="Times New Roman" w:eastAsia="仿宋"/>
                <w:color w:val="000000" w:themeColor="text1"/>
                <w:sz w:val="24"/>
                <w:szCs w:val="24"/>
                <w:highlight w:val="none"/>
                <w14:textFill>
                  <w14:solidFill>
                    <w14:schemeClr w14:val="tx1"/>
                  </w14:solidFill>
                </w14:textFill>
              </w:rPr>
              <w:t>费用说明</w:t>
            </w:r>
          </w:p>
        </w:tc>
        <w:tc>
          <w:tcPr>
            <w:tcW w:w="992" w:type="dxa"/>
            <w:noWrap w:val="0"/>
            <w:vAlign w:val="center"/>
          </w:tcPr>
          <w:p w14:paraId="0B1C5E74">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r>
              <w:rPr>
                <w:rFonts w:ascii="Times New Roman" w:hAnsi="Times New Roman" w:eastAsia="仿宋"/>
                <w:color w:val="000000" w:themeColor="text1"/>
                <w:sz w:val="24"/>
                <w:szCs w:val="24"/>
                <w:highlight w:val="none"/>
                <w14:textFill>
                  <w14:solidFill>
                    <w14:schemeClr w14:val="tx1"/>
                  </w14:solidFill>
                </w14:textFill>
              </w:rPr>
              <w:t>数量</w:t>
            </w:r>
          </w:p>
        </w:tc>
        <w:tc>
          <w:tcPr>
            <w:tcW w:w="992" w:type="dxa"/>
            <w:noWrap w:val="0"/>
            <w:vAlign w:val="center"/>
          </w:tcPr>
          <w:p w14:paraId="73EDB66D">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r>
              <w:rPr>
                <w:rFonts w:ascii="Times New Roman" w:hAnsi="Times New Roman" w:eastAsia="仿宋"/>
                <w:color w:val="000000" w:themeColor="text1"/>
                <w:sz w:val="24"/>
                <w:szCs w:val="24"/>
                <w:highlight w:val="none"/>
                <w14:textFill>
                  <w14:solidFill>
                    <w14:schemeClr w14:val="tx1"/>
                  </w14:solidFill>
                </w14:textFill>
              </w:rPr>
              <w:t>单价</w:t>
            </w:r>
          </w:p>
        </w:tc>
        <w:tc>
          <w:tcPr>
            <w:tcW w:w="992" w:type="dxa"/>
            <w:noWrap w:val="0"/>
            <w:vAlign w:val="center"/>
          </w:tcPr>
          <w:p w14:paraId="11D50B2E">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r>
              <w:rPr>
                <w:rFonts w:ascii="Times New Roman" w:hAnsi="Times New Roman" w:eastAsia="仿宋"/>
                <w:color w:val="000000" w:themeColor="text1"/>
                <w:sz w:val="24"/>
                <w:szCs w:val="24"/>
                <w:highlight w:val="none"/>
                <w14:textFill>
                  <w14:solidFill>
                    <w14:schemeClr w14:val="tx1"/>
                  </w14:solidFill>
                </w14:textFill>
              </w:rPr>
              <w:t>合计</w:t>
            </w:r>
          </w:p>
        </w:tc>
        <w:tc>
          <w:tcPr>
            <w:tcW w:w="1612" w:type="dxa"/>
            <w:noWrap w:val="0"/>
            <w:vAlign w:val="center"/>
          </w:tcPr>
          <w:p w14:paraId="674A2765">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r>
              <w:rPr>
                <w:rFonts w:ascii="Times New Roman" w:hAnsi="Times New Roman" w:eastAsia="仿宋"/>
                <w:color w:val="000000" w:themeColor="text1"/>
                <w:sz w:val="24"/>
                <w:szCs w:val="24"/>
                <w:highlight w:val="none"/>
                <w14:textFill>
                  <w14:solidFill>
                    <w14:schemeClr w14:val="tx1"/>
                  </w14:solidFill>
                </w14:textFill>
              </w:rPr>
              <w:t>备注</w:t>
            </w:r>
          </w:p>
        </w:tc>
      </w:tr>
      <w:tr w14:paraId="3E02F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3C01E3B4">
            <w:pPr>
              <w:pStyle w:val="24"/>
              <w:numPr>
                <w:ilvl w:val="0"/>
                <w:numId w:val="7"/>
              </w:numPr>
              <w:tabs>
                <w:tab w:val="left" w:pos="420"/>
              </w:tabs>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2381" w:type="dxa"/>
            <w:noWrap w:val="0"/>
            <w:vAlign w:val="center"/>
          </w:tcPr>
          <w:p w14:paraId="38775D59">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560" w:type="dxa"/>
            <w:noWrap w:val="0"/>
            <w:vAlign w:val="center"/>
          </w:tcPr>
          <w:p w14:paraId="7F132A58">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992" w:type="dxa"/>
            <w:noWrap w:val="0"/>
            <w:vAlign w:val="center"/>
          </w:tcPr>
          <w:p w14:paraId="25F748BE">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992" w:type="dxa"/>
            <w:noWrap w:val="0"/>
            <w:vAlign w:val="center"/>
          </w:tcPr>
          <w:p w14:paraId="7B668811">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992" w:type="dxa"/>
            <w:noWrap w:val="0"/>
            <w:vAlign w:val="center"/>
          </w:tcPr>
          <w:p w14:paraId="196E6662">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612" w:type="dxa"/>
            <w:noWrap w:val="0"/>
            <w:vAlign w:val="center"/>
          </w:tcPr>
          <w:p w14:paraId="05139186">
            <w:pPr>
              <w:pStyle w:val="24"/>
              <w:spacing w:line="440" w:lineRule="exact"/>
              <w:rPr>
                <w:rFonts w:ascii="Times New Roman" w:hAnsi="Times New Roman" w:eastAsia="仿宋"/>
                <w:color w:val="000000" w:themeColor="text1"/>
                <w:sz w:val="24"/>
                <w:szCs w:val="24"/>
                <w:highlight w:val="none"/>
                <w:u w:val="single"/>
                <w14:textFill>
                  <w14:solidFill>
                    <w14:schemeClr w14:val="tx1"/>
                  </w14:solidFill>
                </w14:textFill>
              </w:rPr>
            </w:pPr>
          </w:p>
        </w:tc>
      </w:tr>
      <w:tr w14:paraId="39840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5D5E2E61">
            <w:pPr>
              <w:pStyle w:val="24"/>
              <w:numPr>
                <w:ilvl w:val="0"/>
                <w:numId w:val="7"/>
              </w:numPr>
              <w:tabs>
                <w:tab w:val="left" w:pos="420"/>
              </w:tabs>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2381" w:type="dxa"/>
            <w:noWrap w:val="0"/>
            <w:vAlign w:val="center"/>
          </w:tcPr>
          <w:p w14:paraId="5AE3EC8E">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560" w:type="dxa"/>
            <w:noWrap w:val="0"/>
            <w:vAlign w:val="center"/>
          </w:tcPr>
          <w:p w14:paraId="6FB7588D">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65CE1238">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291E937D">
            <w:pPr>
              <w:spacing w:line="440" w:lineRule="exact"/>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15FF3080">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612" w:type="dxa"/>
            <w:noWrap w:val="0"/>
            <w:vAlign w:val="center"/>
          </w:tcPr>
          <w:p w14:paraId="3F4F45AB">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r>
      <w:tr w14:paraId="7F358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73CC4258">
            <w:pPr>
              <w:pStyle w:val="24"/>
              <w:numPr>
                <w:ilvl w:val="0"/>
                <w:numId w:val="7"/>
              </w:numPr>
              <w:tabs>
                <w:tab w:val="left" w:pos="420"/>
              </w:tabs>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2381" w:type="dxa"/>
            <w:noWrap w:val="0"/>
            <w:vAlign w:val="center"/>
          </w:tcPr>
          <w:p w14:paraId="39AB425A">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560" w:type="dxa"/>
            <w:noWrap w:val="0"/>
            <w:vAlign w:val="center"/>
          </w:tcPr>
          <w:p w14:paraId="3B6DD968">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7791527F">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31FF2442">
            <w:pPr>
              <w:spacing w:line="440" w:lineRule="exact"/>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3225AC80">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612" w:type="dxa"/>
            <w:noWrap w:val="0"/>
            <w:vAlign w:val="center"/>
          </w:tcPr>
          <w:p w14:paraId="739DB131">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r>
      <w:tr w14:paraId="5F1A3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397B912B">
            <w:pPr>
              <w:pStyle w:val="24"/>
              <w:numPr>
                <w:ilvl w:val="0"/>
                <w:numId w:val="7"/>
              </w:numPr>
              <w:tabs>
                <w:tab w:val="left" w:pos="420"/>
              </w:tabs>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2381" w:type="dxa"/>
            <w:noWrap w:val="0"/>
            <w:vAlign w:val="center"/>
          </w:tcPr>
          <w:p w14:paraId="625FCF1E">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560" w:type="dxa"/>
            <w:noWrap w:val="0"/>
            <w:vAlign w:val="center"/>
          </w:tcPr>
          <w:p w14:paraId="372B7A02">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6FA44E60">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5882BCA1">
            <w:pPr>
              <w:spacing w:line="440" w:lineRule="exact"/>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259CE9D5">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612" w:type="dxa"/>
            <w:noWrap w:val="0"/>
            <w:vAlign w:val="center"/>
          </w:tcPr>
          <w:p w14:paraId="122FD61A">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r>
      <w:tr w14:paraId="1BCF7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1CAA0249">
            <w:pPr>
              <w:pStyle w:val="24"/>
              <w:numPr>
                <w:ilvl w:val="0"/>
                <w:numId w:val="7"/>
              </w:numPr>
              <w:tabs>
                <w:tab w:val="left" w:pos="420"/>
              </w:tabs>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2381" w:type="dxa"/>
            <w:noWrap w:val="0"/>
            <w:vAlign w:val="center"/>
          </w:tcPr>
          <w:p w14:paraId="5A6EE1D7">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560" w:type="dxa"/>
            <w:noWrap w:val="0"/>
            <w:vAlign w:val="center"/>
          </w:tcPr>
          <w:p w14:paraId="3913EE35">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04EA3BD5">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65667E9E">
            <w:pPr>
              <w:spacing w:line="440" w:lineRule="exact"/>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74F6DF98">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612" w:type="dxa"/>
            <w:noWrap w:val="0"/>
            <w:vAlign w:val="center"/>
          </w:tcPr>
          <w:p w14:paraId="34C7AD0D">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r>
      <w:tr w14:paraId="2468E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3C32AF41">
            <w:pPr>
              <w:pStyle w:val="24"/>
              <w:numPr>
                <w:ilvl w:val="0"/>
                <w:numId w:val="7"/>
              </w:numPr>
              <w:tabs>
                <w:tab w:val="left" w:pos="420"/>
              </w:tabs>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2381" w:type="dxa"/>
            <w:noWrap w:val="0"/>
            <w:vAlign w:val="center"/>
          </w:tcPr>
          <w:p w14:paraId="78127286">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560" w:type="dxa"/>
            <w:noWrap w:val="0"/>
            <w:vAlign w:val="center"/>
          </w:tcPr>
          <w:p w14:paraId="347D0F95">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71D894B9">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397F5B87">
            <w:pPr>
              <w:spacing w:line="440" w:lineRule="exact"/>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6F290864">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612" w:type="dxa"/>
            <w:noWrap w:val="0"/>
            <w:vAlign w:val="center"/>
          </w:tcPr>
          <w:p w14:paraId="6B18E581">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r>
      <w:tr w14:paraId="4BE93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4A3A2874">
            <w:pPr>
              <w:pStyle w:val="24"/>
              <w:numPr>
                <w:ilvl w:val="0"/>
                <w:numId w:val="7"/>
              </w:numPr>
              <w:tabs>
                <w:tab w:val="left" w:pos="420"/>
              </w:tabs>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2381" w:type="dxa"/>
            <w:noWrap w:val="0"/>
            <w:vAlign w:val="center"/>
          </w:tcPr>
          <w:p w14:paraId="4F375C0D">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560" w:type="dxa"/>
            <w:noWrap w:val="0"/>
            <w:vAlign w:val="center"/>
          </w:tcPr>
          <w:p w14:paraId="425E1A56">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23056878">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4524A4B4">
            <w:pPr>
              <w:spacing w:line="440" w:lineRule="exact"/>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0097D3B0">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612" w:type="dxa"/>
            <w:noWrap w:val="0"/>
            <w:vAlign w:val="center"/>
          </w:tcPr>
          <w:p w14:paraId="41381581">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r>
      <w:tr w14:paraId="4A5C7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745" w:type="dxa"/>
            <w:noWrap w:val="0"/>
            <w:vAlign w:val="center"/>
          </w:tcPr>
          <w:p w14:paraId="663596B8">
            <w:pPr>
              <w:pStyle w:val="24"/>
              <w:numPr>
                <w:ilvl w:val="0"/>
                <w:numId w:val="7"/>
              </w:numPr>
              <w:tabs>
                <w:tab w:val="left" w:pos="420"/>
              </w:tabs>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c>
          <w:tcPr>
            <w:tcW w:w="2381" w:type="dxa"/>
            <w:noWrap w:val="0"/>
            <w:vAlign w:val="center"/>
          </w:tcPr>
          <w:p w14:paraId="45EC2FCD">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560" w:type="dxa"/>
            <w:noWrap w:val="0"/>
            <w:vAlign w:val="center"/>
          </w:tcPr>
          <w:p w14:paraId="7BE4DE89">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0E2C01F1">
            <w:pPr>
              <w:spacing w:line="440" w:lineRule="exact"/>
              <w:jc w:val="center"/>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52B61319">
            <w:pPr>
              <w:spacing w:line="440" w:lineRule="exact"/>
              <w:rPr>
                <w:rFonts w:ascii="Times New Roman" w:hAnsi="Times New Roman" w:eastAsia="仿宋"/>
                <w:color w:val="000000" w:themeColor="text1"/>
                <w:sz w:val="24"/>
                <w:highlight w:val="none"/>
                <w14:textFill>
                  <w14:solidFill>
                    <w14:schemeClr w14:val="tx1"/>
                  </w14:solidFill>
                </w14:textFill>
              </w:rPr>
            </w:pPr>
          </w:p>
        </w:tc>
        <w:tc>
          <w:tcPr>
            <w:tcW w:w="992" w:type="dxa"/>
            <w:noWrap w:val="0"/>
            <w:vAlign w:val="center"/>
          </w:tcPr>
          <w:p w14:paraId="295FC50D">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c>
          <w:tcPr>
            <w:tcW w:w="1612" w:type="dxa"/>
            <w:noWrap w:val="0"/>
            <w:vAlign w:val="center"/>
          </w:tcPr>
          <w:p w14:paraId="29D32324">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p>
        </w:tc>
      </w:tr>
      <w:tr w14:paraId="68CBF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6" w:hRule="atLeast"/>
          <w:jc w:val="center"/>
        </w:trPr>
        <w:tc>
          <w:tcPr>
            <w:tcW w:w="3126" w:type="dxa"/>
            <w:gridSpan w:val="2"/>
            <w:noWrap w:val="0"/>
            <w:vAlign w:val="center"/>
          </w:tcPr>
          <w:p w14:paraId="2FFC78B1">
            <w:pPr>
              <w:pStyle w:val="24"/>
              <w:spacing w:line="440" w:lineRule="exact"/>
              <w:rPr>
                <w:rFonts w:ascii="Times New Roman" w:hAnsi="Times New Roman" w:eastAsia="仿宋"/>
                <w:color w:val="000000" w:themeColor="text1"/>
                <w:sz w:val="24"/>
                <w:szCs w:val="24"/>
                <w:highlight w:val="none"/>
                <w14:textFill>
                  <w14:solidFill>
                    <w14:schemeClr w14:val="tx1"/>
                  </w14:solidFill>
                </w14:textFill>
              </w:rPr>
            </w:pPr>
            <w:r>
              <w:rPr>
                <w:rFonts w:ascii="Times New Roman" w:hAnsi="Times New Roman" w:eastAsia="仿宋"/>
                <w:color w:val="000000" w:themeColor="text1"/>
                <w:sz w:val="24"/>
                <w:szCs w:val="24"/>
                <w:highlight w:val="none"/>
                <w14:textFill>
                  <w14:solidFill>
                    <w14:schemeClr w14:val="tx1"/>
                  </w14:solidFill>
                </w14:textFill>
              </w:rPr>
              <w:t>合计报价</w:t>
            </w:r>
          </w:p>
        </w:tc>
        <w:tc>
          <w:tcPr>
            <w:tcW w:w="6148" w:type="dxa"/>
            <w:gridSpan w:val="5"/>
            <w:noWrap w:val="0"/>
            <w:vAlign w:val="center"/>
          </w:tcPr>
          <w:p w14:paraId="00B32E48">
            <w:pPr>
              <w:pStyle w:val="24"/>
              <w:spacing w:line="440" w:lineRule="exact"/>
              <w:jc w:val="center"/>
              <w:rPr>
                <w:rFonts w:ascii="Times New Roman" w:hAnsi="Times New Roman" w:eastAsia="仿宋"/>
                <w:color w:val="000000" w:themeColor="text1"/>
                <w:sz w:val="24"/>
                <w:szCs w:val="24"/>
                <w:highlight w:val="none"/>
                <w14:textFill>
                  <w14:solidFill>
                    <w14:schemeClr w14:val="tx1"/>
                  </w14:solidFill>
                </w14:textFill>
              </w:rPr>
            </w:pPr>
          </w:p>
        </w:tc>
      </w:tr>
    </w:tbl>
    <w:p w14:paraId="1B59CB25">
      <w:pPr>
        <w:ind w:firstLine="210" w:firstLineChars="100"/>
        <w:rPr>
          <w:rFonts w:ascii="Times New Roman" w:hAnsi="Times New Roman" w:eastAsia="仿宋_GB2312"/>
          <w:color w:val="000000" w:themeColor="text1"/>
          <w:highlight w:val="none"/>
          <w14:textFill>
            <w14:solidFill>
              <w14:schemeClr w14:val="tx1"/>
            </w14:solidFill>
          </w14:textFill>
        </w:rPr>
      </w:pPr>
      <w:r>
        <w:rPr>
          <w:rFonts w:ascii="Times New Roman" w:hAnsi="Times New Roman" w:eastAsia="仿宋_GB2312"/>
          <w:color w:val="000000" w:themeColor="text1"/>
          <w:highlight w:val="none"/>
          <w14:textFill>
            <w14:solidFill>
              <w14:schemeClr w14:val="tx1"/>
            </w14:solidFill>
          </w14:textFill>
        </w:rPr>
        <w:t>注</w:t>
      </w:r>
      <w:r>
        <w:rPr>
          <w:rFonts w:hint="eastAsia" w:eastAsia="仿宋_GB2312"/>
          <w:color w:val="000000" w:themeColor="text1"/>
          <w:highlight w:val="none"/>
          <w:lang w:eastAsia="zh-CN"/>
          <w14:textFill>
            <w14:solidFill>
              <w14:schemeClr w14:val="tx1"/>
            </w14:solidFill>
          </w14:textFill>
        </w:rPr>
        <w:t>：</w:t>
      </w:r>
      <w:r>
        <w:rPr>
          <w:rFonts w:hint="eastAsia" w:eastAsia="仿宋_GB2312"/>
          <w:color w:val="000000" w:themeColor="text1"/>
          <w:highlight w:val="none"/>
          <w:lang w:val="en-US" w:eastAsia="zh-CN"/>
          <w14:textFill>
            <w14:solidFill>
              <w14:schemeClr w14:val="tx1"/>
            </w14:solidFill>
          </w14:textFill>
        </w:rPr>
        <w:t>1.</w:t>
      </w:r>
      <w:r>
        <w:rPr>
          <w:rFonts w:ascii="Times New Roman" w:hAnsi="Times New Roman" w:eastAsia="仿宋_GB2312"/>
          <w:color w:val="000000" w:themeColor="text1"/>
          <w:highlight w:val="none"/>
          <w14:textFill>
            <w14:solidFill>
              <w14:schemeClr w14:val="tx1"/>
            </w14:solidFill>
          </w14:textFill>
        </w:rPr>
        <w:t>此表中的总报价必须与数据文件中投标（报价）一览表的总报价一致。</w:t>
      </w:r>
    </w:p>
    <w:p w14:paraId="1859136A">
      <w:pPr>
        <w:numPr>
          <w:ilvl w:val="0"/>
          <w:numId w:val="0"/>
        </w:numPr>
        <w:ind w:left="0" w:leftChars="0" w:firstLine="0" w:firstLineChars="0"/>
        <w:rPr>
          <w:rFonts w:hint="eastAsia" w:eastAsia="仿宋_GB2312"/>
          <w:color w:val="000000" w:themeColor="text1"/>
          <w:highlight w:val="none"/>
          <w:lang w:val="en-US" w:eastAsia="zh-CN"/>
          <w14:textFill>
            <w14:solidFill>
              <w14:schemeClr w14:val="tx1"/>
            </w14:solidFill>
          </w14:textFill>
        </w:rPr>
      </w:pPr>
      <w:r>
        <w:rPr>
          <w:rFonts w:hint="eastAsia" w:ascii="Times New Roman" w:hAnsi="Times New Roman" w:eastAsia="仿宋_GB2312" w:cs="Times New Roman"/>
          <w:color w:val="000000" w:themeColor="text1"/>
          <w:kern w:val="2"/>
          <w:sz w:val="21"/>
          <w:szCs w:val="24"/>
          <w:highlight w:val="none"/>
          <w:lang w:val="en-US" w:eastAsia="zh-CN" w:bidi="ar-SA"/>
          <w14:textFill>
            <w14:solidFill>
              <w14:schemeClr w14:val="tx1"/>
            </w14:solidFill>
          </w14:textFill>
        </w:rPr>
        <w:t>2.</w:t>
      </w:r>
      <w:r>
        <w:rPr>
          <w:rFonts w:hint="eastAsia" w:eastAsia="仿宋_GB2312"/>
          <w:color w:val="000000" w:themeColor="text1"/>
          <w:highlight w:val="none"/>
          <w:lang w:val="en-US" w:eastAsia="zh-CN"/>
          <w14:textFill>
            <w14:solidFill>
              <w14:schemeClr w14:val="tx1"/>
            </w14:solidFill>
          </w14:textFill>
        </w:rPr>
        <w:t>本项目为交钥匙项目，投标人应对本次招标的全部内容以进行报价，包括系统及运行调试、人工、设备费、维护费、通讯费、交通费、住宿费、技术培训、管理、保险、验收、售后服务、利润、税金及附带服务等全部费用。</w:t>
      </w:r>
    </w:p>
    <w:p w14:paraId="1E275538">
      <w:pPr>
        <w:numPr>
          <w:ilvl w:val="0"/>
          <w:numId w:val="0"/>
        </w:numPr>
        <w:ind w:leftChars="0"/>
        <w:rPr>
          <w:rFonts w:hint="default" w:eastAsia="仿宋_GB2312"/>
          <w:color w:val="000000" w:themeColor="text1"/>
          <w:highlight w:val="none"/>
          <w:lang w:val="en-US" w:eastAsia="zh-CN"/>
          <w14:textFill>
            <w14:solidFill>
              <w14:schemeClr w14:val="tx1"/>
            </w14:solidFill>
          </w14:textFill>
        </w:rPr>
      </w:pPr>
      <w:r>
        <w:rPr>
          <w:rFonts w:hint="eastAsia" w:eastAsia="仿宋_GB2312"/>
          <w:color w:val="000000" w:themeColor="text1"/>
          <w:highlight w:val="none"/>
          <w:lang w:val="en-US" w:eastAsia="zh-CN"/>
          <w14:textFill>
            <w14:solidFill>
              <w14:schemeClr w14:val="tx1"/>
            </w14:solidFill>
          </w14:textFill>
        </w:rPr>
        <w:t>3.投标人应根据第三章招标内容与要求中的清单按模块进行详细报价，涉及设备的部分，供应商须详细列明所投设备的具体参数及品牌型号（格式自拟）。</w:t>
      </w:r>
    </w:p>
    <w:p w14:paraId="02FFD534">
      <w:pPr>
        <w:numPr>
          <w:ilvl w:val="0"/>
          <w:numId w:val="0"/>
        </w:numPr>
        <w:ind w:leftChars="0"/>
        <w:rPr>
          <w:rFonts w:hint="default" w:eastAsia="仿宋_GB2312"/>
          <w:color w:val="000000" w:themeColor="text1"/>
          <w:highlight w:val="none"/>
          <w:lang w:val="en-US" w:eastAsia="zh-CN"/>
          <w14:textFill>
            <w14:solidFill>
              <w14:schemeClr w14:val="tx1"/>
            </w14:solidFill>
          </w14:textFill>
        </w:rPr>
      </w:pPr>
    </w:p>
    <w:p w14:paraId="231B5551">
      <w:pPr>
        <w:pStyle w:val="24"/>
        <w:spacing w:line="520" w:lineRule="exact"/>
        <w:ind w:right="600"/>
        <w:jc w:val="center"/>
        <w:rPr>
          <w:rFonts w:hint="eastAsia" w:ascii="仿宋_GB2312" w:hAnsi="宋体" w:eastAsia="仿宋_GB2312"/>
          <w:color w:val="000000" w:themeColor="text1"/>
          <w:sz w:val="30"/>
          <w:szCs w:val="30"/>
          <w:highlight w:val="none"/>
          <w14:textFill>
            <w14:solidFill>
              <w14:schemeClr w14:val="tx1"/>
            </w14:solidFill>
          </w14:textFill>
        </w:rPr>
      </w:pPr>
    </w:p>
    <w:p w14:paraId="4B356033">
      <w:pPr>
        <w:tabs>
          <w:tab w:val="left" w:pos="5580"/>
        </w:tabs>
        <w:wordWrap w:val="0"/>
        <w:spacing w:line="360" w:lineRule="auto"/>
        <w:ind w:right="560" w:firstLine="7128" w:firstLineChars="2376"/>
        <w:rPr>
          <w:rFonts w:hint="eastAsia" w:ascii="仿宋_GB2312" w:hAnsi="宋体" w:eastAsia="仿宋_GB2312" w:cs="Times New Roman"/>
          <w:color w:val="000000" w:themeColor="text1"/>
          <w:kern w:val="0"/>
          <w:sz w:val="30"/>
          <w:szCs w:val="30"/>
          <w:highlight w:val="none"/>
          <w:lang w:val="en-US" w:eastAsia="zh-CN" w:bidi="ar-SA"/>
          <w14:textFill>
            <w14:solidFill>
              <w14:schemeClr w14:val="tx1"/>
            </w14:solidFill>
          </w14:textFill>
        </w:rPr>
      </w:pPr>
      <w:r>
        <w:rPr>
          <w:rFonts w:hint="eastAsia" w:ascii="仿宋_GB2312" w:hAnsi="宋体" w:eastAsia="仿宋_GB2312" w:cs="Times New Roman"/>
          <w:color w:val="000000" w:themeColor="text1"/>
          <w:kern w:val="0"/>
          <w:sz w:val="30"/>
          <w:szCs w:val="30"/>
          <w:highlight w:val="none"/>
          <w:lang w:val="en-US" w:eastAsia="zh-CN" w:bidi="ar-SA"/>
          <w14:textFill>
            <w14:solidFill>
              <w14:schemeClr w14:val="tx1"/>
            </w14:solidFill>
          </w14:textFill>
        </w:rPr>
        <w:t>投标人（公章）：</w:t>
      </w:r>
    </w:p>
    <w:p w14:paraId="702E8935">
      <w:pPr>
        <w:pStyle w:val="24"/>
        <w:spacing w:line="520" w:lineRule="exact"/>
        <w:ind w:right="600"/>
        <w:jc w:val="center"/>
        <w:rPr>
          <w:rFonts w:hint="eastAsia" w:ascii="仿宋_GB2312" w:hAnsi="宋体" w:eastAsia="仿宋_GB2312" w:cs="Times New Roman"/>
          <w:color w:val="000000" w:themeColor="text1"/>
          <w:kern w:val="0"/>
          <w:sz w:val="30"/>
          <w:szCs w:val="30"/>
          <w:highlight w:val="none"/>
          <w:lang w:val="en-US" w:eastAsia="zh-CN" w:bidi="ar-SA"/>
          <w14:textFill>
            <w14:solidFill>
              <w14:schemeClr w14:val="tx1"/>
            </w14:solidFill>
          </w14:textFill>
        </w:rPr>
        <w:sectPr>
          <w:pgSz w:w="11906" w:h="16838"/>
          <w:pgMar w:top="1440" w:right="1080" w:bottom="1440" w:left="1080" w:header="851" w:footer="992" w:gutter="0"/>
          <w:cols w:space="720" w:num="1"/>
          <w:docGrid w:type="lines" w:linePitch="312" w:charSpace="0"/>
        </w:sectPr>
      </w:pPr>
      <w:r>
        <w:rPr>
          <w:rFonts w:hint="eastAsia" w:ascii="仿宋_GB2312" w:hAnsi="宋体" w:eastAsia="仿宋_GB2312" w:cs="Times New Roman"/>
          <w:color w:val="000000" w:themeColor="text1"/>
          <w:kern w:val="0"/>
          <w:sz w:val="30"/>
          <w:szCs w:val="30"/>
          <w:highlight w:val="none"/>
          <w:lang w:val="en-US" w:eastAsia="zh-CN" w:bidi="ar-SA"/>
          <w14:textFill>
            <w14:solidFill>
              <w14:schemeClr w14:val="tx1"/>
            </w14:solidFill>
          </w14:textFill>
        </w:rPr>
        <w:t>法定代表人（依法登记的负责人）或授权代表（签字或签章）：</w:t>
      </w:r>
    </w:p>
    <w:p w14:paraId="01A64A10">
      <w:pPr>
        <w:pStyle w:val="24"/>
        <w:spacing w:line="520" w:lineRule="exact"/>
        <w:jc w:val="center"/>
        <w:rPr>
          <w:rFonts w:hAnsi="宋体"/>
          <w:b/>
          <w:color w:val="000000" w:themeColor="text1"/>
          <w:sz w:val="44"/>
          <w:szCs w:val="44"/>
          <w:highlight w:val="none"/>
          <w14:textFill>
            <w14:solidFill>
              <w14:schemeClr w14:val="tx1"/>
            </w14:solidFill>
          </w14:textFill>
        </w:rPr>
      </w:pPr>
      <w:r>
        <w:rPr>
          <w:rFonts w:hint="eastAsia" w:hAnsi="宋体"/>
          <w:b/>
          <w:color w:val="000000" w:themeColor="text1"/>
          <w:sz w:val="44"/>
          <w:szCs w:val="44"/>
          <w:highlight w:val="none"/>
          <w14:textFill>
            <w14:solidFill>
              <w14:schemeClr w14:val="tx1"/>
            </w14:solidFill>
          </w14:textFill>
        </w:rPr>
        <w:t>法人授权委托书</w:t>
      </w:r>
    </w:p>
    <w:p w14:paraId="0A0A89AB">
      <w:pPr>
        <w:pStyle w:val="24"/>
        <w:spacing w:line="520" w:lineRule="exact"/>
        <w:ind w:firstLine="1110"/>
        <w:jc w:val="center"/>
        <w:rPr>
          <w:rFonts w:ascii="仿宋_GB2312" w:hAnsi="宋体" w:eastAsia="仿宋_GB2312"/>
          <w:b/>
          <w:bCs/>
          <w:color w:val="000000" w:themeColor="text1"/>
          <w:sz w:val="28"/>
          <w:highlight w:val="none"/>
          <w14:textFill>
            <w14:solidFill>
              <w14:schemeClr w14:val="tx1"/>
            </w14:solidFill>
          </w14:textFill>
        </w:rPr>
      </w:pPr>
    </w:p>
    <w:p w14:paraId="2FC25492">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本授权书声明：注册于</w:t>
      </w:r>
      <w:r>
        <w:rPr>
          <w:rFonts w:hint="eastAsia" w:ascii="仿宋_GB2312" w:hAnsi="宋体" w:eastAsia="仿宋_GB2312"/>
          <w:color w:val="000000" w:themeColor="text1"/>
          <w:sz w:val="30"/>
          <w:szCs w:val="30"/>
          <w:highlight w:val="none"/>
          <w:u w:val="single"/>
          <w14:textFill>
            <w14:solidFill>
              <w14:schemeClr w14:val="tx1"/>
            </w14:solidFill>
          </w14:textFill>
        </w:rPr>
        <w:t xml:space="preserve">   (国家或地区的名称)  </w:t>
      </w:r>
      <w:r>
        <w:rPr>
          <w:rFonts w:hint="eastAsia" w:ascii="仿宋_GB2312" w:hAnsi="宋体" w:eastAsia="仿宋_GB2312"/>
          <w:color w:val="000000" w:themeColor="text1"/>
          <w:sz w:val="30"/>
          <w:szCs w:val="30"/>
          <w:highlight w:val="none"/>
          <w14:textFill>
            <w14:solidFill>
              <w14:schemeClr w14:val="tx1"/>
            </w14:solidFill>
          </w14:textFill>
        </w:rPr>
        <w:t>的</w:t>
      </w:r>
      <w:r>
        <w:rPr>
          <w:rFonts w:hint="eastAsia" w:ascii="仿宋_GB2312" w:hAnsi="宋体" w:eastAsia="仿宋_GB2312"/>
          <w:color w:val="000000" w:themeColor="text1"/>
          <w:sz w:val="30"/>
          <w:szCs w:val="30"/>
          <w:highlight w:val="none"/>
          <w:u w:val="single"/>
          <w14:textFill>
            <w14:solidFill>
              <w14:schemeClr w14:val="tx1"/>
            </w14:solidFill>
          </w14:textFill>
        </w:rPr>
        <w:t xml:space="preserve">  (公司名称)  </w:t>
      </w:r>
      <w:r>
        <w:rPr>
          <w:rFonts w:hint="eastAsia" w:ascii="仿宋_GB2312" w:hAnsi="宋体" w:eastAsia="仿宋_GB2312"/>
          <w:color w:val="000000" w:themeColor="text1"/>
          <w:sz w:val="30"/>
          <w:szCs w:val="30"/>
          <w:highlight w:val="none"/>
          <w14:textFill>
            <w14:solidFill>
              <w14:schemeClr w14:val="tx1"/>
            </w14:solidFill>
          </w14:textFill>
        </w:rPr>
        <w:t>的</w:t>
      </w:r>
      <w:r>
        <w:rPr>
          <w:rFonts w:hint="eastAsia" w:ascii="仿宋_GB2312" w:hAnsi="宋体" w:eastAsia="仿宋_GB2312"/>
          <w:color w:val="000000" w:themeColor="text1"/>
          <w:sz w:val="30"/>
          <w:szCs w:val="30"/>
          <w:highlight w:val="none"/>
          <w:u w:val="single"/>
          <w14:textFill>
            <w14:solidFill>
              <w14:schemeClr w14:val="tx1"/>
            </w14:solidFill>
          </w14:textFill>
        </w:rPr>
        <w:t xml:space="preserve"> (法定代表人（依法登记的负责人）姓名、职务)  </w:t>
      </w:r>
      <w:r>
        <w:rPr>
          <w:rFonts w:hint="eastAsia" w:ascii="仿宋_GB2312" w:hAnsi="宋体" w:eastAsia="仿宋_GB2312"/>
          <w:color w:val="000000" w:themeColor="text1"/>
          <w:sz w:val="30"/>
          <w:szCs w:val="30"/>
          <w:highlight w:val="none"/>
          <w14:textFill>
            <w14:solidFill>
              <w14:schemeClr w14:val="tx1"/>
            </w14:solidFill>
          </w14:textFill>
        </w:rPr>
        <w:t>，代表本公司授权</w:t>
      </w:r>
      <w:r>
        <w:rPr>
          <w:rFonts w:hint="eastAsia" w:ascii="仿宋_GB2312" w:hAnsi="宋体" w:eastAsia="仿宋_GB2312"/>
          <w:color w:val="000000" w:themeColor="text1"/>
          <w:sz w:val="30"/>
          <w:szCs w:val="30"/>
          <w:highlight w:val="none"/>
          <w:u w:val="single"/>
          <w14:textFill>
            <w14:solidFill>
              <w14:schemeClr w14:val="tx1"/>
            </w14:solidFill>
          </w14:textFill>
        </w:rPr>
        <w:t xml:space="preserve">  (被授权单位名称)  </w:t>
      </w:r>
      <w:r>
        <w:rPr>
          <w:rFonts w:hint="eastAsia" w:ascii="仿宋_GB2312" w:hAnsi="宋体" w:eastAsia="仿宋_GB2312"/>
          <w:color w:val="000000" w:themeColor="text1"/>
          <w:sz w:val="30"/>
          <w:szCs w:val="30"/>
          <w:highlight w:val="none"/>
          <w14:textFill>
            <w14:solidFill>
              <w14:schemeClr w14:val="tx1"/>
            </w14:solidFill>
          </w14:textFill>
        </w:rPr>
        <w:t>的</w:t>
      </w:r>
      <w:r>
        <w:rPr>
          <w:rFonts w:hint="eastAsia" w:ascii="仿宋_GB2312" w:hAnsi="宋体" w:eastAsia="仿宋_GB2312"/>
          <w:color w:val="000000" w:themeColor="text1"/>
          <w:sz w:val="30"/>
          <w:szCs w:val="30"/>
          <w:highlight w:val="none"/>
          <w:u w:val="single"/>
          <w14:textFill>
            <w14:solidFill>
              <w14:schemeClr w14:val="tx1"/>
            </w14:solidFill>
          </w14:textFill>
        </w:rPr>
        <w:t xml:space="preserve">        (被授权人的姓名、职务)</w:t>
      </w:r>
      <w:r>
        <w:rPr>
          <w:rFonts w:hint="eastAsia" w:ascii="仿宋_GB2312" w:hAnsi="宋体" w:eastAsia="仿宋_GB2312"/>
          <w:color w:val="000000" w:themeColor="text1"/>
          <w:sz w:val="30"/>
          <w:szCs w:val="30"/>
          <w:highlight w:val="none"/>
          <w14:textFill>
            <w14:solidFill>
              <w14:schemeClr w14:val="tx1"/>
            </w14:solidFill>
          </w14:textFill>
        </w:rPr>
        <w:t>为本公司的合法代理人，参加编号为</w:t>
      </w:r>
      <w:r>
        <w:rPr>
          <w:rFonts w:hint="eastAsia" w:ascii="仿宋_GB2312" w:hAnsi="宋体" w:eastAsia="仿宋_GB2312"/>
          <w:color w:val="000000" w:themeColor="text1"/>
          <w:sz w:val="30"/>
          <w:szCs w:val="30"/>
          <w:highlight w:val="none"/>
          <w:lang w:eastAsia="zh-CN"/>
          <w14:textFill>
            <w14:solidFill>
              <w14:schemeClr w14:val="tx1"/>
            </w14:solidFill>
          </w14:textFill>
        </w:rPr>
        <w:t>RCTDFZ2026-006</w:t>
      </w:r>
      <w:r>
        <w:rPr>
          <w:rFonts w:hint="eastAsia" w:ascii="仿宋_GB2312" w:hAnsi="宋体" w:eastAsia="仿宋_GB2312"/>
          <w:color w:val="000000" w:themeColor="text1"/>
          <w:sz w:val="30"/>
          <w:szCs w:val="30"/>
          <w:highlight w:val="none"/>
          <w14:textFill>
            <w14:solidFill>
              <w14:schemeClr w14:val="tx1"/>
            </w14:solidFill>
          </w14:textFill>
        </w:rPr>
        <w:t>号的公开招标采购活动，以本公司名义处理一切与之有关的事宜。</w:t>
      </w:r>
    </w:p>
    <w:p w14:paraId="76E0D7AD">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如果本公司在此次采购活动中中标，被授权人有权代表本公司签署合同。</w:t>
      </w:r>
    </w:p>
    <w:p w14:paraId="151FC96D">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本授权书于年月日法定代表人（依法登记的负责人）签字或盖章并由被授权人签字、单位盖章生效，特此声明。</w:t>
      </w:r>
    </w:p>
    <w:p w14:paraId="1CEACEA3">
      <w:pPr>
        <w:pStyle w:val="24"/>
        <w:spacing w:line="520" w:lineRule="exact"/>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 xml:space="preserve">    被授权人无转委托权。</w:t>
      </w:r>
    </w:p>
    <w:p w14:paraId="087CA3A3">
      <w:pPr>
        <w:pStyle w:val="24"/>
        <w:spacing w:line="520" w:lineRule="exact"/>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 xml:space="preserve"> </w:t>
      </w:r>
    </w:p>
    <w:p w14:paraId="32916E32">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法定代表人（依法登记的负责人）签字或盖章：</w:t>
      </w:r>
    </w:p>
    <w:p w14:paraId="41109334">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被授权人签字：</w:t>
      </w:r>
    </w:p>
    <w:p w14:paraId="3F964760">
      <w:pPr>
        <w:pStyle w:val="24"/>
        <w:spacing w:line="520" w:lineRule="exact"/>
        <w:ind w:firstLine="600" w:firstLineChars="200"/>
        <w:rPr>
          <w:rFonts w:ascii="仿宋_GB2312" w:hAnsi="宋体" w:eastAsia="仿宋_GB2312"/>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投标人公章:</w:t>
      </w:r>
    </w:p>
    <w:tbl>
      <w:tblPr>
        <w:tblStyle w:val="47"/>
        <w:tblpPr w:leftFromText="180" w:rightFromText="180" w:vertAnchor="text" w:tblpXSpec="center" w:tblpY="1"/>
        <w:tblOverlap w:val="never"/>
        <w:tblW w:w="49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61"/>
      </w:tblGrid>
      <w:tr w14:paraId="3FF3B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0" w:hRule="atLeast"/>
        </w:trPr>
        <w:tc>
          <w:tcPr>
            <w:tcW w:w="4961" w:type="dxa"/>
            <w:vAlign w:val="center"/>
          </w:tcPr>
          <w:p w14:paraId="77781E4A">
            <w:pPr>
              <w:pStyle w:val="40"/>
              <w:spacing w:line="440" w:lineRule="exact"/>
              <w:jc w:val="center"/>
              <w:rPr>
                <w:rFonts w:ascii="仿宋_GB2312" w:eastAsia="仿宋_GB2312"/>
                <w:color w:val="000000" w:themeColor="text1"/>
                <w:highlight w:val="none"/>
                <w14:textFill>
                  <w14:solidFill>
                    <w14:schemeClr w14:val="tx1"/>
                  </w14:solidFill>
                </w14:textFill>
              </w:rPr>
            </w:pPr>
            <w:r>
              <w:rPr>
                <w:rFonts w:hint="eastAsia" w:ascii="仿宋_GB2312" w:eastAsia="仿宋_GB2312"/>
                <w:color w:val="000000" w:themeColor="text1"/>
                <w:kern w:val="2"/>
                <w:highlight w:val="none"/>
                <w14:textFill>
                  <w14:solidFill>
                    <w14:schemeClr w14:val="tx1"/>
                  </w14:solidFill>
                </w14:textFill>
              </w:rPr>
              <w:t>（被授权人身份证</w:t>
            </w:r>
            <w:r>
              <w:rPr>
                <w:rFonts w:hint="eastAsia" w:ascii="仿宋_GB2312" w:eastAsia="仿宋_GB2312"/>
                <w:color w:val="000000" w:themeColor="text1"/>
                <w:kern w:val="2"/>
                <w:highlight w:val="none"/>
                <w:lang w:val="en-US" w:eastAsia="zh-CN"/>
                <w14:textFill>
                  <w14:solidFill>
                    <w14:schemeClr w14:val="tx1"/>
                  </w14:solidFill>
                </w14:textFill>
              </w:rPr>
              <w:t>正反面</w:t>
            </w:r>
            <w:r>
              <w:rPr>
                <w:rFonts w:hint="eastAsia" w:ascii="仿宋_GB2312" w:eastAsia="仿宋_GB2312"/>
                <w:color w:val="000000" w:themeColor="text1"/>
                <w:kern w:val="2"/>
                <w:highlight w:val="none"/>
                <w14:textFill>
                  <w14:solidFill>
                    <w14:schemeClr w14:val="tx1"/>
                  </w14:solidFill>
                </w14:textFill>
              </w:rPr>
              <w:t>扫描件）</w:t>
            </w:r>
          </w:p>
        </w:tc>
      </w:tr>
    </w:tbl>
    <w:p w14:paraId="30E275C8">
      <w:pPr>
        <w:pStyle w:val="24"/>
        <w:spacing w:line="520" w:lineRule="exact"/>
        <w:jc w:val="center"/>
        <w:rPr>
          <w:rFonts w:ascii="仿宋_GB2312" w:hAnsi="宋体" w:eastAsia="仿宋_GB2312"/>
          <w:b/>
          <w:color w:val="000000" w:themeColor="text1"/>
          <w:sz w:val="36"/>
          <w:highlight w:val="none"/>
          <w14:textFill>
            <w14:solidFill>
              <w14:schemeClr w14:val="tx1"/>
            </w14:solidFill>
          </w14:textFill>
        </w:rPr>
      </w:pPr>
    </w:p>
    <w:p w14:paraId="0E9E19BE">
      <w:pPr>
        <w:rPr>
          <w:rFonts w:ascii="仿宋_GB2312" w:eastAsia="仿宋_GB2312"/>
          <w:color w:val="000000" w:themeColor="text1"/>
          <w:highlight w:val="none"/>
          <w14:textFill>
            <w14:solidFill>
              <w14:schemeClr w14:val="tx1"/>
            </w14:solidFill>
          </w14:textFill>
        </w:rPr>
      </w:pPr>
    </w:p>
    <w:p w14:paraId="6AC8763B">
      <w:pPr>
        <w:rPr>
          <w:rFonts w:ascii="仿宋_GB2312" w:eastAsia="仿宋_GB2312"/>
          <w:color w:val="000000" w:themeColor="text1"/>
          <w:highlight w:val="none"/>
          <w14:textFill>
            <w14:solidFill>
              <w14:schemeClr w14:val="tx1"/>
            </w14:solidFill>
          </w14:textFill>
        </w:rPr>
      </w:pPr>
    </w:p>
    <w:p w14:paraId="04CFBC77">
      <w:pPr>
        <w:rPr>
          <w:rFonts w:ascii="仿宋_GB2312" w:eastAsia="仿宋_GB2312"/>
          <w:color w:val="000000" w:themeColor="text1"/>
          <w:highlight w:val="none"/>
          <w14:textFill>
            <w14:solidFill>
              <w14:schemeClr w14:val="tx1"/>
            </w14:solidFill>
          </w14:textFill>
        </w:rPr>
      </w:pPr>
    </w:p>
    <w:p w14:paraId="5B1F5FF5">
      <w:pPr>
        <w:rPr>
          <w:rFonts w:ascii="仿宋_GB2312" w:eastAsia="仿宋_GB2312"/>
          <w:color w:val="000000" w:themeColor="text1"/>
          <w:highlight w:val="none"/>
          <w14:textFill>
            <w14:solidFill>
              <w14:schemeClr w14:val="tx1"/>
            </w14:solidFill>
          </w14:textFill>
        </w:rPr>
      </w:pPr>
    </w:p>
    <w:p w14:paraId="0F9D88DE">
      <w:pPr>
        <w:rPr>
          <w:rFonts w:ascii="仿宋_GB2312" w:eastAsia="仿宋_GB2312"/>
          <w:color w:val="000000" w:themeColor="text1"/>
          <w:highlight w:val="none"/>
          <w14:textFill>
            <w14:solidFill>
              <w14:schemeClr w14:val="tx1"/>
            </w14:solidFill>
          </w14:textFill>
        </w:rPr>
      </w:pPr>
    </w:p>
    <w:p w14:paraId="55706FDE">
      <w:pPr>
        <w:ind w:firstLine="420" w:firstLineChars="200"/>
        <w:rPr>
          <w:rFonts w:ascii="仿宋_GB2312" w:eastAsia="仿宋_GB2312"/>
          <w:color w:val="000000" w:themeColor="text1"/>
          <w:highlight w:val="none"/>
          <w14:textFill>
            <w14:solidFill>
              <w14:schemeClr w14:val="tx1"/>
            </w14:solidFill>
          </w14:textFill>
        </w:rPr>
      </w:pPr>
    </w:p>
    <w:p w14:paraId="4E28B946">
      <w:pPr>
        <w:ind w:firstLine="420" w:firstLineChars="200"/>
        <w:rPr>
          <w:rFonts w:ascii="仿宋_GB2312" w:eastAsia="仿宋_GB2312"/>
          <w:color w:val="000000" w:themeColor="text1"/>
          <w:highlight w:val="none"/>
          <w14:textFill>
            <w14:solidFill>
              <w14:schemeClr w14:val="tx1"/>
            </w14:solidFill>
          </w14:textFill>
        </w:rPr>
      </w:pPr>
    </w:p>
    <w:p w14:paraId="773ED463">
      <w:pPr>
        <w:ind w:firstLine="420" w:firstLineChars="200"/>
        <w:rPr>
          <w:rFonts w:ascii="仿宋_GB2312" w:eastAsia="仿宋_GB2312"/>
          <w:color w:val="000000" w:themeColor="text1"/>
          <w:highlight w:val="none"/>
          <w14:textFill>
            <w14:solidFill>
              <w14:schemeClr w14:val="tx1"/>
            </w14:solidFill>
          </w14:textFill>
        </w:rPr>
      </w:pPr>
    </w:p>
    <w:p w14:paraId="67088232">
      <w:pPr>
        <w:ind w:firstLine="420" w:firstLineChars="200"/>
        <w:rPr>
          <w:rFonts w:ascii="仿宋_GB2312" w:eastAsia="仿宋_GB2312"/>
          <w:color w:val="000000" w:themeColor="text1"/>
          <w:highlight w:val="none"/>
          <w14:textFill>
            <w14:solidFill>
              <w14:schemeClr w14:val="tx1"/>
            </w14:solidFill>
          </w14:textFill>
        </w:rPr>
      </w:pPr>
    </w:p>
    <w:p w14:paraId="11DDA564">
      <w:pPr>
        <w:ind w:firstLine="420" w:firstLineChars="200"/>
        <w:rPr>
          <w:rFonts w:ascii="仿宋_GB2312" w:eastAsia="仿宋_GB2312"/>
          <w:color w:val="000000" w:themeColor="text1"/>
          <w:highlight w:val="none"/>
          <w14:textFill>
            <w14:solidFill>
              <w14:schemeClr w14:val="tx1"/>
            </w14:solidFill>
          </w14:textFill>
        </w:rPr>
      </w:pPr>
    </w:p>
    <w:p w14:paraId="21420BC0">
      <w:pPr>
        <w:spacing w:line="560" w:lineRule="exact"/>
        <w:jc w:val="center"/>
        <w:rPr>
          <w:rFonts w:ascii="宋体" w:hAnsi="宋体"/>
          <w:b/>
          <w:color w:val="000000" w:themeColor="text1"/>
          <w:sz w:val="44"/>
          <w:szCs w:val="44"/>
          <w:highlight w:val="none"/>
          <w14:textFill>
            <w14:solidFill>
              <w14:schemeClr w14:val="tx1"/>
            </w14:solidFill>
          </w14:textFill>
        </w:rPr>
      </w:pPr>
    </w:p>
    <w:p w14:paraId="472AA123">
      <w:pPr>
        <w:spacing w:line="560" w:lineRule="exact"/>
        <w:jc w:val="center"/>
        <w:rPr>
          <w:rFonts w:ascii="宋体" w:hAnsi="宋体"/>
          <w:b/>
          <w:color w:val="000000" w:themeColor="text1"/>
          <w:sz w:val="44"/>
          <w:szCs w:val="44"/>
          <w:highlight w:val="none"/>
          <w14:textFill>
            <w14:solidFill>
              <w14:schemeClr w14:val="tx1"/>
            </w14:solidFill>
          </w14:textFill>
        </w:rPr>
      </w:pPr>
    </w:p>
    <w:p w14:paraId="499B8B1D">
      <w:pPr>
        <w:spacing w:line="560" w:lineRule="exact"/>
        <w:jc w:val="center"/>
        <w:rPr>
          <w:rFonts w:ascii="宋体" w:hAnsi="宋体"/>
          <w:b/>
          <w:color w:val="000000" w:themeColor="text1"/>
          <w:sz w:val="44"/>
          <w:szCs w:val="44"/>
          <w:highlight w:val="none"/>
          <w14:textFill>
            <w14:solidFill>
              <w14:schemeClr w14:val="tx1"/>
            </w14:solidFill>
          </w14:textFill>
        </w:rPr>
      </w:pPr>
    </w:p>
    <w:p w14:paraId="17BEB128">
      <w:pPr>
        <w:spacing w:line="560" w:lineRule="exact"/>
        <w:jc w:val="center"/>
        <w:rPr>
          <w:rFonts w:ascii="宋体" w:hAnsi="宋体"/>
          <w:b/>
          <w:color w:val="000000" w:themeColor="text1"/>
          <w:sz w:val="44"/>
          <w:szCs w:val="44"/>
          <w:highlight w:val="none"/>
          <w14:textFill>
            <w14:solidFill>
              <w14:schemeClr w14:val="tx1"/>
            </w14:solidFill>
          </w14:textFill>
        </w:rPr>
      </w:pPr>
      <w:r>
        <w:rPr>
          <w:rFonts w:hint="eastAsia" w:ascii="宋体" w:hAnsi="宋体"/>
          <w:b/>
          <w:color w:val="000000" w:themeColor="text1"/>
          <w:sz w:val="44"/>
          <w:szCs w:val="44"/>
          <w:highlight w:val="none"/>
          <w14:textFill>
            <w14:solidFill>
              <w14:schemeClr w14:val="tx1"/>
            </w14:solidFill>
          </w14:textFill>
        </w:rPr>
        <w:t>投标人的依法缴纳税收和社会保障资金的声明</w:t>
      </w:r>
    </w:p>
    <w:p w14:paraId="0DB787A4">
      <w:pPr>
        <w:spacing w:line="560" w:lineRule="exact"/>
        <w:jc w:val="center"/>
        <w:rPr>
          <w:rFonts w:ascii="宋体" w:hAnsi="宋体"/>
          <w:b/>
          <w:color w:val="000000" w:themeColor="text1"/>
          <w:sz w:val="44"/>
          <w:szCs w:val="44"/>
          <w:highlight w:val="none"/>
          <w14:textFill>
            <w14:solidFill>
              <w14:schemeClr w14:val="tx1"/>
            </w14:solidFill>
          </w14:textFill>
        </w:rPr>
      </w:pPr>
    </w:p>
    <w:p w14:paraId="1BC9A59A">
      <w:pPr>
        <w:spacing w:line="560" w:lineRule="exact"/>
        <w:jc w:val="center"/>
        <w:rPr>
          <w:rFonts w:ascii="宋体" w:hAnsi="宋体"/>
          <w:b/>
          <w:color w:val="000000" w:themeColor="text1"/>
          <w:sz w:val="44"/>
          <w:szCs w:val="44"/>
          <w:highlight w:val="none"/>
          <w14:textFill>
            <w14:solidFill>
              <w14:schemeClr w14:val="tx1"/>
            </w14:solidFill>
          </w14:textFill>
        </w:rPr>
      </w:pPr>
      <w:bookmarkStart w:id="19" w:name="OLE_LINK1"/>
    </w:p>
    <w:p w14:paraId="1D1E5FC0">
      <w:pPr>
        <w:spacing w:line="560" w:lineRule="exact"/>
        <w:jc w:val="center"/>
        <w:rPr>
          <w:rFonts w:ascii="宋体" w:hAnsi="宋体"/>
          <w:b/>
          <w:color w:val="000000" w:themeColor="text1"/>
          <w:sz w:val="44"/>
          <w:szCs w:val="44"/>
          <w:highlight w:val="none"/>
          <w14:textFill>
            <w14:solidFill>
              <w14:schemeClr w14:val="tx1"/>
            </w14:solidFill>
          </w14:textFill>
        </w:rPr>
      </w:pPr>
    </w:p>
    <w:p w14:paraId="15B840AC">
      <w:pPr>
        <w:spacing w:line="560" w:lineRule="exact"/>
        <w:jc w:val="center"/>
        <w:rPr>
          <w:rFonts w:ascii="宋体" w:hAnsi="宋体"/>
          <w:b/>
          <w:color w:val="000000" w:themeColor="text1"/>
          <w:sz w:val="44"/>
          <w:szCs w:val="44"/>
          <w:highlight w:val="none"/>
          <w14:textFill>
            <w14:solidFill>
              <w14:schemeClr w14:val="tx1"/>
            </w14:solidFill>
          </w14:textFill>
        </w:rPr>
      </w:pPr>
    </w:p>
    <w:p w14:paraId="194ED268">
      <w:pPr>
        <w:spacing w:line="560" w:lineRule="exact"/>
        <w:jc w:val="center"/>
        <w:rPr>
          <w:rFonts w:ascii="宋体" w:hAnsi="宋体"/>
          <w:b/>
          <w:color w:val="000000" w:themeColor="text1"/>
          <w:sz w:val="44"/>
          <w:szCs w:val="44"/>
          <w:highlight w:val="none"/>
          <w14:textFill>
            <w14:solidFill>
              <w14:schemeClr w14:val="tx1"/>
            </w14:solidFill>
          </w14:textFill>
        </w:rPr>
      </w:pPr>
    </w:p>
    <w:p w14:paraId="4EE892B1">
      <w:pPr>
        <w:spacing w:line="560" w:lineRule="exact"/>
        <w:jc w:val="center"/>
        <w:rPr>
          <w:rFonts w:ascii="宋体" w:hAnsi="宋体"/>
          <w:b/>
          <w:color w:val="000000" w:themeColor="text1"/>
          <w:sz w:val="44"/>
          <w:szCs w:val="44"/>
          <w:highlight w:val="none"/>
          <w14:textFill>
            <w14:solidFill>
              <w14:schemeClr w14:val="tx1"/>
            </w14:solidFill>
          </w14:textFill>
        </w:rPr>
      </w:pPr>
    </w:p>
    <w:p w14:paraId="61443637">
      <w:pPr>
        <w:spacing w:line="560" w:lineRule="exact"/>
        <w:jc w:val="center"/>
        <w:rPr>
          <w:rFonts w:ascii="宋体" w:hAnsi="宋体"/>
          <w:b/>
          <w:color w:val="000000" w:themeColor="text1"/>
          <w:sz w:val="44"/>
          <w:szCs w:val="44"/>
          <w:highlight w:val="none"/>
          <w14:textFill>
            <w14:solidFill>
              <w14:schemeClr w14:val="tx1"/>
            </w14:solidFill>
          </w14:textFill>
        </w:rPr>
      </w:pPr>
    </w:p>
    <w:p w14:paraId="30C350B8">
      <w:pPr>
        <w:spacing w:line="560" w:lineRule="exact"/>
        <w:jc w:val="center"/>
        <w:rPr>
          <w:rFonts w:ascii="宋体" w:hAnsi="宋体"/>
          <w:b/>
          <w:color w:val="000000" w:themeColor="text1"/>
          <w:sz w:val="44"/>
          <w:szCs w:val="44"/>
          <w:highlight w:val="none"/>
          <w14:textFill>
            <w14:solidFill>
              <w14:schemeClr w14:val="tx1"/>
            </w14:solidFill>
          </w14:textFill>
        </w:rPr>
      </w:pPr>
    </w:p>
    <w:p w14:paraId="2C4F50E0">
      <w:pPr>
        <w:spacing w:line="560" w:lineRule="exact"/>
        <w:jc w:val="center"/>
        <w:rPr>
          <w:rFonts w:ascii="宋体" w:hAnsi="宋体"/>
          <w:b/>
          <w:color w:val="000000" w:themeColor="text1"/>
          <w:sz w:val="44"/>
          <w:szCs w:val="44"/>
          <w:highlight w:val="none"/>
          <w14:textFill>
            <w14:solidFill>
              <w14:schemeClr w14:val="tx1"/>
            </w14:solidFill>
          </w14:textFill>
        </w:rPr>
      </w:pPr>
    </w:p>
    <w:p w14:paraId="096CDF72">
      <w:pPr>
        <w:spacing w:line="560" w:lineRule="exact"/>
        <w:jc w:val="center"/>
        <w:rPr>
          <w:rFonts w:ascii="宋体" w:hAnsi="宋体"/>
          <w:b/>
          <w:color w:val="000000" w:themeColor="text1"/>
          <w:sz w:val="44"/>
          <w:szCs w:val="44"/>
          <w:highlight w:val="none"/>
          <w14:textFill>
            <w14:solidFill>
              <w14:schemeClr w14:val="tx1"/>
            </w14:solidFill>
          </w14:textFill>
        </w:rPr>
      </w:pPr>
    </w:p>
    <w:p w14:paraId="48EF5EFA">
      <w:pPr>
        <w:spacing w:line="560" w:lineRule="exact"/>
        <w:jc w:val="center"/>
        <w:rPr>
          <w:rFonts w:ascii="宋体" w:hAnsi="宋体"/>
          <w:b/>
          <w:color w:val="000000" w:themeColor="text1"/>
          <w:sz w:val="44"/>
          <w:szCs w:val="44"/>
          <w:highlight w:val="none"/>
          <w14:textFill>
            <w14:solidFill>
              <w14:schemeClr w14:val="tx1"/>
            </w14:solidFill>
          </w14:textFill>
        </w:rPr>
      </w:pPr>
    </w:p>
    <w:p w14:paraId="7AF502CC">
      <w:pPr>
        <w:spacing w:line="560" w:lineRule="exact"/>
        <w:jc w:val="center"/>
        <w:rPr>
          <w:rFonts w:ascii="宋体" w:hAnsi="宋体"/>
          <w:b/>
          <w:color w:val="000000" w:themeColor="text1"/>
          <w:sz w:val="44"/>
          <w:szCs w:val="44"/>
          <w:highlight w:val="none"/>
          <w14:textFill>
            <w14:solidFill>
              <w14:schemeClr w14:val="tx1"/>
            </w14:solidFill>
          </w14:textFill>
        </w:rPr>
      </w:pPr>
    </w:p>
    <w:p w14:paraId="385E2B47">
      <w:pPr>
        <w:spacing w:line="560" w:lineRule="exact"/>
        <w:jc w:val="center"/>
        <w:rPr>
          <w:rFonts w:ascii="宋体" w:hAnsi="宋体"/>
          <w:b/>
          <w:color w:val="000000" w:themeColor="text1"/>
          <w:sz w:val="44"/>
          <w:szCs w:val="44"/>
          <w:highlight w:val="none"/>
          <w14:textFill>
            <w14:solidFill>
              <w14:schemeClr w14:val="tx1"/>
            </w14:solidFill>
          </w14:textFill>
        </w:rPr>
      </w:pPr>
    </w:p>
    <w:p w14:paraId="5395EFBD">
      <w:pPr>
        <w:spacing w:line="560" w:lineRule="exact"/>
        <w:jc w:val="center"/>
        <w:rPr>
          <w:rFonts w:ascii="宋体" w:hAnsi="宋体"/>
          <w:b/>
          <w:color w:val="000000" w:themeColor="text1"/>
          <w:sz w:val="44"/>
          <w:szCs w:val="44"/>
          <w:highlight w:val="none"/>
          <w14:textFill>
            <w14:solidFill>
              <w14:schemeClr w14:val="tx1"/>
            </w14:solidFill>
          </w14:textFill>
        </w:rPr>
      </w:pPr>
    </w:p>
    <w:p w14:paraId="0A8614B1">
      <w:pPr>
        <w:spacing w:line="560" w:lineRule="exact"/>
        <w:jc w:val="center"/>
        <w:rPr>
          <w:rFonts w:ascii="宋体" w:hAnsi="宋体"/>
          <w:b/>
          <w:color w:val="000000" w:themeColor="text1"/>
          <w:sz w:val="44"/>
          <w:szCs w:val="44"/>
          <w:highlight w:val="none"/>
          <w14:textFill>
            <w14:solidFill>
              <w14:schemeClr w14:val="tx1"/>
            </w14:solidFill>
          </w14:textFill>
        </w:rPr>
      </w:pPr>
    </w:p>
    <w:p w14:paraId="56AEE523">
      <w:pPr>
        <w:spacing w:line="560" w:lineRule="exact"/>
        <w:jc w:val="center"/>
        <w:rPr>
          <w:rFonts w:ascii="宋体" w:hAnsi="宋体"/>
          <w:b/>
          <w:color w:val="000000" w:themeColor="text1"/>
          <w:sz w:val="44"/>
          <w:szCs w:val="44"/>
          <w:highlight w:val="none"/>
          <w14:textFill>
            <w14:solidFill>
              <w14:schemeClr w14:val="tx1"/>
            </w14:solidFill>
          </w14:textFill>
        </w:rPr>
      </w:pPr>
    </w:p>
    <w:p w14:paraId="387F7355">
      <w:pPr>
        <w:spacing w:line="560" w:lineRule="exact"/>
        <w:jc w:val="center"/>
        <w:rPr>
          <w:rFonts w:ascii="宋体" w:hAnsi="宋体"/>
          <w:b/>
          <w:color w:val="000000" w:themeColor="text1"/>
          <w:sz w:val="44"/>
          <w:szCs w:val="44"/>
          <w:highlight w:val="none"/>
          <w14:textFill>
            <w14:solidFill>
              <w14:schemeClr w14:val="tx1"/>
            </w14:solidFill>
          </w14:textFill>
        </w:rPr>
      </w:pPr>
    </w:p>
    <w:p w14:paraId="30FE6B4E">
      <w:pPr>
        <w:spacing w:line="560" w:lineRule="exact"/>
        <w:jc w:val="center"/>
        <w:rPr>
          <w:rFonts w:ascii="宋体" w:hAnsi="宋体"/>
          <w:b/>
          <w:color w:val="000000" w:themeColor="text1"/>
          <w:sz w:val="44"/>
          <w:szCs w:val="44"/>
          <w:highlight w:val="none"/>
          <w14:textFill>
            <w14:solidFill>
              <w14:schemeClr w14:val="tx1"/>
            </w14:solidFill>
          </w14:textFill>
        </w:rPr>
      </w:pPr>
    </w:p>
    <w:p w14:paraId="3DA91601">
      <w:pPr>
        <w:spacing w:line="560" w:lineRule="exact"/>
        <w:jc w:val="center"/>
        <w:rPr>
          <w:rFonts w:ascii="宋体" w:hAnsi="宋体"/>
          <w:b/>
          <w:color w:val="000000" w:themeColor="text1"/>
          <w:sz w:val="44"/>
          <w:szCs w:val="44"/>
          <w:highlight w:val="none"/>
          <w14:textFill>
            <w14:solidFill>
              <w14:schemeClr w14:val="tx1"/>
            </w14:solidFill>
          </w14:textFill>
        </w:rPr>
      </w:pPr>
    </w:p>
    <w:p w14:paraId="583CE60A">
      <w:pPr>
        <w:spacing w:line="560" w:lineRule="exact"/>
        <w:jc w:val="center"/>
        <w:rPr>
          <w:rFonts w:ascii="宋体" w:hAnsi="宋体"/>
          <w:b/>
          <w:color w:val="000000" w:themeColor="text1"/>
          <w:sz w:val="44"/>
          <w:szCs w:val="44"/>
          <w:highlight w:val="none"/>
          <w14:textFill>
            <w14:solidFill>
              <w14:schemeClr w14:val="tx1"/>
            </w14:solidFill>
          </w14:textFill>
        </w:rPr>
      </w:pPr>
    </w:p>
    <w:p w14:paraId="7614B487">
      <w:pPr>
        <w:ind w:right="600"/>
        <w:jc w:val="center"/>
        <w:rPr>
          <w:rFonts w:ascii="仿宋_GB2312" w:hAnsi="宋体" w:eastAsia="仿宋_GB2312"/>
          <w:color w:val="000000" w:themeColor="text1"/>
          <w:sz w:val="30"/>
          <w:szCs w:val="30"/>
          <w:highlight w:val="none"/>
          <w14:textFill>
            <w14:solidFill>
              <w14:schemeClr w14:val="tx1"/>
            </w14:solidFill>
          </w14:textFill>
        </w:rPr>
        <w:sectPr>
          <w:footerReference r:id="rId15" w:type="default"/>
          <w:pgSz w:w="11906" w:h="16838"/>
          <w:pgMar w:top="1440" w:right="1080" w:bottom="1440" w:left="1080" w:header="851" w:footer="992" w:gutter="0"/>
          <w:cols w:space="720" w:num="1"/>
          <w:docGrid w:type="lines" w:linePitch="312" w:charSpace="0"/>
        </w:sectPr>
      </w:pPr>
      <w:r>
        <w:rPr>
          <w:rFonts w:hint="eastAsia" w:ascii="仿宋_GB2312" w:hAnsi="宋体" w:eastAsia="仿宋_GB2312"/>
          <w:color w:val="000000" w:themeColor="text1"/>
          <w:sz w:val="30"/>
          <w:szCs w:val="30"/>
          <w:highlight w:val="none"/>
          <w14:textFill>
            <w14:solidFill>
              <w14:schemeClr w14:val="tx1"/>
            </w14:solidFill>
          </w14:textFill>
        </w:rPr>
        <w:t>投标人(盖章)：</w:t>
      </w:r>
      <w:bookmarkEnd w:id="19"/>
    </w:p>
    <w:p w14:paraId="5D0EA1FC">
      <w:pPr>
        <w:ind w:right="600"/>
        <w:jc w:val="center"/>
        <w:rPr>
          <w:rFonts w:ascii="宋体" w:hAnsi="宋体"/>
          <w:b/>
          <w:bCs/>
          <w:color w:val="000000" w:themeColor="text1"/>
          <w:sz w:val="44"/>
          <w:szCs w:val="44"/>
          <w:highlight w:val="none"/>
          <w14:textFill>
            <w14:solidFill>
              <w14:schemeClr w14:val="tx1"/>
            </w14:solidFill>
          </w14:textFill>
        </w:rPr>
      </w:pPr>
      <w:r>
        <w:rPr>
          <w:rFonts w:hint="eastAsia" w:ascii="宋体" w:hAnsi="宋体"/>
          <w:b/>
          <w:bCs/>
          <w:color w:val="000000" w:themeColor="text1"/>
          <w:sz w:val="44"/>
          <w:szCs w:val="44"/>
          <w:highlight w:val="none"/>
          <w14:textFill>
            <w14:solidFill>
              <w14:schemeClr w14:val="tx1"/>
            </w14:solidFill>
          </w14:textFill>
        </w:rPr>
        <w:t>近期的完税凭证扫描件及交纳社保资金凭证的扫描件</w:t>
      </w:r>
      <w:r>
        <w:rPr>
          <w:rFonts w:hint="eastAsia" w:ascii="宋体" w:hAnsi="宋体"/>
          <w:b/>
          <w:bCs/>
          <w:color w:val="000000" w:themeColor="text1"/>
          <w:sz w:val="44"/>
          <w:szCs w:val="44"/>
          <w:highlight w:val="none"/>
          <w:lang w:val="en-US" w:eastAsia="zh-CN"/>
          <w14:textFill>
            <w14:solidFill>
              <w14:schemeClr w14:val="tx1"/>
            </w14:solidFill>
          </w14:textFill>
        </w:rPr>
        <w:t>（无须缴纳税收的投标人须提供税务部门开具的无欠税证明）</w:t>
      </w:r>
    </w:p>
    <w:p w14:paraId="13BF33FF">
      <w:pPr>
        <w:ind w:right="600"/>
        <w:jc w:val="center"/>
        <w:rPr>
          <w:rFonts w:ascii="宋体" w:hAnsi="宋体"/>
          <w:b/>
          <w:bCs/>
          <w:color w:val="000000" w:themeColor="text1"/>
          <w:sz w:val="44"/>
          <w:szCs w:val="44"/>
          <w:highlight w:val="none"/>
          <w14:textFill>
            <w14:solidFill>
              <w14:schemeClr w14:val="tx1"/>
            </w14:solidFill>
          </w14:textFill>
        </w:rPr>
      </w:pPr>
    </w:p>
    <w:p w14:paraId="5ABD9A61">
      <w:pPr>
        <w:spacing w:line="560" w:lineRule="exact"/>
        <w:jc w:val="center"/>
        <w:rPr>
          <w:rFonts w:ascii="宋体" w:hAnsi="宋体"/>
          <w:b/>
          <w:color w:val="000000" w:themeColor="text1"/>
          <w:sz w:val="44"/>
          <w:szCs w:val="44"/>
          <w:highlight w:val="none"/>
          <w14:textFill>
            <w14:solidFill>
              <w14:schemeClr w14:val="tx1"/>
            </w14:solidFill>
          </w14:textFill>
        </w:rPr>
      </w:pPr>
    </w:p>
    <w:p w14:paraId="67B38AE3">
      <w:pPr>
        <w:spacing w:line="560" w:lineRule="exact"/>
        <w:jc w:val="center"/>
        <w:rPr>
          <w:rFonts w:ascii="宋体" w:hAnsi="宋体"/>
          <w:b/>
          <w:color w:val="000000" w:themeColor="text1"/>
          <w:sz w:val="44"/>
          <w:szCs w:val="44"/>
          <w:highlight w:val="none"/>
          <w14:textFill>
            <w14:solidFill>
              <w14:schemeClr w14:val="tx1"/>
            </w14:solidFill>
          </w14:textFill>
        </w:rPr>
      </w:pPr>
    </w:p>
    <w:p w14:paraId="122E556B">
      <w:pPr>
        <w:spacing w:line="560" w:lineRule="exact"/>
        <w:jc w:val="center"/>
        <w:rPr>
          <w:rFonts w:ascii="宋体" w:hAnsi="宋体"/>
          <w:b/>
          <w:color w:val="000000" w:themeColor="text1"/>
          <w:sz w:val="44"/>
          <w:szCs w:val="44"/>
          <w:highlight w:val="none"/>
          <w14:textFill>
            <w14:solidFill>
              <w14:schemeClr w14:val="tx1"/>
            </w14:solidFill>
          </w14:textFill>
        </w:rPr>
      </w:pPr>
    </w:p>
    <w:p w14:paraId="445CF4D7">
      <w:pPr>
        <w:spacing w:line="560" w:lineRule="exact"/>
        <w:jc w:val="center"/>
        <w:rPr>
          <w:rFonts w:ascii="宋体" w:hAnsi="宋体"/>
          <w:b/>
          <w:color w:val="000000" w:themeColor="text1"/>
          <w:sz w:val="44"/>
          <w:szCs w:val="44"/>
          <w:highlight w:val="none"/>
          <w14:textFill>
            <w14:solidFill>
              <w14:schemeClr w14:val="tx1"/>
            </w14:solidFill>
          </w14:textFill>
        </w:rPr>
      </w:pPr>
    </w:p>
    <w:p w14:paraId="6578AF4F">
      <w:pPr>
        <w:spacing w:line="560" w:lineRule="exact"/>
        <w:jc w:val="center"/>
        <w:rPr>
          <w:rFonts w:ascii="宋体" w:hAnsi="宋体"/>
          <w:b/>
          <w:color w:val="000000" w:themeColor="text1"/>
          <w:sz w:val="44"/>
          <w:szCs w:val="44"/>
          <w:highlight w:val="none"/>
          <w14:textFill>
            <w14:solidFill>
              <w14:schemeClr w14:val="tx1"/>
            </w14:solidFill>
          </w14:textFill>
        </w:rPr>
      </w:pPr>
    </w:p>
    <w:p w14:paraId="29AF2928">
      <w:pPr>
        <w:spacing w:line="560" w:lineRule="exact"/>
        <w:jc w:val="center"/>
        <w:rPr>
          <w:rFonts w:ascii="宋体" w:hAnsi="宋体"/>
          <w:b/>
          <w:color w:val="000000" w:themeColor="text1"/>
          <w:sz w:val="44"/>
          <w:szCs w:val="44"/>
          <w:highlight w:val="none"/>
          <w14:textFill>
            <w14:solidFill>
              <w14:schemeClr w14:val="tx1"/>
            </w14:solidFill>
          </w14:textFill>
        </w:rPr>
      </w:pPr>
    </w:p>
    <w:p w14:paraId="20C814B3">
      <w:pPr>
        <w:spacing w:line="560" w:lineRule="exact"/>
        <w:jc w:val="center"/>
        <w:rPr>
          <w:rFonts w:ascii="宋体" w:hAnsi="宋体"/>
          <w:b/>
          <w:color w:val="000000" w:themeColor="text1"/>
          <w:sz w:val="44"/>
          <w:szCs w:val="44"/>
          <w:highlight w:val="none"/>
          <w14:textFill>
            <w14:solidFill>
              <w14:schemeClr w14:val="tx1"/>
            </w14:solidFill>
          </w14:textFill>
        </w:rPr>
      </w:pPr>
    </w:p>
    <w:p w14:paraId="39D937BB">
      <w:pPr>
        <w:spacing w:line="560" w:lineRule="exact"/>
        <w:jc w:val="center"/>
        <w:rPr>
          <w:rFonts w:ascii="宋体" w:hAnsi="宋体"/>
          <w:b/>
          <w:color w:val="000000" w:themeColor="text1"/>
          <w:sz w:val="44"/>
          <w:szCs w:val="44"/>
          <w:highlight w:val="none"/>
          <w14:textFill>
            <w14:solidFill>
              <w14:schemeClr w14:val="tx1"/>
            </w14:solidFill>
          </w14:textFill>
        </w:rPr>
      </w:pPr>
    </w:p>
    <w:p w14:paraId="16C771F2">
      <w:pPr>
        <w:spacing w:line="560" w:lineRule="exact"/>
        <w:jc w:val="center"/>
        <w:rPr>
          <w:rFonts w:ascii="宋体" w:hAnsi="宋体"/>
          <w:b/>
          <w:color w:val="000000" w:themeColor="text1"/>
          <w:sz w:val="44"/>
          <w:szCs w:val="44"/>
          <w:highlight w:val="none"/>
          <w14:textFill>
            <w14:solidFill>
              <w14:schemeClr w14:val="tx1"/>
            </w14:solidFill>
          </w14:textFill>
        </w:rPr>
      </w:pPr>
    </w:p>
    <w:p w14:paraId="48208F78">
      <w:pPr>
        <w:spacing w:line="560" w:lineRule="exact"/>
        <w:jc w:val="center"/>
        <w:rPr>
          <w:rFonts w:ascii="宋体" w:hAnsi="宋体"/>
          <w:b/>
          <w:color w:val="000000" w:themeColor="text1"/>
          <w:sz w:val="44"/>
          <w:szCs w:val="44"/>
          <w:highlight w:val="none"/>
          <w14:textFill>
            <w14:solidFill>
              <w14:schemeClr w14:val="tx1"/>
            </w14:solidFill>
          </w14:textFill>
        </w:rPr>
      </w:pPr>
    </w:p>
    <w:p w14:paraId="746FBEA2">
      <w:pPr>
        <w:spacing w:line="560" w:lineRule="exact"/>
        <w:jc w:val="center"/>
        <w:rPr>
          <w:rFonts w:ascii="宋体" w:hAnsi="宋体"/>
          <w:b/>
          <w:color w:val="000000" w:themeColor="text1"/>
          <w:sz w:val="44"/>
          <w:szCs w:val="44"/>
          <w:highlight w:val="none"/>
          <w14:textFill>
            <w14:solidFill>
              <w14:schemeClr w14:val="tx1"/>
            </w14:solidFill>
          </w14:textFill>
        </w:rPr>
      </w:pPr>
    </w:p>
    <w:p w14:paraId="4307325B">
      <w:pPr>
        <w:spacing w:line="560" w:lineRule="exact"/>
        <w:jc w:val="center"/>
        <w:rPr>
          <w:rFonts w:ascii="宋体" w:hAnsi="宋体"/>
          <w:b/>
          <w:color w:val="000000" w:themeColor="text1"/>
          <w:sz w:val="44"/>
          <w:szCs w:val="44"/>
          <w:highlight w:val="none"/>
          <w14:textFill>
            <w14:solidFill>
              <w14:schemeClr w14:val="tx1"/>
            </w14:solidFill>
          </w14:textFill>
        </w:rPr>
      </w:pPr>
    </w:p>
    <w:p w14:paraId="59E3EAD2">
      <w:pPr>
        <w:spacing w:line="560" w:lineRule="exact"/>
        <w:jc w:val="center"/>
        <w:rPr>
          <w:rFonts w:ascii="宋体" w:hAnsi="宋体"/>
          <w:b/>
          <w:color w:val="000000" w:themeColor="text1"/>
          <w:sz w:val="44"/>
          <w:szCs w:val="44"/>
          <w:highlight w:val="none"/>
          <w14:textFill>
            <w14:solidFill>
              <w14:schemeClr w14:val="tx1"/>
            </w14:solidFill>
          </w14:textFill>
        </w:rPr>
      </w:pPr>
    </w:p>
    <w:p w14:paraId="6264B329">
      <w:pPr>
        <w:spacing w:line="560" w:lineRule="exact"/>
        <w:jc w:val="center"/>
        <w:rPr>
          <w:rFonts w:ascii="宋体" w:hAnsi="宋体"/>
          <w:b/>
          <w:color w:val="000000" w:themeColor="text1"/>
          <w:sz w:val="44"/>
          <w:szCs w:val="44"/>
          <w:highlight w:val="none"/>
          <w14:textFill>
            <w14:solidFill>
              <w14:schemeClr w14:val="tx1"/>
            </w14:solidFill>
          </w14:textFill>
        </w:rPr>
      </w:pPr>
    </w:p>
    <w:p w14:paraId="2DBB90F4">
      <w:pPr>
        <w:spacing w:line="560" w:lineRule="exact"/>
        <w:jc w:val="center"/>
        <w:rPr>
          <w:rFonts w:ascii="宋体" w:hAnsi="宋体"/>
          <w:b/>
          <w:color w:val="000000" w:themeColor="text1"/>
          <w:sz w:val="44"/>
          <w:szCs w:val="44"/>
          <w:highlight w:val="none"/>
          <w14:textFill>
            <w14:solidFill>
              <w14:schemeClr w14:val="tx1"/>
            </w14:solidFill>
          </w14:textFill>
        </w:rPr>
      </w:pPr>
    </w:p>
    <w:p w14:paraId="485487F5">
      <w:pPr>
        <w:spacing w:line="560" w:lineRule="exact"/>
        <w:jc w:val="center"/>
        <w:rPr>
          <w:rFonts w:ascii="宋体" w:hAnsi="宋体"/>
          <w:b/>
          <w:color w:val="000000" w:themeColor="text1"/>
          <w:sz w:val="44"/>
          <w:szCs w:val="44"/>
          <w:highlight w:val="none"/>
          <w14:textFill>
            <w14:solidFill>
              <w14:schemeClr w14:val="tx1"/>
            </w14:solidFill>
          </w14:textFill>
        </w:rPr>
      </w:pPr>
    </w:p>
    <w:p w14:paraId="188287B9">
      <w:pPr>
        <w:spacing w:line="560" w:lineRule="exact"/>
        <w:jc w:val="center"/>
        <w:rPr>
          <w:rFonts w:ascii="宋体" w:hAnsi="宋体"/>
          <w:b/>
          <w:color w:val="000000" w:themeColor="text1"/>
          <w:sz w:val="44"/>
          <w:szCs w:val="44"/>
          <w:highlight w:val="none"/>
          <w14:textFill>
            <w14:solidFill>
              <w14:schemeClr w14:val="tx1"/>
            </w14:solidFill>
          </w14:textFill>
        </w:rPr>
      </w:pPr>
    </w:p>
    <w:p w14:paraId="6CA296C2">
      <w:pPr>
        <w:spacing w:line="560" w:lineRule="exact"/>
        <w:jc w:val="center"/>
        <w:rPr>
          <w:rFonts w:ascii="宋体" w:hAnsi="宋体"/>
          <w:b/>
          <w:color w:val="000000" w:themeColor="text1"/>
          <w:sz w:val="44"/>
          <w:szCs w:val="44"/>
          <w:highlight w:val="none"/>
          <w14:textFill>
            <w14:solidFill>
              <w14:schemeClr w14:val="tx1"/>
            </w14:solidFill>
          </w14:textFill>
        </w:rPr>
      </w:pPr>
    </w:p>
    <w:p w14:paraId="2800C4AB">
      <w:pPr>
        <w:spacing w:line="560" w:lineRule="exact"/>
        <w:jc w:val="center"/>
        <w:rPr>
          <w:rFonts w:ascii="宋体" w:hAnsi="宋体"/>
          <w:b/>
          <w:color w:val="000000" w:themeColor="text1"/>
          <w:sz w:val="44"/>
          <w:szCs w:val="44"/>
          <w:highlight w:val="none"/>
          <w14:textFill>
            <w14:solidFill>
              <w14:schemeClr w14:val="tx1"/>
            </w14:solidFill>
          </w14:textFill>
        </w:rPr>
      </w:pPr>
    </w:p>
    <w:p w14:paraId="391F7D4B">
      <w:pPr>
        <w:ind w:right="600"/>
        <w:jc w:val="center"/>
        <w:rPr>
          <w:rFonts w:ascii="宋体" w:hAnsi="宋体"/>
          <w:b/>
          <w:bCs/>
          <w:color w:val="000000" w:themeColor="text1"/>
          <w:sz w:val="44"/>
          <w:szCs w:val="44"/>
          <w:highlight w:val="none"/>
          <w14:textFill>
            <w14:solidFill>
              <w14:schemeClr w14:val="tx1"/>
            </w14:solidFill>
          </w14:textFill>
        </w:rPr>
        <w:sectPr>
          <w:pgSz w:w="11906" w:h="16838"/>
          <w:pgMar w:top="1440" w:right="1080" w:bottom="1440" w:left="1080" w:header="851" w:footer="992" w:gutter="0"/>
          <w:cols w:space="720" w:num="1"/>
          <w:docGrid w:type="lines" w:linePitch="312" w:charSpace="0"/>
        </w:sectPr>
      </w:pPr>
      <w:r>
        <w:rPr>
          <w:rFonts w:hint="eastAsia" w:ascii="仿宋_GB2312" w:hAnsi="宋体" w:eastAsia="仿宋_GB2312"/>
          <w:color w:val="000000" w:themeColor="text1"/>
          <w:sz w:val="30"/>
          <w:szCs w:val="30"/>
          <w:highlight w:val="none"/>
          <w14:textFill>
            <w14:solidFill>
              <w14:schemeClr w14:val="tx1"/>
            </w14:solidFill>
          </w14:textFill>
        </w:rPr>
        <w:t>投标人(盖章)：</w:t>
      </w:r>
    </w:p>
    <w:p w14:paraId="2081867E">
      <w:pPr>
        <w:spacing w:line="560" w:lineRule="exact"/>
        <w:rPr>
          <w:rFonts w:ascii="宋体" w:hAnsi="宋体"/>
          <w:b/>
          <w:color w:val="000000" w:themeColor="text1"/>
          <w:sz w:val="44"/>
          <w:szCs w:val="44"/>
          <w:highlight w:val="none"/>
          <w14:textFill>
            <w14:solidFill>
              <w14:schemeClr w14:val="tx1"/>
            </w14:solidFill>
          </w14:textFill>
        </w:rPr>
      </w:pPr>
    </w:p>
    <w:p w14:paraId="60CB69BE">
      <w:pPr>
        <w:spacing w:line="560" w:lineRule="exact"/>
        <w:jc w:val="center"/>
        <w:rPr>
          <w:rFonts w:ascii="宋体" w:hAnsi="宋体"/>
          <w:b/>
          <w:bCs/>
          <w:color w:val="000000" w:themeColor="text1"/>
          <w:sz w:val="44"/>
          <w:szCs w:val="44"/>
          <w:highlight w:val="none"/>
          <w14:textFill>
            <w14:solidFill>
              <w14:schemeClr w14:val="tx1"/>
            </w14:solidFill>
          </w14:textFill>
        </w:rPr>
      </w:pPr>
      <w:r>
        <w:rPr>
          <w:rFonts w:hint="eastAsia" w:ascii="宋体" w:hAnsi="宋体"/>
          <w:b/>
          <w:bCs/>
          <w:color w:val="000000" w:themeColor="text1"/>
          <w:sz w:val="44"/>
          <w:szCs w:val="44"/>
          <w:highlight w:val="none"/>
          <w14:textFill>
            <w14:solidFill>
              <w14:schemeClr w14:val="tx1"/>
            </w14:solidFill>
          </w14:textFill>
        </w:rPr>
        <w:t>投标人参加本项目投标前三年内无重大违法违纪行为声明原件（格式自定）</w:t>
      </w:r>
    </w:p>
    <w:p w14:paraId="49AB1837">
      <w:pPr>
        <w:jc w:val="right"/>
        <w:rPr>
          <w:rFonts w:ascii="仿宋_GB2312" w:hAnsi="宋体" w:eastAsia="仿宋_GB2312"/>
          <w:b/>
          <w:bCs/>
          <w:color w:val="000000" w:themeColor="text1"/>
          <w:sz w:val="30"/>
          <w:szCs w:val="30"/>
          <w:highlight w:val="none"/>
          <w14:textFill>
            <w14:solidFill>
              <w14:schemeClr w14:val="tx1"/>
            </w14:solidFill>
          </w14:textFill>
        </w:rPr>
      </w:pPr>
    </w:p>
    <w:p w14:paraId="7B10823C">
      <w:pPr>
        <w:jc w:val="right"/>
        <w:rPr>
          <w:rFonts w:ascii="仿宋_GB2312" w:hAnsi="宋体" w:eastAsia="仿宋_GB2312"/>
          <w:b/>
          <w:bCs/>
          <w:color w:val="000000" w:themeColor="text1"/>
          <w:sz w:val="30"/>
          <w:szCs w:val="30"/>
          <w:highlight w:val="none"/>
          <w14:textFill>
            <w14:solidFill>
              <w14:schemeClr w14:val="tx1"/>
            </w14:solidFill>
          </w14:textFill>
        </w:rPr>
      </w:pPr>
    </w:p>
    <w:p w14:paraId="541B7F46">
      <w:pPr>
        <w:jc w:val="right"/>
        <w:rPr>
          <w:rFonts w:ascii="仿宋_GB2312" w:hAnsi="宋体" w:eastAsia="仿宋_GB2312"/>
          <w:b/>
          <w:bCs/>
          <w:color w:val="000000" w:themeColor="text1"/>
          <w:sz w:val="30"/>
          <w:szCs w:val="30"/>
          <w:highlight w:val="none"/>
          <w14:textFill>
            <w14:solidFill>
              <w14:schemeClr w14:val="tx1"/>
            </w14:solidFill>
          </w14:textFill>
        </w:rPr>
      </w:pPr>
    </w:p>
    <w:p w14:paraId="731B66FA">
      <w:pPr>
        <w:jc w:val="right"/>
        <w:rPr>
          <w:rFonts w:ascii="仿宋_GB2312" w:hAnsi="宋体" w:eastAsia="仿宋_GB2312"/>
          <w:b/>
          <w:bCs/>
          <w:color w:val="000000" w:themeColor="text1"/>
          <w:sz w:val="30"/>
          <w:szCs w:val="30"/>
          <w:highlight w:val="none"/>
          <w14:textFill>
            <w14:solidFill>
              <w14:schemeClr w14:val="tx1"/>
            </w14:solidFill>
          </w14:textFill>
        </w:rPr>
      </w:pPr>
    </w:p>
    <w:p w14:paraId="59C24FC8">
      <w:pPr>
        <w:jc w:val="right"/>
        <w:rPr>
          <w:rFonts w:ascii="仿宋_GB2312" w:hAnsi="宋体" w:eastAsia="仿宋_GB2312"/>
          <w:b/>
          <w:bCs/>
          <w:color w:val="000000" w:themeColor="text1"/>
          <w:sz w:val="30"/>
          <w:szCs w:val="30"/>
          <w:highlight w:val="none"/>
          <w14:textFill>
            <w14:solidFill>
              <w14:schemeClr w14:val="tx1"/>
            </w14:solidFill>
          </w14:textFill>
        </w:rPr>
      </w:pPr>
    </w:p>
    <w:p w14:paraId="2F16CCB0">
      <w:pPr>
        <w:jc w:val="right"/>
        <w:rPr>
          <w:rFonts w:ascii="仿宋_GB2312" w:hAnsi="宋体" w:eastAsia="仿宋_GB2312"/>
          <w:b/>
          <w:bCs/>
          <w:color w:val="000000" w:themeColor="text1"/>
          <w:sz w:val="30"/>
          <w:szCs w:val="30"/>
          <w:highlight w:val="none"/>
          <w14:textFill>
            <w14:solidFill>
              <w14:schemeClr w14:val="tx1"/>
            </w14:solidFill>
          </w14:textFill>
        </w:rPr>
      </w:pPr>
    </w:p>
    <w:p w14:paraId="3906670C">
      <w:pPr>
        <w:jc w:val="right"/>
        <w:rPr>
          <w:rFonts w:ascii="仿宋_GB2312" w:hAnsi="宋体" w:eastAsia="仿宋_GB2312"/>
          <w:b/>
          <w:bCs/>
          <w:color w:val="000000" w:themeColor="text1"/>
          <w:sz w:val="30"/>
          <w:szCs w:val="30"/>
          <w:highlight w:val="none"/>
          <w14:textFill>
            <w14:solidFill>
              <w14:schemeClr w14:val="tx1"/>
            </w14:solidFill>
          </w14:textFill>
        </w:rPr>
      </w:pPr>
    </w:p>
    <w:p w14:paraId="6A0960B5">
      <w:pPr>
        <w:jc w:val="right"/>
        <w:rPr>
          <w:rFonts w:ascii="仿宋_GB2312" w:hAnsi="宋体" w:eastAsia="仿宋_GB2312"/>
          <w:b/>
          <w:bCs/>
          <w:color w:val="000000" w:themeColor="text1"/>
          <w:sz w:val="30"/>
          <w:szCs w:val="30"/>
          <w:highlight w:val="none"/>
          <w14:textFill>
            <w14:solidFill>
              <w14:schemeClr w14:val="tx1"/>
            </w14:solidFill>
          </w14:textFill>
        </w:rPr>
      </w:pPr>
    </w:p>
    <w:p w14:paraId="5A33ED68">
      <w:pPr>
        <w:jc w:val="right"/>
        <w:rPr>
          <w:rFonts w:ascii="仿宋_GB2312" w:hAnsi="宋体" w:eastAsia="仿宋_GB2312"/>
          <w:b/>
          <w:bCs/>
          <w:color w:val="000000" w:themeColor="text1"/>
          <w:sz w:val="30"/>
          <w:szCs w:val="30"/>
          <w:highlight w:val="none"/>
          <w14:textFill>
            <w14:solidFill>
              <w14:schemeClr w14:val="tx1"/>
            </w14:solidFill>
          </w14:textFill>
        </w:rPr>
      </w:pPr>
    </w:p>
    <w:p w14:paraId="6CDAF629">
      <w:pPr>
        <w:jc w:val="right"/>
        <w:rPr>
          <w:rFonts w:ascii="仿宋_GB2312" w:hAnsi="宋体" w:eastAsia="仿宋_GB2312"/>
          <w:b/>
          <w:bCs/>
          <w:color w:val="000000" w:themeColor="text1"/>
          <w:sz w:val="30"/>
          <w:szCs w:val="30"/>
          <w:highlight w:val="none"/>
          <w14:textFill>
            <w14:solidFill>
              <w14:schemeClr w14:val="tx1"/>
            </w14:solidFill>
          </w14:textFill>
        </w:rPr>
      </w:pPr>
    </w:p>
    <w:p w14:paraId="706DF582">
      <w:pPr>
        <w:jc w:val="right"/>
        <w:rPr>
          <w:rFonts w:ascii="仿宋_GB2312" w:hAnsi="宋体" w:eastAsia="仿宋_GB2312"/>
          <w:b/>
          <w:bCs/>
          <w:color w:val="000000" w:themeColor="text1"/>
          <w:sz w:val="30"/>
          <w:szCs w:val="30"/>
          <w:highlight w:val="none"/>
          <w14:textFill>
            <w14:solidFill>
              <w14:schemeClr w14:val="tx1"/>
            </w14:solidFill>
          </w14:textFill>
        </w:rPr>
      </w:pPr>
    </w:p>
    <w:p w14:paraId="030CB811">
      <w:pPr>
        <w:jc w:val="right"/>
        <w:rPr>
          <w:rFonts w:ascii="仿宋_GB2312" w:hAnsi="宋体" w:eastAsia="仿宋_GB2312"/>
          <w:b/>
          <w:bCs/>
          <w:color w:val="000000" w:themeColor="text1"/>
          <w:sz w:val="30"/>
          <w:szCs w:val="30"/>
          <w:highlight w:val="none"/>
          <w14:textFill>
            <w14:solidFill>
              <w14:schemeClr w14:val="tx1"/>
            </w14:solidFill>
          </w14:textFill>
        </w:rPr>
      </w:pPr>
    </w:p>
    <w:p w14:paraId="06727392">
      <w:pPr>
        <w:jc w:val="right"/>
        <w:rPr>
          <w:rFonts w:ascii="仿宋_GB2312" w:hAnsi="宋体" w:eastAsia="仿宋_GB2312"/>
          <w:b/>
          <w:bCs/>
          <w:color w:val="000000" w:themeColor="text1"/>
          <w:sz w:val="30"/>
          <w:szCs w:val="30"/>
          <w:highlight w:val="none"/>
          <w14:textFill>
            <w14:solidFill>
              <w14:schemeClr w14:val="tx1"/>
            </w14:solidFill>
          </w14:textFill>
        </w:rPr>
      </w:pPr>
    </w:p>
    <w:p w14:paraId="2909DC2F">
      <w:pPr>
        <w:ind w:right="1204"/>
        <w:rPr>
          <w:rFonts w:ascii="仿宋_GB2312" w:hAnsi="宋体" w:eastAsia="仿宋_GB2312"/>
          <w:b/>
          <w:bCs/>
          <w:color w:val="000000" w:themeColor="text1"/>
          <w:sz w:val="30"/>
          <w:szCs w:val="30"/>
          <w:highlight w:val="none"/>
          <w14:textFill>
            <w14:solidFill>
              <w14:schemeClr w14:val="tx1"/>
            </w14:solidFill>
          </w14:textFill>
        </w:rPr>
      </w:pPr>
    </w:p>
    <w:p w14:paraId="0E73B708">
      <w:pPr>
        <w:jc w:val="right"/>
        <w:rPr>
          <w:rFonts w:ascii="仿宋_GB2312" w:hAnsi="宋体" w:eastAsia="仿宋_GB2312"/>
          <w:b/>
          <w:bCs/>
          <w:color w:val="000000" w:themeColor="text1"/>
          <w:sz w:val="30"/>
          <w:szCs w:val="30"/>
          <w:highlight w:val="none"/>
          <w14:textFill>
            <w14:solidFill>
              <w14:schemeClr w14:val="tx1"/>
            </w14:solidFill>
          </w14:textFill>
        </w:rPr>
      </w:pPr>
    </w:p>
    <w:p w14:paraId="0259FD0F">
      <w:pPr>
        <w:jc w:val="right"/>
        <w:rPr>
          <w:rFonts w:ascii="仿宋_GB2312" w:hAnsi="宋体" w:eastAsia="仿宋_GB2312"/>
          <w:b/>
          <w:bCs/>
          <w:color w:val="000000" w:themeColor="text1"/>
          <w:sz w:val="30"/>
          <w:szCs w:val="30"/>
          <w:highlight w:val="none"/>
          <w14:textFill>
            <w14:solidFill>
              <w14:schemeClr w14:val="tx1"/>
            </w14:solidFill>
          </w14:textFill>
        </w:rPr>
      </w:pPr>
    </w:p>
    <w:p w14:paraId="7D92B5E3">
      <w:pPr>
        <w:pStyle w:val="13"/>
        <w:rPr>
          <w:color w:val="000000" w:themeColor="text1"/>
          <w:highlight w:val="none"/>
          <w14:textFill>
            <w14:solidFill>
              <w14:schemeClr w14:val="tx1"/>
            </w14:solidFill>
          </w14:textFill>
        </w:rPr>
      </w:pPr>
    </w:p>
    <w:p w14:paraId="13558739">
      <w:pPr>
        <w:jc w:val="right"/>
        <w:rPr>
          <w:rFonts w:ascii="仿宋_GB2312" w:hAnsi="宋体" w:eastAsia="仿宋_GB2312"/>
          <w:b/>
          <w:bCs/>
          <w:color w:val="000000" w:themeColor="text1"/>
          <w:sz w:val="30"/>
          <w:szCs w:val="30"/>
          <w:highlight w:val="none"/>
          <w14:textFill>
            <w14:solidFill>
              <w14:schemeClr w14:val="tx1"/>
            </w14:solidFill>
          </w14:textFill>
        </w:rPr>
      </w:pPr>
    </w:p>
    <w:p w14:paraId="6AEA76A0">
      <w:pPr>
        <w:pStyle w:val="13"/>
        <w:rPr>
          <w:color w:val="000000" w:themeColor="text1"/>
          <w:highlight w:val="none"/>
          <w14:textFill>
            <w14:solidFill>
              <w14:schemeClr w14:val="tx1"/>
            </w14:solidFill>
          </w14:textFill>
        </w:rPr>
      </w:pPr>
    </w:p>
    <w:p w14:paraId="704F158D">
      <w:pPr>
        <w:ind w:right="600" w:firstLine="4200" w:firstLineChars="1400"/>
        <w:rPr>
          <w:rFonts w:ascii="仿宋_GB2312" w:hAnsi="宋体" w:eastAsia="仿宋_GB2312"/>
          <w:b/>
          <w:bCs/>
          <w:color w:val="000000" w:themeColor="text1"/>
          <w:sz w:val="30"/>
          <w:szCs w:val="30"/>
          <w:highlight w:val="none"/>
          <w14:textFill>
            <w14:solidFill>
              <w14:schemeClr w14:val="tx1"/>
            </w14:solidFill>
          </w14:textFill>
        </w:rPr>
      </w:pPr>
      <w:r>
        <w:rPr>
          <w:rFonts w:hint="eastAsia" w:ascii="仿宋_GB2312" w:hAnsi="宋体" w:eastAsia="仿宋_GB2312"/>
          <w:color w:val="000000" w:themeColor="text1"/>
          <w:sz w:val="30"/>
          <w:szCs w:val="30"/>
          <w:highlight w:val="none"/>
          <w14:textFill>
            <w14:solidFill>
              <w14:schemeClr w14:val="tx1"/>
            </w14:solidFill>
          </w14:textFill>
        </w:rPr>
        <w:t>投标人(盖章)：</w:t>
      </w:r>
    </w:p>
    <w:p w14:paraId="2AE6945F">
      <w:pPr>
        <w:rPr>
          <w:rFonts w:ascii="宋体" w:hAnsi="宋体"/>
          <w:b/>
          <w:color w:val="000000" w:themeColor="text1"/>
          <w:sz w:val="44"/>
          <w:szCs w:val="44"/>
          <w:highlight w:val="none"/>
          <w14:textFill>
            <w14:solidFill>
              <w14:schemeClr w14:val="tx1"/>
            </w14:solidFill>
          </w14:textFill>
        </w:rPr>
      </w:pPr>
    </w:p>
    <w:p w14:paraId="425396E7">
      <w:pPr>
        <w:jc w:val="center"/>
        <w:rPr>
          <w:rFonts w:ascii="宋体" w:hAnsi="宋体"/>
          <w:b/>
          <w:bCs/>
          <w:color w:val="000000" w:themeColor="text1"/>
          <w:sz w:val="44"/>
          <w:szCs w:val="44"/>
          <w:highlight w:val="none"/>
          <w14:textFill>
            <w14:solidFill>
              <w14:schemeClr w14:val="tx1"/>
            </w14:solidFill>
          </w14:textFill>
        </w:rPr>
      </w:pPr>
      <w:r>
        <w:rPr>
          <w:rFonts w:hint="eastAsia" w:ascii="宋体" w:hAnsi="宋体"/>
          <w:b/>
          <w:bCs/>
          <w:color w:val="000000" w:themeColor="text1"/>
          <w:sz w:val="44"/>
          <w:szCs w:val="44"/>
          <w:highlight w:val="none"/>
          <w14:textFill>
            <w14:solidFill>
              <w14:schemeClr w14:val="tx1"/>
            </w14:solidFill>
          </w14:textFill>
        </w:rPr>
        <w:t>投标人、法定代表人（依法登记的负责人）、授权委托人未被最高法院列入失信被执行人</w:t>
      </w:r>
    </w:p>
    <w:p w14:paraId="27FA22A8">
      <w:pPr>
        <w:jc w:val="center"/>
        <w:rPr>
          <w:rFonts w:ascii="宋体" w:hAnsi="宋体"/>
          <w:b/>
          <w:bCs/>
          <w:color w:val="000000" w:themeColor="text1"/>
          <w:sz w:val="44"/>
          <w:szCs w:val="44"/>
          <w:highlight w:val="none"/>
          <w14:textFill>
            <w14:solidFill>
              <w14:schemeClr w14:val="tx1"/>
            </w14:solidFill>
          </w14:textFill>
        </w:rPr>
      </w:pPr>
      <w:r>
        <w:rPr>
          <w:rFonts w:hint="eastAsia" w:ascii="宋体" w:hAnsi="宋体"/>
          <w:b/>
          <w:bCs/>
          <w:color w:val="000000" w:themeColor="text1"/>
          <w:sz w:val="44"/>
          <w:szCs w:val="44"/>
          <w:highlight w:val="none"/>
          <w14:textFill>
            <w14:solidFill>
              <w14:schemeClr w14:val="tx1"/>
            </w14:solidFill>
          </w14:textFill>
        </w:rPr>
        <w:t>（网址http://zxgk.court.gov.cn/zhzxgk/）</w:t>
      </w:r>
    </w:p>
    <w:p w14:paraId="509FC44E">
      <w:pPr>
        <w:jc w:val="center"/>
        <w:rPr>
          <w:rFonts w:ascii="仿宋" w:hAnsi="仿宋" w:eastAsia="仿宋"/>
          <w:color w:val="000000" w:themeColor="text1"/>
          <w:sz w:val="40"/>
          <w:szCs w:val="44"/>
          <w:highlight w:val="none"/>
          <w14:textFill>
            <w14:solidFill>
              <w14:schemeClr w14:val="tx1"/>
            </w14:solidFill>
          </w14:textFill>
        </w:rPr>
      </w:pPr>
    </w:p>
    <w:p w14:paraId="548AC94A">
      <w:pPr>
        <w:jc w:val="center"/>
        <w:rPr>
          <w:rFonts w:ascii="仿宋" w:hAnsi="仿宋" w:eastAsia="仿宋"/>
          <w:color w:val="000000" w:themeColor="text1"/>
          <w:sz w:val="40"/>
          <w:szCs w:val="44"/>
          <w:highlight w:val="none"/>
          <w14:textFill>
            <w14:solidFill>
              <w14:schemeClr w14:val="tx1"/>
            </w14:solidFill>
          </w14:textFill>
        </w:rPr>
      </w:pPr>
    </w:p>
    <w:p w14:paraId="1DBB0E53">
      <w:pPr>
        <w:pStyle w:val="13"/>
        <w:rPr>
          <w:color w:val="000000" w:themeColor="text1"/>
          <w:highlight w:val="none"/>
          <w14:textFill>
            <w14:solidFill>
              <w14:schemeClr w14:val="tx1"/>
            </w14:solidFill>
          </w14:textFill>
        </w:rPr>
      </w:pPr>
    </w:p>
    <w:p w14:paraId="45191570">
      <w:pPr>
        <w:pStyle w:val="13"/>
        <w:rPr>
          <w:color w:val="000000" w:themeColor="text1"/>
          <w:highlight w:val="none"/>
          <w14:textFill>
            <w14:solidFill>
              <w14:schemeClr w14:val="tx1"/>
            </w14:solidFill>
          </w14:textFill>
        </w:rPr>
      </w:pPr>
    </w:p>
    <w:p w14:paraId="5F988448">
      <w:pPr>
        <w:pStyle w:val="13"/>
        <w:rPr>
          <w:color w:val="000000" w:themeColor="text1"/>
          <w:highlight w:val="none"/>
          <w14:textFill>
            <w14:solidFill>
              <w14:schemeClr w14:val="tx1"/>
            </w14:solidFill>
          </w14:textFill>
        </w:rPr>
      </w:pPr>
    </w:p>
    <w:p w14:paraId="11738EC4">
      <w:pPr>
        <w:pStyle w:val="13"/>
        <w:rPr>
          <w:color w:val="000000" w:themeColor="text1"/>
          <w:highlight w:val="none"/>
          <w14:textFill>
            <w14:solidFill>
              <w14:schemeClr w14:val="tx1"/>
            </w14:solidFill>
          </w14:textFill>
        </w:rPr>
      </w:pPr>
    </w:p>
    <w:p w14:paraId="10A1B346">
      <w:pPr>
        <w:pStyle w:val="13"/>
        <w:rPr>
          <w:color w:val="000000" w:themeColor="text1"/>
          <w:highlight w:val="none"/>
          <w14:textFill>
            <w14:solidFill>
              <w14:schemeClr w14:val="tx1"/>
            </w14:solidFill>
          </w14:textFill>
        </w:rPr>
      </w:pPr>
    </w:p>
    <w:p w14:paraId="6A0C77AF">
      <w:pPr>
        <w:pStyle w:val="13"/>
        <w:rPr>
          <w:color w:val="000000" w:themeColor="text1"/>
          <w:highlight w:val="none"/>
          <w14:textFill>
            <w14:solidFill>
              <w14:schemeClr w14:val="tx1"/>
            </w14:solidFill>
          </w14:textFill>
        </w:rPr>
      </w:pPr>
    </w:p>
    <w:p w14:paraId="097DCDCA">
      <w:pPr>
        <w:pStyle w:val="13"/>
        <w:rPr>
          <w:color w:val="000000" w:themeColor="text1"/>
          <w:highlight w:val="none"/>
          <w14:textFill>
            <w14:solidFill>
              <w14:schemeClr w14:val="tx1"/>
            </w14:solidFill>
          </w14:textFill>
        </w:rPr>
      </w:pPr>
    </w:p>
    <w:p w14:paraId="692B554F">
      <w:pPr>
        <w:pStyle w:val="13"/>
        <w:rPr>
          <w:color w:val="000000" w:themeColor="text1"/>
          <w:highlight w:val="none"/>
          <w14:textFill>
            <w14:solidFill>
              <w14:schemeClr w14:val="tx1"/>
            </w14:solidFill>
          </w14:textFill>
        </w:rPr>
      </w:pPr>
    </w:p>
    <w:p w14:paraId="0AB78578">
      <w:pPr>
        <w:pStyle w:val="13"/>
        <w:rPr>
          <w:color w:val="000000" w:themeColor="text1"/>
          <w:highlight w:val="none"/>
          <w14:textFill>
            <w14:solidFill>
              <w14:schemeClr w14:val="tx1"/>
            </w14:solidFill>
          </w14:textFill>
        </w:rPr>
      </w:pPr>
    </w:p>
    <w:p w14:paraId="4160B450">
      <w:pPr>
        <w:pStyle w:val="13"/>
        <w:rPr>
          <w:color w:val="000000" w:themeColor="text1"/>
          <w:highlight w:val="none"/>
          <w14:textFill>
            <w14:solidFill>
              <w14:schemeClr w14:val="tx1"/>
            </w14:solidFill>
          </w14:textFill>
        </w:rPr>
      </w:pPr>
    </w:p>
    <w:p w14:paraId="7E596A27">
      <w:pPr>
        <w:pStyle w:val="13"/>
        <w:rPr>
          <w:color w:val="000000" w:themeColor="text1"/>
          <w:highlight w:val="none"/>
          <w14:textFill>
            <w14:solidFill>
              <w14:schemeClr w14:val="tx1"/>
            </w14:solidFill>
          </w14:textFill>
        </w:rPr>
      </w:pPr>
    </w:p>
    <w:p w14:paraId="13E5A1EA">
      <w:pPr>
        <w:pStyle w:val="13"/>
        <w:rPr>
          <w:color w:val="000000" w:themeColor="text1"/>
          <w:highlight w:val="none"/>
          <w14:textFill>
            <w14:solidFill>
              <w14:schemeClr w14:val="tx1"/>
            </w14:solidFill>
          </w14:textFill>
        </w:rPr>
      </w:pPr>
    </w:p>
    <w:p w14:paraId="68E408F8">
      <w:pPr>
        <w:pStyle w:val="13"/>
        <w:rPr>
          <w:color w:val="000000" w:themeColor="text1"/>
          <w:highlight w:val="none"/>
          <w14:textFill>
            <w14:solidFill>
              <w14:schemeClr w14:val="tx1"/>
            </w14:solidFill>
          </w14:textFill>
        </w:rPr>
      </w:pPr>
    </w:p>
    <w:p w14:paraId="7E7C0B80">
      <w:pPr>
        <w:pStyle w:val="13"/>
        <w:rPr>
          <w:color w:val="000000" w:themeColor="text1"/>
          <w:highlight w:val="none"/>
          <w14:textFill>
            <w14:solidFill>
              <w14:schemeClr w14:val="tx1"/>
            </w14:solidFill>
          </w14:textFill>
        </w:rPr>
      </w:pPr>
    </w:p>
    <w:p w14:paraId="6D037B7F">
      <w:pPr>
        <w:pStyle w:val="13"/>
        <w:rPr>
          <w:color w:val="000000" w:themeColor="text1"/>
          <w:highlight w:val="none"/>
          <w14:textFill>
            <w14:solidFill>
              <w14:schemeClr w14:val="tx1"/>
            </w14:solidFill>
          </w14:textFill>
        </w:rPr>
      </w:pPr>
    </w:p>
    <w:p w14:paraId="0C76707A">
      <w:pPr>
        <w:pStyle w:val="13"/>
        <w:rPr>
          <w:color w:val="000000" w:themeColor="text1"/>
          <w:highlight w:val="none"/>
          <w14:textFill>
            <w14:solidFill>
              <w14:schemeClr w14:val="tx1"/>
            </w14:solidFill>
          </w14:textFill>
        </w:rPr>
      </w:pPr>
    </w:p>
    <w:p w14:paraId="4D368010">
      <w:pPr>
        <w:pStyle w:val="13"/>
        <w:rPr>
          <w:color w:val="000000" w:themeColor="text1"/>
          <w:highlight w:val="none"/>
          <w14:textFill>
            <w14:solidFill>
              <w14:schemeClr w14:val="tx1"/>
            </w14:solidFill>
          </w14:textFill>
        </w:rPr>
      </w:pPr>
    </w:p>
    <w:p w14:paraId="1B931649">
      <w:pPr>
        <w:pStyle w:val="13"/>
        <w:rPr>
          <w:color w:val="000000" w:themeColor="text1"/>
          <w:highlight w:val="none"/>
          <w14:textFill>
            <w14:solidFill>
              <w14:schemeClr w14:val="tx1"/>
            </w14:solidFill>
          </w14:textFill>
        </w:rPr>
      </w:pPr>
    </w:p>
    <w:p w14:paraId="70D2023F">
      <w:pPr>
        <w:pStyle w:val="13"/>
        <w:rPr>
          <w:color w:val="000000" w:themeColor="text1"/>
          <w:highlight w:val="none"/>
          <w14:textFill>
            <w14:solidFill>
              <w14:schemeClr w14:val="tx1"/>
            </w14:solidFill>
          </w14:textFill>
        </w:rPr>
      </w:pPr>
    </w:p>
    <w:p w14:paraId="12FEA018">
      <w:pPr>
        <w:pStyle w:val="13"/>
        <w:rPr>
          <w:color w:val="000000" w:themeColor="text1"/>
          <w:highlight w:val="none"/>
          <w14:textFill>
            <w14:solidFill>
              <w14:schemeClr w14:val="tx1"/>
            </w14:solidFill>
          </w14:textFill>
        </w:rPr>
      </w:pPr>
    </w:p>
    <w:p w14:paraId="28CB0490">
      <w:pPr>
        <w:pStyle w:val="13"/>
        <w:rPr>
          <w:color w:val="000000" w:themeColor="text1"/>
          <w:highlight w:val="none"/>
          <w14:textFill>
            <w14:solidFill>
              <w14:schemeClr w14:val="tx1"/>
            </w14:solidFill>
          </w14:textFill>
        </w:rPr>
      </w:pPr>
    </w:p>
    <w:p w14:paraId="43F1338E">
      <w:pPr>
        <w:pStyle w:val="13"/>
        <w:rPr>
          <w:color w:val="000000" w:themeColor="text1"/>
          <w:highlight w:val="none"/>
          <w14:textFill>
            <w14:solidFill>
              <w14:schemeClr w14:val="tx1"/>
            </w14:solidFill>
          </w14:textFill>
        </w:rPr>
      </w:pPr>
    </w:p>
    <w:p w14:paraId="1E5684FD">
      <w:pPr>
        <w:pStyle w:val="13"/>
        <w:rPr>
          <w:color w:val="000000" w:themeColor="text1"/>
          <w:highlight w:val="none"/>
          <w14:textFill>
            <w14:solidFill>
              <w14:schemeClr w14:val="tx1"/>
            </w14:solidFill>
          </w14:textFill>
        </w:rPr>
      </w:pPr>
    </w:p>
    <w:p w14:paraId="0FF6BD98">
      <w:pPr>
        <w:pStyle w:val="13"/>
        <w:rPr>
          <w:color w:val="000000" w:themeColor="text1"/>
          <w:highlight w:val="none"/>
          <w14:textFill>
            <w14:solidFill>
              <w14:schemeClr w14:val="tx1"/>
            </w14:solidFill>
          </w14:textFill>
        </w:rPr>
      </w:pPr>
    </w:p>
    <w:p w14:paraId="7FFAFFAF">
      <w:pPr>
        <w:pStyle w:val="13"/>
        <w:rPr>
          <w:color w:val="000000" w:themeColor="text1"/>
          <w:highlight w:val="none"/>
          <w14:textFill>
            <w14:solidFill>
              <w14:schemeClr w14:val="tx1"/>
            </w14:solidFill>
          </w14:textFill>
        </w:rPr>
      </w:pPr>
    </w:p>
    <w:p w14:paraId="1826FEB5">
      <w:pPr>
        <w:pStyle w:val="13"/>
        <w:rPr>
          <w:color w:val="000000" w:themeColor="text1"/>
          <w:highlight w:val="none"/>
          <w14:textFill>
            <w14:solidFill>
              <w14:schemeClr w14:val="tx1"/>
            </w14:solidFill>
          </w14:textFill>
        </w:rPr>
      </w:pPr>
    </w:p>
    <w:p w14:paraId="605A1F31">
      <w:pPr>
        <w:pStyle w:val="13"/>
        <w:rPr>
          <w:color w:val="000000" w:themeColor="text1"/>
          <w:highlight w:val="none"/>
          <w14:textFill>
            <w14:solidFill>
              <w14:schemeClr w14:val="tx1"/>
            </w14:solidFill>
          </w14:textFill>
        </w:rPr>
      </w:pPr>
    </w:p>
    <w:p w14:paraId="22903D5A">
      <w:pPr>
        <w:pStyle w:val="13"/>
        <w:rPr>
          <w:color w:val="000000" w:themeColor="text1"/>
          <w:highlight w:val="none"/>
          <w14:textFill>
            <w14:solidFill>
              <w14:schemeClr w14:val="tx1"/>
            </w14:solidFill>
          </w14:textFill>
        </w:rPr>
      </w:pPr>
    </w:p>
    <w:p w14:paraId="3C476EA1">
      <w:pPr>
        <w:pStyle w:val="13"/>
        <w:rPr>
          <w:color w:val="000000" w:themeColor="text1"/>
          <w:highlight w:val="none"/>
          <w14:textFill>
            <w14:solidFill>
              <w14:schemeClr w14:val="tx1"/>
            </w14:solidFill>
          </w14:textFill>
        </w:rPr>
      </w:pPr>
    </w:p>
    <w:p w14:paraId="1C1B3CDF">
      <w:pPr>
        <w:pStyle w:val="13"/>
        <w:rPr>
          <w:color w:val="000000" w:themeColor="text1"/>
          <w:highlight w:val="none"/>
          <w14:textFill>
            <w14:solidFill>
              <w14:schemeClr w14:val="tx1"/>
            </w14:solidFill>
          </w14:textFill>
        </w:rPr>
      </w:pPr>
    </w:p>
    <w:p w14:paraId="57838D49">
      <w:pPr>
        <w:pStyle w:val="13"/>
        <w:rPr>
          <w:color w:val="000000" w:themeColor="text1"/>
          <w:highlight w:val="none"/>
          <w14:textFill>
            <w14:solidFill>
              <w14:schemeClr w14:val="tx1"/>
            </w14:solidFill>
          </w14:textFill>
        </w:rPr>
      </w:pPr>
    </w:p>
    <w:p w14:paraId="63E069A1">
      <w:pPr>
        <w:jc w:val="center"/>
        <w:rPr>
          <w:rFonts w:ascii="宋体" w:hAnsi="宋体"/>
          <w:b/>
          <w:bCs/>
          <w:color w:val="000000" w:themeColor="text1"/>
          <w:sz w:val="44"/>
          <w:szCs w:val="44"/>
          <w:highlight w:val="none"/>
          <w14:textFill>
            <w14:solidFill>
              <w14:schemeClr w14:val="tx1"/>
            </w14:solidFill>
          </w14:textFill>
        </w:rPr>
      </w:pPr>
      <w:r>
        <w:rPr>
          <w:rFonts w:hint="eastAsia" w:ascii="宋体" w:hAnsi="宋体"/>
          <w:b/>
          <w:bCs/>
          <w:color w:val="000000" w:themeColor="text1"/>
          <w:sz w:val="44"/>
          <w:szCs w:val="44"/>
          <w:highlight w:val="none"/>
          <w14:textFill>
            <w14:solidFill>
              <w14:schemeClr w14:val="tx1"/>
            </w14:solidFill>
          </w14:textFill>
        </w:rPr>
        <w:t>财务状况报告</w:t>
      </w:r>
    </w:p>
    <w:p w14:paraId="01C6026E">
      <w:pPr>
        <w:jc w:val="center"/>
        <w:rPr>
          <w:rFonts w:ascii="宋体" w:hAnsi="宋体"/>
          <w:b/>
          <w:bCs/>
          <w:color w:val="000000" w:themeColor="text1"/>
          <w:sz w:val="44"/>
          <w:szCs w:val="44"/>
          <w:highlight w:val="none"/>
          <w14:textFill>
            <w14:solidFill>
              <w14:schemeClr w14:val="tx1"/>
            </w14:solidFill>
          </w14:textFill>
        </w:rPr>
      </w:pPr>
      <w:r>
        <w:rPr>
          <w:rFonts w:hint="eastAsia" w:ascii="宋体" w:hAnsi="宋体"/>
          <w:b/>
          <w:bCs/>
          <w:color w:val="000000" w:themeColor="text1"/>
          <w:sz w:val="44"/>
          <w:szCs w:val="44"/>
          <w:highlight w:val="none"/>
          <w14:textFill>
            <w14:solidFill>
              <w14:schemeClr w14:val="tx1"/>
            </w14:solidFill>
          </w14:textFill>
        </w:rPr>
        <w:t>（加盖投标人签章）</w:t>
      </w:r>
    </w:p>
    <w:p w14:paraId="0660AB57">
      <w:pPr>
        <w:jc w:val="center"/>
        <w:rPr>
          <w:rFonts w:ascii="仿宋" w:hAnsi="仿宋" w:eastAsia="仿宋"/>
          <w:color w:val="000000" w:themeColor="text1"/>
          <w:sz w:val="40"/>
          <w:szCs w:val="44"/>
          <w:highlight w:val="none"/>
          <w14:textFill>
            <w14:solidFill>
              <w14:schemeClr w14:val="tx1"/>
            </w14:solidFill>
          </w14:textFill>
        </w:rPr>
      </w:pPr>
    </w:p>
    <w:p w14:paraId="36F77B3A">
      <w:pPr>
        <w:jc w:val="center"/>
        <w:rPr>
          <w:rFonts w:ascii="仿宋" w:hAnsi="仿宋" w:eastAsia="仿宋"/>
          <w:color w:val="000000" w:themeColor="text1"/>
          <w:sz w:val="40"/>
          <w:szCs w:val="44"/>
          <w:highlight w:val="none"/>
          <w14:textFill>
            <w14:solidFill>
              <w14:schemeClr w14:val="tx1"/>
            </w14:solidFill>
          </w14:textFill>
        </w:rPr>
      </w:pPr>
    </w:p>
    <w:p w14:paraId="78180FA8">
      <w:pPr>
        <w:jc w:val="center"/>
        <w:rPr>
          <w:rFonts w:ascii="仿宋" w:hAnsi="仿宋" w:eastAsia="仿宋"/>
          <w:color w:val="000000" w:themeColor="text1"/>
          <w:sz w:val="40"/>
          <w:szCs w:val="44"/>
          <w:highlight w:val="none"/>
          <w14:textFill>
            <w14:solidFill>
              <w14:schemeClr w14:val="tx1"/>
            </w14:solidFill>
          </w14:textFill>
        </w:rPr>
      </w:pPr>
    </w:p>
    <w:p w14:paraId="45971337">
      <w:pPr>
        <w:jc w:val="center"/>
        <w:rPr>
          <w:rFonts w:ascii="仿宋" w:hAnsi="仿宋" w:eastAsia="仿宋"/>
          <w:color w:val="000000" w:themeColor="text1"/>
          <w:sz w:val="40"/>
          <w:szCs w:val="44"/>
          <w:highlight w:val="none"/>
          <w14:textFill>
            <w14:solidFill>
              <w14:schemeClr w14:val="tx1"/>
            </w14:solidFill>
          </w14:textFill>
        </w:rPr>
      </w:pPr>
    </w:p>
    <w:p w14:paraId="7797E239">
      <w:pPr>
        <w:jc w:val="center"/>
        <w:rPr>
          <w:rFonts w:ascii="仿宋" w:hAnsi="仿宋" w:eastAsia="仿宋"/>
          <w:color w:val="000000" w:themeColor="text1"/>
          <w:sz w:val="40"/>
          <w:szCs w:val="44"/>
          <w:highlight w:val="none"/>
          <w14:textFill>
            <w14:solidFill>
              <w14:schemeClr w14:val="tx1"/>
            </w14:solidFill>
          </w14:textFill>
        </w:rPr>
      </w:pPr>
    </w:p>
    <w:p w14:paraId="2363CA35">
      <w:pPr>
        <w:jc w:val="center"/>
        <w:rPr>
          <w:rFonts w:ascii="仿宋" w:hAnsi="仿宋" w:eastAsia="仿宋"/>
          <w:color w:val="000000" w:themeColor="text1"/>
          <w:sz w:val="40"/>
          <w:szCs w:val="44"/>
          <w:highlight w:val="none"/>
          <w14:textFill>
            <w14:solidFill>
              <w14:schemeClr w14:val="tx1"/>
            </w14:solidFill>
          </w14:textFill>
        </w:rPr>
      </w:pPr>
    </w:p>
    <w:p w14:paraId="7F480582">
      <w:pPr>
        <w:jc w:val="center"/>
        <w:rPr>
          <w:rFonts w:ascii="仿宋" w:hAnsi="仿宋" w:eastAsia="仿宋"/>
          <w:color w:val="000000" w:themeColor="text1"/>
          <w:sz w:val="40"/>
          <w:szCs w:val="44"/>
          <w:highlight w:val="none"/>
          <w14:textFill>
            <w14:solidFill>
              <w14:schemeClr w14:val="tx1"/>
            </w14:solidFill>
          </w14:textFill>
        </w:rPr>
      </w:pPr>
    </w:p>
    <w:p w14:paraId="0534D0B5">
      <w:pPr>
        <w:jc w:val="center"/>
        <w:rPr>
          <w:rFonts w:ascii="仿宋" w:hAnsi="仿宋" w:eastAsia="仿宋"/>
          <w:color w:val="000000" w:themeColor="text1"/>
          <w:sz w:val="40"/>
          <w:szCs w:val="44"/>
          <w:highlight w:val="none"/>
          <w14:textFill>
            <w14:solidFill>
              <w14:schemeClr w14:val="tx1"/>
            </w14:solidFill>
          </w14:textFill>
        </w:rPr>
      </w:pPr>
    </w:p>
    <w:p w14:paraId="697DB7AC">
      <w:pPr>
        <w:jc w:val="center"/>
        <w:rPr>
          <w:rFonts w:ascii="仿宋" w:hAnsi="仿宋" w:eastAsia="仿宋"/>
          <w:color w:val="000000" w:themeColor="text1"/>
          <w:sz w:val="40"/>
          <w:szCs w:val="44"/>
          <w:highlight w:val="none"/>
          <w14:textFill>
            <w14:solidFill>
              <w14:schemeClr w14:val="tx1"/>
            </w14:solidFill>
          </w14:textFill>
        </w:rPr>
      </w:pPr>
    </w:p>
    <w:p w14:paraId="6763B2CE">
      <w:pPr>
        <w:jc w:val="center"/>
        <w:rPr>
          <w:rFonts w:ascii="仿宋" w:hAnsi="仿宋" w:eastAsia="仿宋"/>
          <w:color w:val="000000" w:themeColor="text1"/>
          <w:sz w:val="40"/>
          <w:szCs w:val="44"/>
          <w:highlight w:val="none"/>
          <w14:textFill>
            <w14:solidFill>
              <w14:schemeClr w14:val="tx1"/>
            </w14:solidFill>
          </w14:textFill>
        </w:rPr>
      </w:pPr>
    </w:p>
    <w:p w14:paraId="402039D7">
      <w:pPr>
        <w:jc w:val="center"/>
        <w:rPr>
          <w:rFonts w:ascii="仿宋" w:hAnsi="仿宋" w:eastAsia="仿宋"/>
          <w:color w:val="000000" w:themeColor="text1"/>
          <w:sz w:val="40"/>
          <w:szCs w:val="44"/>
          <w:highlight w:val="none"/>
          <w14:textFill>
            <w14:solidFill>
              <w14:schemeClr w14:val="tx1"/>
            </w14:solidFill>
          </w14:textFill>
        </w:rPr>
      </w:pPr>
    </w:p>
    <w:p w14:paraId="08F94305">
      <w:pPr>
        <w:jc w:val="center"/>
        <w:rPr>
          <w:rFonts w:ascii="仿宋" w:hAnsi="仿宋" w:eastAsia="仿宋"/>
          <w:color w:val="000000" w:themeColor="text1"/>
          <w:sz w:val="40"/>
          <w:szCs w:val="44"/>
          <w:highlight w:val="none"/>
          <w14:textFill>
            <w14:solidFill>
              <w14:schemeClr w14:val="tx1"/>
            </w14:solidFill>
          </w14:textFill>
        </w:rPr>
      </w:pPr>
    </w:p>
    <w:p w14:paraId="2BD9CD0E">
      <w:pPr>
        <w:jc w:val="center"/>
        <w:rPr>
          <w:rFonts w:ascii="仿宋" w:hAnsi="仿宋" w:eastAsia="仿宋"/>
          <w:color w:val="000000" w:themeColor="text1"/>
          <w:sz w:val="40"/>
          <w:szCs w:val="44"/>
          <w:highlight w:val="none"/>
          <w14:textFill>
            <w14:solidFill>
              <w14:schemeClr w14:val="tx1"/>
            </w14:solidFill>
          </w14:textFill>
        </w:rPr>
      </w:pPr>
    </w:p>
    <w:p w14:paraId="44DEDB0C">
      <w:pPr>
        <w:jc w:val="center"/>
        <w:rPr>
          <w:rFonts w:ascii="宋体" w:hAnsi="宋体"/>
          <w:b/>
          <w:bCs/>
          <w:color w:val="000000" w:themeColor="text1"/>
          <w:sz w:val="44"/>
          <w:szCs w:val="44"/>
          <w:highlight w:val="none"/>
          <w14:textFill>
            <w14:solidFill>
              <w14:schemeClr w14:val="tx1"/>
            </w14:solidFill>
          </w14:textFill>
        </w:rPr>
        <w:sectPr>
          <w:pgSz w:w="11906" w:h="16838"/>
          <w:pgMar w:top="1440" w:right="1080" w:bottom="1440" w:left="1080" w:header="851" w:footer="992" w:gutter="0"/>
          <w:cols w:space="720" w:num="1"/>
          <w:docGrid w:type="lines" w:linePitch="312" w:charSpace="0"/>
        </w:sectPr>
      </w:pPr>
    </w:p>
    <w:p w14:paraId="61AC9FBA">
      <w:pPr>
        <w:jc w:val="center"/>
        <w:rPr>
          <w:rFonts w:ascii="宋体" w:hAnsi="宋体"/>
          <w:b/>
          <w:bCs/>
          <w:color w:val="000000" w:themeColor="text1"/>
          <w:sz w:val="44"/>
          <w:szCs w:val="44"/>
          <w:highlight w:val="none"/>
          <w14:textFill>
            <w14:solidFill>
              <w14:schemeClr w14:val="tx1"/>
            </w14:solidFill>
          </w14:textFill>
        </w:rPr>
      </w:pPr>
      <w:r>
        <w:rPr>
          <w:rFonts w:hint="eastAsia" w:ascii="宋体" w:hAnsi="宋体"/>
          <w:b/>
          <w:bCs/>
          <w:color w:val="000000" w:themeColor="text1"/>
          <w:sz w:val="44"/>
          <w:szCs w:val="44"/>
          <w:highlight w:val="none"/>
          <w14:textFill>
            <w14:solidFill>
              <w14:schemeClr w14:val="tx1"/>
            </w14:solidFill>
          </w14:textFill>
        </w:rPr>
        <w:t>投标人基本情况表</w:t>
      </w:r>
    </w:p>
    <w:tbl>
      <w:tblPr>
        <w:tblStyle w:val="47"/>
        <w:tblW w:w="92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1647"/>
        <w:gridCol w:w="567"/>
        <w:gridCol w:w="1098"/>
        <w:gridCol w:w="567"/>
        <w:gridCol w:w="657"/>
        <w:gridCol w:w="1557"/>
        <w:gridCol w:w="46"/>
        <w:gridCol w:w="503"/>
        <w:gridCol w:w="2049"/>
      </w:tblGrid>
      <w:tr w14:paraId="54222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214" w:type="dxa"/>
            <w:gridSpan w:val="2"/>
            <w:vAlign w:val="center"/>
          </w:tcPr>
          <w:p w14:paraId="5D1C5D3D">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单位名称</w:t>
            </w:r>
          </w:p>
        </w:tc>
        <w:tc>
          <w:tcPr>
            <w:tcW w:w="2889" w:type="dxa"/>
            <w:gridSpan w:val="4"/>
            <w:vAlign w:val="center"/>
          </w:tcPr>
          <w:p w14:paraId="34C56D63">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106" w:type="dxa"/>
            <w:gridSpan w:val="3"/>
            <w:vAlign w:val="center"/>
          </w:tcPr>
          <w:p w14:paraId="5EA5700B">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地址</w:t>
            </w:r>
          </w:p>
        </w:tc>
        <w:tc>
          <w:tcPr>
            <w:tcW w:w="2049" w:type="dxa"/>
            <w:vAlign w:val="center"/>
          </w:tcPr>
          <w:p w14:paraId="3ECA2B9A">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1F405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214" w:type="dxa"/>
            <w:gridSpan w:val="2"/>
            <w:vAlign w:val="center"/>
          </w:tcPr>
          <w:p w14:paraId="215CB005">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办公电话/传真</w:t>
            </w:r>
          </w:p>
        </w:tc>
        <w:tc>
          <w:tcPr>
            <w:tcW w:w="2889" w:type="dxa"/>
            <w:gridSpan w:val="4"/>
            <w:vAlign w:val="center"/>
          </w:tcPr>
          <w:p w14:paraId="32A4959D">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106" w:type="dxa"/>
            <w:gridSpan w:val="3"/>
            <w:vAlign w:val="center"/>
          </w:tcPr>
          <w:p w14:paraId="53571585">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联系人</w:t>
            </w:r>
          </w:p>
        </w:tc>
        <w:tc>
          <w:tcPr>
            <w:tcW w:w="2049" w:type="dxa"/>
            <w:vAlign w:val="center"/>
          </w:tcPr>
          <w:p w14:paraId="2382AF34">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370D1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214" w:type="dxa"/>
            <w:gridSpan w:val="2"/>
            <w:vAlign w:val="center"/>
          </w:tcPr>
          <w:p w14:paraId="7377A1D9">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所属/主管部门</w:t>
            </w:r>
          </w:p>
        </w:tc>
        <w:tc>
          <w:tcPr>
            <w:tcW w:w="7044" w:type="dxa"/>
            <w:gridSpan w:val="8"/>
            <w:vAlign w:val="center"/>
          </w:tcPr>
          <w:p w14:paraId="187209FE">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2796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214" w:type="dxa"/>
            <w:gridSpan w:val="2"/>
            <w:vAlign w:val="center"/>
          </w:tcPr>
          <w:p w14:paraId="68D0D72A">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总经理</w:t>
            </w:r>
          </w:p>
        </w:tc>
        <w:tc>
          <w:tcPr>
            <w:tcW w:w="1665" w:type="dxa"/>
            <w:gridSpan w:val="2"/>
            <w:vAlign w:val="center"/>
          </w:tcPr>
          <w:p w14:paraId="12E05D60">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827" w:type="dxa"/>
            <w:gridSpan w:val="4"/>
            <w:vAlign w:val="center"/>
          </w:tcPr>
          <w:p w14:paraId="2446CA91">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固定办公面积（平米）</w:t>
            </w:r>
          </w:p>
        </w:tc>
        <w:tc>
          <w:tcPr>
            <w:tcW w:w="2552" w:type="dxa"/>
            <w:gridSpan w:val="2"/>
            <w:vAlign w:val="center"/>
          </w:tcPr>
          <w:p w14:paraId="3CB35E5C">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27A46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567" w:type="dxa"/>
            <w:vMerge w:val="restart"/>
            <w:vAlign w:val="center"/>
          </w:tcPr>
          <w:p w14:paraId="020A9E0C">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注册情况</w:t>
            </w:r>
          </w:p>
        </w:tc>
        <w:tc>
          <w:tcPr>
            <w:tcW w:w="2214" w:type="dxa"/>
            <w:gridSpan w:val="2"/>
            <w:vAlign w:val="center"/>
          </w:tcPr>
          <w:p w14:paraId="61ABA9CC">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工商注册号</w:t>
            </w:r>
          </w:p>
        </w:tc>
        <w:tc>
          <w:tcPr>
            <w:tcW w:w="6477" w:type="dxa"/>
            <w:gridSpan w:val="7"/>
            <w:vAlign w:val="center"/>
          </w:tcPr>
          <w:p w14:paraId="7EF30AFD">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451C0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567" w:type="dxa"/>
            <w:vMerge w:val="continue"/>
            <w:textDirection w:val="tbRlV"/>
            <w:vAlign w:val="center"/>
          </w:tcPr>
          <w:p w14:paraId="4ADA41C0">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214" w:type="dxa"/>
            <w:gridSpan w:val="2"/>
            <w:vAlign w:val="center"/>
          </w:tcPr>
          <w:p w14:paraId="20004F9E">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注册资本（万元）</w:t>
            </w:r>
          </w:p>
        </w:tc>
        <w:tc>
          <w:tcPr>
            <w:tcW w:w="6477" w:type="dxa"/>
            <w:gridSpan w:val="7"/>
            <w:vAlign w:val="center"/>
          </w:tcPr>
          <w:p w14:paraId="6EBBCF0B">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0D44A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567" w:type="dxa"/>
            <w:vMerge w:val="continue"/>
            <w:textDirection w:val="tbRlV"/>
            <w:vAlign w:val="center"/>
          </w:tcPr>
          <w:p w14:paraId="6AA97445">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214" w:type="dxa"/>
            <w:gridSpan w:val="2"/>
            <w:vAlign w:val="center"/>
          </w:tcPr>
          <w:p w14:paraId="71D9F090">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法定代表人（依法登记的负责人）</w:t>
            </w:r>
          </w:p>
        </w:tc>
        <w:tc>
          <w:tcPr>
            <w:tcW w:w="1665" w:type="dxa"/>
            <w:gridSpan w:val="2"/>
            <w:vAlign w:val="center"/>
          </w:tcPr>
          <w:p w14:paraId="2C09D4B6">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214" w:type="dxa"/>
            <w:gridSpan w:val="2"/>
            <w:vAlign w:val="center"/>
          </w:tcPr>
          <w:p w14:paraId="174D8A70">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单位类型</w:t>
            </w:r>
          </w:p>
        </w:tc>
        <w:tc>
          <w:tcPr>
            <w:tcW w:w="2598" w:type="dxa"/>
            <w:gridSpan w:val="3"/>
            <w:vAlign w:val="center"/>
          </w:tcPr>
          <w:p w14:paraId="187D839A">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5E28A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567" w:type="dxa"/>
            <w:vMerge w:val="continue"/>
            <w:textDirection w:val="tbRlV"/>
            <w:vAlign w:val="center"/>
          </w:tcPr>
          <w:p w14:paraId="1FF16A9C">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214" w:type="dxa"/>
            <w:gridSpan w:val="2"/>
            <w:vAlign w:val="center"/>
          </w:tcPr>
          <w:p w14:paraId="21E33F55">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成立时间</w:t>
            </w:r>
          </w:p>
        </w:tc>
        <w:tc>
          <w:tcPr>
            <w:tcW w:w="1665" w:type="dxa"/>
            <w:gridSpan w:val="2"/>
            <w:vAlign w:val="center"/>
          </w:tcPr>
          <w:p w14:paraId="59E286C9">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214" w:type="dxa"/>
            <w:gridSpan w:val="2"/>
            <w:vAlign w:val="center"/>
          </w:tcPr>
          <w:p w14:paraId="50A92FD7">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营业期限</w:t>
            </w:r>
          </w:p>
        </w:tc>
        <w:tc>
          <w:tcPr>
            <w:tcW w:w="2598" w:type="dxa"/>
            <w:gridSpan w:val="3"/>
            <w:vAlign w:val="center"/>
          </w:tcPr>
          <w:p w14:paraId="703DF9DD">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4D98E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567" w:type="dxa"/>
            <w:vMerge w:val="continue"/>
            <w:textDirection w:val="tbRlV"/>
            <w:vAlign w:val="center"/>
          </w:tcPr>
          <w:p w14:paraId="2E91F2FA">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c>
          <w:tcPr>
            <w:tcW w:w="2214" w:type="dxa"/>
            <w:gridSpan w:val="2"/>
            <w:vAlign w:val="center"/>
          </w:tcPr>
          <w:p w14:paraId="3E264DA8">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经营范围</w:t>
            </w:r>
          </w:p>
        </w:tc>
        <w:tc>
          <w:tcPr>
            <w:tcW w:w="6477" w:type="dxa"/>
            <w:gridSpan w:val="7"/>
            <w:vAlign w:val="center"/>
          </w:tcPr>
          <w:p w14:paraId="48BA532E">
            <w:pPr>
              <w:spacing w:line="440" w:lineRule="exact"/>
              <w:jc w:val="center"/>
              <w:rPr>
                <w:rFonts w:ascii="仿宋" w:hAnsi="仿宋" w:eastAsia="仿宋"/>
                <w:color w:val="000000" w:themeColor="text1"/>
                <w:sz w:val="28"/>
                <w:szCs w:val="28"/>
                <w:highlight w:val="none"/>
                <w14:textFill>
                  <w14:solidFill>
                    <w14:schemeClr w14:val="tx1"/>
                  </w14:solidFill>
                </w14:textFill>
              </w:rPr>
            </w:pPr>
          </w:p>
        </w:tc>
      </w:tr>
      <w:tr w14:paraId="3DF6B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9258" w:type="dxa"/>
            <w:gridSpan w:val="10"/>
            <w:vAlign w:val="center"/>
          </w:tcPr>
          <w:p w14:paraId="15C94896">
            <w:pPr>
              <w:spacing w:line="440" w:lineRule="exact"/>
              <w:jc w:val="center"/>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投标人情况简介</w:t>
            </w:r>
          </w:p>
        </w:tc>
      </w:tr>
      <w:tr w14:paraId="6A230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90" w:hRule="atLeast"/>
          <w:jc w:val="center"/>
        </w:trPr>
        <w:tc>
          <w:tcPr>
            <w:tcW w:w="9258" w:type="dxa"/>
            <w:gridSpan w:val="10"/>
          </w:tcPr>
          <w:p w14:paraId="55490CE1">
            <w:pPr>
              <w:spacing w:line="440" w:lineRule="exact"/>
              <w:rPr>
                <w:rFonts w:ascii="仿宋" w:hAnsi="仿宋" w:eastAsia="仿宋"/>
                <w:color w:val="000000" w:themeColor="text1"/>
                <w:sz w:val="28"/>
                <w:szCs w:val="28"/>
                <w:highlight w:val="none"/>
                <w14:textFill>
                  <w14:solidFill>
                    <w14:schemeClr w14:val="tx1"/>
                  </w14:solidFill>
                </w14:textFill>
              </w:rPr>
            </w:pPr>
          </w:p>
        </w:tc>
      </w:tr>
    </w:tbl>
    <w:p w14:paraId="7344FF40">
      <w:pPr>
        <w:jc w:val="center"/>
        <w:rPr>
          <w:rFonts w:ascii="仿宋" w:hAnsi="仿宋" w:eastAsia="仿宋"/>
          <w:b/>
          <w:color w:val="000000" w:themeColor="text1"/>
          <w:sz w:val="44"/>
          <w:szCs w:val="44"/>
          <w:highlight w:val="none"/>
          <w14:textFill>
            <w14:solidFill>
              <w14:schemeClr w14:val="tx1"/>
            </w14:solidFill>
          </w14:textFill>
        </w:rPr>
      </w:pPr>
    </w:p>
    <w:p w14:paraId="23D6290D">
      <w:pPr>
        <w:wordWrap w:val="0"/>
        <w:spacing w:line="560" w:lineRule="exact"/>
        <w:ind w:right="640" w:firstLine="4160" w:firstLineChars="1300"/>
        <w:rPr>
          <w:rFonts w:ascii="仿宋" w:hAnsi="仿宋" w:eastAsia="仿宋"/>
          <w:color w:val="000000" w:themeColor="text1"/>
          <w:sz w:val="32"/>
          <w:szCs w:val="32"/>
          <w:highlight w:val="none"/>
          <w14:textFill>
            <w14:solidFill>
              <w14:schemeClr w14:val="tx1"/>
            </w14:solidFill>
          </w14:textFill>
        </w:rPr>
      </w:pPr>
      <w:r>
        <w:rPr>
          <w:rFonts w:hint="eastAsia" w:ascii="仿宋" w:hAnsi="仿宋" w:eastAsia="仿宋"/>
          <w:color w:val="000000" w:themeColor="text1"/>
          <w:sz w:val="32"/>
          <w:szCs w:val="32"/>
          <w:highlight w:val="none"/>
          <w14:textFill>
            <w14:solidFill>
              <w14:schemeClr w14:val="tx1"/>
            </w14:solidFill>
          </w14:textFill>
        </w:rPr>
        <w:t xml:space="preserve">投标人单位（盖章）： </w:t>
      </w:r>
    </w:p>
    <w:p w14:paraId="5DE2F983">
      <w:pPr>
        <w:wordWrap w:val="0"/>
        <w:spacing w:line="560" w:lineRule="exact"/>
        <w:jc w:val="right"/>
        <w:rPr>
          <w:rFonts w:ascii="仿宋" w:hAnsi="仿宋" w:eastAsia="仿宋"/>
          <w:color w:val="000000" w:themeColor="text1"/>
          <w:sz w:val="32"/>
          <w:szCs w:val="32"/>
          <w:highlight w:val="none"/>
          <w14:textFill>
            <w14:solidFill>
              <w14:schemeClr w14:val="tx1"/>
            </w14:solidFill>
          </w14:textFill>
        </w:rPr>
      </w:pPr>
      <w:r>
        <w:rPr>
          <w:rFonts w:hint="eastAsia" w:ascii="仿宋" w:hAnsi="仿宋" w:eastAsia="仿宋"/>
          <w:color w:val="000000" w:themeColor="text1"/>
          <w:sz w:val="32"/>
          <w:szCs w:val="32"/>
          <w:highlight w:val="none"/>
          <w14:textFill>
            <w14:solidFill>
              <w14:schemeClr w14:val="tx1"/>
            </w14:solidFill>
          </w14:textFill>
        </w:rPr>
        <w:t xml:space="preserve">法定代表人（依法登记的负责人）或被授权人（签字或盖章） </w:t>
      </w:r>
    </w:p>
    <w:p w14:paraId="00517747">
      <w:pPr>
        <w:wordWrap w:val="0"/>
        <w:spacing w:line="560" w:lineRule="exact"/>
        <w:ind w:right="1280"/>
        <w:rPr>
          <w:rFonts w:ascii="仿宋_GB2312" w:hAnsi="仿宋" w:eastAsia="仿宋_GB2312"/>
          <w:color w:val="000000" w:themeColor="text1"/>
          <w:sz w:val="32"/>
          <w:szCs w:val="32"/>
          <w:highlight w:val="none"/>
          <w14:textFill>
            <w14:solidFill>
              <w14:schemeClr w14:val="tx1"/>
            </w14:solidFill>
          </w14:textFill>
        </w:rPr>
        <w:sectPr>
          <w:pgSz w:w="11906" w:h="16838"/>
          <w:pgMar w:top="1440" w:right="1080" w:bottom="1440" w:left="1080" w:header="851" w:footer="992" w:gutter="0"/>
          <w:cols w:space="720" w:num="1"/>
          <w:docGrid w:type="lines" w:linePitch="312" w:charSpace="0"/>
        </w:sectPr>
      </w:pPr>
    </w:p>
    <w:p w14:paraId="480FECD3">
      <w:pPr>
        <w:pStyle w:val="404"/>
        <w:snapToGrid w:val="0"/>
        <w:jc w:val="center"/>
        <w:rPr>
          <w:rFonts w:hAnsi="宋体"/>
          <w:b/>
          <w:bCs/>
          <w:color w:val="000000" w:themeColor="text1"/>
          <w:kern w:val="2"/>
          <w:sz w:val="44"/>
          <w:szCs w:val="44"/>
          <w:highlight w:val="none"/>
          <w14:textFill>
            <w14:solidFill>
              <w14:schemeClr w14:val="tx1"/>
            </w14:solidFill>
          </w14:textFill>
        </w:rPr>
      </w:pPr>
      <w:r>
        <w:rPr>
          <w:rFonts w:hint="eastAsia" w:hAnsi="宋体"/>
          <w:b/>
          <w:bCs/>
          <w:color w:val="000000" w:themeColor="text1"/>
          <w:kern w:val="2"/>
          <w:sz w:val="44"/>
          <w:szCs w:val="44"/>
          <w:highlight w:val="none"/>
          <w14:textFill>
            <w14:solidFill>
              <w14:schemeClr w14:val="tx1"/>
            </w14:solidFill>
          </w14:textFill>
        </w:rPr>
        <w:t>2023年至类似项目业绩表</w:t>
      </w:r>
    </w:p>
    <w:tbl>
      <w:tblPr>
        <w:tblStyle w:val="47"/>
        <w:tblW w:w="95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4"/>
        <w:gridCol w:w="1800"/>
        <w:gridCol w:w="2047"/>
        <w:gridCol w:w="1260"/>
        <w:gridCol w:w="1440"/>
        <w:gridCol w:w="1959"/>
      </w:tblGrid>
      <w:tr w14:paraId="4B197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1034" w:type="dxa"/>
            <w:noWrap/>
            <w:vAlign w:val="center"/>
          </w:tcPr>
          <w:p w14:paraId="53C4F541">
            <w:pPr>
              <w:jc w:val="center"/>
              <w:rPr>
                <w:rFonts w:ascii="仿宋" w:hAnsi="仿宋" w:eastAsia="仿宋"/>
                <w:color w:val="000000" w:themeColor="text1"/>
                <w:sz w:val="30"/>
                <w:szCs w:val="30"/>
                <w:highlight w:val="none"/>
                <w14:textFill>
                  <w14:solidFill>
                    <w14:schemeClr w14:val="tx1"/>
                  </w14:solidFill>
                </w14:textFill>
              </w:rPr>
            </w:pPr>
            <w:r>
              <w:rPr>
                <w:rFonts w:hint="eastAsia" w:ascii="仿宋" w:hAnsi="仿宋" w:eastAsia="仿宋"/>
                <w:color w:val="000000" w:themeColor="text1"/>
                <w:sz w:val="30"/>
                <w:szCs w:val="30"/>
                <w:highlight w:val="none"/>
                <w14:textFill>
                  <w14:solidFill>
                    <w14:schemeClr w14:val="tx1"/>
                  </w14:solidFill>
                </w14:textFill>
              </w:rPr>
              <w:t>序号</w:t>
            </w:r>
          </w:p>
        </w:tc>
        <w:tc>
          <w:tcPr>
            <w:tcW w:w="1800" w:type="dxa"/>
            <w:noWrap/>
            <w:vAlign w:val="center"/>
          </w:tcPr>
          <w:p w14:paraId="3952CAD0">
            <w:pPr>
              <w:jc w:val="center"/>
              <w:rPr>
                <w:rFonts w:ascii="仿宋" w:hAnsi="仿宋" w:eastAsia="仿宋"/>
                <w:color w:val="000000" w:themeColor="text1"/>
                <w:sz w:val="30"/>
                <w:szCs w:val="30"/>
                <w:highlight w:val="none"/>
                <w14:textFill>
                  <w14:solidFill>
                    <w14:schemeClr w14:val="tx1"/>
                  </w14:solidFill>
                </w14:textFill>
              </w:rPr>
            </w:pPr>
            <w:r>
              <w:rPr>
                <w:rFonts w:hint="eastAsia" w:ascii="仿宋" w:hAnsi="仿宋" w:eastAsia="仿宋"/>
                <w:color w:val="000000" w:themeColor="text1"/>
                <w:sz w:val="30"/>
                <w:szCs w:val="30"/>
                <w:highlight w:val="none"/>
                <w14:textFill>
                  <w14:solidFill>
                    <w14:schemeClr w14:val="tx1"/>
                  </w14:solidFill>
                </w14:textFill>
              </w:rPr>
              <w:t>用户名称</w:t>
            </w:r>
          </w:p>
        </w:tc>
        <w:tc>
          <w:tcPr>
            <w:tcW w:w="2047" w:type="dxa"/>
            <w:noWrap/>
            <w:vAlign w:val="center"/>
          </w:tcPr>
          <w:p w14:paraId="308C330E">
            <w:pPr>
              <w:jc w:val="center"/>
              <w:rPr>
                <w:rFonts w:ascii="仿宋" w:hAnsi="仿宋" w:eastAsia="仿宋"/>
                <w:color w:val="000000" w:themeColor="text1"/>
                <w:sz w:val="30"/>
                <w:szCs w:val="30"/>
                <w:highlight w:val="none"/>
                <w14:textFill>
                  <w14:solidFill>
                    <w14:schemeClr w14:val="tx1"/>
                  </w14:solidFill>
                </w14:textFill>
              </w:rPr>
            </w:pPr>
            <w:r>
              <w:rPr>
                <w:rFonts w:hint="eastAsia" w:ascii="仿宋" w:hAnsi="仿宋" w:eastAsia="仿宋"/>
                <w:color w:val="000000" w:themeColor="text1"/>
                <w:sz w:val="30"/>
                <w:szCs w:val="30"/>
                <w:highlight w:val="none"/>
                <w14:textFill>
                  <w14:solidFill>
                    <w14:schemeClr w14:val="tx1"/>
                  </w14:solidFill>
                </w14:textFill>
              </w:rPr>
              <w:t>项目名称</w:t>
            </w:r>
          </w:p>
        </w:tc>
        <w:tc>
          <w:tcPr>
            <w:tcW w:w="1260" w:type="dxa"/>
            <w:noWrap/>
            <w:vAlign w:val="center"/>
          </w:tcPr>
          <w:p w14:paraId="59F5927D">
            <w:pPr>
              <w:jc w:val="center"/>
              <w:rPr>
                <w:rFonts w:ascii="仿宋" w:hAnsi="仿宋" w:eastAsia="仿宋"/>
                <w:color w:val="000000" w:themeColor="text1"/>
                <w:sz w:val="30"/>
                <w:szCs w:val="30"/>
                <w:highlight w:val="none"/>
                <w14:textFill>
                  <w14:solidFill>
                    <w14:schemeClr w14:val="tx1"/>
                  </w14:solidFill>
                </w14:textFill>
              </w:rPr>
            </w:pPr>
            <w:r>
              <w:rPr>
                <w:rFonts w:hint="eastAsia" w:ascii="仿宋" w:hAnsi="仿宋" w:eastAsia="仿宋"/>
                <w:color w:val="000000" w:themeColor="text1"/>
                <w:sz w:val="30"/>
                <w:szCs w:val="30"/>
                <w:highlight w:val="none"/>
                <w14:textFill>
                  <w14:solidFill>
                    <w14:schemeClr w14:val="tx1"/>
                  </w14:solidFill>
                </w14:textFill>
              </w:rPr>
              <w:t>合同额</w:t>
            </w:r>
          </w:p>
        </w:tc>
        <w:tc>
          <w:tcPr>
            <w:tcW w:w="1440" w:type="dxa"/>
            <w:noWrap/>
            <w:vAlign w:val="center"/>
          </w:tcPr>
          <w:p w14:paraId="51D7C059">
            <w:pPr>
              <w:jc w:val="center"/>
              <w:rPr>
                <w:rFonts w:ascii="仿宋" w:hAnsi="仿宋" w:eastAsia="仿宋"/>
                <w:color w:val="000000" w:themeColor="text1"/>
                <w:sz w:val="30"/>
                <w:szCs w:val="30"/>
                <w:highlight w:val="none"/>
                <w14:textFill>
                  <w14:solidFill>
                    <w14:schemeClr w14:val="tx1"/>
                  </w14:solidFill>
                </w14:textFill>
              </w:rPr>
            </w:pPr>
            <w:r>
              <w:rPr>
                <w:rFonts w:hint="eastAsia" w:ascii="仿宋" w:hAnsi="仿宋" w:eastAsia="仿宋"/>
                <w:color w:val="000000" w:themeColor="text1"/>
                <w:sz w:val="30"/>
                <w:szCs w:val="30"/>
                <w:highlight w:val="none"/>
                <w14:textFill>
                  <w14:solidFill>
                    <w14:schemeClr w14:val="tx1"/>
                  </w14:solidFill>
                </w14:textFill>
              </w:rPr>
              <w:t>服务时间</w:t>
            </w:r>
          </w:p>
        </w:tc>
        <w:tc>
          <w:tcPr>
            <w:tcW w:w="1959" w:type="dxa"/>
            <w:noWrap/>
            <w:vAlign w:val="center"/>
          </w:tcPr>
          <w:p w14:paraId="336826DE">
            <w:pPr>
              <w:jc w:val="center"/>
              <w:rPr>
                <w:rFonts w:ascii="仿宋" w:hAnsi="仿宋" w:eastAsia="仿宋"/>
                <w:color w:val="000000" w:themeColor="text1"/>
                <w:sz w:val="30"/>
                <w:szCs w:val="30"/>
                <w:highlight w:val="none"/>
                <w14:textFill>
                  <w14:solidFill>
                    <w14:schemeClr w14:val="tx1"/>
                  </w14:solidFill>
                </w14:textFill>
              </w:rPr>
            </w:pPr>
            <w:r>
              <w:rPr>
                <w:rFonts w:hint="eastAsia" w:ascii="仿宋" w:hAnsi="仿宋" w:eastAsia="仿宋"/>
                <w:color w:val="000000" w:themeColor="text1"/>
                <w:sz w:val="30"/>
                <w:szCs w:val="30"/>
                <w:highlight w:val="none"/>
                <w14:textFill>
                  <w14:solidFill>
                    <w14:schemeClr w14:val="tx1"/>
                  </w14:solidFill>
                </w14:textFill>
              </w:rPr>
              <w:t>电话/联系人</w:t>
            </w:r>
          </w:p>
        </w:tc>
      </w:tr>
      <w:tr w14:paraId="22BDA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09D9AA46">
            <w:pPr>
              <w:jc w:val="cente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7D696319">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206BD3FC">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2942A662">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20ED2A54">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4F9D8340">
            <w:pPr>
              <w:jc w:val="center"/>
              <w:rPr>
                <w:rFonts w:ascii="仿宋" w:hAnsi="仿宋" w:eastAsia="仿宋"/>
                <w:color w:val="000000" w:themeColor="text1"/>
                <w:sz w:val="30"/>
                <w:szCs w:val="30"/>
                <w:highlight w:val="none"/>
                <w14:textFill>
                  <w14:solidFill>
                    <w14:schemeClr w14:val="tx1"/>
                  </w14:solidFill>
                </w14:textFill>
              </w:rPr>
            </w:pPr>
          </w:p>
        </w:tc>
      </w:tr>
      <w:tr w14:paraId="7E81B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182D1D92">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798A2003">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5BCFB74E">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52806737">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21FA13AA">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189BC9EA">
            <w:pPr>
              <w:jc w:val="center"/>
              <w:rPr>
                <w:rFonts w:ascii="仿宋" w:hAnsi="仿宋" w:eastAsia="仿宋"/>
                <w:color w:val="000000" w:themeColor="text1"/>
                <w:sz w:val="30"/>
                <w:szCs w:val="30"/>
                <w:highlight w:val="none"/>
                <w14:textFill>
                  <w14:solidFill>
                    <w14:schemeClr w14:val="tx1"/>
                  </w14:solidFill>
                </w14:textFill>
              </w:rPr>
            </w:pPr>
          </w:p>
        </w:tc>
      </w:tr>
      <w:tr w14:paraId="50B22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2A529D42">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6213D1A8">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6C07645C">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0EFE7EB2">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283DE2BF">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62F830B6">
            <w:pPr>
              <w:jc w:val="center"/>
              <w:rPr>
                <w:rFonts w:ascii="仿宋" w:hAnsi="仿宋" w:eastAsia="仿宋"/>
                <w:color w:val="000000" w:themeColor="text1"/>
                <w:sz w:val="30"/>
                <w:szCs w:val="30"/>
                <w:highlight w:val="none"/>
                <w14:textFill>
                  <w14:solidFill>
                    <w14:schemeClr w14:val="tx1"/>
                  </w14:solidFill>
                </w14:textFill>
              </w:rPr>
            </w:pPr>
          </w:p>
        </w:tc>
      </w:tr>
      <w:tr w14:paraId="44916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6B1799A0">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55102DAE">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39C1C49C">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54A871AF">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18831DF7">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28FC86BA">
            <w:pPr>
              <w:jc w:val="center"/>
              <w:rPr>
                <w:rFonts w:ascii="仿宋" w:hAnsi="仿宋" w:eastAsia="仿宋"/>
                <w:color w:val="000000" w:themeColor="text1"/>
                <w:sz w:val="30"/>
                <w:szCs w:val="30"/>
                <w:highlight w:val="none"/>
                <w14:textFill>
                  <w14:solidFill>
                    <w14:schemeClr w14:val="tx1"/>
                  </w14:solidFill>
                </w14:textFill>
              </w:rPr>
            </w:pPr>
          </w:p>
        </w:tc>
      </w:tr>
      <w:tr w14:paraId="6D49B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437284E2">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6E494187">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32778205">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10523E81">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14F59D77">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72509519">
            <w:pPr>
              <w:jc w:val="center"/>
              <w:rPr>
                <w:rFonts w:ascii="仿宋" w:hAnsi="仿宋" w:eastAsia="仿宋"/>
                <w:color w:val="000000" w:themeColor="text1"/>
                <w:sz w:val="30"/>
                <w:szCs w:val="30"/>
                <w:highlight w:val="none"/>
                <w14:textFill>
                  <w14:solidFill>
                    <w14:schemeClr w14:val="tx1"/>
                  </w14:solidFill>
                </w14:textFill>
              </w:rPr>
            </w:pPr>
          </w:p>
        </w:tc>
      </w:tr>
      <w:tr w14:paraId="42039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1F001AD7">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3C8D8FBC">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278FFA12">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215E80D9">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204D4F21">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21D652C6">
            <w:pPr>
              <w:jc w:val="center"/>
              <w:rPr>
                <w:rFonts w:ascii="仿宋" w:hAnsi="仿宋" w:eastAsia="仿宋"/>
                <w:color w:val="000000" w:themeColor="text1"/>
                <w:sz w:val="30"/>
                <w:szCs w:val="30"/>
                <w:highlight w:val="none"/>
                <w14:textFill>
                  <w14:solidFill>
                    <w14:schemeClr w14:val="tx1"/>
                  </w14:solidFill>
                </w14:textFill>
              </w:rPr>
            </w:pPr>
          </w:p>
        </w:tc>
      </w:tr>
      <w:tr w14:paraId="6F78C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57035EEF">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7C5A997D">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2C3815A4">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18A651E3">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322E145B">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5A44FB04">
            <w:pPr>
              <w:jc w:val="center"/>
              <w:rPr>
                <w:rFonts w:ascii="仿宋" w:hAnsi="仿宋" w:eastAsia="仿宋"/>
                <w:color w:val="000000" w:themeColor="text1"/>
                <w:sz w:val="30"/>
                <w:szCs w:val="30"/>
                <w:highlight w:val="none"/>
                <w14:textFill>
                  <w14:solidFill>
                    <w14:schemeClr w14:val="tx1"/>
                  </w14:solidFill>
                </w14:textFill>
              </w:rPr>
            </w:pPr>
          </w:p>
        </w:tc>
      </w:tr>
      <w:tr w14:paraId="4B697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2A8B03CF">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7FE9BF48">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06C6DE63">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4F7BB5AD">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07204036">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51DDC6EE">
            <w:pPr>
              <w:jc w:val="center"/>
              <w:rPr>
                <w:rFonts w:ascii="仿宋" w:hAnsi="仿宋" w:eastAsia="仿宋"/>
                <w:color w:val="000000" w:themeColor="text1"/>
                <w:sz w:val="30"/>
                <w:szCs w:val="30"/>
                <w:highlight w:val="none"/>
                <w14:textFill>
                  <w14:solidFill>
                    <w14:schemeClr w14:val="tx1"/>
                  </w14:solidFill>
                </w14:textFill>
              </w:rPr>
            </w:pPr>
          </w:p>
        </w:tc>
      </w:tr>
      <w:tr w14:paraId="2F1DC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07FF0DB7">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5FCB7DEA">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64AD9B73">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1AE12917">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149022EA">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2E5EBEA2">
            <w:pPr>
              <w:jc w:val="center"/>
              <w:rPr>
                <w:rFonts w:ascii="仿宋" w:hAnsi="仿宋" w:eastAsia="仿宋"/>
                <w:color w:val="000000" w:themeColor="text1"/>
                <w:sz w:val="30"/>
                <w:szCs w:val="30"/>
                <w:highlight w:val="none"/>
                <w14:textFill>
                  <w14:solidFill>
                    <w14:schemeClr w14:val="tx1"/>
                  </w14:solidFill>
                </w14:textFill>
              </w:rPr>
            </w:pPr>
          </w:p>
        </w:tc>
      </w:tr>
      <w:tr w14:paraId="567D8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6F5C3CA8">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46A309D5">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247EE9C3">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2D6DB33D">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17318ACF">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781135A8">
            <w:pPr>
              <w:jc w:val="center"/>
              <w:rPr>
                <w:rFonts w:ascii="仿宋" w:hAnsi="仿宋" w:eastAsia="仿宋"/>
                <w:color w:val="000000" w:themeColor="text1"/>
                <w:sz w:val="30"/>
                <w:szCs w:val="30"/>
                <w:highlight w:val="none"/>
                <w14:textFill>
                  <w14:solidFill>
                    <w14:schemeClr w14:val="tx1"/>
                  </w14:solidFill>
                </w14:textFill>
              </w:rPr>
            </w:pPr>
          </w:p>
        </w:tc>
      </w:tr>
      <w:tr w14:paraId="286DF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007E6CA5">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493A9DC9">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10774581">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25DC005A">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126225D2">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791F6105">
            <w:pPr>
              <w:jc w:val="center"/>
              <w:rPr>
                <w:rFonts w:ascii="仿宋" w:hAnsi="仿宋" w:eastAsia="仿宋"/>
                <w:color w:val="000000" w:themeColor="text1"/>
                <w:sz w:val="30"/>
                <w:szCs w:val="30"/>
                <w:highlight w:val="none"/>
                <w14:textFill>
                  <w14:solidFill>
                    <w14:schemeClr w14:val="tx1"/>
                  </w14:solidFill>
                </w14:textFill>
              </w:rPr>
            </w:pPr>
          </w:p>
        </w:tc>
      </w:tr>
      <w:tr w14:paraId="02A32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7D893E0C">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1229E3C7">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36BA81C9">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280DE534">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095022E7">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481A2BA2">
            <w:pPr>
              <w:jc w:val="center"/>
              <w:rPr>
                <w:rFonts w:ascii="仿宋" w:hAnsi="仿宋" w:eastAsia="仿宋"/>
                <w:color w:val="000000" w:themeColor="text1"/>
                <w:sz w:val="30"/>
                <w:szCs w:val="30"/>
                <w:highlight w:val="none"/>
                <w14:textFill>
                  <w14:solidFill>
                    <w14:schemeClr w14:val="tx1"/>
                  </w14:solidFill>
                </w14:textFill>
              </w:rPr>
            </w:pPr>
          </w:p>
        </w:tc>
      </w:tr>
      <w:tr w14:paraId="0B050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3650DC3A">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66D79D42">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71E020B6">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6DD3E158">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6969D757">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5B291DBC">
            <w:pPr>
              <w:jc w:val="center"/>
              <w:rPr>
                <w:rFonts w:ascii="仿宋" w:hAnsi="仿宋" w:eastAsia="仿宋"/>
                <w:color w:val="000000" w:themeColor="text1"/>
                <w:sz w:val="30"/>
                <w:szCs w:val="30"/>
                <w:highlight w:val="none"/>
                <w14:textFill>
                  <w14:solidFill>
                    <w14:schemeClr w14:val="tx1"/>
                  </w14:solidFill>
                </w14:textFill>
              </w:rPr>
            </w:pPr>
          </w:p>
        </w:tc>
      </w:tr>
      <w:tr w14:paraId="12399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4" w:type="dxa"/>
            <w:noWrap/>
            <w:vAlign w:val="center"/>
          </w:tcPr>
          <w:p w14:paraId="41E845B2">
            <w:pPr>
              <w:rPr>
                <w:rFonts w:ascii="仿宋" w:hAnsi="仿宋" w:eastAsia="仿宋"/>
                <w:color w:val="000000" w:themeColor="text1"/>
                <w:sz w:val="30"/>
                <w:szCs w:val="30"/>
                <w:highlight w:val="none"/>
                <w14:textFill>
                  <w14:solidFill>
                    <w14:schemeClr w14:val="tx1"/>
                  </w14:solidFill>
                </w14:textFill>
              </w:rPr>
            </w:pPr>
          </w:p>
        </w:tc>
        <w:tc>
          <w:tcPr>
            <w:tcW w:w="1800" w:type="dxa"/>
            <w:noWrap/>
            <w:vAlign w:val="center"/>
          </w:tcPr>
          <w:p w14:paraId="1702C540">
            <w:pPr>
              <w:jc w:val="center"/>
              <w:rPr>
                <w:rFonts w:ascii="仿宋" w:hAnsi="仿宋" w:eastAsia="仿宋"/>
                <w:color w:val="000000" w:themeColor="text1"/>
                <w:sz w:val="30"/>
                <w:szCs w:val="30"/>
                <w:highlight w:val="none"/>
                <w14:textFill>
                  <w14:solidFill>
                    <w14:schemeClr w14:val="tx1"/>
                  </w14:solidFill>
                </w14:textFill>
              </w:rPr>
            </w:pPr>
          </w:p>
        </w:tc>
        <w:tc>
          <w:tcPr>
            <w:tcW w:w="2047" w:type="dxa"/>
            <w:noWrap/>
            <w:vAlign w:val="center"/>
          </w:tcPr>
          <w:p w14:paraId="42E83739">
            <w:pPr>
              <w:jc w:val="center"/>
              <w:rPr>
                <w:rFonts w:ascii="仿宋" w:hAnsi="仿宋" w:eastAsia="仿宋"/>
                <w:color w:val="000000" w:themeColor="text1"/>
                <w:sz w:val="30"/>
                <w:szCs w:val="30"/>
                <w:highlight w:val="none"/>
                <w14:textFill>
                  <w14:solidFill>
                    <w14:schemeClr w14:val="tx1"/>
                  </w14:solidFill>
                </w14:textFill>
              </w:rPr>
            </w:pPr>
          </w:p>
        </w:tc>
        <w:tc>
          <w:tcPr>
            <w:tcW w:w="1260" w:type="dxa"/>
            <w:noWrap/>
            <w:vAlign w:val="center"/>
          </w:tcPr>
          <w:p w14:paraId="20BDB158">
            <w:pPr>
              <w:jc w:val="center"/>
              <w:rPr>
                <w:rFonts w:ascii="仿宋" w:hAnsi="仿宋" w:eastAsia="仿宋"/>
                <w:color w:val="000000" w:themeColor="text1"/>
                <w:sz w:val="30"/>
                <w:szCs w:val="30"/>
                <w:highlight w:val="none"/>
                <w14:textFill>
                  <w14:solidFill>
                    <w14:schemeClr w14:val="tx1"/>
                  </w14:solidFill>
                </w14:textFill>
              </w:rPr>
            </w:pPr>
          </w:p>
        </w:tc>
        <w:tc>
          <w:tcPr>
            <w:tcW w:w="1440" w:type="dxa"/>
            <w:noWrap/>
            <w:vAlign w:val="center"/>
          </w:tcPr>
          <w:p w14:paraId="36233327">
            <w:pPr>
              <w:jc w:val="center"/>
              <w:rPr>
                <w:rFonts w:ascii="仿宋" w:hAnsi="仿宋" w:eastAsia="仿宋"/>
                <w:color w:val="000000" w:themeColor="text1"/>
                <w:sz w:val="30"/>
                <w:szCs w:val="30"/>
                <w:highlight w:val="none"/>
                <w14:textFill>
                  <w14:solidFill>
                    <w14:schemeClr w14:val="tx1"/>
                  </w14:solidFill>
                </w14:textFill>
              </w:rPr>
            </w:pPr>
          </w:p>
        </w:tc>
        <w:tc>
          <w:tcPr>
            <w:tcW w:w="1959" w:type="dxa"/>
            <w:noWrap/>
            <w:vAlign w:val="center"/>
          </w:tcPr>
          <w:p w14:paraId="6D746C78">
            <w:pPr>
              <w:jc w:val="center"/>
              <w:rPr>
                <w:rFonts w:ascii="仿宋" w:hAnsi="仿宋" w:eastAsia="仿宋"/>
                <w:color w:val="000000" w:themeColor="text1"/>
                <w:sz w:val="30"/>
                <w:szCs w:val="30"/>
                <w:highlight w:val="none"/>
                <w14:textFill>
                  <w14:solidFill>
                    <w14:schemeClr w14:val="tx1"/>
                  </w14:solidFill>
                </w14:textFill>
              </w:rPr>
            </w:pPr>
          </w:p>
        </w:tc>
      </w:tr>
      <w:tr w14:paraId="262E4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2834" w:type="dxa"/>
            <w:gridSpan w:val="2"/>
            <w:noWrap/>
            <w:vAlign w:val="center"/>
          </w:tcPr>
          <w:p w14:paraId="26CEF167">
            <w:pPr>
              <w:jc w:val="center"/>
              <w:rPr>
                <w:rFonts w:ascii="仿宋" w:hAnsi="仿宋" w:eastAsia="仿宋"/>
                <w:color w:val="000000" w:themeColor="text1"/>
                <w:sz w:val="30"/>
                <w:szCs w:val="30"/>
                <w:highlight w:val="none"/>
                <w14:textFill>
                  <w14:solidFill>
                    <w14:schemeClr w14:val="tx1"/>
                  </w14:solidFill>
                </w14:textFill>
              </w:rPr>
            </w:pPr>
            <w:r>
              <w:rPr>
                <w:rFonts w:hint="eastAsia" w:ascii="仿宋" w:hAnsi="仿宋" w:eastAsia="仿宋"/>
                <w:color w:val="000000" w:themeColor="text1"/>
                <w:sz w:val="30"/>
                <w:szCs w:val="30"/>
                <w:highlight w:val="none"/>
                <w14:textFill>
                  <w14:solidFill>
                    <w14:schemeClr w14:val="tx1"/>
                  </w14:solidFill>
                </w14:textFill>
              </w:rPr>
              <w:t>合同金额合计</w:t>
            </w:r>
          </w:p>
        </w:tc>
        <w:tc>
          <w:tcPr>
            <w:tcW w:w="6706" w:type="dxa"/>
            <w:gridSpan w:val="4"/>
            <w:noWrap/>
            <w:vAlign w:val="center"/>
          </w:tcPr>
          <w:p w14:paraId="5A7AA6B4">
            <w:pPr>
              <w:rPr>
                <w:rFonts w:ascii="仿宋" w:hAnsi="仿宋" w:eastAsia="仿宋"/>
                <w:color w:val="000000" w:themeColor="text1"/>
                <w:sz w:val="30"/>
                <w:szCs w:val="30"/>
                <w:highlight w:val="none"/>
                <w14:textFill>
                  <w14:solidFill>
                    <w14:schemeClr w14:val="tx1"/>
                  </w14:solidFill>
                </w14:textFill>
              </w:rPr>
            </w:pPr>
          </w:p>
        </w:tc>
      </w:tr>
    </w:tbl>
    <w:p w14:paraId="35FC200F">
      <w:pPr>
        <w:rPr>
          <w:rFonts w:ascii="仿宋" w:hAnsi="仿宋" w:eastAsia="仿宋"/>
          <w:color w:val="000000" w:themeColor="text1"/>
          <w:sz w:val="30"/>
          <w:szCs w:val="30"/>
          <w:highlight w:val="none"/>
          <w14:textFill>
            <w14:solidFill>
              <w14:schemeClr w14:val="tx1"/>
            </w14:solidFill>
          </w14:textFill>
        </w:rPr>
      </w:pPr>
      <w:r>
        <w:rPr>
          <w:rFonts w:hint="eastAsia" w:ascii="仿宋" w:hAnsi="仿宋" w:eastAsia="仿宋"/>
          <w:color w:val="000000" w:themeColor="text1"/>
          <w:sz w:val="30"/>
          <w:szCs w:val="30"/>
          <w:highlight w:val="none"/>
          <w14:textFill>
            <w14:solidFill>
              <w14:schemeClr w14:val="tx1"/>
            </w14:solidFill>
          </w14:textFill>
        </w:rPr>
        <w:t>备注：此表应认真填写，不得提供虚假业绩，后附中标通知书及合同扫描件。</w:t>
      </w:r>
    </w:p>
    <w:p w14:paraId="2814FAFE">
      <w:pPr>
        <w:ind w:firstLine="3900" w:firstLineChars="1300"/>
        <w:rPr>
          <w:rFonts w:ascii="仿宋" w:hAnsi="仿宋" w:eastAsia="仿宋"/>
          <w:color w:val="000000" w:themeColor="text1"/>
          <w:sz w:val="30"/>
          <w:szCs w:val="30"/>
          <w:highlight w:val="none"/>
          <w14:textFill>
            <w14:solidFill>
              <w14:schemeClr w14:val="tx1"/>
            </w14:solidFill>
          </w14:textFill>
        </w:rPr>
      </w:pPr>
    </w:p>
    <w:p w14:paraId="6C5161CB">
      <w:pPr>
        <w:wordWrap w:val="0"/>
        <w:spacing w:line="560" w:lineRule="exact"/>
        <w:ind w:right="960" w:firstLine="4320" w:firstLineChars="1350"/>
        <w:rPr>
          <w:rFonts w:ascii="仿宋" w:hAnsi="仿宋" w:eastAsia="仿宋"/>
          <w:color w:val="000000" w:themeColor="text1"/>
          <w:sz w:val="32"/>
          <w:szCs w:val="32"/>
          <w:highlight w:val="none"/>
          <w14:textFill>
            <w14:solidFill>
              <w14:schemeClr w14:val="tx1"/>
            </w14:solidFill>
          </w14:textFill>
        </w:rPr>
      </w:pPr>
      <w:r>
        <w:rPr>
          <w:rFonts w:hint="eastAsia" w:ascii="仿宋" w:hAnsi="仿宋" w:eastAsia="仿宋"/>
          <w:color w:val="000000" w:themeColor="text1"/>
          <w:sz w:val="32"/>
          <w:szCs w:val="32"/>
          <w:highlight w:val="none"/>
          <w14:textFill>
            <w14:solidFill>
              <w14:schemeClr w14:val="tx1"/>
            </w14:solidFill>
          </w14:textFill>
        </w:rPr>
        <w:t xml:space="preserve">投标人单位（盖章）： </w:t>
      </w:r>
    </w:p>
    <w:p w14:paraId="7871554A">
      <w:pPr>
        <w:jc w:val="right"/>
        <w:rPr>
          <w:rFonts w:ascii="仿宋" w:hAnsi="仿宋" w:eastAsia="仿宋"/>
          <w:color w:val="000000" w:themeColor="text1"/>
          <w:sz w:val="32"/>
          <w:szCs w:val="32"/>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r>
        <w:rPr>
          <w:rFonts w:hint="eastAsia" w:ascii="仿宋" w:hAnsi="仿宋" w:eastAsia="仿宋"/>
          <w:color w:val="000000" w:themeColor="text1"/>
          <w:sz w:val="32"/>
          <w:szCs w:val="32"/>
          <w:highlight w:val="none"/>
          <w14:textFill>
            <w14:solidFill>
              <w14:schemeClr w14:val="tx1"/>
            </w14:solidFill>
          </w14:textFill>
        </w:rPr>
        <w:t>法定代表人（依法登记的负责人）或被授权人（签字或盖章）</w:t>
      </w:r>
    </w:p>
    <w:p w14:paraId="418B0B11">
      <w:pPr>
        <w:pStyle w:val="24"/>
        <w:spacing w:line="520" w:lineRule="exact"/>
        <w:jc w:val="center"/>
        <w:rPr>
          <w:rFonts w:hAnsi="宋体"/>
          <w:b/>
          <w:bCs/>
          <w:color w:val="000000" w:themeColor="text1"/>
          <w:kern w:val="2"/>
          <w:sz w:val="44"/>
          <w:szCs w:val="44"/>
          <w:highlight w:val="none"/>
          <w14:textFill>
            <w14:solidFill>
              <w14:schemeClr w14:val="tx1"/>
            </w14:solidFill>
          </w14:textFill>
        </w:rPr>
      </w:pPr>
      <w:r>
        <w:rPr>
          <w:rFonts w:hint="eastAsia" w:hAnsi="宋体"/>
          <w:b/>
          <w:bCs/>
          <w:color w:val="000000" w:themeColor="text1"/>
          <w:kern w:val="2"/>
          <w:sz w:val="44"/>
          <w:szCs w:val="44"/>
          <w:highlight w:val="none"/>
          <w14:textFill>
            <w14:solidFill>
              <w14:schemeClr w14:val="tx1"/>
            </w14:solidFill>
          </w14:textFill>
        </w:rPr>
        <w:t>投标偏离表</w:t>
      </w:r>
    </w:p>
    <w:p w14:paraId="3073901E">
      <w:pPr>
        <w:spacing w:line="360" w:lineRule="exact"/>
        <w:jc w:val="center"/>
        <w:rPr>
          <w:rFonts w:ascii="仿宋_GB2312" w:hAnsi="宋体" w:eastAsia="仿宋_GB2312"/>
          <w:b/>
          <w:bCs/>
          <w:color w:val="000000" w:themeColor="text1"/>
          <w:sz w:val="36"/>
          <w:szCs w:val="36"/>
          <w:highlight w:val="none"/>
          <w14:textFill>
            <w14:solidFill>
              <w14:schemeClr w14:val="tx1"/>
            </w14:solidFill>
          </w14:textFill>
        </w:rPr>
      </w:pPr>
    </w:p>
    <w:p w14:paraId="52DA2316">
      <w:pPr>
        <w:spacing w:line="360" w:lineRule="exact"/>
        <w:jc w:val="center"/>
        <w:rPr>
          <w:rFonts w:ascii="仿宋_GB2312" w:hAnsi="宋体" w:eastAsia="仿宋_GB2312"/>
          <w:bCs/>
          <w:color w:val="000000" w:themeColor="text1"/>
          <w:sz w:val="30"/>
          <w:szCs w:val="30"/>
          <w:highlight w:val="none"/>
          <w14:textFill>
            <w14:solidFill>
              <w14:schemeClr w14:val="tx1"/>
            </w14:solidFill>
          </w14:textFill>
        </w:rPr>
      </w:pPr>
      <w:r>
        <w:rPr>
          <w:rFonts w:hint="eastAsia" w:ascii="仿宋_GB2312" w:hAnsi="宋体" w:eastAsia="仿宋_GB2312"/>
          <w:bCs/>
          <w:color w:val="000000" w:themeColor="text1"/>
          <w:sz w:val="30"/>
          <w:szCs w:val="30"/>
          <w:highlight w:val="none"/>
          <w14:textFill>
            <w14:solidFill>
              <w14:schemeClr w14:val="tx1"/>
            </w14:solidFill>
          </w14:textFill>
        </w:rPr>
        <w:t>（包括技术规格、参数和商务条款偏离）</w:t>
      </w:r>
    </w:p>
    <w:p w14:paraId="1C5FDB68">
      <w:pPr>
        <w:spacing w:line="360" w:lineRule="exact"/>
        <w:jc w:val="center"/>
        <w:rPr>
          <w:rFonts w:ascii="仿宋_GB2312" w:hAnsi="宋体" w:eastAsia="仿宋_GB2312"/>
          <w:bCs/>
          <w:color w:val="000000" w:themeColor="text1"/>
          <w:sz w:val="22"/>
          <w:highlight w:val="none"/>
          <w14:textFill>
            <w14:solidFill>
              <w14:schemeClr w14:val="tx1"/>
            </w14:solidFill>
          </w14:textFill>
        </w:rPr>
      </w:pPr>
    </w:p>
    <w:tbl>
      <w:tblPr>
        <w:tblStyle w:val="47"/>
        <w:tblW w:w="97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8"/>
        <w:gridCol w:w="1236"/>
        <w:gridCol w:w="3465"/>
        <w:gridCol w:w="1236"/>
        <w:gridCol w:w="3360"/>
      </w:tblGrid>
      <w:tr w14:paraId="594AE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trPr>
        <w:tc>
          <w:tcPr>
            <w:tcW w:w="468" w:type="dxa"/>
            <w:vMerge w:val="restart"/>
          </w:tcPr>
          <w:p w14:paraId="636AB1DE">
            <w:pPr>
              <w:pStyle w:val="24"/>
              <w:spacing w:line="400" w:lineRule="exact"/>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序号</w:t>
            </w:r>
          </w:p>
        </w:tc>
        <w:tc>
          <w:tcPr>
            <w:tcW w:w="4701" w:type="dxa"/>
            <w:gridSpan w:val="2"/>
          </w:tcPr>
          <w:p w14:paraId="071373F9">
            <w:pPr>
              <w:pStyle w:val="24"/>
              <w:spacing w:line="400" w:lineRule="exact"/>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 xml:space="preserve">         招标文件条款</w:t>
            </w:r>
          </w:p>
        </w:tc>
        <w:tc>
          <w:tcPr>
            <w:tcW w:w="4596" w:type="dxa"/>
            <w:gridSpan w:val="2"/>
          </w:tcPr>
          <w:p w14:paraId="0D36701F">
            <w:pPr>
              <w:pStyle w:val="24"/>
              <w:spacing w:line="400" w:lineRule="exact"/>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 xml:space="preserve">       投标文件条款</w:t>
            </w:r>
          </w:p>
        </w:tc>
      </w:tr>
      <w:tr w14:paraId="5BC17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3" w:hRule="atLeast"/>
        </w:trPr>
        <w:tc>
          <w:tcPr>
            <w:tcW w:w="468" w:type="dxa"/>
            <w:vMerge w:val="continue"/>
          </w:tcPr>
          <w:p w14:paraId="2463B305">
            <w:pPr>
              <w:pStyle w:val="24"/>
              <w:spacing w:line="400" w:lineRule="exact"/>
              <w:rPr>
                <w:rFonts w:ascii="仿宋_GB2312" w:hAnsi="宋体" w:eastAsia="仿宋_GB2312"/>
                <w:color w:val="000000" w:themeColor="text1"/>
                <w:sz w:val="24"/>
                <w:szCs w:val="24"/>
                <w:highlight w:val="none"/>
                <w14:textFill>
                  <w14:solidFill>
                    <w14:schemeClr w14:val="tx1"/>
                  </w14:solidFill>
                </w14:textFill>
              </w:rPr>
            </w:pPr>
          </w:p>
        </w:tc>
        <w:tc>
          <w:tcPr>
            <w:tcW w:w="1236" w:type="dxa"/>
          </w:tcPr>
          <w:p w14:paraId="091495EF">
            <w:pPr>
              <w:pStyle w:val="24"/>
              <w:spacing w:line="400" w:lineRule="exact"/>
              <w:jc w:val="center"/>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条款号</w:t>
            </w:r>
          </w:p>
        </w:tc>
        <w:tc>
          <w:tcPr>
            <w:tcW w:w="3465" w:type="dxa"/>
          </w:tcPr>
          <w:p w14:paraId="2993E0C6">
            <w:pPr>
              <w:pStyle w:val="24"/>
              <w:spacing w:line="400" w:lineRule="exact"/>
              <w:jc w:val="center"/>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招标文件的内容</w:t>
            </w:r>
          </w:p>
        </w:tc>
        <w:tc>
          <w:tcPr>
            <w:tcW w:w="1236" w:type="dxa"/>
          </w:tcPr>
          <w:p w14:paraId="27949756">
            <w:pPr>
              <w:pStyle w:val="24"/>
              <w:spacing w:line="400" w:lineRule="exact"/>
              <w:jc w:val="center"/>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条款号</w:t>
            </w:r>
          </w:p>
        </w:tc>
        <w:tc>
          <w:tcPr>
            <w:tcW w:w="3360" w:type="dxa"/>
          </w:tcPr>
          <w:p w14:paraId="714E27C1">
            <w:pPr>
              <w:pStyle w:val="24"/>
              <w:spacing w:line="400" w:lineRule="exact"/>
              <w:jc w:val="center"/>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投标文件偏离内容</w:t>
            </w:r>
          </w:p>
        </w:tc>
      </w:tr>
      <w:tr w14:paraId="3FA76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468" w:type="dxa"/>
          </w:tcPr>
          <w:p w14:paraId="083C06DD">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5E69B8EE">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1A727761">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7FA2C6FB">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2BC15AF6">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140EE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468" w:type="dxa"/>
          </w:tcPr>
          <w:p w14:paraId="1BA42EEE">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47BDA896">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0346F3A2">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6A501A23">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3C63B2F6">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2C622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468" w:type="dxa"/>
          </w:tcPr>
          <w:p w14:paraId="44B80CF0">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3B85DB86">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30290B57">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1C8CF56C">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7742CE39">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463DC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468" w:type="dxa"/>
          </w:tcPr>
          <w:p w14:paraId="5DB089A4">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71B8D2B3">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465BB259">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379A7BEE">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285A5750">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6637D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468" w:type="dxa"/>
          </w:tcPr>
          <w:p w14:paraId="12091006">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620E7F40">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6EA32ABA">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35F3CE52">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6811E9A0">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7C95B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5" w:hRule="atLeast"/>
        </w:trPr>
        <w:tc>
          <w:tcPr>
            <w:tcW w:w="468" w:type="dxa"/>
          </w:tcPr>
          <w:p w14:paraId="043E0A04">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18BF5BF1">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6F1E602C">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6CCC6DFE">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1250749E">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1E5BB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trPr>
        <w:tc>
          <w:tcPr>
            <w:tcW w:w="468" w:type="dxa"/>
          </w:tcPr>
          <w:p w14:paraId="324E5E44">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26CA5274">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6BC222E7">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5DF119B4">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64578571">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75C8D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3" w:hRule="atLeast"/>
        </w:trPr>
        <w:tc>
          <w:tcPr>
            <w:tcW w:w="468" w:type="dxa"/>
          </w:tcPr>
          <w:p w14:paraId="38D7450F">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683AD0C6">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3DB3A467">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18363A4D">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54F21DAD">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1D4A8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 w:hRule="atLeast"/>
        </w:trPr>
        <w:tc>
          <w:tcPr>
            <w:tcW w:w="468" w:type="dxa"/>
          </w:tcPr>
          <w:p w14:paraId="17B02E74">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p w14:paraId="120B48D2">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4A964802">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4C25BF57">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469488FB">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3E6DAA75">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r w14:paraId="3874D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8" w:type="dxa"/>
          </w:tcPr>
          <w:p w14:paraId="441B403E">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p w14:paraId="1215BE09">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4B7DDF6D">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465" w:type="dxa"/>
          </w:tcPr>
          <w:p w14:paraId="0F3877EE">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1236" w:type="dxa"/>
          </w:tcPr>
          <w:p w14:paraId="3B07721E">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c>
          <w:tcPr>
            <w:tcW w:w="3360" w:type="dxa"/>
          </w:tcPr>
          <w:p w14:paraId="4088B407">
            <w:pPr>
              <w:pStyle w:val="24"/>
              <w:spacing w:line="400" w:lineRule="exact"/>
              <w:rPr>
                <w:rFonts w:ascii="仿宋_GB2312" w:hAnsi="宋体" w:eastAsia="仿宋_GB2312"/>
                <w:color w:val="000000" w:themeColor="text1"/>
                <w:sz w:val="28"/>
                <w:szCs w:val="24"/>
                <w:highlight w:val="none"/>
                <w14:textFill>
                  <w14:solidFill>
                    <w14:schemeClr w14:val="tx1"/>
                  </w14:solidFill>
                </w14:textFill>
              </w:rPr>
            </w:pPr>
          </w:p>
        </w:tc>
      </w:tr>
    </w:tbl>
    <w:p w14:paraId="07CEA3FD">
      <w:pPr>
        <w:pStyle w:val="24"/>
        <w:spacing w:line="400" w:lineRule="exact"/>
        <w:rPr>
          <w:rFonts w:ascii="仿宋_GB2312" w:hAnsi="宋体" w:eastAsia="仿宋_GB2312"/>
          <w:color w:val="000000" w:themeColor="text1"/>
          <w:sz w:val="24"/>
          <w:highlight w:val="none"/>
          <w14:textFill>
            <w14:solidFill>
              <w14:schemeClr w14:val="tx1"/>
            </w14:solidFill>
          </w14:textFill>
        </w:rPr>
      </w:pPr>
      <w:r>
        <w:rPr>
          <w:rFonts w:hint="eastAsia" w:ascii="仿宋_GB2312" w:hAnsi="宋体" w:eastAsia="仿宋_GB2312"/>
          <w:color w:val="000000" w:themeColor="text1"/>
          <w:sz w:val="24"/>
          <w:highlight w:val="none"/>
          <w14:textFill>
            <w14:solidFill>
              <w14:schemeClr w14:val="tx1"/>
            </w14:solidFill>
          </w14:textFill>
        </w:rPr>
        <w:t>注：无偏离可填写“无”字，有偏离必须在本表列明，实际存在负偏离而在本表内没有列明的，或有虚假投标信息的，监管部门将其列入不诚信名单（或不诚信记录）。</w:t>
      </w:r>
    </w:p>
    <w:p w14:paraId="2C1FA62D">
      <w:pPr>
        <w:spacing w:line="360" w:lineRule="exact"/>
        <w:ind w:firstLine="4900" w:firstLineChars="1750"/>
        <w:rPr>
          <w:rFonts w:ascii="仿宋_GB2312" w:hAnsi="宋体" w:eastAsia="仿宋_GB2312"/>
          <w:color w:val="000000" w:themeColor="text1"/>
          <w:sz w:val="28"/>
          <w:highlight w:val="none"/>
          <w14:textFill>
            <w14:solidFill>
              <w14:schemeClr w14:val="tx1"/>
            </w14:solidFill>
          </w14:textFill>
        </w:rPr>
      </w:pPr>
    </w:p>
    <w:p w14:paraId="7B755072">
      <w:pPr>
        <w:spacing w:line="360" w:lineRule="exact"/>
        <w:ind w:firstLine="4900" w:firstLineChars="1750"/>
        <w:rPr>
          <w:rFonts w:ascii="仿宋_GB2312" w:hAnsi="宋体" w:eastAsia="仿宋_GB2312"/>
          <w:color w:val="000000" w:themeColor="text1"/>
          <w:sz w:val="28"/>
          <w:highlight w:val="none"/>
          <w14:textFill>
            <w14:solidFill>
              <w14:schemeClr w14:val="tx1"/>
            </w14:solidFill>
          </w14:textFill>
        </w:rPr>
      </w:pPr>
    </w:p>
    <w:p w14:paraId="4B3E1D3C">
      <w:pPr>
        <w:wordWrap w:val="0"/>
        <w:spacing w:line="560" w:lineRule="exact"/>
        <w:ind w:right="960" w:firstLine="4320" w:firstLineChars="1350"/>
        <w:rPr>
          <w:rFonts w:ascii="仿宋" w:hAnsi="仿宋" w:eastAsia="仿宋"/>
          <w:color w:val="000000" w:themeColor="text1"/>
          <w:sz w:val="32"/>
          <w:szCs w:val="32"/>
          <w:highlight w:val="none"/>
          <w14:textFill>
            <w14:solidFill>
              <w14:schemeClr w14:val="tx1"/>
            </w14:solidFill>
          </w14:textFill>
        </w:rPr>
      </w:pPr>
      <w:r>
        <w:rPr>
          <w:rFonts w:hint="eastAsia" w:ascii="仿宋" w:hAnsi="仿宋" w:eastAsia="仿宋"/>
          <w:color w:val="000000" w:themeColor="text1"/>
          <w:sz w:val="32"/>
          <w:szCs w:val="32"/>
          <w:highlight w:val="none"/>
          <w14:textFill>
            <w14:solidFill>
              <w14:schemeClr w14:val="tx1"/>
            </w14:solidFill>
          </w14:textFill>
        </w:rPr>
        <w:t xml:space="preserve">投标人单位（盖章）： </w:t>
      </w:r>
    </w:p>
    <w:p w14:paraId="6A8700BF">
      <w:pPr>
        <w:jc w:val="right"/>
        <w:rPr>
          <w:rFonts w:ascii="仿宋" w:hAnsi="仿宋" w:eastAsia="仿宋"/>
          <w:color w:val="000000" w:themeColor="text1"/>
          <w:sz w:val="32"/>
          <w:szCs w:val="32"/>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r>
        <w:rPr>
          <w:rFonts w:hint="eastAsia" w:ascii="仿宋" w:hAnsi="仿宋" w:eastAsia="仿宋"/>
          <w:color w:val="000000" w:themeColor="text1"/>
          <w:sz w:val="32"/>
          <w:szCs w:val="32"/>
          <w:highlight w:val="none"/>
          <w14:textFill>
            <w14:solidFill>
              <w14:schemeClr w14:val="tx1"/>
            </w14:solidFill>
          </w14:textFill>
        </w:rPr>
        <w:t>法定代表人（依法登记的负责人）或被授权人（签字或盖章）</w:t>
      </w:r>
    </w:p>
    <w:p w14:paraId="5FFC140B">
      <w:pPr>
        <w:jc w:val="center"/>
        <w:rPr>
          <w:rFonts w:ascii="宋体" w:hAnsi="宋体"/>
          <w:b/>
          <w:bCs/>
          <w:color w:val="000000" w:themeColor="text1"/>
          <w:sz w:val="44"/>
          <w:szCs w:val="44"/>
          <w:highlight w:val="none"/>
          <w14:textFill>
            <w14:solidFill>
              <w14:schemeClr w14:val="tx1"/>
            </w14:solidFill>
          </w14:textFill>
        </w:rPr>
      </w:pPr>
      <w:r>
        <w:rPr>
          <w:rFonts w:ascii="宋体" w:hAnsi="宋体"/>
          <w:b/>
          <w:bCs/>
          <w:color w:val="000000" w:themeColor="text1"/>
          <w:sz w:val="44"/>
          <w:szCs w:val="44"/>
          <w:highlight w:val="none"/>
          <w14:textFill>
            <w14:solidFill>
              <w14:schemeClr w14:val="tx1"/>
            </w14:solidFill>
          </w14:textFill>
        </w:rPr>
        <w:t>技术文件</w:t>
      </w:r>
    </w:p>
    <w:p w14:paraId="47B13A59">
      <w:pPr>
        <w:jc w:val="center"/>
        <w:rPr>
          <w:rFonts w:hint="eastAsia" w:ascii="宋体" w:hAnsi="宋体"/>
          <w:b/>
          <w:bCs/>
          <w:color w:val="000000" w:themeColor="text1"/>
          <w:sz w:val="44"/>
          <w:szCs w:val="44"/>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r>
        <w:rPr>
          <w:rFonts w:hint="eastAsia" w:ascii="宋体" w:hAnsi="宋体"/>
          <w:b/>
          <w:bCs/>
          <w:color w:val="000000" w:themeColor="text1"/>
          <w:sz w:val="44"/>
          <w:szCs w:val="44"/>
          <w:highlight w:val="none"/>
          <w14:textFill>
            <w14:solidFill>
              <w14:schemeClr w14:val="tx1"/>
            </w14:solidFill>
          </w14:textFill>
        </w:rPr>
        <w:t>（由供应商自行编制）</w:t>
      </w:r>
    </w:p>
    <w:p w14:paraId="077C4786">
      <w:pPr>
        <w:jc w:val="center"/>
        <w:rPr>
          <w:rFonts w:hint="eastAsia" w:ascii="宋体" w:hAnsi="宋体" w:eastAsia="宋体" w:cs="Times New Roman"/>
          <w:b/>
          <w:bCs/>
          <w:color w:val="000000" w:themeColor="text1"/>
          <w:kern w:val="2"/>
          <w:sz w:val="44"/>
          <w:szCs w:val="44"/>
          <w:highlight w:val="none"/>
          <w:lang w:val="en-US" w:eastAsia="zh-CN" w:bidi="ar-SA"/>
          <w14:textFill>
            <w14:solidFill>
              <w14:schemeClr w14:val="tx1"/>
            </w14:solidFill>
          </w14:textFill>
        </w:rPr>
      </w:pPr>
      <w:r>
        <w:rPr>
          <w:rFonts w:hint="eastAsia" w:ascii="宋体" w:hAnsi="宋体" w:eastAsia="宋体" w:cs="Times New Roman"/>
          <w:b/>
          <w:bCs/>
          <w:color w:val="000000" w:themeColor="text1"/>
          <w:kern w:val="2"/>
          <w:sz w:val="44"/>
          <w:szCs w:val="44"/>
          <w:highlight w:val="none"/>
          <w:lang w:val="en-US" w:eastAsia="zh-CN" w:bidi="ar-SA"/>
          <w14:textFill>
            <w14:solidFill>
              <w14:schemeClr w14:val="tx1"/>
            </w14:solidFill>
          </w14:textFill>
        </w:rPr>
        <w:t>项目负责人及拟派主要人员情况表</w:t>
      </w:r>
    </w:p>
    <w:tbl>
      <w:tblPr>
        <w:tblStyle w:val="47"/>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14:paraId="01827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14:paraId="54A0D3D0">
            <w:pPr>
              <w:spacing w:line="460" w:lineRule="exact"/>
              <w:jc w:val="center"/>
              <w:rPr>
                <w:rFonts w:hint="eastAsia" w:ascii="仿宋_GB2312" w:hAnsi="仿宋_GB2312" w:eastAsia="仿宋_GB2312" w:cs="仿宋_GB2312"/>
                <w:b/>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项目负责人情况</w:t>
            </w:r>
          </w:p>
        </w:tc>
      </w:tr>
      <w:tr w14:paraId="5990D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7C38237E">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14:paraId="10763870">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c>
          <w:tcPr>
            <w:tcW w:w="1323" w:type="dxa"/>
            <w:tcBorders>
              <w:top w:val="single" w:color="auto" w:sz="4" w:space="0"/>
              <w:left w:val="single" w:color="auto" w:sz="4" w:space="0"/>
              <w:bottom w:val="single" w:color="auto" w:sz="4" w:space="0"/>
              <w:right w:val="single" w:color="auto" w:sz="4" w:space="0"/>
            </w:tcBorders>
            <w:vAlign w:val="center"/>
          </w:tcPr>
          <w:p w14:paraId="55FFEA7B">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14:paraId="0F6557C0">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7C440B4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763398E">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r>
      <w:tr w14:paraId="5B523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76EB5D15">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14:paraId="6E50B89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6A784A91">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1A8365B8">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r>
      <w:tr w14:paraId="6A13D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122CF6B3">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25878C40">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7F22E0DD">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E76439A">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r>
      <w:tr w14:paraId="39B91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3F84345">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2659667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5B7C69BE">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0B051644">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w:t>
            </w:r>
          </w:p>
        </w:tc>
      </w:tr>
      <w:tr w14:paraId="7CF68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7AC5059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近三年承担的项目情况一览表</w:t>
            </w:r>
          </w:p>
        </w:tc>
      </w:tr>
      <w:tr w14:paraId="174E4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F3F9D3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项目名称</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6DDE216D">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委托单位</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C6EE83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合同额</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4552F11D">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验收时间</w:t>
            </w:r>
          </w:p>
        </w:tc>
        <w:tc>
          <w:tcPr>
            <w:tcW w:w="2091" w:type="dxa"/>
            <w:tcBorders>
              <w:top w:val="single" w:color="auto" w:sz="4" w:space="0"/>
              <w:left w:val="single" w:color="auto" w:sz="4" w:space="0"/>
              <w:bottom w:val="single" w:color="auto" w:sz="4" w:space="0"/>
              <w:right w:val="single" w:color="auto" w:sz="4" w:space="0"/>
            </w:tcBorders>
            <w:vAlign w:val="center"/>
          </w:tcPr>
          <w:p w14:paraId="004821F9">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联系人及电话</w:t>
            </w:r>
          </w:p>
        </w:tc>
      </w:tr>
      <w:tr w14:paraId="22331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EB72BB5">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1FD53BD">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1B47CBE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4A79AA3">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2BFA6C3F">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r>
      <w:tr w14:paraId="4AFDD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3917E3B">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411DD40">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ADED4FF">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589B3D1">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4A681308">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r>
      <w:tr w14:paraId="3D054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3136C07">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5D04E4F">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417E3B7">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982A8A0">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14FEA99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r>
      <w:tr w14:paraId="6CE61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2EE41E6F">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其他人员情况</w:t>
            </w:r>
          </w:p>
        </w:tc>
      </w:tr>
      <w:tr w14:paraId="65305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0FEFBB0">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694440A9">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2A035199">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FBB7348">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14:paraId="27C3A453">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从事该工作</w:t>
            </w:r>
          </w:p>
          <w:p w14:paraId="421695B8">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时间</w:t>
            </w:r>
          </w:p>
        </w:tc>
      </w:tr>
      <w:tr w14:paraId="5933E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DD9D4C1">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7AFB424">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46C09607">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6066B27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4B16236D">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r>
      <w:tr w14:paraId="4FA9B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F781E4F">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74A39E9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4327B41">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DB25185">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3B1363F4">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r>
      <w:tr w14:paraId="7972B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B176B01">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356A403">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21AF63E">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DFDD5BC">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29D56BC4">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r>
      <w:tr w14:paraId="70E68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DE2CA1D">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4E191D97">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E4A5E77">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A15A91E">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2D251834">
            <w:pPr>
              <w:spacing w:line="4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p>
        </w:tc>
      </w:tr>
    </w:tbl>
    <w:p w14:paraId="221ED5A5">
      <w:pPr>
        <w:spacing w:line="460" w:lineRule="exact"/>
        <w:ind w:firstLine="240" w:firstLineChars="100"/>
        <w:rPr>
          <w:rFonts w:ascii="仿宋_GB2312" w:hAnsi="仿宋" w:eastAsia="仿宋_GB2312"/>
          <w:color w:val="000000" w:themeColor="text1"/>
          <w:sz w:val="24"/>
          <w:highlight w:val="none"/>
          <w14:textFill>
            <w14:solidFill>
              <w14:schemeClr w14:val="tx1"/>
            </w14:solidFill>
          </w14:textFill>
        </w:rPr>
      </w:pPr>
      <w:r>
        <w:rPr>
          <w:rFonts w:hint="eastAsia" w:ascii="仿宋_GB2312" w:hAnsi="仿宋" w:eastAsia="仿宋_GB2312"/>
          <w:color w:val="000000" w:themeColor="text1"/>
          <w:sz w:val="24"/>
          <w:highlight w:val="none"/>
          <w14:textFill>
            <w14:solidFill>
              <w14:schemeClr w14:val="tx1"/>
            </w14:solidFill>
          </w14:textFill>
        </w:rPr>
        <w:t>注：1、本表可由供应商根据实际情况自行扩展。</w:t>
      </w:r>
    </w:p>
    <w:p w14:paraId="429EE728">
      <w:pPr>
        <w:spacing w:line="460" w:lineRule="exact"/>
        <w:ind w:firstLine="720" w:firstLineChars="300"/>
        <w:rPr>
          <w:rFonts w:ascii="仿宋_GB2312" w:hAnsi="仿宋" w:eastAsia="仿宋_GB2312"/>
          <w:color w:val="000000" w:themeColor="text1"/>
          <w:sz w:val="24"/>
          <w:highlight w:val="none"/>
          <w14:textFill>
            <w14:solidFill>
              <w14:schemeClr w14:val="tx1"/>
            </w14:solidFill>
          </w14:textFill>
        </w:rPr>
      </w:pPr>
      <w:r>
        <w:rPr>
          <w:rFonts w:hint="eastAsia" w:ascii="仿宋_GB2312" w:hAnsi="仿宋" w:eastAsia="仿宋_GB2312"/>
          <w:color w:val="000000" w:themeColor="text1"/>
          <w:sz w:val="24"/>
          <w:highlight w:val="none"/>
          <w14:textFill>
            <w14:solidFill>
              <w14:schemeClr w14:val="tx1"/>
            </w14:solidFill>
          </w14:textFill>
        </w:rPr>
        <w:t>2、表后附拟派人员职业/职称、资格证书等相关证书扫描件。</w:t>
      </w:r>
    </w:p>
    <w:p w14:paraId="7C23B35A">
      <w:pPr>
        <w:spacing w:line="460" w:lineRule="exact"/>
        <w:ind w:firstLine="420" w:firstLineChars="200"/>
        <w:rPr>
          <w:rFonts w:ascii="仿宋_GB2312" w:hAnsi="宋体" w:eastAsia="仿宋_GB2312"/>
          <w:color w:val="000000" w:themeColor="text1"/>
          <w:highlight w:val="none"/>
          <w14:textFill>
            <w14:solidFill>
              <w14:schemeClr w14:val="tx1"/>
            </w14:solidFill>
          </w14:textFill>
        </w:rPr>
      </w:pPr>
    </w:p>
    <w:p w14:paraId="71456824">
      <w:pPr>
        <w:wordWrap w:val="0"/>
        <w:spacing w:line="520" w:lineRule="exact"/>
        <w:ind w:firstLine="3900" w:firstLineChars="1300"/>
        <w:jc w:val="right"/>
        <w:rPr>
          <w:rFonts w:ascii="仿宋_GB2312" w:hAnsi="仿宋" w:eastAsia="仿宋_GB2312"/>
          <w:color w:val="000000" w:themeColor="text1"/>
          <w:sz w:val="30"/>
          <w:szCs w:val="30"/>
          <w:highlight w:val="none"/>
          <w14:textFill>
            <w14:solidFill>
              <w14:schemeClr w14:val="tx1"/>
            </w14:solidFill>
          </w14:textFill>
        </w:rPr>
      </w:pPr>
      <w:r>
        <w:rPr>
          <w:rFonts w:hint="eastAsia" w:ascii="仿宋_GB2312" w:hAnsi="仿宋" w:eastAsia="仿宋_GB2312"/>
          <w:color w:val="000000" w:themeColor="text1"/>
          <w:sz w:val="30"/>
          <w:szCs w:val="30"/>
          <w:highlight w:val="none"/>
          <w14:textFill>
            <w14:solidFill>
              <w14:schemeClr w14:val="tx1"/>
            </w14:solidFill>
          </w14:textFill>
        </w:rPr>
        <w:t xml:space="preserve">   </w:t>
      </w:r>
    </w:p>
    <w:p w14:paraId="02006EDF">
      <w:pPr>
        <w:wordWrap w:val="0"/>
        <w:spacing w:line="560" w:lineRule="exact"/>
        <w:ind w:right="960" w:firstLine="4320" w:firstLineChars="1350"/>
        <w:rPr>
          <w:rFonts w:ascii="仿宋" w:hAnsi="仿宋" w:eastAsia="仿宋"/>
          <w:color w:val="000000" w:themeColor="text1"/>
          <w:sz w:val="32"/>
          <w:szCs w:val="32"/>
          <w:highlight w:val="none"/>
          <w14:textFill>
            <w14:solidFill>
              <w14:schemeClr w14:val="tx1"/>
            </w14:solidFill>
          </w14:textFill>
        </w:rPr>
      </w:pPr>
      <w:r>
        <w:rPr>
          <w:rFonts w:hint="eastAsia" w:ascii="仿宋" w:hAnsi="仿宋" w:eastAsia="仿宋"/>
          <w:color w:val="000000" w:themeColor="text1"/>
          <w:sz w:val="32"/>
          <w:szCs w:val="32"/>
          <w:highlight w:val="none"/>
          <w14:textFill>
            <w14:solidFill>
              <w14:schemeClr w14:val="tx1"/>
            </w14:solidFill>
          </w14:textFill>
        </w:rPr>
        <w:t xml:space="preserve">投标人单位（盖章）： </w:t>
      </w:r>
    </w:p>
    <w:p w14:paraId="25A67924">
      <w:pPr>
        <w:jc w:val="right"/>
        <w:rPr>
          <w:rFonts w:ascii="仿宋" w:hAnsi="仿宋" w:eastAsia="仿宋"/>
          <w:color w:val="000000" w:themeColor="text1"/>
          <w:sz w:val="32"/>
          <w:szCs w:val="32"/>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r>
        <w:rPr>
          <w:rFonts w:hint="eastAsia" w:ascii="仿宋" w:hAnsi="仿宋" w:eastAsia="仿宋"/>
          <w:color w:val="000000" w:themeColor="text1"/>
          <w:sz w:val="32"/>
          <w:szCs w:val="32"/>
          <w:highlight w:val="none"/>
          <w14:textFill>
            <w14:solidFill>
              <w14:schemeClr w14:val="tx1"/>
            </w14:solidFill>
          </w14:textFill>
        </w:rPr>
        <w:t>法定代表人（依法登记的负责人）或被授权人（签字或盖章）</w:t>
      </w:r>
    </w:p>
    <w:p w14:paraId="26297DDE">
      <w:pPr>
        <w:pStyle w:val="42"/>
        <w:spacing w:before="0" w:after="0" w:line="360" w:lineRule="auto"/>
        <w:ind w:firstLine="646" w:firstLineChars="201"/>
        <w:rPr>
          <w:rFonts w:ascii="宋体" w:hAnsi="宋体" w:cs="宋体"/>
          <w:color w:val="000000" w:themeColor="text1"/>
          <w:highlight w:val="none"/>
          <w14:textFill>
            <w14:solidFill>
              <w14:schemeClr w14:val="tx1"/>
            </w14:solidFill>
          </w14:textFill>
        </w:rPr>
        <w:sectPr>
          <w:pgSz w:w="11906" w:h="16838"/>
          <w:pgMar w:top="1440" w:right="1080" w:bottom="1440" w:left="1080" w:header="851" w:footer="992" w:gutter="0"/>
          <w:cols w:space="425" w:num="1"/>
          <w:docGrid w:type="lines" w:linePitch="312" w:charSpace="0"/>
        </w:sectPr>
      </w:pPr>
      <w:r>
        <w:rPr>
          <w:rFonts w:hint="eastAsia" w:ascii="宋体" w:hAnsi="宋体" w:cs="宋体"/>
          <w:color w:val="000000" w:themeColor="text1"/>
          <w:highlight w:val="none"/>
          <w14:textFill>
            <w14:solidFill>
              <w14:schemeClr w14:val="tx1"/>
            </w14:solidFill>
          </w14:textFill>
        </w:rPr>
        <w:t>第六章合同书格式</w:t>
      </w:r>
    </w:p>
    <w:p w14:paraId="099F0473">
      <w:pPr>
        <w:pStyle w:val="24"/>
        <w:spacing w:line="360" w:lineRule="exact"/>
        <w:rPr>
          <w:rFonts w:ascii="仿宋" w:hAnsi="仿宋" w:eastAsia="仿宋"/>
          <w:color w:val="000000" w:themeColor="text1"/>
          <w:sz w:val="28"/>
          <w:szCs w:val="28"/>
          <w:highlight w:val="none"/>
          <w14:textFill>
            <w14:solidFill>
              <w14:schemeClr w14:val="tx1"/>
            </w14:solidFill>
          </w14:textFill>
        </w:rPr>
      </w:pPr>
    </w:p>
    <w:p w14:paraId="28422678">
      <w:pPr>
        <w:spacing w:line="360" w:lineRule="auto"/>
        <w:jc w:val="center"/>
        <w:outlineLvl w:val="0"/>
        <w:rPr>
          <w:rFonts w:hint="eastAsia" w:ascii="仿宋" w:eastAsia="仿宋"/>
          <w:b/>
          <w:bCs/>
          <w:color w:val="000000" w:themeColor="text1"/>
          <w:sz w:val="52"/>
          <w:szCs w:val="52"/>
          <w:highlight w:val="none"/>
          <w:lang w:eastAsia="zh-CN"/>
          <w14:textFill>
            <w14:solidFill>
              <w14:schemeClr w14:val="tx1"/>
            </w14:solidFill>
          </w14:textFill>
        </w:rPr>
      </w:pPr>
      <w:r>
        <w:rPr>
          <w:rFonts w:hint="eastAsia" w:ascii="仿宋" w:eastAsia="仿宋"/>
          <w:b/>
          <w:bCs/>
          <w:color w:val="000000" w:themeColor="text1"/>
          <w:sz w:val="52"/>
          <w:szCs w:val="52"/>
          <w:highlight w:val="none"/>
          <w:lang w:eastAsia="zh-CN"/>
          <w14:textFill>
            <w14:solidFill>
              <w14:schemeClr w14:val="tx1"/>
            </w14:solidFill>
          </w14:textFill>
        </w:rPr>
        <w:t>荣成市土地发展集团有限公司</w:t>
      </w:r>
    </w:p>
    <w:p w14:paraId="77F463A3">
      <w:pPr>
        <w:spacing w:line="360" w:lineRule="auto"/>
        <w:jc w:val="center"/>
        <w:outlineLvl w:val="0"/>
        <w:rPr>
          <w:rFonts w:ascii="仿宋" w:eastAsia="仿宋"/>
          <w:b/>
          <w:bCs/>
          <w:color w:val="000000" w:themeColor="text1"/>
          <w:sz w:val="52"/>
          <w:szCs w:val="52"/>
          <w:highlight w:val="none"/>
          <w14:textFill>
            <w14:solidFill>
              <w14:schemeClr w14:val="tx1"/>
            </w14:solidFill>
          </w14:textFill>
        </w:rPr>
      </w:pPr>
      <w:r>
        <w:rPr>
          <w:rFonts w:hint="eastAsia" w:ascii="仿宋" w:eastAsia="仿宋"/>
          <w:b/>
          <w:bCs/>
          <w:color w:val="000000" w:themeColor="text1"/>
          <w:sz w:val="52"/>
          <w:szCs w:val="52"/>
          <w:highlight w:val="none"/>
          <w:lang w:val="en-US" w:eastAsia="zh-CN"/>
          <w14:textFill>
            <w14:solidFill>
              <w14:schemeClr w14:val="tx1"/>
            </w14:solidFill>
          </w14:textFill>
        </w:rPr>
        <w:t>荣成市城市数智化转型与数字生态建设</w:t>
      </w:r>
      <w:r>
        <w:rPr>
          <w:rFonts w:hint="eastAsia" w:ascii="仿宋" w:eastAsia="仿宋"/>
          <w:b/>
          <w:bCs/>
          <w:color w:val="000000" w:themeColor="text1"/>
          <w:sz w:val="52"/>
          <w:szCs w:val="52"/>
          <w:highlight w:val="none"/>
          <w14:textFill>
            <w14:solidFill>
              <w14:schemeClr w14:val="tx1"/>
            </w14:solidFill>
          </w14:textFill>
        </w:rPr>
        <w:t>采购合同</w:t>
      </w:r>
    </w:p>
    <w:p w14:paraId="159BF113">
      <w:pPr>
        <w:spacing w:line="360" w:lineRule="auto"/>
        <w:jc w:val="center"/>
        <w:outlineLvl w:val="0"/>
        <w:rPr>
          <w:rFonts w:ascii="仿宋" w:eastAsia="仿宋"/>
          <w:bCs/>
          <w:color w:val="000000" w:themeColor="text1"/>
          <w:sz w:val="52"/>
          <w:szCs w:val="52"/>
          <w:highlight w:val="none"/>
          <w14:textFill>
            <w14:solidFill>
              <w14:schemeClr w14:val="tx1"/>
            </w14:solidFill>
          </w14:textFill>
        </w:rPr>
      </w:pPr>
    </w:p>
    <w:p w14:paraId="6D6FA2E7">
      <w:pPr>
        <w:spacing w:line="360" w:lineRule="auto"/>
        <w:jc w:val="center"/>
        <w:rPr>
          <w:rFonts w:ascii="仿宋" w:eastAsia="仿宋"/>
          <w:b/>
          <w:color w:val="000000" w:themeColor="text1"/>
          <w:sz w:val="52"/>
          <w:szCs w:val="52"/>
          <w:highlight w:val="none"/>
          <w14:textFill>
            <w14:solidFill>
              <w14:schemeClr w14:val="tx1"/>
            </w14:solidFill>
          </w14:textFill>
        </w:rPr>
      </w:pPr>
    </w:p>
    <w:p w14:paraId="0014AF73">
      <w:pPr>
        <w:spacing w:line="360" w:lineRule="auto"/>
        <w:jc w:val="center"/>
        <w:rPr>
          <w:rFonts w:ascii="仿宋" w:eastAsia="仿宋"/>
          <w:b/>
          <w:color w:val="000000" w:themeColor="text1"/>
          <w:sz w:val="52"/>
          <w:szCs w:val="52"/>
          <w:highlight w:val="none"/>
          <w14:textFill>
            <w14:solidFill>
              <w14:schemeClr w14:val="tx1"/>
            </w14:solidFill>
          </w14:textFill>
        </w:rPr>
      </w:pPr>
    </w:p>
    <w:p w14:paraId="202DB86B">
      <w:pPr>
        <w:rPr>
          <w:rFonts w:ascii="仿宋" w:eastAsia="仿宋"/>
          <w:color w:val="000000" w:themeColor="text1"/>
          <w:sz w:val="32"/>
          <w:szCs w:val="20"/>
          <w:highlight w:val="none"/>
          <w14:textFill>
            <w14:solidFill>
              <w14:schemeClr w14:val="tx1"/>
            </w14:solidFill>
          </w14:textFill>
        </w:rPr>
      </w:pPr>
    </w:p>
    <w:p w14:paraId="39254818">
      <w:pPr>
        <w:rPr>
          <w:rFonts w:ascii="仿宋" w:eastAsia="仿宋"/>
          <w:color w:val="000000" w:themeColor="text1"/>
          <w:sz w:val="32"/>
          <w:szCs w:val="20"/>
          <w:highlight w:val="none"/>
          <w14:textFill>
            <w14:solidFill>
              <w14:schemeClr w14:val="tx1"/>
            </w14:solidFill>
          </w14:textFill>
        </w:rPr>
      </w:pPr>
      <w:r>
        <w:rPr>
          <w:rFonts w:hint="eastAsia" w:ascii="宋体" w:cs="宋体"/>
          <w:color w:val="000000" w:themeColor="text1"/>
          <w:highlight w:val="none"/>
          <w14:textFill>
            <w14:solidFill>
              <w14:schemeClr w14:val="tx1"/>
            </w14:solidFill>
          </w14:textFill>
        </w:rPr>
        <w:t> </w:t>
      </w:r>
    </w:p>
    <w:p w14:paraId="26B89DB6">
      <w:pPr>
        <w:tabs>
          <w:tab w:val="right" w:pos="8312"/>
        </w:tabs>
        <w:spacing w:line="520" w:lineRule="exact"/>
        <w:ind w:firstLine="1911" w:firstLineChars="595"/>
        <w:rPr>
          <w:rFonts w:ascii="仿宋" w:eastAsia="仿宋"/>
          <w:b/>
          <w:color w:val="000000" w:themeColor="text1"/>
          <w:sz w:val="32"/>
          <w:szCs w:val="32"/>
          <w:highlight w:val="none"/>
          <w14:textFill>
            <w14:solidFill>
              <w14:schemeClr w14:val="tx1"/>
            </w14:solidFill>
          </w14:textFill>
        </w:rPr>
      </w:pPr>
    </w:p>
    <w:p w14:paraId="11BF2822">
      <w:pPr>
        <w:tabs>
          <w:tab w:val="right" w:pos="8312"/>
        </w:tabs>
        <w:spacing w:line="520" w:lineRule="exact"/>
        <w:ind w:firstLine="1911" w:firstLineChars="595"/>
        <w:rPr>
          <w:rFonts w:ascii="仿宋" w:eastAsia="仿宋"/>
          <w:b/>
          <w:color w:val="000000" w:themeColor="text1"/>
          <w:sz w:val="32"/>
          <w:szCs w:val="32"/>
          <w:highlight w:val="none"/>
          <w14:textFill>
            <w14:solidFill>
              <w14:schemeClr w14:val="tx1"/>
            </w14:solidFill>
          </w14:textFill>
        </w:rPr>
      </w:pPr>
    </w:p>
    <w:p w14:paraId="4C09E5A9">
      <w:pPr>
        <w:tabs>
          <w:tab w:val="right" w:pos="8312"/>
        </w:tabs>
        <w:spacing w:line="520" w:lineRule="exact"/>
        <w:ind w:firstLine="1911" w:firstLineChars="595"/>
        <w:rPr>
          <w:rFonts w:ascii="仿宋" w:eastAsia="仿宋"/>
          <w:b/>
          <w:color w:val="000000" w:themeColor="text1"/>
          <w:sz w:val="32"/>
          <w:szCs w:val="32"/>
          <w:highlight w:val="none"/>
          <w14:textFill>
            <w14:solidFill>
              <w14:schemeClr w14:val="tx1"/>
            </w14:solidFill>
          </w14:textFill>
        </w:rPr>
      </w:pPr>
    </w:p>
    <w:p w14:paraId="67A669D3">
      <w:pPr>
        <w:spacing w:line="520" w:lineRule="exact"/>
        <w:rPr>
          <w:rFonts w:ascii="仿宋" w:eastAsia="仿宋"/>
          <w:color w:val="000000" w:themeColor="text1"/>
          <w:sz w:val="32"/>
          <w:highlight w:val="none"/>
          <w14:textFill>
            <w14:solidFill>
              <w14:schemeClr w14:val="tx1"/>
            </w14:solidFill>
          </w14:textFill>
        </w:rPr>
      </w:pPr>
      <w:r>
        <w:rPr>
          <w:rFonts w:hint="eastAsia" w:ascii="宋体" w:cs="宋体"/>
          <w:color w:val="000000" w:themeColor="text1"/>
          <w:sz w:val="32"/>
          <w:highlight w:val="none"/>
          <w14:textFill>
            <w14:solidFill>
              <w14:schemeClr w14:val="tx1"/>
            </w14:solidFill>
          </w14:textFill>
        </w:rPr>
        <w:t> </w:t>
      </w:r>
    </w:p>
    <w:p w14:paraId="3E41862A">
      <w:pPr>
        <w:spacing w:line="276" w:lineRule="auto"/>
        <w:ind w:firstLine="1280" w:firstLineChars="400"/>
        <w:rPr>
          <w:rFonts w:hint="eastAsia" w:ascii="仿宋" w:eastAsia="仿宋" w:cs="宋体"/>
          <w:color w:val="000000" w:themeColor="text1"/>
          <w:sz w:val="32"/>
          <w:szCs w:val="32"/>
          <w:highlight w:val="none"/>
          <w:lang w:eastAsia="zh-CN"/>
          <w14:textFill>
            <w14:solidFill>
              <w14:schemeClr w14:val="tx1"/>
            </w14:solidFill>
          </w14:textFill>
        </w:rPr>
      </w:pPr>
      <w:r>
        <w:rPr>
          <w:rFonts w:hint="eastAsia" w:ascii="仿宋" w:eastAsia="仿宋" w:cs="宋体"/>
          <w:color w:val="000000" w:themeColor="text1"/>
          <w:sz w:val="32"/>
          <w:szCs w:val="32"/>
          <w:highlight w:val="none"/>
          <w14:textFill>
            <w14:solidFill>
              <w14:schemeClr w14:val="tx1"/>
            </w14:solidFill>
          </w14:textFill>
        </w:rPr>
        <w:t>采购人：</w:t>
      </w:r>
      <w:r>
        <w:rPr>
          <w:rFonts w:hint="eastAsia" w:ascii="仿宋" w:eastAsia="仿宋" w:cs="宋体"/>
          <w:color w:val="000000" w:themeColor="text1"/>
          <w:sz w:val="32"/>
          <w:szCs w:val="32"/>
          <w:highlight w:val="none"/>
          <w:lang w:eastAsia="zh-CN"/>
          <w14:textFill>
            <w14:solidFill>
              <w14:schemeClr w14:val="tx1"/>
            </w14:solidFill>
          </w14:textFill>
        </w:rPr>
        <w:t>荣成市土地发展集团有限公司</w:t>
      </w:r>
    </w:p>
    <w:p w14:paraId="07DB7923">
      <w:pPr>
        <w:spacing w:line="276" w:lineRule="auto"/>
        <w:ind w:firstLine="1280" w:firstLineChars="400"/>
        <w:rPr>
          <w:rFonts w:ascii="仿宋" w:eastAsia="仿宋" w:cs="宋体"/>
          <w:color w:val="000000" w:themeColor="text1"/>
          <w:sz w:val="32"/>
          <w:szCs w:val="32"/>
          <w:highlight w:val="none"/>
          <w14:textFill>
            <w14:solidFill>
              <w14:schemeClr w14:val="tx1"/>
            </w14:solidFill>
          </w14:textFill>
        </w:rPr>
      </w:pPr>
      <w:r>
        <w:rPr>
          <w:rFonts w:hint="eastAsia" w:ascii="仿宋" w:eastAsia="仿宋" w:cs="宋体"/>
          <w:color w:val="000000" w:themeColor="text1"/>
          <w:sz w:val="32"/>
          <w:szCs w:val="32"/>
          <w:highlight w:val="none"/>
          <w14:textFill>
            <w14:solidFill>
              <w14:schemeClr w14:val="tx1"/>
            </w14:solidFill>
          </w14:textFill>
        </w:rPr>
        <w:t>成交单位：中标人</w:t>
      </w:r>
    </w:p>
    <w:p w14:paraId="137E9E40">
      <w:pPr>
        <w:pStyle w:val="24"/>
        <w:spacing w:line="520" w:lineRule="exact"/>
        <w:ind w:firstLine="1280" w:firstLineChars="400"/>
        <w:rPr>
          <w:rFonts w:hint="eastAsia" w:eastAsia="仿宋"/>
          <w:color w:val="000000" w:themeColor="text1"/>
          <w:sz w:val="32"/>
          <w:szCs w:val="32"/>
          <w:highlight w:val="none"/>
          <w:lang w:eastAsia="zh-CN"/>
          <w14:textFill>
            <w14:solidFill>
              <w14:schemeClr w14:val="tx1"/>
            </w14:solidFill>
          </w14:textFill>
        </w:rPr>
      </w:pPr>
      <w:r>
        <w:rPr>
          <w:rFonts w:hint="eastAsia" w:ascii="仿宋" w:eastAsia="仿宋"/>
          <w:color w:val="000000" w:themeColor="text1"/>
          <w:sz w:val="32"/>
          <w:szCs w:val="32"/>
          <w:highlight w:val="none"/>
          <w14:textFill>
            <w14:solidFill>
              <w14:schemeClr w14:val="tx1"/>
            </w14:solidFill>
          </w14:textFill>
        </w:rPr>
        <w:t>合同编号:</w:t>
      </w:r>
      <w:r>
        <w:rPr>
          <w:rFonts w:hint="eastAsia" w:ascii="仿宋" w:eastAsia="仿宋"/>
          <w:color w:val="000000" w:themeColor="text1"/>
          <w:sz w:val="32"/>
          <w:szCs w:val="32"/>
          <w:highlight w:val="none"/>
          <w:lang w:eastAsia="zh-CN"/>
          <w14:textFill>
            <w14:solidFill>
              <w14:schemeClr w14:val="tx1"/>
            </w14:solidFill>
          </w14:textFill>
        </w:rPr>
        <w:t>RCTDFZ2026-006</w:t>
      </w:r>
    </w:p>
    <w:p w14:paraId="4AB40EF1">
      <w:pPr>
        <w:widowControl/>
        <w:spacing w:line="276" w:lineRule="auto"/>
        <w:jc w:val="left"/>
        <w:rPr>
          <w:rFonts w:ascii="仿宋" w:eastAsia="仿宋"/>
          <w:color w:val="000000" w:themeColor="text1"/>
          <w:sz w:val="32"/>
          <w:szCs w:val="32"/>
          <w:highlight w:val="none"/>
          <w14:textFill>
            <w14:solidFill>
              <w14:schemeClr w14:val="tx1"/>
            </w14:solidFill>
          </w14:textFill>
        </w:rPr>
      </w:pPr>
      <w:r>
        <w:rPr>
          <w:rFonts w:hint="eastAsia" w:ascii="仿宋" w:eastAsia="仿宋"/>
          <w:color w:val="000000" w:themeColor="text1"/>
          <w:sz w:val="32"/>
          <w:szCs w:val="32"/>
          <w:highlight w:val="none"/>
          <w14:textFill>
            <w14:solidFill>
              <w14:schemeClr w14:val="tx1"/>
            </w14:solidFill>
          </w14:textFill>
        </w:rPr>
        <w:t xml:space="preserve">        招标代理机构：山东志诚工程咨询管理有限公司</w:t>
      </w:r>
    </w:p>
    <w:p w14:paraId="54A0E498">
      <w:pPr>
        <w:spacing w:line="276" w:lineRule="auto"/>
        <w:ind w:firstLine="1280" w:firstLineChars="400"/>
        <w:rPr>
          <w:rFonts w:ascii="仿宋" w:eastAsia="仿宋" w:cs="宋体"/>
          <w:color w:val="000000" w:themeColor="text1"/>
          <w:sz w:val="32"/>
          <w:szCs w:val="32"/>
          <w:highlight w:val="none"/>
          <w14:textFill>
            <w14:solidFill>
              <w14:schemeClr w14:val="tx1"/>
            </w14:solidFill>
          </w14:textFill>
        </w:rPr>
      </w:pPr>
      <w:r>
        <w:rPr>
          <w:rFonts w:hint="eastAsia" w:ascii="仿宋" w:eastAsia="仿宋" w:cs="宋体"/>
          <w:color w:val="000000" w:themeColor="text1"/>
          <w:sz w:val="32"/>
          <w:szCs w:val="32"/>
          <w:highlight w:val="none"/>
          <w14:textFill>
            <w14:solidFill>
              <w14:schemeClr w14:val="tx1"/>
            </w14:solidFill>
          </w14:textFill>
        </w:rPr>
        <w:t>签订日期：2026年   月   日</w:t>
      </w:r>
      <w:r>
        <w:rPr>
          <w:rFonts w:hint="eastAsia" w:ascii="宋体" w:cs="宋体"/>
          <w:color w:val="000000" w:themeColor="text1"/>
          <w:sz w:val="32"/>
          <w:szCs w:val="32"/>
          <w:highlight w:val="none"/>
          <w14:textFill>
            <w14:solidFill>
              <w14:schemeClr w14:val="tx1"/>
            </w14:solidFill>
          </w14:textFill>
        </w:rPr>
        <w:t> </w:t>
      </w:r>
    </w:p>
    <w:p w14:paraId="7A99DF75">
      <w:pPr>
        <w:wordWrap w:val="0"/>
        <w:spacing w:line="640" w:lineRule="exact"/>
        <w:ind w:right="560"/>
        <w:jc w:val="right"/>
        <w:rPr>
          <w:rFonts w:ascii="仿宋" w:eastAsia="仿宋"/>
          <w:color w:val="000000" w:themeColor="text1"/>
          <w:sz w:val="28"/>
          <w:szCs w:val="28"/>
          <w:highlight w:val="none"/>
          <w14:textFill>
            <w14:solidFill>
              <w14:schemeClr w14:val="tx1"/>
            </w14:solidFill>
          </w14:textFill>
        </w:rPr>
      </w:pPr>
    </w:p>
    <w:p w14:paraId="52D0E230">
      <w:pPr>
        <w:pStyle w:val="24"/>
        <w:spacing w:line="520" w:lineRule="exact"/>
        <w:jc w:val="center"/>
        <w:rPr>
          <w:rFonts w:ascii="仿宋" w:eastAsia="仿宋"/>
          <w:color w:val="000000" w:themeColor="text1"/>
          <w:sz w:val="28"/>
          <w:szCs w:val="28"/>
          <w:highlight w:val="none"/>
          <w14:textFill>
            <w14:solidFill>
              <w14:schemeClr w14:val="tx1"/>
            </w14:solidFill>
          </w14:textFill>
        </w:rPr>
      </w:pPr>
    </w:p>
    <w:p w14:paraId="31FF054E">
      <w:pPr>
        <w:pStyle w:val="105"/>
        <w:rPr>
          <w:rFonts w:cs="Times New Roman"/>
          <w:b/>
          <w:color w:val="000000" w:themeColor="text1"/>
          <w:kern w:val="2"/>
          <w:sz w:val="36"/>
          <w:szCs w:val="36"/>
          <w:highlight w:val="none"/>
          <w14:textFill>
            <w14:solidFill>
              <w14:schemeClr w14:val="tx1"/>
            </w14:solidFill>
          </w14:textFill>
        </w:rPr>
      </w:pPr>
    </w:p>
    <w:p w14:paraId="3A66B3E8">
      <w:pPr>
        <w:spacing w:line="600" w:lineRule="exact"/>
        <w:jc w:val="center"/>
        <w:rPr>
          <w:rFonts w:ascii="宋体" w:hAnsi="宋体"/>
          <w:color w:val="000000" w:themeColor="text1"/>
          <w:sz w:val="32"/>
          <w:szCs w:val="32"/>
          <w:highlight w:val="none"/>
          <w14:textFill>
            <w14:solidFill>
              <w14:schemeClr w14:val="tx1"/>
            </w14:solidFill>
          </w14:textFill>
        </w:rPr>
      </w:pPr>
      <w:r>
        <w:rPr>
          <w:rFonts w:ascii="宋体" w:hAnsi="宋体"/>
          <w:b/>
          <w:bCs/>
          <w:color w:val="000000" w:themeColor="text1"/>
          <w:sz w:val="44"/>
          <w:szCs w:val="44"/>
          <w:highlight w:val="none"/>
          <w14:textFill>
            <w14:solidFill>
              <w14:schemeClr w14:val="tx1"/>
            </w14:solidFill>
          </w14:textFill>
        </w:rPr>
        <w:br w:type="page"/>
      </w:r>
      <w:r>
        <w:rPr>
          <w:rFonts w:hint="eastAsia" w:ascii="宋体" w:hAnsi="宋体"/>
          <w:b/>
          <w:bCs/>
          <w:color w:val="000000" w:themeColor="text1"/>
          <w:sz w:val="32"/>
          <w:szCs w:val="32"/>
          <w:highlight w:val="none"/>
          <w14:textFill>
            <w14:solidFill>
              <w14:schemeClr w14:val="tx1"/>
            </w14:solidFill>
          </w14:textFill>
        </w:rPr>
        <w:t>合 同 书</w:t>
      </w:r>
    </w:p>
    <w:p w14:paraId="5C21C2AB">
      <w:pPr>
        <w:spacing w:line="600" w:lineRule="exact"/>
        <w:rPr>
          <w:rFonts w:ascii="仿宋_GB2312" w:hAnsi="宋体" w:eastAsia="仿宋_GB2312"/>
          <w:color w:val="000000" w:themeColor="text1"/>
          <w:sz w:val="28"/>
          <w:szCs w:val="28"/>
          <w:highlight w:val="none"/>
          <w14:textFill>
            <w14:solidFill>
              <w14:schemeClr w14:val="tx1"/>
            </w14:solidFill>
          </w14:textFill>
        </w:rPr>
      </w:pPr>
    </w:p>
    <w:p w14:paraId="1BA9EE37">
      <w:pPr>
        <w:pStyle w:val="404"/>
        <w:spacing w:line="520" w:lineRule="exact"/>
        <w:ind w:left="105" w:hanging="105"/>
        <w:rPr>
          <w:rStyle w:val="337"/>
          <w:rFonts w:hint="eastAsia" w:ascii="仿宋" w:eastAsia="仿宋"/>
          <w:color w:val="000000" w:themeColor="text1"/>
          <w:sz w:val="28"/>
          <w:szCs w:val="28"/>
          <w:highlight w:val="none"/>
          <w:lang w:eastAsia="zh-CN"/>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甲方：</w:t>
      </w:r>
      <w:r>
        <w:rPr>
          <w:rFonts w:hint="eastAsia" w:ascii="仿宋" w:eastAsia="仿宋"/>
          <w:color w:val="000000" w:themeColor="text1"/>
          <w:sz w:val="28"/>
          <w:szCs w:val="28"/>
          <w:highlight w:val="none"/>
          <w:u w:val="single" w:color="000000"/>
          <w:lang w:eastAsia="zh-CN"/>
          <w14:textFill>
            <w14:solidFill>
              <w14:schemeClr w14:val="tx1"/>
            </w14:solidFill>
          </w14:textFill>
        </w:rPr>
        <w:t>荣成市土地发展集团有限公司</w:t>
      </w:r>
    </w:p>
    <w:p w14:paraId="4B0BA60C">
      <w:pPr>
        <w:pStyle w:val="404"/>
        <w:spacing w:line="520" w:lineRule="exact"/>
        <w:ind w:left="105" w:hanging="105"/>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乙方：</w:t>
      </w:r>
      <w:r>
        <w:rPr>
          <w:rStyle w:val="337"/>
          <w:rFonts w:hint="eastAsia" w:ascii="仿宋" w:eastAsia="仿宋"/>
          <w:color w:val="000000" w:themeColor="text1"/>
          <w:sz w:val="28"/>
          <w:szCs w:val="28"/>
          <w:highlight w:val="none"/>
          <w:u w:val="single" w:color="000000"/>
          <w14:textFill>
            <w14:solidFill>
              <w14:schemeClr w14:val="tx1"/>
            </w14:solidFill>
          </w14:textFill>
        </w:rPr>
        <w:t>中标人</w:t>
      </w:r>
      <w:r>
        <w:rPr>
          <w:rStyle w:val="337"/>
          <w:rFonts w:ascii="仿宋" w:eastAsia="仿宋"/>
          <w:color w:val="000000" w:themeColor="text1"/>
          <w:sz w:val="28"/>
          <w:szCs w:val="28"/>
          <w:highlight w:val="none"/>
          <w:u w:val="single" w:color="000000"/>
          <w14:textFill>
            <w14:solidFill>
              <w14:schemeClr w14:val="tx1"/>
            </w14:solidFill>
          </w14:textFill>
        </w:rPr>
        <w:t xml:space="preserve">                </w:t>
      </w:r>
    </w:p>
    <w:p w14:paraId="463FFB2F">
      <w:pPr>
        <w:pStyle w:val="404"/>
        <w:spacing w:line="520" w:lineRule="exact"/>
        <w:ind w:firstLine="567"/>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本合同于202</w:t>
      </w:r>
      <w:r>
        <w:rPr>
          <w:rStyle w:val="337"/>
          <w:rFonts w:hint="eastAsia" w:ascii="仿宋" w:eastAsia="仿宋"/>
          <w:color w:val="000000" w:themeColor="text1"/>
          <w:sz w:val="28"/>
          <w:szCs w:val="28"/>
          <w:highlight w:val="none"/>
          <w14:textFill>
            <w14:solidFill>
              <w14:schemeClr w14:val="tx1"/>
            </w14:solidFill>
          </w14:textFill>
        </w:rPr>
        <w:t>6</w:t>
      </w:r>
      <w:r>
        <w:rPr>
          <w:rStyle w:val="337"/>
          <w:rFonts w:ascii="仿宋" w:eastAsia="仿宋"/>
          <w:color w:val="000000" w:themeColor="text1"/>
          <w:sz w:val="28"/>
          <w:szCs w:val="28"/>
          <w:highlight w:val="none"/>
          <w14:textFill>
            <w14:solidFill>
              <w14:schemeClr w14:val="tx1"/>
            </w14:solidFill>
          </w14:textFill>
        </w:rPr>
        <w:t>年  月  日，由甲、乙双方共同签订。甲方为</w:t>
      </w:r>
      <w:r>
        <w:rPr>
          <w:rStyle w:val="337"/>
          <w:rFonts w:hint="eastAsia" w:ascii="仿宋" w:eastAsia="仿宋"/>
          <w:color w:val="000000" w:themeColor="text1"/>
          <w:sz w:val="28"/>
          <w:szCs w:val="28"/>
          <w:highlight w:val="none"/>
          <w:lang w:eastAsia="zh-CN"/>
          <w14:textFill>
            <w14:solidFill>
              <w14:schemeClr w14:val="tx1"/>
            </w14:solidFill>
          </w14:textFill>
        </w:rPr>
        <w:t>荣成市土地发展集团有限公司</w:t>
      </w:r>
      <w:r>
        <w:rPr>
          <w:rStyle w:val="337"/>
          <w:rFonts w:ascii="仿宋" w:eastAsia="仿宋"/>
          <w:color w:val="000000" w:themeColor="text1"/>
          <w:sz w:val="28"/>
          <w:szCs w:val="28"/>
          <w:highlight w:val="none"/>
          <w14:textFill>
            <w14:solidFill>
              <w14:schemeClr w14:val="tx1"/>
            </w14:solidFill>
          </w14:textFill>
        </w:rPr>
        <w:t>、乙方为成交供应商。合同双方依据《中华人民共和国民法典》及相关法律法规的规定，就采购项目的相关事宜，协商一致，达成以下条款：</w:t>
      </w:r>
    </w:p>
    <w:p w14:paraId="5C84414F">
      <w:pPr>
        <w:pStyle w:val="404"/>
        <w:spacing w:line="520" w:lineRule="exact"/>
        <w:ind w:firstLine="551" w:firstLineChars="196"/>
        <w:rPr>
          <w:rStyle w:val="337"/>
          <w:rFonts w:ascii="仿宋" w:eastAsia="仿宋"/>
          <w:b/>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一、合同的组成部分：</w:t>
      </w:r>
    </w:p>
    <w:p w14:paraId="23A69F64">
      <w:pPr>
        <w:spacing w:line="480" w:lineRule="exact"/>
        <w:ind w:firstLine="557" w:firstLineChars="19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1.本合同书</w:t>
      </w:r>
    </w:p>
    <w:p w14:paraId="0ABDB258">
      <w:pPr>
        <w:spacing w:line="480" w:lineRule="exact"/>
        <w:ind w:firstLine="557" w:firstLineChars="19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2.</w:t>
      </w:r>
      <w:r>
        <w:rPr>
          <w:rStyle w:val="337"/>
          <w:rFonts w:hint="eastAsia" w:ascii="仿宋" w:eastAsia="仿宋"/>
          <w:color w:val="000000" w:themeColor="text1"/>
          <w:sz w:val="28"/>
          <w:szCs w:val="28"/>
          <w:highlight w:val="none"/>
          <w14:textFill>
            <w14:solidFill>
              <w14:schemeClr w14:val="tx1"/>
            </w14:solidFill>
          </w14:textFill>
        </w:rPr>
        <w:t>中标</w:t>
      </w:r>
      <w:r>
        <w:rPr>
          <w:rStyle w:val="337"/>
          <w:rFonts w:ascii="仿宋" w:eastAsia="仿宋"/>
          <w:color w:val="000000" w:themeColor="text1"/>
          <w:sz w:val="28"/>
          <w:szCs w:val="28"/>
          <w:highlight w:val="none"/>
          <w14:textFill>
            <w14:solidFill>
              <w14:schemeClr w14:val="tx1"/>
            </w14:solidFill>
          </w14:textFill>
        </w:rPr>
        <w:t>通知书</w:t>
      </w:r>
    </w:p>
    <w:p w14:paraId="2A0BA7B7">
      <w:pPr>
        <w:spacing w:line="48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3.</w:t>
      </w:r>
      <w:r>
        <w:rPr>
          <w:rFonts w:hint="eastAsia" w:ascii="仿宋" w:eastAsia="仿宋"/>
          <w:color w:val="000000" w:themeColor="text1"/>
          <w:sz w:val="32"/>
          <w:szCs w:val="32"/>
          <w:highlight w:val="none"/>
          <w14:textFill>
            <w14:solidFill>
              <w14:schemeClr w14:val="tx1"/>
            </w14:solidFill>
          </w14:textFill>
        </w:rPr>
        <w:t xml:space="preserve"> </w:t>
      </w:r>
      <w:r>
        <w:rPr>
          <w:rFonts w:hint="eastAsia" w:ascii="仿宋" w:eastAsia="仿宋"/>
          <w:color w:val="000000" w:themeColor="text1"/>
          <w:sz w:val="28"/>
          <w:szCs w:val="28"/>
          <w:highlight w:val="none"/>
          <w:lang w:eastAsia="zh-CN"/>
          <w14:textFill>
            <w14:solidFill>
              <w14:schemeClr w14:val="tx1"/>
            </w14:solidFill>
          </w14:textFill>
        </w:rPr>
        <w:t>RCTDFZ2026-006</w:t>
      </w:r>
      <w:r>
        <w:rPr>
          <w:rStyle w:val="337"/>
          <w:rFonts w:ascii="仿宋" w:eastAsia="仿宋"/>
          <w:color w:val="000000" w:themeColor="text1"/>
          <w:sz w:val="28"/>
          <w:szCs w:val="28"/>
          <w:highlight w:val="none"/>
          <w14:textFill>
            <w14:solidFill>
              <w14:schemeClr w14:val="tx1"/>
            </w14:solidFill>
          </w14:textFill>
        </w:rPr>
        <w:t>招标文件</w:t>
      </w:r>
    </w:p>
    <w:p w14:paraId="4A59F4AF">
      <w:pPr>
        <w:spacing w:line="48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4.乙方的投标文件</w:t>
      </w:r>
    </w:p>
    <w:p w14:paraId="14DCB4C1">
      <w:pPr>
        <w:spacing w:line="48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5.乙方在评审过程中澄清的文件</w:t>
      </w:r>
    </w:p>
    <w:p w14:paraId="148C0645">
      <w:pPr>
        <w:spacing w:line="48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上述文件相互补充，合同双方必须予以遵守执行。若有不明确或不一致之处，以上列次序在先者为准。</w:t>
      </w:r>
    </w:p>
    <w:p w14:paraId="477C3323">
      <w:pPr>
        <w:pStyle w:val="404"/>
        <w:tabs>
          <w:tab w:val="left" w:pos="900"/>
        </w:tabs>
        <w:spacing w:line="520" w:lineRule="exact"/>
        <w:ind w:firstLine="551" w:firstLineChars="196"/>
        <w:rPr>
          <w:rStyle w:val="337"/>
          <w:rFonts w:ascii="仿宋" w:eastAsia="仿宋"/>
          <w:b/>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二、标的物及数量</w:t>
      </w:r>
    </w:p>
    <w:p w14:paraId="75AED2D1">
      <w:pPr>
        <w:pStyle w:val="404"/>
        <w:tabs>
          <w:tab w:val="left" w:pos="900"/>
        </w:tabs>
        <w:spacing w:line="48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本合同标的物为</w:t>
      </w:r>
      <w:r>
        <w:rPr>
          <w:rStyle w:val="337"/>
          <w:rFonts w:ascii="仿宋" w:eastAsia="仿宋"/>
          <w:color w:val="000000" w:themeColor="text1"/>
          <w:sz w:val="28"/>
          <w:szCs w:val="28"/>
          <w:highlight w:val="none"/>
          <w:u w:val="single" w:color="000000"/>
          <w14:textFill>
            <w14:solidFill>
              <w14:schemeClr w14:val="tx1"/>
            </w14:solidFill>
          </w14:textFill>
        </w:rPr>
        <w:t xml:space="preserve">         采购项目</w:t>
      </w:r>
      <w:r>
        <w:rPr>
          <w:rStyle w:val="337"/>
          <w:rFonts w:ascii="仿宋" w:eastAsia="仿宋"/>
          <w:color w:val="000000" w:themeColor="text1"/>
          <w:sz w:val="28"/>
          <w:szCs w:val="28"/>
          <w:highlight w:val="none"/>
          <w14:textFill>
            <w14:solidFill>
              <w14:schemeClr w14:val="tx1"/>
            </w14:solidFill>
          </w14:textFill>
        </w:rPr>
        <w:t>。型号、规格、数量、技术参数等详见《》。</w:t>
      </w:r>
    </w:p>
    <w:p w14:paraId="19BA6083">
      <w:pPr>
        <w:pStyle w:val="404"/>
        <w:tabs>
          <w:tab w:val="left" w:pos="60"/>
        </w:tabs>
        <w:spacing w:line="520" w:lineRule="exact"/>
        <w:ind w:firstLine="565" w:firstLineChars="201"/>
        <w:rPr>
          <w:rStyle w:val="337"/>
          <w:rFonts w:ascii="仿宋" w:eastAsia="仿宋"/>
          <w:b/>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三、价款</w:t>
      </w:r>
    </w:p>
    <w:p w14:paraId="18745336">
      <w:pPr>
        <w:pStyle w:val="404"/>
        <w:tabs>
          <w:tab w:val="left" w:pos="900"/>
        </w:tabs>
        <w:spacing w:line="48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本合同总价款为人民币</w:t>
      </w:r>
      <w:r>
        <w:rPr>
          <w:rStyle w:val="337"/>
          <w:rFonts w:ascii="仿宋" w:eastAsia="仿宋"/>
          <w:color w:val="000000" w:themeColor="text1"/>
          <w:sz w:val="28"/>
          <w:szCs w:val="28"/>
          <w:highlight w:val="none"/>
          <w:u w:val="single" w:color="000000"/>
          <w14:textFill>
            <w14:solidFill>
              <w14:schemeClr w14:val="tx1"/>
            </w14:solidFill>
          </w14:textFill>
        </w:rPr>
        <w:t xml:space="preserve">   拾  万   仟佰  元  角  分</w:t>
      </w:r>
      <w:r>
        <w:rPr>
          <w:rStyle w:val="337"/>
          <w:rFonts w:ascii="仿宋" w:eastAsia="仿宋"/>
          <w:color w:val="000000" w:themeColor="text1"/>
          <w:sz w:val="28"/>
          <w:szCs w:val="28"/>
          <w:highlight w:val="none"/>
          <w14:textFill>
            <w14:solidFill>
              <w14:schemeClr w14:val="tx1"/>
            </w14:solidFill>
          </w14:textFill>
        </w:rPr>
        <w:t>（￥元）。单价或价格构成情况详见《》。</w:t>
      </w:r>
    </w:p>
    <w:p w14:paraId="5AF8DA45">
      <w:pPr>
        <w:pStyle w:val="404"/>
        <w:tabs>
          <w:tab w:val="left" w:pos="900"/>
        </w:tabs>
        <w:spacing w:line="520" w:lineRule="exact"/>
        <w:ind w:firstLine="567"/>
        <w:rPr>
          <w:rStyle w:val="337"/>
          <w:rFonts w:ascii="仿宋" w:eastAsia="仿宋"/>
          <w:b/>
          <w:bCs/>
          <w:color w:val="000000" w:themeColor="text1"/>
          <w:sz w:val="28"/>
          <w:szCs w:val="28"/>
          <w:highlight w:val="none"/>
          <w14:textFill>
            <w14:solidFill>
              <w14:schemeClr w14:val="tx1"/>
            </w14:solidFill>
          </w14:textFill>
        </w:rPr>
      </w:pPr>
      <w:r>
        <w:rPr>
          <w:rStyle w:val="337"/>
          <w:rFonts w:ascii="仿宋" w:eastAsia="仿宋"/>
          <w:b/>
          <w:bCs/>
          <w:color w:val="000000" w:themeColor="text1"/>
          <w:sz w:val="28"/>
          <w:szCs w:val="28"/>
          <w:highlight w:val="none"/>
          <w14:textFill>
            <w14:solidFill>
              <w14:schemeClr w14:val="tx1"/>
            </w14:solidFill>
          </w14:textFill>
        </w:rPr>
        <w:t>四、质量及专利权：</w:t>
      </w:r>
    </w:p>
    <w:p w14:paraId="5EE4E8DC">
      <w:pPr>
        <w:pStyle w:val="404"/>
        <w:spacing w:line="50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1.乙方所报产品技术参数或质量指标必须符合</w:t>
      </w:r>
      <w:r>
        <w:rPr>
          <w:rFonts w:hint="eastAsia" w:ascii="仿宋" w:eastAsia="仿宋"/>
          <w:color w:val="000000" w:themeColor="text1"/>
          <w:sz w:val="28"/>
          <w:szCs w:val="28"/>
          <w:highlight w:val="none"/>
          <w:lang w:eastAsia="zh-CN"/>
          <w14:textFill>
            <w14:solidFill>
              <w14:schemeClr w14:val="tx1"/>
            </w14:solidFill>
          </w14:textFill>
        </w:rPr>
        <w:t>RCTDFZ2026-006</w:t>
      </w:r>
      <w:r>
        <w:rPr>
          <w:rStyle w:val="337"/>
          <w:rFonts w:ascii="仿宋" w:eastAsia="仿宋"/>
          <w:color w:val="000000" w:themeColor="text1"/>
          <w:sz w:val="28"/>
          <w:szCs w:val="28"/>
          <w:highlight w:val="none"/>
          <w14:textFill>
            <w14:solidFill>
              <w14:schemeClr w14:val="tx1"/>
            </w14:solidFill>
          </w14:textFill>
        </w:rPr>
        <w:t>招标文件的要求及乙方投标文件的承诺。</w:t>
      </w:r>
    </w:p>
    <w:p w14:paraId="7C8523E6">
      <w:pPr>
        <w:pStyle w:val="404"/>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2.乙方不但应保证甲方在中华人民共和国境内使用其提供的标的物或标的物的任何一部分，免受第三方提起的侵犯其专利权、商标权、著作权或其他产权纠纷，乙方还应当保证对其所供货物享有合法完整的产权（包括但不限于专利权、商标权、著作权等在内的相关权利），否则由乙方承担一切法律责任。</w:t>
      </w:r>
    </w:p>
    <w:p w14:paraId="1D591D68">
      <w:pPr>
        <w:spacing w:line="520" w:lineRule="exact"/>
        <w:ind w:firstLine="567"/>
        <w:rPr>
          <w:rStyle w:val="337"/>
          <w:rFonts w:ascii="仿宋" w:eastAsia="仿宋"/>
          <w:b/>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五、</w:t>
      </w:r>
      <w:r>
        <w:rPr>
          <w:rStyle w:val="337"/>
          <w:rFonts w:hint="eastAsia" w:ascii="仿宋" w:eastAsia="仿宋"/>
          <w:b/>
          <w:bCs/>
          <w:color w:val="000000" w:themeColor="text1"/>
          <w:sz w:val="28"/>
          <w:szCs w:val="28"/>
          <w:highlight w:val="none"/>
          <w14:textFill>
            <w14:solidFill>
              <w14:schemeClr w14:val="tx1"/>
            </w14:solidFill>
          </w14:textFill>
        </w:rPr>
        <w:t>交付</w:t>
      </w:r>
      <w:r>
        <w:rPr>
          <w:rStyle w:val="337"/>
          <w:rFonts w:ascii="仿宋" w:eastAsia="仿宋"/>
          <w:b/>
          <w:bCs/>
          <w:color w:val="000000" w:themeColor="text1"/>
          <w:sz w:val="28"/>
          <w:szCs w:val="28"/>
          <w:highlight w:val="none"/>
          <w14:textFill>
            <w14:solidFill>
              <w14:schemeClr w14:val="tx1"/>
            </w14:solidFill>
          </w14:textFill>
        </w:rPr>
        <w:t>地点及联系方式</w:t>
      </w:r>
      <w:r>
        <w:rPr>
          <w:rStyle w:val="337"/>
          <w:rFonts w:ascii="仿宋" w:eastAsia="仿宋"/>
          <w:b/>
          <w:color w:val="000000" w:themeColor="text1"/>
          <w:sz w:val="28"/>
          <w:szCs w:val="28"/>
          <w:highlight w:val="none"/>
          <w14:textFill>
            <w14:solidFill>
              <w14:schemeClr w14:val="tx1"/>
            </w14:solidFill>
          </w14:textFill>
        </w:rPr>
        <w:t>：</w:t>
      </w:r>
    </w:p>
    <w:p w14:paraId="5EAEE4BD">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hint="eastAsia" w:ascii="仿宋" w:eastAsia="仿宋"/>
          <w:color w:val="000000" w:themeColor="text1"/>
          <w:sz w:val="28"/>
          <w:szCs w:val="28"/>
          <w:highlight w:val="none"/>
          <w14:textFill>
            <w14:solidFill>
              <w14:schemeClr w14:val="tx1"/>
            </w14:solidFill>
          </w14:textFill>
        </w:rPr>
        <w:t>甲方</w:t>
      </w:r>
      <w:r>
        <w:rPr>
          <w:rStyle w:val="337"/>
          <w:rFonts w:ascii="仿宋" w:eastAsia="仿宋"/>
          <w:color w:val="000000" w:themeColor="text1"/>
          <w:sz w:val="28"/>
          <w:szCs w:val="28"/>
          <w:highlight w:val="none"/>
          <w14:textFill>
            <w14:solidFill>
              <w14:schemeClr w14:val="tx1"/>
            </w14:solidFill>
          </w14:textFill>
        </w:rPr>
        <w:t>地点（根据实际情况列明）：</w:t>
      </w:r>
      <w:r>
        <w:rPr>
          <w:rStyle w:val="337"/>
          <w:rFonts w:ascii="仿宋" w:eastAsia="仿宋"/>
          <w:color w:val="000000" w:themeColor="text1"/>
          <w:kern w:val="0"/>
          <w:sz w:val="28"/>
          <w:szCs w:val="28"/>
          <w:highlight w:val="none"/>
          <w14:textFill>
            <w14:solidFill>
              <w14:schemeClr w14:val="tx1"/>
            </w14:solidFill>
          </w14:textFill>
        </w:rPr>
        <w:t>或甲方指定地点</w:t>
      </w:r>
      <w:r>
        <w:rPr>
          <w:rStyle w:val="337"/>
          <w:rFonts w:ascii="仿宋" w:eastAsia="仿宋"/>
          <w:color w:val="000000" w:themeColor="text1"/>
          <w:sz w:val="28"/>
          <w:szCs w:val="28"/>
          <w:highlight w:val="none"/>
          <w14:textFill>
            <w14:solidFill>
              <w14:schemeClr w14:val="tx1"/>
            </w14:solidFill>
          </w14:textFill>
        </w:rPr>
        <w:t>。</w:t>
      </w:r>
    </w:p>
    <w:p w14:paraId="3A98C10A">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甲方指定联系人：</w:t>
      </w:r>
      <w:r>
        <w:rPr>
          <w:rStyle w:val="337"/>
          <w:rFonts w:ascii="仿宋" w:eastAsia="仿宋"/>
          <w:color w:val="000000" w:themeColor="text1"/>
          <w:sz w:val="28"/>
          <w:szCs w:val="28"/>
          <w:highlight w:val="none"/>
          <w:u w:val="single" w:color="000000"/>
          <w14:textFill>
            <w14:solidFill>
              <w14:schemeClr w14:val="tx1"/>
            </w14:solidFill>
          </w14:textFill>
        </w:rPr>
        <w:t>　　　　</w:t>
      </w:r>
      <w:r>
        <w:rPr>
          <w:rStyle w:val="337"/>
          <w:rFonts w:ascii="仿宋" w:eastAsia="仿宋"/>
          <w:color w:val="000000" w:themeColor="text1"/>
          <w:sz w:val="28"/>
          <w:szCs w:val="28"/>
          <w:highlight w:val="none"/>
          <w14:textFill>
            <w14:solidFill>
              <w14:schemeClr w14:val="tx1"/>
            </w14:solidFill>
          </w14:textFill>
        </w:rPr>
        <w:t>；联系电话：</w:t>
      </w:r>
      <w:r>
        <w:rPr>
          <w:rStyle w:val="337"/>
          <w:rFonts w:ascii="仿宋" w:eastAsia="仿宋"/>
          <w:color w:val="000000" w:themeColor="text1"/>
          <w:sz w:val="28"/>
          <w:szCs w:val="28"/>
          <w:highlight w:val="none"/>
          <w:u w:val="single" w:color="000000"/>
          <w14:textFill>
            <w14:solidFill>
              <w14:schemeClr w14:val="tx1"/>
            </w14:solidFill>
          </w14:textFill>
        </w:rPr>
        <w:t>　　　　　</w:t>
      </w:r>
      <w:r>
        <w:rPr>
          <w:rStyle w:val="337"/>
          <w:rFonts w:ascii="仿宋" w:eastAsia="仿宋"/>
          <w:color w:val="000000" w:themeColor="text1"/>
          <w:sz w:val="28"/>
          <w:szCs w:val="28"/>
          <w:highlight w:val="none"/>
          <w14:textFill>
            <w14:solidFill>
              <w14:schemeClr w14:val="tx1"/>
            </w14:solidFill>
          </w14:textFill>
        </w:rPr>
        <w:t>。</w:t>
      </w:r>
    </w:p>
    <w:p w14:paraId="14A214EF">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乙方指定联系人：</w:t>
      </w:r>
      <w:r>
        <w:rPr>
          <w:rStyle w:val="337"/>
          <w:rFonts w:ascii="仿宋" w:eastAsia="仿宋"/>
          <w:color w:val="000000" w:themeColor="text1"/>
          <w:sz w:val="28"/>
          <w:szCs w:val="28"/>
          <w:highlight w:val="none"/>
          <w:u w:val="single" w:color="000000"/>
          <w14:textFill>
            <w14:solidFill>
              <w14:schemeClr w14:val="tx1"/>
            </w14:solidFill>
          </w14:textFill>
        </w:rPr>
        <w:t>　　　　</w:t>
      </w:r>
      <w:r>
        <w:rPr>
          <w:rStyle w:val="337"/>
          <w:rFonts w:ascii="仿宋" w:eastAsia="仿宋"/>
          <w:color w:val="000000" w:themeColor="text1"/>
          <w:sz w:val="28"/>
          <w:szCs w:val="28"/>
          <w:highlight w:val="none"/>
          <w14:textFill>
            <w14:solidFill>
              <w14:schemeClr w14:val="tx1"/>
            </w14:solidFill>
          </w14:textFill>
        </w:rPr>
        <w:t>；联系电话：</w:t>
      </w:r>
      <w:r>
        <w:rPr>
          <w:rStyle w:val="337"/>
          <w:rFonts w:ascii="仿宋" w:eastAsia="仿宋"/>
          <w:color w:val="000000" w:themeColor="text1"/>
          <w:sz w:val="28"/>
          <w:szCs w:val="28"/>
          <w:highlight w:val="none"/>
          <w:u w:val="single" w:color="000000"/>
          <w14:textFill>
            <w14:solidFill>
              <w14:schemeClr w14:val="tx1"/>
            </w14:solidFill>
          </w14:textFill>
        </w:rPr>
        <w:t>　　　　　</w:t>
      </w:r>
      <w:r>
        <w:rPr>
          <w:rStyle w:val="337"/>
          <w:rFonts w:ascii="仿宋" w:eastAsia="仿宋"/>
          <w:color w:val="000000" w:themeColor="text1"/>
          <w:sz w:val="28"/>
          <w:szCs w:val="28"/>
          <w:highlight w:val="none"/>
          <w14:textFill>
            <w14:solidFill>
              <w14:schemeClr w14:val="tx1"/>
            </w14:solidFill>
          </w14:textFill>
        </w:rPr>
        <w:t>。</w:t>
      </w:r>
    </w:p>
    <w:p w14:paraId="57BB1645">
      <w:pPr>
        <w:spacing w:line="520" w:lineRule="exact"/>
        <w:ind w:firstLine="567"/>
        <w:rPr>
          <w:rStyle w:val="337"/>
          <w:rFonts w:ascii="仿宋" w:eastAsia="仿宋"/>
          <w:b/>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六、</w:t>
      </w:r>
      <w:r>
        <w:rPr>
          <w:rStyle w:val="337"/>
          <w:rFonts w:hint="eastAsia" w:ascii="仿宋" w:eastAsia="仿宋"/>
          <w:b/>
          <w:color w:val="000000" w:themeColor="text1"/>
          <w:sz w:val="28"/>
          <w:szCs w:val="28"/>
          <w:highlight w:val="none"/>
          <w14:textFill>
            <w14:solidFill>
              <w14:schemeClr w14:val="tx1"/>
            </w14:solidFill>
          </w14:textFill>
        </w:rPr>
        <w:t>交付期及质保期</w:t>
      </w:r>
      <w:r>
        <w:rPr>
          <w:rStyle w:val="337"/>
          <w:rFonts w:ascii="仿宋" w:eastAsia="仿宋"/>
          <w:b/>
          <w:color w:val="000000" w:themeColor="text1"/>
          <w:sz w:val="28"/>
          <w:szCs w:val="28"/>
          <w:highlight w:val="none"/>
          <w14:textFill>
            <w14:solidFill>
              <w14:schemeClr w14:val="tx1"/>
            </w14:solidFill>
          </w14:textFill>
        </w:rPr>
        <w:t>：</w:t>
      </w:r>
    </w:p>
    <w:p w14:paraId="2744855B">
      <w:pPr>
        <w:spacing w:line="520" w:lineRule="exact"/>
        <w:ind w:firstLine="980" w:firstLineChars="35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w:t>
      </w:r>
    </w:p>
    <w:p w14:paraId="06351ED5">
      <w:pPr>
        <w:pStyle w:val="404"/>
        <w:tabs>
          <w:tab w:val="left" w:pos="720"/>
          <w:tab w:val="left" w:pos="1080"/>
        </w:tabs>
        <w:spacing w:line="520" w:lineRule="exact"/>
        <w:ind w:firstLine="567"/>
        <w:rPr>
          <w:rStyle w:val="337"/>
          <w:rFonts w:ascii="仿宋" w:eastAsia="仿宋"/>
          <w:b/>
          <w:color w:val="000000" w:themeColor="text1"/>
          <w:sz w:val="28"/>
          <w:szCs w:val="28"/>
          <w:highlight w:val="none"/>
          <w14:textFill>
            <w14:solidFill>
              <w14:schemeClr w14:val="tx1"/>
            </w14:solidFill>
          </w14:textFill>
        </w:rPr>
      </w:pPr>
      <w:r>
        <w:rPr>
          <w:rStyle w:val="337"/>
          <w:rFonts w:hint="eastAsia" w:ascii="仿宋" w:eastAsia="仿宋"/>
          <w:b/>
          <w:color w:val="000000" w:themeColor="text1"/>
          <w:sz w:val="28"/>
          <w:szCs w:val="28"/>
          <w:highlight w:val="none"/>
          <w14:textFill>
            <w14:solidFill>
              <w14:schemeClr w14:val="tx1"/>
            </w14:solidFill>
          </w14:textFill>
        </w:rPr>
        <w:t>七</w:t>
      </w:r>
      <w:r>
        <w:rPr>
          <w:rStyle w:val="337"/>
          <w:rFonts w:ascii="仿宋" w:eastAsia="仿宋"/>
          <w:b/>
          <w:color w:val="000000" w:themeColor="text1"/>
          <w:sz w:val="28"/>
          <w:szCs w:val="28"/>
          <w:highlight w:val="none"/>
          <w14:textFill>
            <w14:solidFill>
              <w14:schemeClr w14:val="tx1"/>
            </w14:solidFill>
          </w14:textFill>
        </w:rPr>
        <w:t>、《验收报告》的签署及送达：</w:t>
      </w:r>
    </w:p>
    <w:p w14:paraId="542F24E2">
      <w:pPr>
        <w:spacing w:line="46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1.项目验收合格，甲方应及时、完整、真实地签署《荣成市国有企业货物服务采购验收报告》（以下简称《验收报告》）。</w:t>
      </w:r>
    </w:p>
    <w:p w14:paraId="44C5197D">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2.</w:t>
      </w:r>
      <w:r>
        <w:rPr>
          <w:rStyle w:val="337"/>
          <w:rFonts w:ascii="仿宋" w:eastAsia="仿宋"/>
          <w:bCs/>
          <w:color w:val="000000" w:themeColor="text1"/>
          <w:sz w:val="28"/>
          <w:szCs w:val="28"/>
          <w:highlight w:val="none"/>
          <w14:textFill>
            <w14:solidFill>
              <w14:schemeClr w14:val="tx1"/>
            </w14:solidFill>
          </w14:textFill>
        </w:rPr>
        <w:t>合同履行达到验收条件时，</w:t>
      </w:r>
      <w:r>
        <w:rPr>
          <w:rStyle w:val="337"/>
          <w:rFonts w:ascii="仿宋" w:eastAsia="仿宋"/>
          <w:color w:val="000000" w:themeColor="text1"/>
          <w:sz w:val="28"/>
          <w:szCs w:val="28"/>
          <w:highlight w:val="none"/>
          <w14:textFill>
            <w14:solidFill>
              <w14:schemeClr w14:val="tx1"/>
            </w14:solidFill>
          </w14:textFill>
        </w:rPr>
        <w:t>乙方应当向甲方发出验收建议，及时通知甲方进行验收，并提供同项目验收相关的生产、技术、服务、数量、质量、安全等资料。甲方应当自收到验收建议之日起七个工作日内启动项目验收，乙方应当予以全面配合。</w:t>
      </w:r>
    </w:p>
    <w:p w14:paraId="280C1E1F">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3.项目验收不合格，乙方应当立即进行整改或采取修理、更换、重作、退货、减少价款等补救措施。在甲方规定的时间内整改或采取补救措施后仍不合格的，甲方有权解除合同。解除合同的相关事项按《中华人民共和国民典法》等法律法规的规定处理。乙方在规定时间内整改或采取补救措施后能达到合格标准的，甲方为其签署验收合格报告，但因此而延误项目交付或交货时间的，乙方应当按本合同的约定支付违约金并赔偿损失。</w:t>
      </w:r>
    </w:p>
    <w:p w14:paraId="10775B21">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4.对项目验收发生的检测（检验）费、劳务报酬等费用支出，采购合同有约定的按照约定执行；无约定的，由采购人承担。因供应商问题导致重新组织项目验收的，由供应商负担验收费用。</w:t>
      </w:r>
    </w:p>
    <w:p w14:paraId="45043184">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5.即使甲方未及时进行验收或者虽经验收但未发现问题的，并不免除乙方的任何质量义务。</w:t>
      </w:r>
    </w:p>
    <w:p w14:paraId="1E540E1D">
      <w:pPr>
        <w:pStyle w:val="404"/>
        <w:tabs>
          <w:tab w:val="left" w:pos="720"/>
          <w:tab w:val="left" w:pos="900"/>
        </w:tabs>
        <w:spacing w:line="520" w:lineRule="exact"/>
        <w:ind w:left="50" w:leftChars="24" w:firstLine="551" w:firstLineChars="196"/>
        <w:rPr>
          <w:rStyle w:val="337"/>
          <w:rFonts w:ascii="仿宋" w:eastAsia="仿宋"/>
          <w:b/>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八、付款</w:t>
      </w:r>
    </w:p>
    <w:p w14:paraId="2B33AB49">
      <w:pPr>
        <w:spacing w:line="520" w:lineRule="exact"/>
        <w:ind w:firstLine="560" w:firstLineChars="200"/>
        <w:rPr>
          <w:rStyle w:val="337"/>
          <w:rFonts w:ascii="仿宋" w:eastAsia="仿宋"/>
          <w:bCs/>
          <w:color w:val="000000" w:themeColor="text1"/>
          <w:sz w:val="28"/>
          <w:szCs w:val="28"/>
          <w:highlight w:val="none"/>
          <w14:textFill>
            <w14:solidFill>
              <w14:schemeClr w14:val="tx1"/>
            </w14:solidFill>
          </w14:textFill>
        </w:rPr>
      </w:pPr>
      <w:r>
        <w:rPr>
          <w:rStyle w:val="337"/>
          <w:rFonts w:ascii="仿宋" w:eastAsia="仿宋"/>
          <w:bCs/>
          <w:color w:val="000000" w:themeColor="text1"/>
          <w:sz w:val="28"/>
          <w:szCs w:val="28"/>
          <w:highlight w:val="none"/>
          <w14:textFill>
            <w14:solidFill>
              <w14:schemeClr w14:val="tx1"/>
            </w14:solidFill>
          </w14:textFill>
        </w:rPr>
        <w:t>1.项目验收合格为本合同价款支付的必备条件。验收不合格的，不予支付价款。涉及分段验收付款的项目，应具备符合合同约定内容的阶段性验收报告。</w:t>
      </w:r>
    </w:p>
    <w:p w14:paraId="50F15721">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2.本合同以人民币付款。</w:t>
      </w:r>
    </w:p>
    <w:p w14:paraId="5FA05F92">
      <w:pPr>
        <w:pStyle w:val="404"/>
        <w:tabs>
          <w:tab w:val="left" w:pos="1040"/>
        </w:tabs>
        <w:spacing w:line="520" w:lineRule="exact"/>
        <w:ind w:firstLine="560" w:firstLineChars="200"/>
        <w:jc w:val="left"/>
        <w:rPr>
          <w:rFonts w:ascii="仿宋_GB2312" w:hAnsi="宋体" w:eastAsia="仿宋_GB2312"/>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3.付款方式：</w:t>
      </w:r>
      <w:r>
        <w:rPr>
          <w:rFonts w:hint="eastAsia" w:ascii="仿宋_GB2312" w:hAnsi="宋体" w:eastAsia="仿宋_GB2312"/>
          <w:color w:val="000000" w:themeColor="text1"/>
          <w:sz w:val="28"/>
          <w:szCs w:val="28"/>
          <w:highlight w:val="none"/>
          <w14:textFill>
            <w14:solidFill>
              <w14:schemeClr w14:val="tx1"/>
            </w14:solidFill>
          </w14:textFill>
        </w:rPr>
        <w:t>。</w:t>
      </w:r>
    </w:p>
    <w:p w14:paraId="2A849EB3">
      <w:pPr>
        <w:pStyle w:val="404"/>
        <w:tabs>
          <w:tab w:val="left" w:pos="1040"/>
        </w:tabs>
        <w:spacing w:line="520" w:lineRule="exact"/>
        <w:ind w:firstLine="560" w:firstLineChars="200"/>
        <w:jc w:val="lef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4.付款信息</w:t>
      </w:r>
      <w:r>
        <w:rPr>
          <w:rStyle w:val="337"/>
          <w:rFonts w:hint="eastAsia" w:ascii="仿宋" w:eastAsia="仿宋"/>
          <w:color w:val="000000" w:themeColor="text1"/>
          <w:sz w:val="28"/>
          <w:szCs w:val="28"/>
          <w:highlight w:val="none"/>
          <w14:textFill>
            <w14:solidFill>
              <w14:schemeClr w14:val="tx1"/>
            </w14:solidFill>
          </w14:textFill>
        </w:rPr>
        <w:t>如下：</w:t>
      </w:r>
    </w:p>
    <w:p w14:paraId="5F7C58F3">
      <w:pPr>
        <w:pStyle w:val="404"/>
        <w:tabs>
          <w:tab w:val="left" w:pos="1040"/>
        </w:tabs>
        <w:spacing w:line="520" w:lineRule="exact"/>
        <w:ind w:firstLine="980" w:firstLineChars="350"/>
        <w:jc w:val="lef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 xml:space="preserve">收 款 人：           </w:t>
      </w:r>
    </w:p>
    <w:p w14:paraId="0F2E3AFF">
      <w:pPr>
        <w:pStyle w:val="404"/>
        <w:tabs>
          <w:tab w:val="left" w:pos="1040"/>
        </w:tabs>
        <w:spacing w:line="520" w:lineRule="exact"/>
        <w:ind w:firstLine="980" w:firstLineChars="350"/>
        <w:jc w:val="lef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 xml:space="preserve">开户银行：        </w:t>
      </w:r>
    </w:p>
    <w:p w14:paraId="1D1EBC56">
      <w:pPr>
        <w:pStyle w:val="404"/>
        <w:tabs>
          <w:tab w:val="left" w:pos="1040"/>
        </w:tabs>
        <w:spacing w:line="520" w:lineRule="exact"/>
        <w:ind w:firstLine="980" w:firstLineChars="350"/>
        <w:jc w:val="lef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银行账号：</w:t>
      </w:r>
    </w:p>
    <w:p w14:paraId="7E192BD4">
      <w:pPr>
        <w:pStyle w:val="404"/>
        <w:tabs>
          <w:tab w:val="left" w:pos="1040"/>
        </w:tabs>
        <w:spacing w:line="520" w:lineRule="exact"/>
        <w:ind w:firstLine="980" w:firstLineChars="350"/>
        <w:jc w:val="lef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 xml:space="preserve">联 系 人：           </w:t>
      </w:r>
    </w:p>
    <w:p w14:paraId="523EDA54">
      <w:pPr>
        <w:pStyle w:val="404"/>
        <w:tabs>
          <w:tab w:val="left" w:pos="1040"/>
        </w:tabs>
        <w:spacing w:line="520" w:lineRule="exact"/>
        <w:ind w:firstLine="980" w:firstLineChars="350"/>
        <w:jc w:val="lef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联系电话：</w:t>
      </w:r>
    </w:p>
    <w:p w14:paraId="1CC6C297">
      <w:pPr>
        <w:pStyle w:val="404"/>
        <w:tabs>
          <w:tab w:val="left" w:pos="1040"/>
        </w:tabs>
        <w:spacing w:line="520" w:lineRule="exact"/>
        <w:ind w:firstLine="551" w:firstLineChars="196"/>
        <w:jc w:val="left"/>
        <w:rPr>
          <w:rStyle w:val="337"/>
          <w:rFonts w:ascii="仿宋" w:eastAsia="仿宋"/>
          <w:b/>
          <w:color w:val="000000" w:themeColor="text1"/>
          <w:sz w:val="28"/>
          <w:szCs w:val="28"/>
          <w:highlight w:val="none"/>
          <w14:textFill>
            <w14:solidFill>
              <w14:schemeClr w14:val="tx1"/>
            </w14:solidFill>
          </w14:textFill>
        </w:rPr>
      </w:pPr>
      <w:r>
        <w:rPr>
          <w:rStyle w:val="337"/>
          <w:rFonts w:hint="eastAsia" w:ascii="仿宋" w:eastAsia="仿宋"/>
          <w:b/>
          <w:color w:val="000000" w:themeColor="text1"/>
          <w:sz w:val="28"/>
          <w:szCs w:val="28"/>
          <w:highlight w:val="none"/>
          <w14:textFill>
            <w14:solidFill>
              <w14:schemeClr w14:val="tx1"/>
            </w14:solidFill>
          </w14:textFill>
        </w:rPr>
        <w:t>九</w:t>
      </w:r>
      <w:r>
        <w:rPr>
          <w:rStyle w:val="337"/>
          <w:rFonts w:ascii="仿宋" w:eastAsia="仿宋"/>
          <w:b/>
          <w:color w:val="000000" w:themeColor="text1"/>
          <w:sz w:val="28"/>
          <w:szCs w:val="28"/>
          <w:highlight w:val="none"/>
          <w14:textFill>
            <w14:solidFill>
              <w14:schemeClr w14:val="tx1"/>
            </w14:solidFill>
          </w14:textFill>
        </w:rPr>
        <w:t>、售后服务</w:t>
      </w:r>
    </w:p>
    <w:p w14:paraId="5B27140C">
      <w:pPr>
        <w:spacing w:line="520" w:lineRule="exact"/>
        <w:ind w:firstLine="560" w:firstLineChars="200"/>
        <w:rPr>
          <w:rFonts w:ascii="仿宋" w:hAnsi="Courier New" w:eastAsia="仿宋"/>
          <w:color w:val="000000" w:themeColor="text1"/>
          <w:kern w:val="0"/>
          <w:sz w:val="28"/>
          <w:szCs w:val="28"/>
          <w:highlight w:val="none"/>
          <w14:textFill>
            <w14:solidFill>
              <w14:schemeClr w14:val="tx1"/>
            </w14:solidFill>
          </w14:textFill>
        </w:rPr>
      </w:pPr>
      <w:r>
        <w:rPr>
          <w:rFonts w:hint="eastAsia" w:ascii="仿宋" w:hAnsi="Courier New" w:eastAsia="仿宋"/>
          <w:color w:val="000000" w:themeColor="text1"/>
          <w:kern w:val="0"/>
          <w:sz w:val="28"/>
          <w:szCs w:val="28"/>
          <w:highlight w:val="none"/>
          <w14:textFill>
            <w14:solidFill>
              <w14:schemeClr w14:val="tx1"/>
            </w14:solidFill>
          </w14:textFill>
        </w:rPr>
        <w:t>乙方应按公开采购文件、投标（响应）文件及乙方在响应过程中做出的书面说明或承诺提供及时、快速、优质的售后服务。</w:t>
      </w:r>
    </w:p>
    <w:p w14:paraId="0CE4208D">
      <w:pPr>
        <w:spacing w:line="520" w:lineRule="exact"/>
        <w:ind w:firstLine="560" w:firstLineChars="200"/>
        <w:rPr>
          <w:rStyle w:val="337"/>
          <w:rFonts w:ascii="仿宋" w:hAnsi="Courier New" w:eastAsia="仿宋"/>
          <w:color w:val="000000" w:themeColor="text1"/>
          <w:kern w:val="0"/>
          <w:sz w:val="28"/>
          <w:szCs w:val="28"/>
          <w:highlight w:val="none"/>
          <w14:textFill>
            <w14:solidFill>
              <w14:schemeClr w14:val="tx1"/>
            </w14:solidFill>
          </w14:textFill>
        </w:rPr>
      </w:pPr>
      <w:r>
        <w:rPr>
          <w:rFonts w:hint="eastAsia" w:ascii="仿宋" w:hAnsi="Courier New" w:eastAsia="仿宋"/>
          <w:color w:val="000000" w:themeColor="text1"/>
          <w:kern w:val="0"/>
          <w:sz w:val="28"/>
          <w:szCs w:val="28"/>
          <w:highlight w:val="none"/>
          <w14:textFill>
            <w14:solidFill>
              <w14:schemeClr w14:val="tx1"/>
            </w14:solidFill>
          </w14:textFill>
        </w:rPr>
        <w:t>见附件：乙方响应文件售后服务承诺材料。</w:t>
      </w:r>
    </w:p>
    <w:p w14:paraId="0BE69D3A">
      <w:pPr>
        <w:spacing w:line="520" w:lineRule="exact"/>
        <w:ind w:firstLine="567"/>
        <w:rPr>
          <w:rStyle w:val="337"/>
          <w:rFonts w:ascii="仿宋" w:eastAsia="仿宋"/>
          <w:b/>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十、变更、修改和转让</w:t>
      </w:r>
    </w:p>
    <w:p w14:paraId="476E17CB">
      <w:pPr>
        <w:pStyle w:val="404"/>
        <w:spacing w:line="520" w:lineRule="exact"/>
        <w:ind w:firstLine="567"/>
        <w:rPr>
          <w:rStyle w:val="337"/>
          <w:rFonts w:ascii="仿宋" w:eastAsia="仿宋"/>
          <w:b/>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乙方应严格按合同要求</w:t>
      </w:r>
      <w:r>
        <w:rPr>
          <w:rStyle w:val="337"/>
          <w:rFonts w:hint="eastAsia" w:ascii="仿宋" w:eastAsia="仿宋"/>
          <w:color w:val="000000" w:themeColor="text1"/>
          <w:sz w:val="28"/>
          <w:szCs w:val="28"/>
          <w:highlight w:val="none"/>
          <w14:textFill>
            <w14:solidFill>
              <w14:schemeClr w14:val="tx1"/>
            </w14:solidFill>
          </w14:textFill>
        </w:rPr>
        <w:t>提供</w:t>
      </w:r>
      <w:r>
        <w:rPr>
          <w:rStyle w:val="337"/>
          <w:rFonts w:ascii="仿宋" w:eastAsia="仿宋"/>
          <w:color w:val="000000" w:themeColor="text1"/>
          <w:sz w:val="28"/>
          <w:szCs w:val="28"/>
          <w:highlight w:val="none"/>
          <w14:textFill>
            <w14:solidFill>
              <w14:schemeClr w14:val="tx1"/>
            </w14:solidFill>
          </w14:textFill>
        </w:rPr>
        <w:t>服务，未经甲方书面同意，乙方不得擅自就合同标的的数量、质量、</w:t>
      </w:r>
      <w:r>
        <w:rPr>
          <w:rStyle w:val="337"/>
          <w:rFonts w:hint="eastAsia" w:ascii="仿宋" w:eastAsia="仿宋"/>
          <w:color w:val="000000" w:themeColor="text1"/>
          <w:sz w:val="28"/>
          <w:szCs w:val="28"/>
          <w:highlight w:val="none"/>
          <w14:textFill>
            <w14:solidFill>
              <w14:schemeClr w14:val="tx1"/>
            </w14:solidFill>
          </w14:textFill>
        </w:rPr>
        <w:t>交付期及质保期</w:t>
      </w:r>
      <w:r>
        <w:rPr>
          <w:rStyle w:val="337"/>
          <w:rFonts w:ascii="仿宋" w:eastAsia="仿宋"/>
          <w:color w:val="000000" w:themeColor="text1"/>
          <w:sz w:val="28"/>
          <w:szCs w:val="28"/>
          <w:highlight w:val="none"/>
          <w14:textFill>
            <w14:solidFill>
              <w14:schemeClr w14:val="tx1"/>
            </w14:solidFill>
          </w14:textFill>
        </w:rPr>
        <w:t>、技术规格以及其他的合同条款进行变更、修改；不得部分或者全部转让其应履行的合同义务。</w:t>
      </w:r>
    </w:p>
    <w:p w14:paraId="3FEBAC08">
      <w:pPr>
        <w:spacing w:line="520" w:lineRule="exact"/>
        <w:ind w:firstLine="562"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b/>
          <w:bCs/>
          <w:color w:val="000000" w:themeColor="text1"/>
          <w:sz w:val="28"/>
          <w:szCs w:val="28"/>
          <w:highlight w:val="none"/>
          <w14:textFill>
            <w14:solidFill>
              <w14:schemeClr w14:val="tx1"/>
            </w14:solidFill>
          </w14:textFill>
        </w:rPr>
        <w:t>十</w:t>
      </w:r>
      <w:r>
        <w:rPr>
          <w:rStyle w:val="337"/>
          <w:rFonts w:hint="eastAsia" w:ascii="仿宋" w:eastAsia="仿宋"/>
          <w:b/>
          <w:bCs/>
          <w:color w:val="000000" w:themeColor="text1"/>
          <w:sz w:val="28"/>
          <w:szCs w:val="28"/>
          <w:highlight w:val="none"/>
          <w14:textFill>
            <w14:solidFill>
              <w14:schemeClr w14:val="tx1"/>
            </w14:solidFill>
          </w14:textFill>
        </w:rPr>
        <w:t>一</w:t>
      </w:r>
      <w:r>
        <w:rPr>
          <w:rStyle w:val="337"/>
          <w:rFonts w:ascii="仿宋" w:eastAsia="仿宋"/>
          <w:b/>
          <w:bCs/>
          <w:color w:val="000000" w:themeColor="text1"/>
          <w:sz w:val="28"/>
          <w:szCs w:val="28"/>
          <w:highlight w:val="none"/>
          <w14:textFill>
            <w14:solidFill>
              <w14:schemeClr w14:val="tx1"/>
            </w14:solidFill>
          </w14:textFill>
        </w:rPr>
        <w:t>、合同解除</w:t>
      </w:r>
    </w:p>
    <w:p w14:paraId="09D753C7">
      <w:pPr>
        <w:spacing w:line="520" w:lineRule="exact"/>
        <w:ind w:firstLine="560" w:firstLineChars="200"/>
        <w:jc w:val="left"/>
        <w:rPr>
          <w:rStyle w:val="337"/>
          <w:rFonts w:ascii="仿宋" w:eastAsia="仿宋"/>
          <w:color w:val="000000" w:themeColor="text1"/>
          <w:kern w:val="0"/>
          <w:sz w:val="28"/>
          <w:szCs w:val="28"/>
          <w:highlight w:val="none"/>
          <w14:textFill>
            <w14:solidFill>
              <w14:schemeClr w14:val="tx1"/>
            </w14:solidFill>
          </w14:textFill>
        </w:rPr>
      </w:pPr>
      <w:r>
        <w:rPr>
          <w:rStyle w:val="337"/>
          <w:rFonts w:ascii="仿宋" w:eastAsia="仿宋"/>
          <w:color w:val="000000" w:themeColor="text1"/>
          <w:kern w:val="0"/>
          <w:sz w:val="28"/>
          <w:szCs w:val="28"/>
          <w:highlight w:val="none"/>
          <w14:textFill>
            <w14:solidFill>
              <w14:schemeClr w14:val="tx1"/>
            </w14:solidFill>
          </w14:textFill>
        </w:rPr>
        <w:t>1.出现下列情况之一的，甲方或乙方提出申请，招标代理机构将向违约方发出书面通知，解除本合同，解约方有权要求违约方按合同总金额20%支付违约金，并赔偿损失。</w:t>
      </w:r>
    </w:p>
    <w:p w14:paraId="5D2BD063">
      <w:pPr>
        <w:spacing w:line="520" w:lineRule="exact"/>
        <w:ind w:firstLine="567"/>
        <w:jc w:val="left"/>
        <w:rPr>
          <w:rStyle w:val="337"/>
          <w:rFonts w:ascii="仿宋" w:eastAsia="仿宋"/>
          <w:color w:val="000000" w:themeColor="text1"/>
          <w:kern w:val="0"/>
          <w:sz w:val="28"/>
          <w:szCs w:val="28"/>
          <w:highlight w:val="none"/>
          <w14:textFill>
            <w14:solidFill>
              <w14:schemeClr w14:val="tx1"/>
            </w14:solidFill>
          </w14:textFill>
        </w:rPr>
      </w:pPr>
      <w:r>
        <w:rPr>
          <w:rStyle w:val="337"/>
          <w:rFonts w:ascii="仿宋" w:eastAsia="仿宋"/>
          <w:color w:val="000000" w:themeColor="text1"/>
          <w:kern w:val="0"/>
          <w:sz w:val="28"/>
          <w:szCs w:val="28"/>
          <w:highlight w:val="none"/>
          <w14:textFill>
            <w14:solidFill>
              <w14:schemeClr w14:val="tx1"/>
            </w14:solidFill>
          </w14:textFill>
        </w:rPr>
        <w:t>（1）乙方拒绝履行合同或以自己的行为表明不履行合同的；</w:t>
      </w:r>
    </w:p>
    <w:p w14:paraId="2743ADCB">
      <w:pPr>
        <w:spacing w:line="520" w:lineRule="exact"/>
        <w:ind w:firstLine="567"/>
        <w:jc w:val="left"/>
        <w:rPr>
          <w:rStyle w:val="337"/>
          <w:rFonts w:ascii="仿宋" w:eastAsia="仿宋"/>
          <w:color w:val="000000" w:themeColor="text1"/>
          <w:kern w:val="0"/>
          <w:sz w:val="28"/>
          <w:szCs w:val="28"/>
          <w:highlight w:val="none"/>
          <w14:textFill>
            <w14:solidFill>
              <w14:schemeClr w14:val="tx1"/>
            </w14:solidFill>
          </w14:textFill>
        </w:rPr>
      </w:pPr>
      <w:r>
        <w:rPr>
          <w:rStyle w:val="337"/>
          <w:rFonts w:ascii="仿宋" w:eastAsia="仿宋"/>
          <w:color w:val="000000" w:themeColor="text1"/>
          <w:kern w:val="0"/>
          <w:sz w:val="28"/>
          <w:szCs w:val="28"/>
          <w:highlight w:val="none"/>
          <w14:textFill>
            <w14:solidFill>
              <w14:schemeClr w14:val="tx1"/>
            </w14:solidFill>
          </w14:textFill>
        </w:rPr>
        <w:t>（2）乙方延迟履行合同义务，经催告后仍不履行的；</w:t>
      </w:r>
    </w:p>
    <w:p w14:paraId="67068120">
      <w:pPr>
        <w:spacing w:line="520" w:lineRule="exact"/>
        <w:ind w:firstLine="567"/>
        <w:jc w:val="left"/>
        <w:rPr>
          <w:rStyle w:val="337"/>
          <w:rFonts w:ascii="仿宋" w:eastAsia="仿宋"/>
          <w:color w:val="000000" w:themeColor="text1"/>
          <w:kern w:val="0"/>
          <w:sz w:val="28"/>
          <w:szCs w:val="28"/>
          <w:highlight w:val="none"/>
          <w14:textFill>
            <w14:solidFill>
              <w14:schemeClr w14:val="tx1"/>
            </w14:solidFill>
          </w14:textFill>
        </w:rPr>
      </w:pPr>
      <w:r>
        <w:rPr>
          <w:rStyle w:val="337"/>
          <w:rFonts w:ascii="仿宋" w:eastAsia="仿宋"/>
          <w:color w:val="000000" w:themeColor="text1"/>
          <w:kern w:val="0"/>
          <w:sz w:val="28"/>
          <w:szCs w:val="28"/>
          <w:highlight w:val="none"/>
          <w14:textFill>
            <w14:solidFill>
              <w14:schemeClr w14:val="tx1"/>
            </w14:solidFill>
          </w14:textFill>
        </w:rPr>
        <w:t>（3）乙方履行合同义务不符合约定致使不能实现合同目的的；</w:t>
      </w:r>
    </w:p>
    <w:p w14:paraId="48F93218">
      <w:pPr>
        <w:spacing w:line="520" w:lineRule="exact"/>
        <w:ind w:firstLine="567"/>
        <w:jc w:val="left"/>
        <w:rPr>
          <w:rStyle w:val="337"/>
          <w:rFonts w:ascii="仿宋" w:eastAsia="仿宋"/>
          <w:color w:val="000000" w:themeColor="text1"/>
          <w:kern w:val="0"/>
          <w:sz w:val="28"/>
          <w:szCs w:val="28"/>
          <w:highlight w:val="none"/>
          <w14:textFill>
            <w14:solidFill>
              <w14:schemeClr w14:val="tx1"/>
            </w14:solidFill>
          </w14:textFill>
        </w:rPr>
      </w:pPr>
      <w:r>
        <w:rPr>
          <w:rStyle w:val="337"/>
          <w:rFonts w:ascii="仿宋" w:eastAsia="仿宋"/>
          <w:color w:val="000000" w:themeColor="text1"/>
          <w:kern w:val="0"/>
          <w:sz w:val="28"/>
          <w:szCs w:val="28"/>
          <w:highlight w:val="none"/>
          <w14:textFill>
            <w14:solidFill>
              <w14:schemeClr w14:val="tx1"/>
            </w14:solidFill>
          </w14:textFill>
        </w:rPr>
        <w:t>（4）乙方履行合同义务不符合约定拒绝整改，或经整改后仍不合格的；</w:t>
      </w:r>
    </w:p>
    <w:p w14:paraId="7F610511">
      <w:pPr>
        <w:spacing w:line="520" w:lineRule="exact"/>
        <w:ind w:firstLine="567"/>
        <w:jc w:val="left"/>
        <w:rPr>
          <w:rStyle w:val="337"/>
          <w:rFonts w:ascii="仿宋" w:eastAsia="仿宋"/>
          <w:color w:val="000000" w:themeColor="text1"/>
          <w:kern w:val="0"/>
          <w:sz w:val="28"/>
          <w:szCs w:val="28"/>
          <w:highlight w:val="none"/>
          <w14:textFill>
            <w14:solidFill>
              <w14:schemeClr w14:val="tx1"/>
            </w14:solidFill>
          </w14:textFill>
        </w:rPr>
      </w:pPr>
      <w:r>
        <w:rPr>
          <w:rStyle w:val="337"/>
          <w:rFonts w:ascii="仿宋" w:eastAsia="仿宋"/>
          <w:color w:val="000000" w:themeColor="text1"/>
          <w:kern w:val="0"/>
          <w:sz w:val="28"/>
          <w:szCs w:val="28"/>
          <w:highlight w:val="none"/>
          <w14:textFill>
            <w14:solidFill>
              <w14:schemeClr w14:val="tx1"/>
            </w14:solidFill>
          </w14:textFill>
        </w:rPr>
        <w:t>（5）乙方有其他严重违约情形的；</w:t>
      </w:r>
    </w:p>
    <w:p w14:paraId="1BE65DC4">
      <w:pPr>
        <w:spacing w:line="520" w:lineRule="exact"/>
        <w:ind w:firstLine="567"/>
        <w:jc w:val="left"/>
        <w:rPr>
          <w:rStyle w:val="337"/>
          <w:rFonts w:ascii="仿宋" w:eastAsia="仿宋"/>
          <w:color w:val="000000" w:themeColor="text1"/>
          <w:kern w:val="0"/>
          <w:sz w:val="28"/>
          <w:szCs w:val="28"/>
          <w:highlight w:val="none"/>
          <w14:textFill>
            <w14:solidFill>
              <w14:schemeClr w14:val="tx1"/>
            </w14:solidFill>
          </w14:textFill>
        </w:rPr>
      </w:pPr>
      <w:r>
        <w:rPr>
          <w:rStyle w:val="337"/>
          <w:rFonts w:ascii="仿宋" w:eastAsia="仿宋"/>
          <w:color w:val="000000" w:themeColor="text1"/>
          <w:kern w:val="0"/>
          <w:sz w:val="28"/>
          <w:szCs w:val="28"/>
          <w:highlight w:val="none"/>
          <w14:textFill>
            <w14:solidFill>
              <w14:schemeClr w14:val="tx1"/>
            </w14:solidFill>
          </w14:textFill>
        </w:rPr>
        <w:t>（6）甲方应当提供而未向乙方提供履约条件的。</w:t>
      </w:r>
    </w:p>
    <w:p w14:paraId="1DE0D1F6">
      <w:pPr>
        <w:spacing w:line="520" w:lineRule="exact"/>
        <w:ind w:firstLine="567"/>
        <w:jc w:val="left"/>
        <w:rPr>
          <w:rStyle w:val="337"/>
          <w:rFonts w:ascii="仿宋" w:eastAsia="仿宋"/>
          <w:color w:val="000000" w:themeColor="text1"/>
          <w:kern w:val="0"/>
          <w:sz w:val="28"/>
          <w:szCs w:val="28"/>
          <w:highlight w:val="none"/>
          <w14:textFill>
            <w14:solidFill>
              <w14:schemeClr w14:val="tx1"/>
            </w14:solidFill>
          </w14:textFill>
        </w:rPr>
      </w:pPr>
      <w:r>
        <w:rPr>
          <w:rStyle w:val="337"/>
          <w:rFonts w:ascii="仿宋" w:eastAsia="仿宋"/>
          <w:color w:val="000000" w:themeColor="text1"/>
          <w:kern w:val="0"/>
          <w:sz w:val="28"/>
          <w:szCs w:val="28"/>
          <w:highlight w:val="none"/>
          <w14:textFill>
            <w14:solidFill>
              <w14:schemeClr w14:val="tx1"/>
            </w14:solidFill>
          </w14:textFill>
        </w:rPr>
        <w:t>2.</w:t>
      </w:r>
      <w:r>
        <w:rPr>
          <w:rStyle w:val="337"/>
          <w:rFonts w:ascii="仿宋" w:eastAsia="仿宋"/>
          <w:color w:val="000000" w:themeColor="text1"/>
          <w:sz w:val="28"/>
          <w:szCs w:val="28"/>
          <w:highlight w:val="none"/>
          <w14:textFill>
            <w14:solidFill>
              <w14:schemeClr w14:val="tx1"/>
            </w14:solidFill>
          </w14:textFill>
        </w:rPr>
        <w:t>被解除方对解除合同有异议的，应当在收到解除通知之日起15日内向荣成市人民法院起诉。</w:t>
      </w:r>
    </w:p>
    <w:p w14:paraId="7CEE1FF3">
      <w:pPr>
        <w:spacing w:line="520" w:lineRule="exact"/>
        <w:ind w:firstLine="562" w:firstLineChars="200"/>
        <w:rPr>
          <w:rStyle w:val="337"/>
          <w:rFonts w:ascii="仿宋" w:eastAsia="仿宋"/>
          <w:b/>
          <w:bCs/>
          <w:color w:val="000000" w:themeColor="text1"/>
          <w:sz w:val="28"/>
          <w:szCs w:val="28"/>
          <w:highlight w:val="none"/>
          <w14:textFill>
            <w14:solidFill>
              <w14:schemeClr w14:val="tx1"/>
            </w14:solidFill>
          </w14:textFill>
        </w:rPr>
      </w:pPr>
      <w:r>
        <w:rPr>
          <w:rStyle w:val="337"/>
          <w:rFonts w:ascii="仿宋" w:eastAsia="仿宋"/>
          <w:b/>
          <w:bCs/>
          <w:color w:val="000000" w:themeColor="text1"/>
          <w:sz w:val="28"/>
          <w:szCs w:val="28"/>
          <w:highlight w:val="none"/>
          <w14:textFill>
            <w14:solidFill>
              <w14:schemeClr w14:val="tx1"/>
            </w14:solidFill>
          </w14:textFill>
        </w:rPr>
        <w:t>十</w:t>
      </w:r>
      <w:r>
        <w:rPr>
          <w:rStyle w:val="337"/>
          <w:rFonts w:hint="eastAsia" w:ascii="仿宋" w:eastAsia="仿宋"/>
          <w:b/>
          <w:bCs/>
          <w:color w:val="000000" w:themeColor="text1"/>
          <w:sz w:val="28"/>
          <w:szCs w:val="28"/>
          <w:highlight w:val="none"/>
          <w14:textFill>
            <w14:solidFill>
              <w14:schemeClr w14:val="tx1"/>
            </w14:solidFill>
          </w14:textFill>
        </w:rPr>
        <w:t>二</w:t>
      </w:r>
      <w:r>
        <w:rPr>
          <w:rStyle w:val="337"/>
          <w:rFonts w:ascii="仿宋" w:eastAsia="仿宋"/>
          <w:b/>
          <w:bCs/>
          <w:color w:val="000000" w:themeColor="text1"/>
          <w:sz w:val="28"/>
          <w:szCs w:val="28"/>
          <w:highlight w:val="none"/>
          <w14:textFill>
            <w14:solidFill>
              <w14:schemeClr w14:val="tx1"/>
            </w14:solidFill>
          </w14:textFill>
        </w:rPr>
        <w:t>、违约赔偿</w:t>
      </w:r>
    </w:p>
    <w:p w14:paraId="4F2297CE">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1. 乙方违反第四条质量及专利权第一款的约定而降低标准及违反第十条变更、修改和转让的约定，甲方将责令其限期更换或者纠正，由此而造成延期，按本条第二款的规定支付违约赔偿；</w:t>
      </w:r>
      <w:r>
        <w:rPr>
          <w:rStyle w:val="405"/>
          <w:rFonts w:ascii="仿宋" w:eastAsia="仿宋"/>
          <w:color w:val="000000" w:themeColor="text1"/>
          <w:sz w:val="28"/>
          <w:szCs w:val="28"/>
          <w:highlight w:val="none"/>
          <w14:textFill>
            <w14:solidFill>
              <w14:schemeClr w14:val="tx1"/>
            </w14:solidFill>
          </w14:textFill>
        </w:rPr>
        <w:t>如违反</w:t>
      </w:r>
      <w:r>
        <w:rPr>
          <w:rStyle w:val="337"/>
          <w:rFonts w:ascii="仿宋" w:eastAsia="仿宋"/>
          <w:color w:val="000000" w:themeColor="text1"/>
          <w:sz w:val="28"/>
          <w:szCs w:val="28"/>
          <w:highlight w:val="none"/>
          <w14:textFill>
            <w14:solidFill>
              <w14:schemeClr w14:val="tx1"/>
            </w14:solidFill>
          </w14:textFill>
        </w:rPr>
        <w:t>第四条质量及专利权第一款</w:t>
      </w:r>
      <w:r>
        <w:rPr>
          <w:rStyle w:val="405"/>
          <w:rFonts w:ascii="仿宋" w:eastAsia="仿宋"/>
          <w:color w:val="000000" w:themeColor="text1"/>
          <w:sz w:val="28"/>
          <w:szCs w:val="28"/>
          <w:highlight w:val="none"/>
          <w14:textFill>
            <w14:solidFill>
              <w14:schemeClr w14:val="tx1"/>
            </w14:solidFill>
          </w14:textFill>
        </w:rPr>
        <w:t>约定，造成甲方无法继续使用标的物及对第三方承担赔偿责任的，乙方应当承担对甲方造成的一切损失（包括但不限于甲方的采购款、利息、维权费用等）</w:t>
      </w:r>
      <w:r>
        <w:rPr>
          <w:rStyle w:val="337"/>
          <w:rFonts w:ascii="仿宋" w:eastAsia="仿宋"/>
          <w:color w:val="000000" w:themeColor="text1"/>
          <w:sz w:val="28"/>
          <w:szCs w:val="28"/>
          <w:highlight w:val="none"/>
          <w14:textFill>
            <w14:solidFill>
              <w14:schemeClr w14:val="tx1"/>
            </w14:solidFill>
          </w14:textFill>
        </w:rPr>
        <w:t>。</w:t>
      </w:r>
    </w:p>
    <w:p w14:paraId="568CE821">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2.乙方违反第六条关于</w:t>
      </w:r>
      <w:r>
        <w:rPr>
          <w:rStyle w:val="337"/>
          <w:rFonts w:hint="eastAsia" w:ascii="仿宋" w:eastAsia="仿宋"/>
          <w:color w:val="000000" w:themeColor="text1"/>
          <w:sz w:val="28"/>
          <w:szCs w:val="28"/>
          <w:highlight w:val="none"/>
          <w14:textFill>
            <w14:solidFill>
              <w14:schemeClr w14:val="tx1"/>
            </w14:solidFill>
          </w14:textFill>
        </w:rPr>
        <w:t>交付期及质保期</w:t>
      </w:r>
      <w:r>
        <w:rPr>
          <w:rStyle w:val="337"/>
          <w:rFonts w:ascii="仿宋" w:eastAsia="仿宋"/>
          <w:color w:val="000000" w:themeColor="text1"/>
          <w:sz w:val="28"/>
          <w:szCs w:val="28"/>
          <w:highlight w:val="none"/>
          <w14:textFill>
            <w14:solidFill>
              <w14:schemeClr w14:val="tx1"/>
            </w14:solidFill>
          </w14:textFill>
        </w:rPr>
        <w:t>的约定，逾期交货、逾期交付验收或者经验收不合格而重新供货、交付验收，每逾期一日按照逾期部分合同价款的3‰向甲方支付违约金，直至到货，不足一日，按一日计算（下同），甲方有权要求乙方赔偿因此造成的全部经济损失。</w:t>
      </w:r>
    </w:p>
    <w:p w14:paraId="2C0674BA">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3.因乙方违约致使合同被解除的，如果在解除前甲方已经实际使用了乙方的产品而解除后需要退货的，则对使用期间的损耗或折旧甲方不负责补偿。</w:t>
      </w:r>
    </w:p>
    <w:p w14:paraId="3AD21353">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4.项目验收不合格执行本合同第</w:t>
      </w:r>
      <w:r>
        <w:rPr>
          <w:rStyle w:val="337"/>
          <w:rFonts w:hint="eastAsia" w:ascii="仿宋" w:eastAsia="仿宋"/>
          <w:color w:val="000000" w:themeColor="text1"/>
          <w:sz w:val="28"/>
          <w:szCs w:val="28"/>
          <w:highlight w:val="none"/>
          <w14:textFill>
            <w14:solidFill>
              <w14:schemeClr w14:val="tx1"/>
            </w14:solidFill>
          </w14:textFill>
        </w:rPr>
        <w:t>七</w:t>
      </w:r>
      <w:r>
        <w:rPr>
          <w:rStyle w:val="337"/>
          <w:rFonts w:ascii="仿宋" w:eastAsia="仿宋"/>
          <w:color w:val="000000" w:themeColor="text1"/>
          <w:sz w:val="28"/>
          <w:szCs w:val="28"/>
          <w:highlight w:val="none"/>
          <w14:textFill>
            <w14:solidFill>
              <w14:schemeClr w14:val="tx1"/>
            </w14:solidFill>
          </w14:textFill>
        </w:rPr>
        <w:t>条第三款。</w:t>
      </w:r>
    </w:p>
    <w:p w14:paraId="5A779441">
      <w:pPr>
        <w:spacing w:line="520" w:lineRule="exact"/>
        <w:ind w:firstLine="529" w:firstLineChars="189"/>
        <w:rPr>
          <w:rStyle w:val="337"/>
          <w:rFonts w:ascii="仿宋" w:eastAsia="仿宋"/>
          <w:bCs/>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5.</w:t>
      </w:r>
      <w:r>
        <w:rPr>
          <w:rStyle w:val="337"/>
          <w:rFonts w:ascii="仿宋" w:eastAsia="仿宋"/>
          <w:bCs/>
          <w:color w:val="000000" w:themeColor="text1"/>
          <w:sz w:val="28"/>
          <w:szCs w:val="28"/>
          <w:highlight w:val="none"/>
          <w14:textFill>
            <w14:solidFill>
              <w14:schemeClr w14:val="tx1"/>
            </w14:solidFill>
          </w14:textFill>
        </w:rPr>
        <w:t>乙方无正当理由不履行本合同的，乙方应按本合同的约定承担违约责任。乙方履行合同不符合约定导致甲方解除合同的，乙方应按本合同的约定承担违约责任。乙方履行合同不符合约定但经采取补救措施后达到合同约定标准的，甲方有权在应向乙方支付的合同价款中扣除乙方承担的违约金和赔偿的损失。</w:t>
      </w:r>
    </w:p>
    <w:p w14:paraId="6DCF41AD">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6.一方因不可抗力导致合同不能履行的，不承担违约责任。但应当及时通知对方，以减轻可能给对方造成的损失，并应当在合理期限内提供证明。“不可抗力”是指不能预见、不能避免并不能克服的客观情况，如：战争、严重火灾、洪水、台风、地震等事件。</w:t>
      </w:r>
    </w:p>
    <w:p w14:paraId="7781538D">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7.乙方存在下列行为的，纳入</w:t>
      </w:r>
      <w:r>
        <w:rPr>
          <w:rStyle w:val="337"/>
          <w:rFonts w:ascii="仿宋" w:eastAsia="仿宋"/>
          <w:color w:val="000000" w:themeColor="text1"/>
          <w:kern w:val="0"/>
          <w:sz w:val="28"/>
          <w:szCs w:val="28"/>
          <w:highlight w:val="none"/>
          <w14:textFill>
            <w14:solidFill>
              <w14:schemeClr w14:val="tx1"/>
            </w14:solidFill>
          </w14:textFill>
        </w:rPr>
        <w:t>招标代理机构的</w:t>
      </w:r>
      <w:r>
        <w:rPr>
          <w:rStyle w:val="337"/>
          <w:rFonts w:ascii="仿宋" w:eastAsia="仿宋"/>
          <w:color w:val="000000" w:themeColor="text1"/>
          <w:sz w:val="28"/>
          <w:szCs w:val="28"/>
          <w:highlight w:val="none"/>
          <w14:textFill>
            <w14:solidFill>
              <w14:schemeClr w14:val="tx1"/>
            </w14:solidFill>
          </w14:textFill>
        </w:rPr>
        <w:t>诚信记录：</w:t>
      </w:r>
    </w:p>
    <w:p w14:paraId="0D2C9CF2">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（1）无正当理由放弃采购合同履约的；</w:t>
      </w:r>
    </w:p>
    <w:p w14:paraId="50C1E600">
      <w:pPr>
        <w:spacing w:line="520" w:lineRule="exact"/>
        <w:ind w:firstLine="531" w:firstLineChars="189"/>
        <w:rPr>
          <w:rStyle w:val="337"/>
          <w:rFonts w:ascii="仿宋" w:eastAsia="仿宋" w:cs="仿宋_GB2312"/>
          <w:b/>
          <w:bCs/>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（2）</w:t>
      </w:r>
      <w:r>
        <w:rPr>
          <w:rStyle w:val="337"/>
          <w:rFonts w:ascii="仿宋" w:eastAsia="仿宋" w:cs="仿宋_GB2312"/>
          <w:b/>
          <w:bCs/>
          <w:color w:val="000000" w:themeColor="text1"/>
          <w:sz w:val="28"/>
          <w:szCs w:val="28"/>
          <w:highlight w:val="none"/>
          <w14:textFill>
            <w14:solidFill>
              <w14:schemeClr w14:val="tx1"/>
            </w14:solidFill>
          </w14:textFill>
        </w:rPr>
        <w:t>不履行合同义务，情节严重的；</w:t>
      </w:r>
    </w:p>
    <w:p w14:paraId="2230989E">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s="仿宋_GB2312"/>
          <w:bCs/>
          <w:color w:val="000000" w:themeColor="text1"/>
          <w:sz w:val="28"/>
          <w:szCs w:val="28"/>
          <w:highlight w:val="none"/>
          <w14:textFill>
            <w14:solidFill>
              <w14:schemeClr w14:val="tx1"/>
            </w14:solidFill>
          </w14:textFill>
        </w:rPr>
        <w:t>（3）</w:t>
      </w:r>
      <w:r>
        <w:rPr>
          <w:rStyle w:val="337"/>
          <w:rFonts w:ascii="仿宋" w:eastAsia="仿宋"/>
          <w:color w:val="000000" w:themeColor="text1"/>
          <w:sz w:val="28"/>
          <w:szCs w:val="28"/>
          <w:highlight w:val="none"/>
          <w14:textFill>
            <w14:solidFill>
              <w14:schemeClr w14:val="tx1"/>
            </w14:solidFill>
          </w14:textFill>
        </w:rPr>
        <w:t>在数量、质量、技术、服务、安全、标准、功能、工艺等方面不符合采购合同约定，给采购人造成较大损失或者影响的；</w:t>
      </w:r>
    </w:p>
    <w:p w14:paraId="541761EE">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（4）因履约问题影响采购项目功能实现又拒不纠正的；</w:t>
      </w:r>
    </w:p>
    <w:p w14:paraId="108499A2">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（5）与甲方工作人员或者验收小组成员串通，实施虚假履约验收的；</w:t>
      </w:r>
    </w:p>
    <w:p w14:paraId="4904426F">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（6）其他损害公共利益、采购人利益、第三方权益且情节较重的。</w:t>
      </w:r>
    </w:p>
    <w:p w14:paraId="5DCDA373">
      <w:pPr>
        <w:spacing w:line="520" w:lineRule="exact"/>
        <w:ind w:firstLine="529" w:firstLineChars="189"/>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8.由违约方承担因违约给对方造成的诉讼费、保全费、保全保险费、律师代理费、差旅费等因处理纠纷产生的所有费用。</w:t>
      </w:r>
    </w:p>
    <w:p w14:paraId="004959B5">
      <w:pPr>
        <w:spacing w:line="520" w:lineRule="exact"/>
        <w:ind w:firstLine="562" w:firstLineChars="200"/>
        <w:rPr>
          <w:rStyle w:val="337"/>
          <w:rFonts w:ascii="仿宋" w:eastAsia="仿宋"/>
          <w:b/>
          <w:bCs/>
          <w:color w:val="000000" w:themeColor="text1"/>
          <w:sz w:val="28"/>
          <w:szCs w:val="28"/>
          <w:highlight w:val="none"/>
          <w14:textFill>
            <w14:solidFill>
              <w14:schemeClr w14:val="tx1"/>
            </w14:solidFill>
          </w14:textFill>
        </w:rPr>
      </w:pPr>
      <w:r>
        <w:rPr>
          <w:rStyle w:val="337"/>
          <w:rFonts w:ascii="仿宋" w:eastAsia="仿宋"/>
          <w:b/>
          <w:bCs/>
          <w:color w:val="000000" w:themeColor="text1"/>
          <w:sz w:val="28"/>
          <w:szCs w:val="28"/>
          <w:highlight w:val="none"/>
          <w14:textFill>
            <w14:solidFill>
              <w14:schemeClr w14:val="tx1"/>
            </w14:solidFill>
          </w14:textFill>
        </w:rPr>
        <w:t>十</w:t>
      </w:r>
      <w:r>
        <w:rPr>
          <w:rStyle w:val="337"/>
          <w:rFonts w:hint="eastAsia" w:ascii="仿宋" w:eastAsia="仿宋"/>
          <w:b/>
          <w:bCs/>
          <w:color w:val="000000" w:themeColor="text1"/>
          <w:sz w:val="28"/>
          <w:szCs w:val="28"/>
          <w:highlight w:val="none"/>
          <w14:textFill>
            <w14:solidFill>
              <w14:schemeClr w14:val="tx1"/>
            </w14:solidFill>
          </w14:textFill>
        </w:rPr>
        <w:t>三</w:t>
      </w:r>
      <w:r>
        <w:rPr>
          <w:rStyle w:val="337"/>
          <w:rFonts w:ascii="仿宋" w:eastAsia="仿宋"/>
          <w:b/>
          <w:bCs/>
          <w:color w:val="000000" w:themeColor="text1"/>
          <w:sz w:val="28"/>
          <w:szCs w:val="28"/>
          <w:highlight w:val="none"/>
          <w14:textFill>
            <w14:solidFill>
              <w14:schemeClr w14:val="tx1"/>
            </w14:solidFill>
          </w14:textFill>
        </w:rPr>
        <w:t>、争议解决</w:t>
      </w:r>
    </w:p>
    <w:p w14:paraId="0E3ED270">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1.合同执行期内，甲、乙双方均不得随意变更或解除合同。合同如有未尽事宜，须经双方共同协商，作出补充协议，补充协议与本合同具有同等效力。</w:t>
      </w:r>
    </w:p>
    <w:p w14:paraId="6F00F91C">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2.合同各方应通过友好协商，解决执行本合同中所发生的或与本合同有关的一切争议，如协商不成，甲、乙双方可向荣成市人民法院提起诉讼。</w:t>
      </w:r>
    </w:p>
    <w:p w14:paraId="1747D736">
      <w:pPr>
        <w:spacing w:line="520" w:lineRule="exact"/>
        <w:ind w:firstLine="560"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3.在诉讼期间，本合同无争议的部分应继续履行。</w:t>
      </w:r>
    </w:p>
    <w:p w14:paraId="5C76A7B6">
      <w:pPr>
        <w:spacing w:line="520" w:lineRule="exact"/>
        <w:ind w:firstLine="562" w:firstLineChars="200"/>
        <w:rPr>
          <w:rStyle w:val="337"/>
          <w:rFonts w:ascii="仿宋" w:eastAsia="仿宋"/>
          <w:b/>
          <w:bCs/>
          <w:color w:val="000000" w:themeColor="text1"/>
          <w:sz w:val="28"/>
          <w:szCs w:val="28"/>
          <w:highlight w:val="none"/>
          <w14:textFill>
            <w14:solidFill>
              <w14:schemeClr w14:val="tx1"/>
            </w14:solidFill>
          </w14:textFill>
        </w:rPr>
      </w:pPr>
      <w:r>
        <w:rPr>
          <w:rStyle w:val="337"/>
          <w:rFonts w:ascii="仿宋" w:eastAsia="仿宋"/>
          <w:b/>
          <w:bCs/>
          <w:color w:val="000000" w:themeColor="text1"/>
          <w:sz w:val="28"/>
          <w:szCs w:val="28"/>
          <w:highlight w:val="none"/>
          <w14:textFill>
            <w14:solidFill>
              <w14:schemeClr w14:val="tx1"/>
            </w14:solidFill>
          </w14:textFill>
        </w:rPr>
        <w:t>十</w:t>
      </w:r>
      <w:r>
        <w:rPr>
          <w:rStyle w:val="337"/>
          <w:rFonts w:hint="eastAsia" w:ascii="仿宋" w:eastAsia="仿宋"/>
          <w:b/>
          <w:bCs/>
          <w:color w:val="000000" w:themeColor="text1"/>
          <w:sz w:val="28"/>
          <w:szCs w:val="28"/>
          <w:highlight w:val="none"/>
          <w14:textFill>
            <w14:solidFill>
              <w14:schemeClr w14:val="tx1"/>
            </w14:solidFill>
          </w14:textFill>
        </w:rPr>
        <w:t>四</w:t>
      </w:r>
      <w:r>
        <w:rPr>
          <w:rStyle w:val="337"/>
          <w:rFonts w:ascii="仿宋" w:eastAsia="仿宋"/>
          <w:b/>
          <w:bCs/>
          <w:color w:val="000000" w:themeColor="text1"/>
          <w:sz w:val="28"/>
          <w:szCs w:val="28"/>
          <w:highlight w:val="none"/>
          <w14:textFill>
            <w14:solidFill>
              <w14:schemeClr w14:val="tx1"/>
            </w14:solidFill>
          </w14:textFill>
        </w:rPr>
        <w:t>、合同生效</w:t>
      </w:r>
    </w:p>
    <w:p w14:paraId="1C2514A3">
      <w:pPr>
        <w:pStyle w:val="404"/>
        <w:spacing w:line="520" w:lineRule="exact"/>
        <w:ind w:firstLine="567"/>
        <w:rPr>
          <w:rStyle w:val="337"/>
          <w:rFonts w:ascii="仿宋" w:eastAsia="仿宋"/>
          <w:color w:val="000000" w:themeColor="text1"/>
          <w:sz w:val="28"/>
          <w:szCs w:val="28"/>
          <w:highlight w:val="none"/>
          <w:shd w:val="pct10" w:color="auto" w:fill="FFFFFF"/>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本合同由各方代表签字并加盖各方公章或合同章及骑缝章后生效。。</w:t>
      </w:r>
    </w:p>
    <w:p w14:paraId="673666D0">
      <w:pPr>
        <w:spacing w:line="520" w:lineRule="exact"/>
        <w:ind w:firstLine="562" w:firstLineChars="200"/>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b/>
          <w:color w:val="000000" w:themeColor="text1"/>
          <w:sz w:val="28"/>
          <w:szCs w:val="28"/>
          <w:highlight w:val="none"/>
          <w14:textFill>
            <w14:solidFill>
              <w14:schemeClr w14:val="tx1"/>
            </w14:solidFill>
          </w14:textFill>
        </w:rPr>
        <w:t>十</w:t>
      </w:r>
      <w:r>
        <w:rPr>
          <w:rStyle w:val="337"/>
          <w:rFonts w:hint="eastAsia" w:ascii="仿宋" w:eastAsia="仿宋"/>
          <w:b/>
          <w:color w:val="000000" w:themeColor="text1"/>
          <w:sz w:val="28"/>
          <w:szCs w:val="28"/>
          <w:highlight w:val="none"/>
          <w14:textFill>
            <w14:solidFill>
              <w14:schemeClr w14:val="tx1"/>
            </w14:solidFill>
          </w14:textFill>
        </w:rPr>
        <w:t>五</w:t>
      </w:r>
      <w:r>
        <w:rPr>
          <w:rStyle w:val="337"/>
          <w:rFonts w:ascii="仿宋" w:eastAsia="仿宋"/>
          <w:b/>
          <w:color w:val="000000" w:themeColor="text1"/>
          <w:sz w:val="28"/>
          <w:szCs w:val="28"/>
          <w:highlight w:val="none"/>
          <w14:textFill>
            <w14:solidFill>
              <w14:schemeClr w14:val="tx1"/>
            </w14:solidFill>
          </w14:textFill>
        </w:rPr>
        <w:t>、签约地点：</w:t>
      </w:r>
      <w:r>
        <w:rPr>
          <w:rStyle w:val="337"/>
          <w:rFonts w:ascii="仿宋" w:eastAsia="仿宋"/>
          <w:color w:val="000000" w:themeColor="text1"/>
          <w:sz w:val="28"/>
          <w:szCs w:val="28"/>
          <w:highlight w:val="none"/>
          <w14:textFill>
            <w14:solidFill>
              <w14:schemeClr w14:val="tx1"/>
            </w14:solidFill>
          </w14:textFill>
        </w:rPr>
        <w:t>山东省荣成市。</w:t>
      </w:r>
    </w:p>
    <w:p w14:paraId="4F25100B">
      <w:pPr>
        <w:spacing w:line="360" w:lineRule="exact"/>
        <w:ind w:firstLine="700" w:firstLineChars="250"/>
        <w:rPr>
          <w:rStyle w:val="337"/>
          <w:rFonts w:ascii="仿宋" w:eastAsia="仿宋"/>
          <w:color w:val="000000" w:themeColor="text1"/>
          <w:sz w:val="28"/>
          <w:szCs w:val="28"/>
          <w:highlight w:val="none"/>
          <w14:textFill>
            <w14:solidFill>
              <w14:schemeClr w14:val="tx1"/>
            </w14:solidFill>
          </w14:textFill>
        </w:rPr>
      </w:pPr>
    </w:p>
    <w:p w14:paraId="61ECD413">
      <w:pPr>
        <w:spacing w:line="360" w:lineRule="exact"/>
        <w:rPr>
          <w:rStyle w:val="337"/>
          <w:rFonts w:ascii="仿宋" w:eastAsia="仿宋"/>
          <w:color w:val="000000" w:themeColor="text1"/>
          <w:sz w:val="28"/>
          <w:szCs w:val="28"/>
          <w:highlight w:val="none"/>
          <w14:textFill>
            <w14:solidFill>
              <w14:schemeClr w14:val="tx1"/>
            </w14:solidFill>
          </w14:textFill>
        </w:rPr>
      </w:pPr>
    </w:p>
    <w:p w14:paraId="29B75A9C">
      <w:pPr>
        <w:spacing w:line="360" w:lineRule="exact"/>
        <w:ind w:firstLine="700" w:firstLineChars="250"/>
        <w:rPr>
          <w:rStyle w:val="337"/>
          <w:rFonts w:ascii="仿宋" w:eastAsia="仿宋"/>
          <w:color w:val="000000" w:themeColor="text1"/>
          <w:sz w:val="28"/>
          <w:szCs w:val="28"/>
          <w:highlight w:val="none"/>
          <w14:textFill>
            <w14:solidFill>
              <w14:schemeClr w14:val="tx1"/>
            </w14:solidFill>
          </w14:textFill>
        </w:rPr>
      </w:pPr>
    </w:p>
    <w:p w14:paraId="788EC2F8">
      <w:pPr>
        <w:spacing w:line="360" w:lineRule="exact"/>
        <w:rPr>
          <w:rStyle w:val="337"/>
          <w:rFonts w:hint="eastAsia" w:ascii="仿宋" w:eastAsia="仿宋"/>
          <w:color w:val="000000" w:themeColor="text1"/>
          <w:sz w:val="28"/>
          <w:szCs w:val="28"/>
          <w:highlight w:val="none"/>
          <w:lang w:eastAsia="zh-CN"/>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甲    方：</w:t>
      </w:r>
      <w:r>
        <w:rPr>
          <w:rFonts w:hint="eastAsia" w:ascii="仿宋" w:eastAsia="仿宋"/>
          <w:color w:val="000000" w:themeColor="text1"/>
          <w:sz w:val="28"/>
          <w:szCs w:val="28"/>
          <w:highlight w:val="none"/>
          <w:lang w:eastAsia="zh-CN"/>
          <w14:textFill>
            <w14:solidFill>
              <w14:schemeClr w14:val="tx1"/>
            </w14:solidFill>
          </w14:textFill>
        </w:rPr>
        <w:t>荣成市土地发展集团有限公司</w:t>
      </w:r>
    </w:p>
    <w:p w14:paraId="7E172241">
      <w:pPr>
        <w:spacing w:line="360" w:lineRule="exact"/>
        <w:rPr>
          <w:rStyle w:val="337"/>
          <w:rFonts w:ascii="仿宋" w:eastAsia="仿宋"/>
          <w:color w:val="000000" w:themeColor="text1"/>
          <w:sz w:val="28"/>
          <w:szCs w:val="28"/>
          <w:highlight w:val="none"/>
          <w14:textFill>
            <w14:solidFill>
              <w14:schemeClr w14:val="tx1"/>
            </w14:solidFill>
          </w14:textFill>
        </w:rPr>
      </w:pPr>
    </w:p>
    <w:p w14:paraId="22ADF250">
      <w:pPr>
        <w:spacing w:line="360" w:lineRule="exac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单位盖章：</w:t>
      </w:r>
    </w:p>
    <w:p w14:paraId="5C3A7F30">
      <w:pPr>
        <w:spacing w:line="360" w:lineRule="exact"/>
        <w:rPr>
          <w:rStyle w:val="337"/>
          <w:rFonts w:ascii="仿宋" w:eastAsia="仿宋"/>
          <w:color w:val="000000" w:themeColor="text1"/>
          <w:sz w:val="28"/>
          <w:szCs w:val="28"/>
          <w:highlight w:val="none"/>
          <w14:textFill>
            <w14:solidFill>
              <w14:schemeClr w14:val="tx1"/>
            </w14:solidFill>
          </w14:textFill>
        </w:rPr>
      </w:pPr>
    </w:p>
    <w:p w14:paraId="33A53104">
      <w:pPr>
        <w:spacing w:line="360" w:lineRule="exac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代表签字：</w:t>
      </w:r>
    </w:p>
    <w:p w14:paraId="52B75CC9">
      <w:pPr>
        <w:spacing w:line="360" w:lineRule="exact"/>
        <w:rPr>
          <w:rStyle w:val="337"/>
          <w:rFonts w:ascii="仿宋" w:eastAsia="仿宋"/>
          <w:color w:val="000000" w:themeColor="text1"/>
          <w:sz w:val="28"/>
          <w:szCs w:val="28"/>
          <w:highlight w:val="none"/>
          <w14:textFill>
            <w14:solidFill>
              <w14:schemeClr w14:val="tx1"/>
            </w14:solidFill>
          </w14:textFill>
        </w:rPr>
      </w:pPr>
    </w:p>
    <w:p w14:paraId="0B67B282">
      <w:pPr>
        <w:spacing w:line="360" w:lineRule="exact"/>
        <w:rPr>
          <w:rStyle w:val="337"/>
          <w:rFonts w:ascii="仿宋" w:eastAsia="仿宋"/>
          <w:color w:val="000000" w:themeColor="text1"/>
          <w:sz w:val="28"/>
          <w:szCs w:val="28"/>
          <w:highlight w:val="none"/>
          <w14:textFill>
            <w14:solidFill>
              <w14:schemeClr w14:val="tx1"/>
            </w14:solidFill>
          </w14:textFill>
        </w:rPr>
      </w:pPr>
    </w:p>
    <w:p w14:paraId="0D677B82">
      <w:pPr>
        <w:spacing w:line="360" w:lineRule="exact"/>
        <w:rPr>
          <w:rStyle w:val="337"/>
          <w:rFonts w:ascii="仿宋" w:eastAsia="仿宋"/>
          <w:b/>
          <w:bCs/>
          <w:color w:val="000000" w:themeColor="text1"/>
          <w:sz w:val="28"/>
          <w:szCs w:val="28"/>
          <w:highlight w:val="none"/>
          <w:shd w:val="pct10" w:color="auto" w:fill="FFFFFF"/>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乙    方：</w:t>
      </w:r>
      <w:r>
        <w:rPr>
          <w:rStyle w:val="337"/>
          <w:rFonts w:hint="eastAsia" w:ascii="仿宋" w:eastAsia="仿宋"/>
          <w:color w:val="000000" w:themeColor="text1"/>
          <w:sz w:val="28"/>
          <w:szCs w:val="28"/>
          <w:highlight w:val="none"/>
          <w14:textFill>
            <w14:solidFill>
              <w14:schemeClr w14:val="tx1"/>
            </w14:solidFill>
          </w14:textFill>
        </w:rPr>
        <w:t>中标人</w:t>
      </w:r>
    </w:p>
    <w:p w14:paraId="34940E6C">
      <w:pPr>
        <w:pStyle w:val="404"/>
        <w:spacing w:line="360" w:lineRule="exact"/>
        <w:rPr>
          <w:rStyle w:val="337"/>
          <w:rFonts w:ascii="仿宋" w:eastAsia="仿宋"/>
          <w:color w:val="000000" w:themeColor="text1"/>
          <w:sz w:val="28"/>
          <w:szCs w:val="28"/>
          <w:highlight w:val="none"/>
          <w14:textFill>
            <w14:solidFill>
              <w14:schemeClr w14:val="tx1"/>
            </w14:solidFill>
          </w14:textFill>
        </w:rPr>
      </w:pPr>
    </w:p>
    <w:p w14:paraId="671C0893">
      <w:pPr>
        <w:pStyle w:val="404"/>
        <w:spacing w:line="360" w:lineRule="exact"/>
        <w:rPr>
          <w:rStyle w:val="337"/>
          <w:rFonts w:ascii="仿宋" w:eastAsia="仿宋"/>
          <w:color w:val="000000" w:themeColor="text1"/>
          <w:sz w:val="28"/>
          <w:szCs w:val="28"/>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 xml:space="preserve">单位盖章: </w:t>
      </w:r>
    </w:p>
    <w:p w14:paraId="78BCAAAD">
      <w:pPr>
        <w:pStyle w:val="404"/>
        <w:spacing w:line="360" w:lineRule="exact"/>
        <w:rPr>
          <w:rStyle w:val="337"/>
          <w:rFonts w:ascii="仿宋" w:eastAsia="仿宋"/>
          <w:color w:val="000000" w:themeColor="text1"/>
          <w:sz w:val="28"/>
          <w:szCs w:val="28"/>
          <w:highlight w:val="none"/>
          <w14:textFill>
            <w14:solidFill>
              <w14:schemeClr w14:val="tx1"/>
            </w14:solidFill>
          </w14:textFill>
        </w:rPr>
      </w:pPr>
    </w:p>
    <w:p w14:paraId="06361D48">
      <w:pPr>
        <w:pStyle w:val="13"/>
        <w:ind w:firstLine="0"/>
        <w:rPr>
          <w:rFonts w:ascii="仿宋" w:hAnsi="仿宋" w:eastAsia="仿宋"/>
          <w:color w:val="000000" w:themeColor="text1"/>
          <w:highlight w:val="none"/>
          <w14:textFill>
            <w14:solidFill>
              <w14:schemeClr w14:val="tx1"/>
            </w14:solidFill>
          </w14:textFill>
        </w:rPr>
      </w:pPr>
      <w:r>
        <w:rPr>
          <w:rStyle w:val="337"/>
          <w:rFonts w:ascii="仿宋" w:eastAsia="仿宋"/>
          <w:color w:val="000000" w:themeColor="text1"/>
          <w:sz w:val="28"/>
          <w:szCs w:val="28"/>
          <w:highlight w:val="none"/>
          <w14:textFill>
            <w14:solidFill>
              <w14:schemeClr w14:val="tx1"/>
            </w14:solidFill>
          </w14:textFill>
        </w:rPr>
        <w:t>代表签字:</w:t>
      </w:r>
    </w:p>
    <w:p w14:paraId="2C7CBFDA">
      <w:pPr>
        <w:pStyle w:val="13"/>
        <w:rPr>
          <w:rFonts w:ascii="仿宋" w:hAnsi="仿宋" w:eastAsia="仿宋"/>
          <w:color w:val="000000" w:themeColor="text1"/>
          <w:highlight w:val="none"/>
          <w14:textFill>
            <w14:solidFill>
              <w14:schemeClr w14:val="tx1"/>
            </w14:solidFill>
          </w14:textFill>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EAB69240-1A62-4161-AEAD-A358200A3E9B}"/>
  </w:font>
  <w:font w:name="Courier New">
    <w:panose1 w:val="02070309020205020404"/>
    <w:charset w:val="01"/>
    <w:family w:val="modern"/>
    <w:pitch w:val="default"/>
    <w:sig w:usb0="E0002EFF" w:usb1="C0007843" w:usb2="00000009" w:usb3="00000000" w:csb0="400001FF" w:csb1="FFFF0000"/>
    <w:embedRegular r:id="rId2" w:fontKey="{1818EE24-5373-4A8D-9BD0-88CB9B0E224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BB7EDF1C-A669-43C8-BE5A-92DA8151D5F6}"/>
  </w:font>
  <w:font w:name="Cambria">
    <w:panose1 w:val="02040503050406030204"/>
    <w:charset w:val="00"/>
    <w:family w:val="roman"/>
    <w:pitch w:val="default"/>
    <w:sig w:usb0="E00006FF" w:usb1="420024FF" w:usb2="02000000" w:usb3="00000000" w:csb0="2000019F" w:csb1="00000000"/>
    <w:embedRegular r:id="rId4" w:fontKey="{8867AA48-EE2E-439C-B1ED-6DC06306B6E0}"/>
  </w:font>
  <w:font w:name="等线">
    <w:panose1 w:val="02010600030101010101"/>
    <w:charset w:val="86"/>
    <w:family w:val="auto"/>
    <w:pitch w:val="default"/>
    <w:sig w:usb0="A00002BF" w:usb1="38CF7CFA" w:usb2="00000016" w:usb3="00000000" w:csb0="0004000F" w:csb1="00000000"/>
  </w:font>
  <w:font w:name="创艺繁楷体">
    <w:altName w:val="宋体"/>
    <w:panose1 w:val="00000000000000000000"/>
    <w:charset w:val="86"/>
    <w:family w:val="auto"/>
    <w:pitch w:val="default"/>
    <w:sig w:usb0="00000000" w:usb1="00000000" w:usb2="00000010" w:usb3="00000000" w:csb0="00040000" w:csb1="00000000"/>
  </w:font>
  <w:font w:name="楷体_GB2312">
    <w:panose1 w:val="02010609030101010101"/>
    <w:charset w:val="86"/>
    <w:family w:val="modern"/>
    <w:pitch w:val="default"/>
    <w:sig w:usb0="00000001" w:usb1="080E0000" w:usb2="00000000" w:usb3="00000000" w:csb0="00040000" w:csb1="00000000"/>
    <w:embedRegular r:id="rId5" w:fontKey="{3055E630-AE0B-4190-9530-8C0D6592E711}"/>
  </w:font>
  <w:font w:name="方正楷体简体">
    <w:altName w:val="楷体_GB2312"/>
    <w:panose1 w:val="02000000000000000000"/>
    <w:charset w:val="86"/>
    <w:family w:val="script"/>
    <w:pitch w:val="default"/>
    <w:sig w:usb0="00000000" w:usb1="00000000" w:usb2="00000012" w:usb3="00000000" w:csb0="00040001" w:csb1="00000000"/>
  </w:font>
  <w:font w:name="等线 Light">
    <w:panose1 w:val="02010600030101010101"/>
    <w:charset w:val="86"/>
    <w:family w:val="auto"/>
    <w:pitch w:val="default"/>
    <w:sig w:usb0="A00002BF" w:usb1="38CF7CFA" w:usb2="00000016" w:usb3="00000000" w:csb0="0004000F" w:csb1="00000000"/>
  </w:font>
  <w:font w:name="Microsoft YaHei UI">
    <w:panose1 w:val="020B0503020204020204"/>
    <w:charset w:val="86"/>
    <w:family w:val="swiss"/>
    <w:pitch w:val="default"/>
    <w:sig w:usb0="80000287" w:usb1="2ACF3C50" w:usb2="00000016" w:usb3="00000000" w:csb0="0004001F" w:csb1="00000000"/>
  </w:font>
  <w:font w:name="仿宋_GB2312">
    <w:panose1 w:val="02010609030101010101"/>
    <w:charset w:val="86"/>
    <w:family w:val="modern"/>
    <w:pitch w:val="default"/>
    <w:sig w:usb0="00000001" w:usb1="080E0000" w:usb2="00000000" w:usb3="00000000" w:csb0="00040000" w:csb1="00000000"/>
    <w:embedRegular r:id="rId6" w:fontKey="{60161592-5C4F-4568-8A51-1A9B1B771582}"/>
  </w:font>
  <w:font w:name="方正小标宋简体">
    <w:panose1 w:val="03000509000000000000"/>
    <w:charset w:val="86"/>
    <w:family w:val="script"/>
    <w:pitch w:val="default"/>
    <w:sig w:usb0="00000001" w:usb1="080E0000" w:usb2="00000000" w:usb3="00000000" w:csb0="00040000" w:csb1="00000000"/>
    <w:embedRegular r:id="rId7" w:fontKey="{CB78FEF6-FD51-4959-AAAA-86E94391DCAF}"/>
  </w:font>
  <w:font w:name="Arial Unicode MS">
    <w:panose1 w:val="020B0604020202020204"/>
    <w:charset w:val="86"/>
    <w:family w:val="roman"/>
    <w:pitch w:val="default"/>
    <w:sig w:usb0="FFFFFFFF" w:usb1="E9FFFFFF" w:usb2="0000003F" w:usb3="00000000" w:csb0="603F01FF" w:csb1="FFFF0000"/>
  </w:font>
  <w:font w:name="华文细黑">
    <w:panose1 w:val="02010600040101010101"/>
    <w:charset w:val="86"/>
    <w:family w:val="auto"/>
    <w:pitch w:val="default"/>
    <w:sig w:usb0="00000287" w:usb1="080F0000" w:usb2="00000000" w:usb3="00000000" w:csb0="0004009F" w:csb1="DFD70000"/>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ˎ̥">
    <w:altName w:val="Times New Roman"/>
    <w:panose1 w:val="00000000000000000000"/>
    <w:charset w:val="00"/>
    <w:family w:val="roman"/>
    <w:pitch w:val="default"/>
    <w:sig w:usb0="00000000" w:usb1="00000000" w:usb2="00000000" w:usb3="00000000" w:csb0="00040001" w:csb1="00000000"/>
  </w:font>
  <w:font w:name="华文中宋">
    <w:panose1 w:val="02010600040101010101"/>
    <w:charset w:val="86"/>
    <w:family w:val="auto"/>
    <w:pitch w:val="default"/>
    <w:sig w:usb0="00000287" w:usb1="080F0000" w:usb2="00000000" w:usb3="00000000" w:csb0="0004009F" w:csb1="DFD70000"/>
  </w:font>
  <w:font w:name="Arial Narrow">
    <w:panose1 w:val="020B0606020202030204"/>
    <w:charset w:val="00"/>
    <w:family w:val="swiss"/>
    <w:pitch w:val="default"/>
    <w:sig w:usb0="00000287" w:usb1="00000800" w:usb2="00000000" w:usb3="00000000" w:csb0="2000009F" w:csb1="DFD70000"/>
  </w:font>
  <w:font w:name="MetaPlusLF">
    <w:altName w:val="Georgia"/>
    <w:panose1 w:val="00000000000000000000"/>
    <w:charset w:val="00"/>
    <w:family w:val="auto"/>
    <w:pitch w:val="default"/>
    <w:sig w:usb0="00000000" w:usb1="00000000" w:usb2="00000000" w:usb3="00000000" w:csb0="00000001" w:csb1="00000000"/>
  </w:font>
  <w:font w:name="Georgia">
    <w:panose1 w:val="02040502050405020303"/>
    <w:charset w:val="00"/>
    <w:family w:val="auto"/>
    <w:pitch w:val="default"/>
    <w:sig w:usb0="00000287" w:usb1="00000000" w:usb2="00000000" w:usb3="00000000" w:csb0="2000009F" w:csb1="00000000"/>
  </w:font>
  <w:font w:name="华文仿宋">
    <w:panose1 w:val="02010600040101010101"/>
    <w:charset w:val="86"/>
    <w:family w:val="auto"/>
    <w:pitch w:val="default"/>
    <w:sig w:usb0="00000287" w:usb1="080F0000" w:usb2="00000000" w:usb3="00000000" w:csb0="0004009F" w:csb1="DFD70000"/>
  </w:font>
  <w:font w:name="Helvetica">
    <w:panose1 w:val="020B0504020202030204"/>
    <w:charset w:val="00"/>
    <w:family w:val="swiss"/>
    <w:pitch w:val="default"/>
    <w:sig w:usb0="00000007" w:usb1="00000000" w:usb2="00000000" w:usb3="00000000" w:csb0="00000093" w:csb1="00000000"/>
  </w:font>
  <w:font w:name="Consolas">
    <w:panose1 w:val="020B0609020204030204"/>
    <w:charset w:val="00"/>
    <w:family w:val="modern"/>
    <w:pitch w:val="default"/>
    <w:sig w:usb0="E00006FF" w:usb1="0000FCFF" w:usb2="00000001" w:usb3="00000000" w:csb0="6000019F" w:csb1="DFD70000"/>
  </w:font>
  <w:font w:name="方正中等线简体">
    <w:altName w:val="宋体"/>
    <w:panose1 w:val="00000000000000000000"/>
    <w:charset w:val="86"/>
    <w:family w:val="auto"/>
    <w:pitch w:val="default"/>
    <w:sig w:usb0="00000000" w:usb1="00000000" w:usb2="00000000" w:usb3="00000000" w:csb0="00040000" w:csb1="00000000"/>
  </w:font>
  <w:font w:name="MingLiU">
    <w:altName w:val="PMingLiU-ExtB"/>
    <w:panose1 w:val="02010609000101010101"/>
    <w:charset w:val="88"/>
    <w:family w:val="modern"/>
    <w:pitch w:val="default"/>
    <w:sig w:usb0="00000000" w:usb1="00000000" w:usb2="00000010" w:usb3="00000000" w:csb0="00100000" w:csb1="00000000"/>
  </w:font>
  <w:font w:name="PMingLiU-ExtB">
    <w:panose1 w:val="02020500000000000000"/>
    <w:charset w:val="88"/>
    <w:family w:val="auto"/>
    <w:pitch w:val="default"/>
    <w:sig w:usb0="8000002F" w:usb1="02000008" w:usb2="00000000" w:usb3="00000000" w:csb0="00100001" w:csb1="00000000"/>
  </w:font>
  <w:font w:name="仿宋">
    <w:panose1 w:val="02010609060101010101"/>
    <w:charset w:val="86"/>
    <w:family w:val="modern"/>
    <w:pitch w:val="default"/>
    <w:sig w:usb0="800002BF" w:usb1="38CF7CFA" w:usb2="00000016" w:usb3="00000000" w:csb0="00040001" w:csb1="00000000"/>
    <w:embedRegular r:id="rId8" w:fontKey="{E2F432E6-E8B8-4583-8AD8-1C7CB03A511F}"/>
  </w:font>
  <w:font w:name="微软雅黑">
    <w:panose1 w:val="020B0503020204020204"/>
    <w:charset w:val="86"/>
    <w:family w:val="auto"/>
    <w:pitch w:val="default"/>
    <w:sig w:usb0="80000287" w:usb1="2ACF3C50" w:usb2="00000016" w:usb3="00000000" w:csb0="0004001F" w:csb1="00000000"/>
    <w:embedRegular r:id="rId9" w:fontKey="{C557B401-4F34-43D9-9FD9-CAE3BB349BB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589814"/>
    </w:sdtPr>
    <w:sdtContent>
      <w:p w14:paraId="5F37066C">
        <w:pPr>
          <w:pStyle w:val="29"/>
          <w:jc w:val="center"/>
        </w:pPr>
        <w:r>
          <w:fldChar w:fldCharType="begin"/>
        </w:r>
        <w:r>
          <w:instrText xml:space="preserve"> PAGE   \* MERGEFORMAT </w:instrText>
        </w:r>
        <w:r>
          <w:fldChar w:fldCharType="separate"/>
        </w:r>
        <w:r>
          <w:rPr>
            <w:lang w:val="zh-CN"/>
          </w:rPr>
          <w:t>2</w:t>
        </w:r>
        <w:r>
          <w:rPr>
            <w:lang w:val="zh-CN"/>
          </w:rPr>
          <w:fldChar w:fldCharType="end"/>
        </w:r>
      </w:p>
    </w:sdtContent>
  </w:sdt>
  <w:p w14:paraId="6151BF49">
    <w:pPr>
      <w:pStyle w:val="29"/>
      <w:pBdr>
        <w:top w:val="single" w:color="auto" w:sz="4" w:space="1"/>
      </w:pBdr>
      <w:spacing w:beforeLines="50"/>
      <w:jc w:val="center"/>
      <w:rPr>
        <w:sz w:val="21"/>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8C9F6E">
    <w:pPr>
      <w:jc w:val="center"/>
    </w:pPr>
    <w:r>
      <w:fldChar w:fldCharType="begin"/>
    </w:r>
    <w:r>
      <w:instrText xml:space="preserve"> PAGE   \* MERGEFORMAT </w:instrText>
    </w:r>
    <w:r>
      <w:fldChar w:fldCharType="separate"/>
    </w:r>
    <w:r>
      <w:t>8</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45AD73">
    <w:pPr>
      <w:jc w:val="center"/>
    </w:pPr>
    <w:r>
      <w:fldChar w:fldCharType="begin"/>
    </w:r>
    <w:r>
      <w:instrText xml:space="preserve"> PAGE   \* MERGEFORMAT </w:instrText>
    </w:r>
    <w:r>
      <w:fldChar w:fldCharType="separate"/>
    </w:r>
    <w:r>
      <w:t>12</w:t>
    </w:r>
    <w:r>
      <w:rPr>
        <w:lang w:val="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A353FA">
    <w:pPr>
      <w:rPr>
        <w:rFonts w:ascii="宋体" w:hAnsi="宋体"/>
        <w:b/>
        <w:bCs/>
      </w:rPr>
    </w:pPr>
    <w:r>
      <w:rPr>
        <w:rFonts w:hint="eastAsia" w:ascii="宋体" w:hAnsi="宋体"/>
        <w:bCs/>
      </w:rPr>
      <w:t>湖北省政府采购中心编制</w:t>
    </w:r>
    <w:r>
      <w:rPr>
        <w:rFonts w:ascii="宋体" w:hAnsi="宋体"/>
        <w:bCs/>
      </w:rPr>
      <w:t>V3.0.2017.0930</w:t>
    </w:r>
  </w:p>
  <w:p w14:paraId="0776A4F3">
    <w:pPr>
      <w:jc w:val="center"/>
      <w:rPr>
        <w:rFonts w:ascii="宋体" w:hAnsi="宋体"/>
      </w:rPr>
    </w:pPr>
    <w:r>
      <w:rPr>
        <w:rFonts w:ascii="宋体" w:hAnsi="宋体"/>
        <w:b/>
        <w:bCs/>
      </w:rPr>
      <w:fldChar w:fldCharType="begin"/>
    </w:r>
    <w:r>
      <w:rPr>
        <w:rFonts w:ascii="宋体" w:hAnsi="宋体"/>
        <w:b/>
        <w:bCs/>
      </w:rPr>
      <w:instrText xml:space="preserve">PAGE</w:instrText>
    </w:r>
    <w:r>
      <w:rPr>
        <w:rFonts w:ascii="宋体" w:hAnsi="宋体"/>
        <w:b/>
        <w:bCs/>
      </w:rPr>
      <w:fldChar w:fldCharType="separate"/>
    </w:r>
    <w:r>
      <w:rPr>
        <w:rFonts w:ascii="宋体" w:hAnsi="宋体"/>
        <w:b/>
        <w:bCs/>
      </w:rPr>
      <w:t>22</w:t>
    </w:r>
    <w:r>
      <w:rPr>
        <w:rFonts w:ascii="宋体" w:hAnsi="宋体"/>
        <w:b/>
        <w:bCs/>
      </w:rPr>
      <w:fldChar w:fldCharType="end"/>
    </w:r>
    <w:r>
      <w:rPr>
        <w:rFonts w:ascii="宋体" w:hAnsi="宋体"/>
        <w:b/>
        <w:lang w:val="zh-CN"/>
      </w:rPr>
      <w:t xml:space="preserve">/ </w:t>
    </w:r>
    <w:r>
      <w:rPr>
        <w:rFonts w:ascii="宋体" w:hAnsi="宋体"/>
        <w:b/>
        <w:bCs/>
      </w:rPr>
      <w:fldChar w:fldCharType="begin"/>
    </w:r>
    <w:r>
      <w:rPr>
        <w:rFonts w:ascii="宋体" w:hAnsi="宋体"/>
        <w:b/>
        <w:bCs/>
      </w:rPr>
      <w:instrText xml:space="preserve">NUMPAGES</w:instrText>
    </w:r>
    <w:r>
      <w:rPr>
        <w:rFonts w:ascii="宋体" w:hAnsi="宋体"/>
        <w:b/>
        <w:bCs/>
      </w:rPr>
      <w:fldChar w:fldCharType="separate"/>
    </w:r>
    <w:r>
      <w:rPr>
        <w:rFonts w:ascii="宋体" w:hAnsi="宋体"/>
        <w:b/>
        <w:bCs/>
      </w:rPr>
      <w:t>60</w:t>
    </w:r>
    <w:r>
      <w:rPr>
        <w:rFonts w:ascii="宋体" w:hAnsi="宋体"/>
        <w:b/>
        <w:bCs/>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FBC695">
    <w:pPr>
      <w:pStyle w:val="30"/>
    </w:pPr>
    <w:r>
      <w:fldChar w:fldCharType="begin"/>
    </w:r>
    <w:r>
      <w:instrText xml:space="preserve">PAGE   \* MERGEFORMAT</w:instrText>
    </w:r>
    <w:r>
      <w:fldChar w:fldCharType="separate"/>
    </w:r>
    <w:r>
      <w:t>89</w:t>
    </w:r>
    <w:r>
      <w:rPr>
        <w:lang w:val="zh-CN"/>
      </w:rPr>
      <w:fldChar w:fldCharType="end"/>
    </w:r>
  </w:p>
  <w:p w14:paraId="66319192">
    <w:pPr>
      <w:pStyle w:val="18"/>
      <w:spacing w:line="14" w:lineRule="auto"/>
      <w:jc w:val="center"/>
      <w:rPr>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68352">
    <w:pPr>
      <w:jc w:val="center"/>
    </w:pPr>
    <w:r>
      <w:fldChar w:fldCharType="begin"/>
    </w:r>
    <w:r>
      <w:instrText xml:space="preserve"> PAGE   \* MERGEFORMAT </w:instrText>
    </w:r>
    <w:r>
      <w:fldChar w:fldCharType="separate"/>
    </w:r>
    <w:r>
      <w:t>90</w:t>
    </w:r>
    <w:r>
      <w:rPr>
        <w:lang w:val="zh-CN"/>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10AF37">
    <w:pPr>
      <w:pStyle w:val="29"/>
      <w:framePr w:wrap="around" w:vAnchor="text" w:hAnchor="margin" w:xAlign="center" w:y="1"/>
      <w:rPr>
        <w:rStyle w:val="51"/>
      </w:rPr>
    </w:pPr>
    <w:r>
      <w:fldChar w:fldCharType="begin"/>
    </w:r>
    <w:r>
      <w:rPr>
        <w:rStyle w:val="51"/>
      </w:rPr>
      <w:instrText xml:space="preserve">PAGE  </w:instrText>
    </w:r>
    <w:r>
      <w:fldChar w:fldCharType="separate"/>
    </w:r>
    <w:r>
      <w:rPr>
        <w:rStyle w:val="51"/>
      </w:rPr>
      <w:t>94</w:t>
    </w:r>
    <w:r>
      <w:fldChar w:fldCharType="end"/>
    </w:r>
  </w:p>
  <w:p w14:paraId="233A8C61">
    <w:pPr>
      <w:pStyle w:val="29"/>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D1703B">
    <w:pPr>
      <w:pStyle w:val="30"/>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4B07DA">
    <w:r>
      <w:c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992F7E">
    <w:r>
      <w:cr/>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6DDA85">
    <w:pPr>
      <w:pStyle w:val="18"/>
      <w:jc w:val="left"/>
      <w:rPr>
        <w:rFonts w:ascii="宋体" w:hAnsi="宋体"/>
        <w:b/>
      </w:rPr>
    </w:pPr>
    <w:r>
      <w:rPr>
        <w:rFonts w:hint="eastAsia" w:ascii="宋体" w:hAnsi="宋体"/>
        <w:b/>
      </w:rPr>
      <w:t>项目名称：XXXXXXXXXXXX项目</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82BC45">
    <w:pPr>
      <w:pStyle w:val="3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E0C209">
    <w:r>
      <w:c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2"/>
    <w:multiLevelType w:val="multilevel"/>
    <w:tmpl w:val="00000002"/>
    <w:lvl w:ilvl="0" w:tentative="0">
      <w:start w:val="1"/>
      <w:numFmt w:val="bullet"/>
      <w:pStyle w:val="323"/>
      <w:lvlText w:val=""/>
      <w:lvlJc w:val="left"/>
      <w:pPr>
        <w:tabs>
          <w:tab w:val="left" w:pos="840"/>
        </w:tabs>
        <w:ind w:left="840" w:hanging="420"/>
      </w:pPr>
      <w:rPr>
        <w:rFonts w:hint="default" w:ascii="Wingdings" w:hAnsi="Wingdings" w:cs="Wingdings"/>
        <w:color w:val="auto"/>
      </w:rPr>
    </w:lvl>
    <w:lvl w:ilvl="1" w:tentative="0">
      <w:start w:val="1"/>
      <w:numFmt w:val="bullet"/>
      <w:lvlText w:val=""/>
      <w:lvlJc w:val="left"/>
      <w:pPr>
        <w:tabs>
          <w:tab w:val="left" w:pos="1260"/>
        </w:tabs>
        <w:ind w:left="1260" w:hanging="420"/>
      </w:pPr>
      <w:rPr>
        <w:rFonts w:hint="default" w:ascii="Wingdings" w:hAnsi="Wingdings" w:cs="Wingdings"/>
      </w:rPr>
    </w:lvl>
    <w:lvl w:ilvl="2" w:tentative="0">
      <w:start w:val="1"/>
      <w:numFmt w:val="bullet"/>
      <w:lvlText w:val=""/>
      <w:lvlJc w:val="left"/>
      <w:pPr>
        <w:tabs>
          <w:tab w:val="left" w:pos="1680"/>
        </w:tabs>
        <w:ind w:left="1680" w:hanging="420"/>
      </w:pPr>
      <w:rPr>
        <w:rFonts w:hint="default" w:ascii="Wingdings" w:hAnsi="Wingdings" w:cs="Wingdings"/>
      </w:rPr>
    </w:lvl>
    <w:lvl w:ilvl="3" w:tentative="0">
      <w:start w:val="1"/>
      <w:numFmt w:val="bullet"/>
      <w:lvlText w:val=""/>
      <w:lvlJc w:val="left"/>
      <w:pPr>
        <w:tabs>
          <w:tab w:val="left" w:pos="2100"/>
        </w:tabs>
        <w:ind w:left="2100" w:hanging="420"/>
      </w:pPr>
      <w:rPr>
        <w:rFonts w:hint="default" w:ascii="Wingdings" w:hAnsi="Wingdings" w:cs="Wingdings"/>
      </w:rPr>
    </w:lvl>
    <w:lvl w:ilvl="4" w:tentative="0">
      <w:start w:val="1"/>
      <w:numFmt w:val="bullet"/>
      <w:lvlText w:val=""/>
      <w:lvlJc w:val="left"/>
      <w:pPr>
        <w:tabs>
          <w:tab w:val="left" w:pos="2520"/>
        </w:tabs>
        <w:ind w:left="2520" w:hanging="420"/>
      </w:pPr>
      <w:rPr>
        <w:rFonts w:hint="default" w:ascii="Wingdings" w:hAnsi="Wingdings" w:cs="Wingdings"/>
      </w:rPr>
    </w:lvl>
    <w:lvl w:ilvl="5" w:tentative="0">
      <w:start w:val="1"/>
      <w:numFmt w:val="bullet"/>
      <w:lvlText w:val=""/>
      <w:lvlJc w:val="left"/>
      <w:pPr>
        <w:tabs>
          <w:tab w:val="left" w:pos="2940"/>
        </w:tabs>
        <w:ind w:left="2940" w:hanging="420"/>
      </w:pPr>
      <w:rPr>
        <w:rFonts w:hint="default" w:ascii="Wingdings" w:hAnsi="Wingdings" w:cs="Wingdings"/>
      </w:rPr>
    </w:lvl>
    <w:lvl w:ilvl="6" w:tentative="0">
      <w:start w:val="1"/>
      <w:numFmt w:val="bullet"/>
      <w:lvlText w:val=""/>
      <w:lvlJc w:val="left"/>
      <w:pPr>
        <w:tabs>
          <w:tab w:val="left" w:pos="3360"/>
        </w:tabs>
        <w:ind w:left="3360" w:hanging="420"/>
      </w:pPr>
      <w:rPr>
        <w:rFonts w:hint="default" w:ascii="Wingdings" w:hAnsi="Wingdings" w:cs="Wingdings"/>
      </w:rPr>
    </w:lvl>
    <w:lvl w:ilvl="7" w:tentative="0">
      <w:start w:val="1"/>
      <w:numFmt w:val="bullet"/>
      <w:lvlText w:val=""/>
      <w:lvlJc w:val="left"/>
      <w:pPr>
        <w:tabs>
          <w:tab w:val="left" w:pos="3780"/>
        </w:tabs>
        <w:ind w:left="3780" w:hanging="420"/>
      </w:pPr>
      <w:rPr>
        <w:rFonts w:hint="default" w:ascii="Wingdings" w:hAnsi="Wingdings" w:cs="Wingdings"/>
      </w:rPr>
    </w:lvl>
    <w:lvl w:ilvl="8" w:tentative="0">
      <w:start w:val="1"/>
      <w:numFmt w:val="bullet"/>
      <w:lvlText w:val=""/>
      <w:lvlJc w:val="left"/>
      <w:pPr>
        <w:tabs>
          <w:tab w:val="left" w:pos="4200"/>
        </w:tabs>
        <w:ind w:left="4200" w:hanging="420"/>
      </w:pPr>
      <w:rPr>
        <w:rFonts w:hint="default" w:ascii="Wingdings" w:hAnsi="Wingdings" w:cs="Wingdings"/>
      </w:rPr>
    </w:lvl>
  </w:abstractNum>
  <w:abstractNum w:abstractNumId="1">
    <w:nsid w:val="053441E4"/>
    <w:multiLevelType w:val="multilevel"/>
    <w:tmpl w:val="053441E4"/>
    <w:lvl w:ilvl="0" w:tentative="0">
      <w:start w:val="1"/>
      <w:numFmt w:val="decimal"/>
      <w:lvlText w:val="%1."/>
      <w:lvlJc w:val="left"/>
      <w:pPr>
        <w:tabs>
          <w:tab w:val="left" w:pos="1413"/>
        </w:tabs>
        <w:ind w:left="1413" w:hanging="420"/>
      </w:pPr>
    </w:lvl>
    <w:lvl w:ilvl="1" w:tentative="0">
      <w:start w:val="1"/>
      <w:numFmt w:val="lowerLetter"/>
      <w:lvlText w:val="%2)"/>
      <w:lvlJc w:val="left"/>
      <w:pPr>
        <w:tabs>
          <w:tab w:val="left" w:pos="1833"/>
        </w:tabs>
        <w:ind w:left="1833" w:hanging="420"/>
      </w:pPr>
    </w:lvl>
    <w:lvl w:ilvl="2" w:tentative="0">
      <w:start w:val="1"/>
      <w:numFmt w:val="lowerRoman"/>
      <w:lvlText w:val="%3."/>
      <w:lvlJc w:val="right"/>
      <w:pPr>
        <w:tabs>
          <w:tab w:val="left" w:pos="2253"/>
        </w:tabs>
        <w:ind w:left="2253" w:hanging="420"/>
      </w:pPr>
    </w:lvl>
    <w:lvl w:ilvl="3" w:tentative="0">
      <w:start w:val="1"/>
      <w:numFmt w:val="decimal"/>
      <w:lvlText w:val="%4."/>
      <w:lvlJc w:val="left"/>
      <w:pPr>
        <w:tabs>
          <w:tab w:val="left" w:pos="2673"/>
        </w:tabs>
        <w:ind w:left="2673" w:hanging="420"/>
      </w:pPr>
    </w:lvl>
    <w:lvl w:ilvl="4" w:tentative="0">
      <w:start w:val="1"/>
      <w:numFmt w:val="lowerLetter"/>
      <w:lvlText w:val="%5)"/>
      <w:lvlJc w:val="left"/>
      <w:pPr>
        <w:tabs>
          <w:tab w:val="left" w:pos="3093"/>
        </w:tabs>
        <w:ind w:left="3093" w:hanging="420"/>
      </w:pPr>
    </w:lvl>
    <w:lvl w:ilvl="5" w:tentative="0">
      <w:start w:val="1"/>
      <w:numFmt w:val="lowerRoman"/>
      <w:lvlText w:val="%6."/>
      <w:lvlJc w:val="right"/>
      <w:pPr>
        <w:tabs>
          <w:tab w:val="left" w:pos="3513"/>
        </w:tabs>
        <w:ind w:left="3513" w:hanging="420"/>
      </w:pPr>
    </w:lvl>
    <w:lvl w:ilvl="6" w:tentative="0">
      <w:start w:val="1"/>
      <w:numFmt w:val="decimal"/>
      <w:lvlText w:val="%7."/>
      <w:lvlJc w:val="left"/>
      <w:pPr>
        <w:tabs>
          <w:tab w:val="left" w:pos="3933"/>
        </w:tabs>
        <w:ind w:left="3933" w:hanging="420"/>
      </w:pPr>
    </w:lvl>
    <w:lvl w:ilvl="7" w:tentative="0">
      <w:start w:val="1"/>
      <w:numFmt w:val="lowerLetter"/>
      <w:lvlText w:val="%8)"/>
      <w:lvlJc w:val="left"/>
      <w:pPr>
        <w:tabs>
          <w:tab w:val="left" w:pos="4353"/>
        </w:tabs>
        <w:ind w:left="4353" w:hanging="420"/>
      </w:pPr>
    </w:lvl>
    <w:lvl w:ilvl="8" w:tentative="0">
      <w:start w:val="1"/>
      <w:numFmt w:val="lowerRoman"/>
      <w:lvlText w:val="%9."/>
      <w:lvlJc w:val="right"/>
      <w:pPr>
        <w:tabs>
          <w:tab w:val="left" w:pos="4773"/>
        </w:tabs>
        <w:ind w:left="4773" w:hanging="420"/>
      </w:pPr>
    </w:lvl>
  </w:abstractNum>
  <w:abstractNum w:abstractNumId="2">
    <w:nsid w:val="0C418571"/>
    <w:multiLevelType w:val="singleLevel"/>
    <w:tmpl w:val="0C418571"/>
    <w:lvl w:ilvl="0" w:tentative="0">
      <w:start w:val="1"/>
      <w:numFmt w:val="decimal"/>
      <w:lvlText w:val="%1."/>
      <w:lvlJc w:val="left"/>
      <w:pPr>
        <w:tabs>
          <w:tab w:val="left" w:pos="312"/>
        </w:tabs>
      </w:pPr>
      <w:rPr>
        <w:rFonts w:hint="default" w:ascii="仿宋" w:hAnsi="仿宋" w:eastAsia="仿宋" w:cs="仿宋"/>
        <w:b/>
        <w:bCs/>
        <w:sz w:val="28"/>
        <w:szCs w:val="28"/>
      </w:rPr>
    </w:lvl>
  </w:abstractNum>
  <w:abstractNum w:abstractNumId="3">
    <w:nsid w:val="204A74A4"/>
    <w:multiLevelType w:val="multilevel"/>
    <w:tmpl w:val="204A74A4"/>
    <w:lvl w:ilvl="0" w:tentative="0">
      <w:start w:val="1"/>
      <w:numFmt w:val="decimal"/>
      <w:pStyle w:val="341"/>
      <w:lvlText w:val="%1."/>
      <w:lvlJc w:val="left"/>
      <w:pPr>
        <w:tabs>
          <w:tab w:val="left" w:pos="720"/>
        </w:tabs>
        <w:ind w:left="720" w:hanging="720"/>
      </w:pPr>
    </w:lvl>
    <w:lvl w:ilvl="1" w:tentative="0">
      <w:start w:val="1"/>
      <w:numFmt w:val="decimal"/>
      <w:lvlText w:val="%2."/>
      <w:lvlJc w:val="left"/>
      <w:pPr>
        <w:tabs>
          <w:tab w:val="left" w:pos="1440"/>
        </w:tabs>
        <w:ind w:left="1440" w:hanging="720"/>
      </w:pPr>
    </w:lvl>
    <w:lvl w:ilvl="2" w:tentative="0">
      <w:start w:val="1"/>
      <w:numFmt w:val="decimal"/>
      <w:lvlText w:val="%3."/>
      <w:lvlJc w:val="left"/>
      <w:pPr>
        <w:tabs>
          <w:tab w:val="left" w:pos="2160"/>
        </w:tabs>
        <w:ind w:left="2160" w:hanging="720"/>
      </w:pPr>
    </w:lvl>
    <w:lvl w:ilvl="3" w:tentative="0">
      <w:start w:val="1"/>
      <w:numFmt w:val="decimal"/>
      <w:lvlText w:val="%4."/>
      <w:lvlJc w:val="left"/>
      <w:pPr>
        <w:tabs>
          <w:tab w:val="left" w:pos="2880"/>
        </w:tabs>
        <w:ind w:left="2880" w:hanging="720"/>
      </w:pPr>
    </w:lvl>
    <w:lvl w:ilvl="4" w:tentative="0">
      <w:start w:val="1"/>
      <w:numFmt w:val="decimal"/>
      <w:lvlText w:val="%5."/>
      <w:lvlJc w:val="left"/>
      <w:pPr>
        <w:tabs>
          <w:tab w:val="left" w:pos="3600"/>
        </w:tabs>
        <w:ind w:left="3600" w:hanging="720"/>
      </w:pPr>
    </w:lvl>
    <w:lvl w:ilvl="5" w:tentative="0">
      <w:start w:val="1"/>
      <w:numFmt w:val="decimal"/>
      <w:lvlText w:val="%6."/>
      <w:lvlJc w:val="left"/>
      <w:pPr>
        <w:tabs>
          <w:tab w:val="left" w:pos="4320"/>
        </w:tabs>
        <w:ind w:left="4320" w:hanging="720"/>
      </w:pPr>
    </w:lvl>
    <w:lvl w:ilvl="6" w:tentative="0">
      <w:start w:val="1"/>
      <w:numFmt w:val="decimal"/>
      <w:lvlText w:val="%7."/>
      <w:lvlJc w:val="left"/>
      <w:pPr>
        <w:tabs>
          <w:tab w:val="left" w:pos="5040"/>
        </w:tabs>
        <w:ind w:left="5040" w:hanging="720"/>
      </w:pPr>
    </w:lvl>
    <w:lvl w:ilvl="7" w:tentative="0">
      <w:start w:val="1"/>
      <w:numFmt w:val="decimal"/>
      <w:lvlText w:val="%8."/>
      <w:lvlJc w:val="left"/>
      <w:pPr>
        <w:tabs>
          <w:tab w:val="left" w:pos="5760"/>
        </w:tabs>
        <w:ind w:left="5760" w:hanging="720"/>
      </w:pPr>
    </w:lvl>
    <w:lvl w:ilvl="8" w:tentative="0">
      <w:start w:val="1"/>
      <w:numFmt w:val="decimal"/>
      <w:lvlText w:val="%9."/>
      <w:lvlJc w:val="left"/>
      <w:pPr>
        <w:tabs>
          <w:tab w:val="left" w:pos="6480"/>
        </w:tabs>
        <w:ind w:left="6480" w:hanging="720"/>
      </w:pPr>
    </w:lvl>
  </w:abstractNum>
  <w:abstractNum w:abstractNumId="4">
    <w:nsid w:val="29BAAF52"/>
    <w:multiLevelType w:val="singleLevel"/>
    <w:tmpl w:val="29BAAF52"/>
    <w:lvl w:ilvl="0" w:tentative="0">
      <w:start w:val="2"/>
      <w:numFmt w:val="chineseCounting"/>
      <w:suff w:val="nothing"/>
      <w:lvlText w:val="（%1）"/>
      <w:lvlJc w:val="left"/>
      <w:rPr>
        <w:rFonts w:hint="eastAsia"/>
      </w:rPr>
    </w:lvl>
  </w:abstractNum>
  <w:abstractNum w:abstractNumId="5">
    <w:nsid w:val="2E5CB464"/>
    <w:multiLevelType w:val="singleLevel"/>
    <w:tmpl w:val="2E5CB464"/>
    <w:lvl w:ilvl="0" w:tentative="0">
      <w:start w:val="2"/>
      <w:numFmt w:val="chineseCounting"/>
      <w:suff w:val="nothing"/>
      <w:lvlText w:val="（%1）"/>
      <w:lvlJc w:val="left"/>
      <w:rPr>
        <w:rFonts w:hint="eastAsia"/>
      </w:rPr>
    </w:lvl>
  </w:abstractNum>
  <w:abstractNum w:abstractNumId="6">
    <w:nsid w:val="5602973F"/>
    <w:multiLevelType w:val="singleLevel"/>
    <w:tmpl w:val="5602973F"/>
    <w:lvl w:ilvl="0" w:tentative="0">
      <w:start w:val="11"/>
      <w:numFmt w:val="decimal"/>
      <w:pStyle w:val="237"/>
      <w:suff w:val="nothing"/>
      <w:lvlText w:val="（%1）"/>
      <w:lvlJc w:val="left"/>
    </w:lvl>
  </w:abstractNum>
  <w:num w:numId="1">
    <w:abstractNumId w:val="6"/>
  </w:num>
  <w:num w:numId="2">
    <w:abstractNumId w:val="0"/>
  </w:num>
  <w:num w:numId="3">
    <w:abstractNumId w:val="3"/>
  </w:num>
  <w:num w:numId="4">
    <w:abstractNumId w:val="5"/>
  </w:num>
  <w:num w:numId="5">
    <w:abstractNumId w:val="4"/>
  </w:num>
  <w:num w:numId="6">
    <w:abstractNumId w:val="2"/>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hideSpellingErrors/>
  <w:documentProtection w:enforcement="0"/>
  <w:defaultTabStop w:val="420"/>
  <w:drawingGridHorizontalSpacing w:val="105"/>
  <w:drawingGridVerticalSpacing w:val="260"/>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VmNTM2N2UzNzUwNTk3NGIyNTc4ZGRkNjFlNjI4NjkifQ=="/>
  </w:docVars>
  <w:rsids>
    <w:rsidRoot w:val="00E729D8"/>
    <w:rsid w:val="00003B04"/>
    <w:rsid w:val="000048B3"/>
    <w:rsid w:val="00004F29"/>
    <w:rsid w:val="00006295"/>
    <w:rsid w:val="0000633F"/>
    <w:rsid w:val="00006983"/>
    <w:rsid w:val="00007BF4"/>
    <w:rsid w:val="000103AD"/>
    <w:rsid w:val="000115A9"/>
    <w:rsid w:val="0001417A"/>
    <w:rsid w:val="00015421"/>
    <w:rsid w:val="000206C9"/>
    <w:rsid w:val="000224AA"/>
    <w:rsid w:val="0002262D"/>
    <w:rsid w:val="00025447"/>
    <w:rsid w:val="0002563B"/>
    <w:rsid w:val="000260B3"/>
    <w:rsid w:val="00027998"/>
    <w:rsid w:val="00030295"/>
    <w:rsid w:val="00030B07"/>
    <w:rsid w:val="00030F8C"/>
    <w:rsid w:val="000316F2"/>
    <w:rsid w:val="00031983"/>
    <w:rsid w:val="0003228E"/>
    <w:rsid w:val="00032582"/>
    <w:rsid w:val="000337A9"/>
    <w:rsid w:val="0003495B"/>
    <w:rsid w:val="00042274"/>
    <w:rsid w:val="0004428F"/>
    <w:rsid w:val="000461D8"/>
    <w:rsid w:val="000463F0"/>
    <w:rsid w:val="00050873"/>
    <w:rsid w:val="00050C5F"/>
    <w:rsid w:val="00052A50"/>
    <w:rsid w:val="00052DA4"/>
    <w:rsid w:val="0005771C"/>
    <w:rsid w:val="000618DA"/>
    <w:rsid w:val="000656E8"/>
    <w:rsid w:val="0006771B"/>
    <w:rsid w:val="00070AE6"/>
    <w:rsid w:val="000712D9"/>
    <w:rsid w:val="000756A0"/>
    <w:rsid w:val="00076F62"/>
    <w:rsid w:val="00080AEE"/>
    <w:rsid w:val="00080E3C"/>
    <w:rsid w:val="00081B46"/>
    <w:rsid w:val="00082AAE"/>
    <w:rsid w:val="0008368A"/>
    <w:rsid w:val="00083892"/>
    <w:rsid w:val="00083BC0"/>
    <w:rsid w:val="00086B8A"/>
    <w:rsid w:val="00086D95"/>
    <w:rsid w:val="000924BE"/>
    <w:rsid w:val="00092C93"/>
    <w:rsid w:val="00095534"/>
    <w:rsid w:val="00095AEC"/>
    <w:rsid w:val="00095DD4"/>
    <w:rsid w:val="00096240"/>
    <w:rsid w:val="00096A0F"/>
    <w:rsid w:val="000A093B"/>
    <w:rsid w:val="000A0F92"/>
    <w:rsid w:val="000A198D"/>
    <w:rsid w:val="000A1AFB"/>
    <w:rsid w:val="000A3C2B"/>
    <w:rsid w:val="000A60EC"/>
    <w:rsid w:val="000A6447"/>
    <w:rsid w:val="000A7720"/>
    <w:rsid w:val="000B1B7B"/>
    <w:rsid w:val="000B2D5C"/>
    <w:rsid w:val="000B4896"/>
    <w:rsid w:val="000B65FB"/>
    <w:rsid w:val="000B6F61"/>
    <w:rsid w:val="000C0E24"/>
    <w:rsid w:val="000C10AD"/>
    <w:rsid w:val="000C1B27"/>
    <w:rsid w:val="000C329D"/>
    <w:rsid w:val="000C4891"/>
    <w:rsid w:val="000C4CB0"/>
    <w:rsid w:val="000C4D4D"/>
    <w:rsid w:val="000C508F"/>
    <w:rsid w:val="000C5F52"/>
    <w:rsid w:val="000C62AF"/>
    <w:rsid w:val="000C6407"/>
    <w:rsid w:val="000C6BAE"/>
    <w:rsid w:val="000C72C4"/>
    <w:rsid w:val="000C7C85"/>
    <w:rsid w:val="000D0129"/>
    <w:rsid w:val="000D09BC"/>
    <w:rsid w:val="000D1AFE"/>
    <w:rsid w:val="000D27B5"/>
    <w:rsid w:val="000D2849"/>
    <w:rsid w:val="000D4349"/>
    <w:rsid w:val="000D4CCC"/>
    <w:rsid w:val="000D7C1D"/>
    <w:rsid w:val="000E14BC"/>
    <w:rsid w:val="000E14D7"/>
    <w:rsid w:val="000E3B19"/>
    <w:rsid w:val="000E3E45"/>
    <w:rsid w:val="000E3EDC"/>
    <w:rsid w:val="000E428E"/>
    <w:rsid w:val="000E473D"/>
    <w:rsid w:val="000E5C1C"/>
    <w:rsid w:val="000E5EE5"/>
    <w:rsid w:val="000E6EE0"/>
    <w:rsid w:val="000F002B"/>
    <w:rsid w:val="000F01A3"/>
    <w:rsid w:val="000F2BB3"/>
    <w:rsid w:val="000F41B9"/>
    <w:rsid w:val="000F5361"/>
    <w:rsid w:val="000F581D"/>
    <w:rsid w:val="000F6D10"/>
    <w:rsid w:val="00100081"/>
    <w:rsid w:val="00102A25"/>
    <w:rsid w:val="00103135"/>
    <w:rsid w:val="001036DE"/>
    <w:rsid w:val="00104F04"/>
    <w:rsid w:val="001058AF"/>
    <w:rsid w:val="00105F5E"/>
    <w:rsid w:val="0010784B"/>
    <w:rsid w:val="001129E9"/>
    <w:rsid w:val="00116FB6"/>
    <w:rsid w:val="0012295D"/>
    <w:rsid w:val="001260A4"/>
    <w:rsid w:val="00126C2F"/>
    <w:rsid w:val="00127474"/>
    <w:rsid w:val="00131196"/>
    <w:rsid w:val="00132D84"/>
    <w:rsid w:val="00133712"/>
    <w:rsid w:val="00133F79"/>
    <w:rsid w:val="00134C3A"/>
    <w:rsid w:val="001366ED"/>
    <w:rsid w:val="00137650"/>
    <w:rsid w:val="001413E4"/>
    <w:rsid w:val="001420A1"/>
    <w:rsid w:val="00142795"/>
    <w:rsid w:val="0014339B"/>
    <w:rsid w:val="0014495C"/>
    <w:rsid w:val="0014541D"/>
    <w:rsid w:val="00145A47"/>
    <w:rsid w:val="001519FC"/>
    <w:rsid w:val="001521F9"/>
    <w:rsid w:val="00153C4E"/>
    <w:rsid w:val="001562B8"/>
    <w:rsid w:val="001603BB"/>
    <w:rsid w:val="00162599"/>
    <w:rsid w:val="001632B9"/>
    <w:rsid w:val="00165CD4"/>
    <w:rsid w:val="00171F0C"/>
    <w:rsid w:val="001724C4"/>
    <w:rsid w:val="0017275F"/>
    <w:rsid w:val="00173826"/>
    <w:rsid w:val="001811B9"/>
    <w:rsid w:val="00181EBA"/>
    <w:rsid w:val="00182683"/>
    <w:rsid w:val="00183278"/>
    <w:rsid w:val="00185F39"/>
    <w:rsid w:val="00192825"/>
    <w:rsid w:val="00192E49"/>
    <w:rsid w:val="0019481B"/>
    <w:rsid w:val="00195CCE"/>
    <w:rsid w:val="001A1B90"/>
    <w:rsid w:val="001A43C1"/>
    <w:rsid w:val="001B3EE1"/>
    <w:rsid w:val="001B3EE7"/>
    <w:rsid w:val="001B796F"/>
    <w:rsid w:val="001C086B"/>
    <w:rsid w:val="001C2721"/>
    <w:rsid w:val="001C4496"/>
    <w:rsid w:val="001C4ADB"/>
    <w:rsid w:val="001C5FAD"/>
    <w:rsid w:val="001C77B5"/>
    <w:rsid w:val="001D114C"/>
    <w:rsid w:val="001D2425"/>
    <w:rsid w:val="001D29C0"/>
    <w:rsid w:val="001D4B99"/>
    <w:rsid w:val="001D4FC3"/>
    <w:rsid w:val="001D51AC"/>
    <w:rsid w:val="001D6913"/>
    <w:rsid w:val="001D6AE4"/>
    <w:rsid w:val="001E1230"/>
    <w:rsid w:val="001E21BF"/>
    <w:rsid w:val="001E318E"/>
    <w:rsid w:val="001E3260"/>
    <w:rsid w:val="001E4D1B"/>
    <w:rsid w:val="001F352E"/>
    <w:rsid w:val="001F44E7"/>
    <w:rsid w:val="001F4559"/>
    <w:rsid w:val="0020199A"/>
    <w:rsid w:val="002028A6"/>
    <w:rsid w:val="00202914"/>
    <w:rsid w:val="00203165"/>
    <w:rsid w:val="00204AE8"/>
    <w:rsid w:val="00204D06"/>
    <w:rsid w:val="00205DD7"/>
    <w:rsid w:val="00206D82"/>
    <w:rsid w:val="002075B0"/>
    <w:rsid w:val="00212E00"/>
    <w:rsid w:val="00214222"/>
    <w:rsid w:val="00214B46"/>
    <w:rsid w:val="0021657E"/>
    <w:rsid w:val="00221D00"/>
    <w:rsid w:val="00222F7D"/>
    <w:rsid w:val="002237B9"/>
    <w:rsid w:val="00224DFB"/>
    <w:rsid w:val="002250D5"/>
    <w:rsid w:val="0022562C"/>
    <w:rsid w:val="00226E77"/>
    <w:rsid w:val="00227CD8"/>
    <w:rsid w:val="00231CB3"/>
    <w:rsid w:val="00232037"/>
    <w:rsid w:val="002325F9"/>
    <w:rsid w:val="0023291D"/>
    <w:rsid w:val="00233943"/>
    <w:rsid w:val="002347C2"/>
    <w:rsid w:val="0023588A"/>
    <w:rsid w:val="00241A5E"/>
    <w:rsid w:val="00242933"/>
    <w:rsid w:val="002472F7"/>
    <w:rsid w:val="00247C24"/>
    <w:rsid w:val="00247D73"/>
    <w:rsid w:val="0025057A"/>
    <w:rsid w:val="0025135C"/>
    <w:rsid w:val="002515E7"/>
    <w:rsid w:val="0025354A"/>
    <w:rsid w:val="002554F6"/>
    <w:rsid w:val="00255A67"/>
    <w:rsid w:val="002562F0"/>
    <w:rsid w:val="00257021"/>
    <w:rsid w:val="0025766A"/>
    <w:rsid w:val="0025795E"/>
    <w:rsid w:val="00261E49"/>
    <w:rsid w:val="00262282"/>
    <w:rsid w:val="00263262"/>
    <w:rsid w:val="0026370A"/>
    <w:rsid w:val="00263A31"/>
    <w:rsid w:val="00267879"/>
    <w:rsid w:val="00272E3E"/>
    <w:rsid w:val="002730AA"/>
    <w:rsid w:val="00273E6F"/>
    <w:rsid w:val="002765A3"/>
    <w:rsid w:val="0027756F"/>
    <w:rsid w:val="00282E2F"/>
    <w:rsid w:val="0028316F"/>
    <w:rsid w:val="002849BD"/>
    <w:rsid w:val="00287900"/>
    <w:rsid w:val="00287F38"/>
    <w:rsid w:val="002918D6"/>
    <w:rsid w:val="00293463"/>
    <w:rsid w:val="00293822"/>
    <w:rsid w:val="0029410F"/>
    <w:rsid w:val="00294740"/>
    <w:rsid w:val="002951D1"/>
    <w:rsid w:val="0029645E"/>
    <w:rsid w:val="00296C32"/>
    <w:rsid w:val="00297B49"/>
    <w:rsid w:val="002A0B14"/>
    <w:rsid w:val="002A167A"/>
    <w:rsid w:val="002A26FD"/>
    <w:rsid w:val="002A4F2D"/>
    <w:rsid w:val="002A51A4"/>
    <w:rsid w:val="002A548D"/>
    <w:rsid w:val="002A54DE"/>
    <w:rsid w:val="002A6A05"/>
    <w:rsid w:val="002A7CF9"/>
    <w:rsid w:val="002B09C5"/>
    <w:rsid w:val="002B0A47"/>
    <w:rsid w:val="002B1D21"/>
    <w:rsid w:val="002B2BF0"/>
    <w:rsid w:val="002B2DA9"/>
    <w:rsid w:val="002B31AD"/>
    <w:rsid w:val="002B3EF4"/>
    <w:rsid w:val="002B480D"/>
    <w:rsid w:val="002B5187"/>
    <w:rsid w:val="002B6E0A"/>
    <w:rsid w:val="002B7B17"/>
    <w:rsid w:val="002D188A"/>
    <w:rsid w:val="002D2697"/>
    <w:rsid w:val="002D37E3"/>
    <w:rsid w:val="002D3F71"/>
    <w:rsid w:val="002D4B5E"/>
    <w:rsid w:val="002D5FF6"/>
    <w:rsid w:val="002D6A18"/>
    <w:rsid w:val="002D772A"/>
    <w:rsid w:val="002D7F41"/>
    <w:rsid w:val="002E10FF"/>
    <w:rsid w:val="002E201D"/>
    <w:rsid w:val="002F015B"/>
    <w:rsid w:val="002F0221"/>
    <w:rsid w:val="002F10EC"/>
    <w:rsid w:val="002F27D3"/>
    <w:rsid w:val="002F3B4C"/>
    <w:rsid w:val="002F40CC"/>
    <w:rsid w:val="002F4571"/>
    <w:rsid w:val="002F5E0F"/>
    <w:rsid w:val="002F5FCC"/>
    <w:rsid w:val="002F7DA0"/>
    <w:rsid w:val="003006EF"/>
    <w:rsid w:val="0030124D"/>
    <w:rsid w:val="003025BA"/>
    <w:rsid w:val="00302995"/>
    <w:rsid w:val="00302A95"/>
    <w:rsid w:val="00303EAE"/>
    <w:rsid w:val="00304109"/>
    <w:rsid w:val="003044E5"/>
    <w:rsid w:val="003061E9"/>
    <w:rsid w:val="00306655"/>
    <w:rsid w:val="00306B58"/>
    <w:rsid w:val="003120C5"/>
    <w:rsid w:val="00312FB9"/>
    <w:rsid w:val="0031326D"/>
    <w:rsid w:val="00313351"/>
    <w:rsid w:val="00314D1E"/>
    <w:rsid w:val="00316553"/>
    <w:rsid w:val="00316ECB"/>
    <w:rsid w:val="00322E47"/>
    <w:rsid w:val="00322F68"/>
    <w:rsid w:val="00322FE0"/>
    <w:rsid w:val="00323437"/>
    <w:rsid w:val="003266BD"/>
    <w:rsid w:val="003309B7"/>
    <w:rsid w:val="00330AFD"/>
    <w:rsid w:val="0033203E"/>
    <w:rsid w:val="00333D89"/>
    <w:rsid w:val="003341B2"/>
    <w:rsid w:val="00335A46"/>
    <w:rsid w:val="003403D9"/>
    <w:rsid w:val="003409CA"/>
    <w:rsid w:val="00341BDB"/>
    <w:rsid w:val="00346566"/>
    <w:rsid w:val="00350109"/>
    <w:rsid w:val="00350DD7"/>
    <w:rsid w:val="00351FCA"/>
    <w:rsid w:val="00354D6F"/>
    <w:rsid w:val="00354E87"/>
    <w:rsid w:val="003552F0"/>
    <w:rsid w:val="00355C0D"/>
    <w:rsid w:val="00355F38"/>
    <w:rsid w:val="00355FCD"/>
    <w:rsid w:val="003565C3"/>
    <w:rsid w:val="00360EC2"/>
    <w:rsid w:val="00361482"/>
    <w:rsid w:val="00361CA7"/>
    <w:rsid w:val="0036279E"/>
    <w:rsid w:val="00362DCA"/>
    <w:rsid w:val="0036333E"/>
    <w:rsid w:val="00363CAD"/>
    <w:rsid w:val="00366245"/>
    <w:rsid w:val="003666FE"/>
    <w:rsid w:val="00370012"/>
    <w:rsid w:val="003715AC"/>
    <w:rsid w:val="00371AC5"/>
    <w:rsid w:val="00371D8D"/>
    <w:rsid w:val="003734F4"/>
    <w:rsid w:val="003745D5"/>
    <w:rsid w:val="00375CC8"/>
    <w:rsid w:val="003763FE"/>
    <w:rsid w:val="003767A5"/>
    <w:rsid w:val="0038088A"/>
    <w:rsid w:val="00383193"/>
    <w:rsid w:val="00383974"/>
    <w:rsid w:val="0039110E"/>
    <w:rsid w:val="003915F0"/>
    <w:rsid w:val="003919F2"/>
    <w:rsid w:val="00392732"/>
    <w:rsid w:val="003932D4"/>
    <w:rsid w:val="003943C1"/>
    <w:rsid w:val="003A1F6C"/>
    <w:rsid w:val="003A31B2"/>
    <w:rsid w:val="003A4062"/>
    <w:rsid w:val="003A49C8"/>
    <w:rsid w:val="003A57FD"/>
    <w:rsid w:val="003A7605"/>
    <w:rsid w:val="003A7A87"/>
    <w:rsid w:val="003B03D9"/>
    <w:rsid w:val="003B3D61"/>
    <w:rsid w:val="003B485F"/>
    <w:rsid w:val="003B5711"/>
    <w:rsid w:val="003C0B4D"/>
    <w:rsid w:val="003C5D35"/>
    <w:rsid w:val="003C62D2"/>
    <w:rsid w:val="003C6BF9"/>
    <w:rsid w:val="003C7563"/>
    <w:rsid w:val="003D0986"/>
    <w:rsid w:val="003D0EA1"/>
    <w:rsid w:val="003D21BB"/>
    <w:rsid w:val="003D58B1"/>
    <w:rsid w:val="003D673D"/>
    <w:rsid w:val="003D6D01"/>
    <w:rsid w:val="003E04E4"/>
    <w:rsid w:val="003E0EBA"/>
    <w:rsid w:val="003E22DE"/>
    <w:rsid w:val="003E2503"/>
    <w:rsid w:val="003E3C7B"/>
    <w:rsid w:val="003E4150"/>
    <w:rsid w:val="003E77FA"/>
    <w:rsid w:val="003F3A85"/>
    <w:rsid w:val="00400BCB"/>
    <w:rsid w:val="00401046"/>
    <w:rsid w:val="00401659"/>
    <w:rsid w:val="004059FF"/>
    <w:rsid w:val="004070F4"/>
    <w:rsid w:val="004103D5"/>
    <w:rsid w:val="00411370"/>
    <w:rsid w:val="004116BF"/>
    <w:rsid w:val="00412813"/>
    <w:rsid w:val="004146EB"/>
    <w:rsid w:val="00415953"/>
    <w:rsid w:val="00415E9E"/>
    <w:rsid w:val="00416391"/>
    <w:rsid w:val="00417D82"/>
    <w:rsid w:val="00421028"/>
    <w:rsid w:val="0042115B"/>
    <w:rsid w:val="00422364"/>
    <w:rsid w:val="00424559"/>
    <w:rsid w:val="00430117"/>
    <w:rsid w:val="004318A6"/>
    <w:rsid w:val="0043338A"/>
    <w:rsid w:val="0043638B"/>
    <w:rsid w:val="004372EA"/>
    <w:rsid w:val="00440970"/>
    <w:rsid w:val="00441B51"/>
    <w:rsid w:val="00443859"/>
    <w:rsid w:val="00446374"/>
    <w:rsid w:val="00446551"/>
    <w:rsid w:val="0044704F"/>
    <w:rsid w:val="004521C6"/>
    <w:rsid w:val="004544D1"/>
    <w:rsid w:val="004558FC"/>
    <w:rsid w:val="00462397"/>
    <w:rsid w:val="004646D8"/>
    <w:rsid w:val="00464E11"/>
    <w:rsid w:val="004656ED"/>
    <w:rsid w:val="004668A1"/>
    <w:rsid w:val="00470302"/>
    <w:rsid w:val="00471F24"/>
    <w:rsid w:val="00472369"/>
    <w:rsid w:val="00472976"/>
    <w:rsid w:val="00472AA4"/>
    <w:rsid w:val="00473753"/>
    <w:rsid w:val="004739C8"/>
    <w:rsid w:val="0047400E"/>
    <w:rsid w:val="00475D91"/>
    <w:rsid w:val="0047709E"/>
    <w:rsid w:val="004778DC"/>
    <w:rsid w:val="00481337"/>
    <w:rsid w:val="004837BD"/>
    <w:rsid w:val="00484A38"/>
    <w:rsid w:val="0049097F"/>
    <w:rsid w:val="00491D41"/>
    <w:rsid w:val="00492833"/>
    <w:rsid w:val="00494BFA"/>
    <w:rsid w:val="00495856"/>
    <w:rsid w:val="00496896"/>
    <w:rsid w:val="004A2235"/>
    <w:rsid w:val="004A3153"/>
    <w:rsid w:val="004A3950"/>
    <w:rsid w:val="004A4841"/>
    <w:rsid w:val="004A6CBD"/>
    <w:rsid w:val="004B016C"/>
    <w:rsid w:val="004B1930"/>
    <w:rsid w:val="004B30D8"/>
    <w:rsid w:val="004B3668"/>
    <w:rsid w:val="004B4434"/>
    <w:rsid w:val="004B497B"/>
    <w:rsid w:val="004B6C77"/>
    <w:rsid w:val="004B7AE5"/>
    <w:rsid w:val="004B7CDD"/>
    <w:rsid w:val="004C14C0"/>
    <w:rsid w:val="004C4873"/>
    <w:rsid w:val="004C5FC6"/>
    <w:rsid w:val="004C6EAD"/>
    <w:rsid w:val="004D13C5"/>
    <w:rsid w:val="004D1C72"/>
    <w:rsid w:val="004D1D1B"/>
    <w:rsid w:val="004D36D9"/>
    <w:rsid w:val="004D51AC"/>
    <w:rsid w:val="004D5EEE"/>
    <w:rsid w:val="004D61F3"/>
    <w:rsid w:val="004D6F8A"/>
    <w:rsid w:val="004E031D"/>
    <w:rsid w:val="004E0886"/>
    <w:rsid w:val="004E0C18"/>
    <w:rsid w:val="004E0F67"/>
    <w:rsid w:val="004E1D64"/>
    <w:rsid w:val="004E2AD0"/>
    <w:rsid w:val="004E2E7C"/>
    <w:rsid w:val="004E332C"/>
    <w:rsid w:val="004E4452"/>
    <w:rsid w:val="004E776E"/>
    <w:rsid w:val="004F22B5"/>
    <w:rsid w:val="004F3C91"/>
    <w:rsid w:val="004F5039"/>
    <w:rsid w:val="004F53A1"/>
    <w:rsid w:val="004F57A5"/>
    <w:rsid w:val="004F607F"/>
    <w:rsid w:val="004F7661"/>
    <w:rsid w:val="004F76BE"/>
    <w:rsid w:val="005029F3"/>
    <w:rsid w:val="00502F4C"/>
    <w:rsid w:val="00502FEE"/>
    <w:rsid w:val="00503C71"/>
    <w:rsid w:val="0050432D"/>
    <w:rsid w:val="00505DB4"/>
    <w:rsid w:val="00505F2E"/>
    <w:rsid w:val="00506702"/>
    <w:rsid w:val="00510221"/>
    <w:rsid w:val="00512231"/>
    <w:rsid w:val="00512E9B"/>
    <w:rsid w:val="00513190"/>
    <w:rsid w:val="00513BA0"/>
    <w:rsid w:val="00515DA9"/>
    <w:rsid w:val="00517237"/>
    <w:rsid w:val="005179E1"/>
    <w:rsid w:val="00517D4E"/>
    <w:rsid w:val="00522773"/>
    <w:rsid w:val="005248BB"/>
    <w:rsid w:val="005279DF"/>
    <w:rsid w:val="00527C93"/>
    <w:rsid w:val="0053114B"/>
    <w:rsid w:val="0053135D"/>
    <w:rsid w:val="0053164E"/>
    <w:rsid w:val="00531AEF"/>
    <w:rsid w:val="00537146"/>
    <w:rsid w:val="0054083F"/>
    <w:rsid w:val="005415CF"/>
    <w:rsid w:val="00541B36"/>
    <w:rsid w:val="005437ED"/>
    <w:rsid w:val="0055084B"/>
    <w:rsid w:val="005547F9"/>
    <w:rsid w:val="005554B1"/>
    <w:rsid w:val="00556E35"/>
    <w:rsid w:val="00557A16"/>
    <w:rsid w:val="00560714"/>
    <w:rsid w:val="00561388"/>
    <w:rsid w:val="00561F91"/>
    <w:rsid w:val="005631B3"/>
    <w:rsid w:val="00567661"/>
    <w:rsid w:val="00570032"/>
    <w:rsid w:val="00570334"/>
    <w:rsid w:val="00570FF7"/>
    <w:rsid w:val="0057155F"/>
    <w:rsid w:val="005715D7"/>
    <w:rsid w:val="00572C6B"/>
    <w:rsid w:val="005746A6"/>
    <w:rsid w:val="005771C3"/>
    <w:rsid w:val="0057778A"/>
    <w:rsid w:val="00580EC5"/>
    <w:rsid w:val="005833D9"/>
    <w:rsid w:val="00583FA5"/>
    <w:rsid w:val="005848BB"/>
    <w:rsid w:val="00584AE9"/>
    <w:rsid w:val="0058569C"/>
    <w:rsid w:val="00586F04"/>
    <w:rsid w:val="0059021A"/>
    <w:rsid w:val="0059049D"/>
    <w:rsid w:val="00590FC5"/>
    <w:rsid w:val="005921B2"/>
    <w:rsid w:val="005929F6"/>
    <w:rsid w:val="005941B8"/>
    <w:rsid w:val="00594B12"/>
    <w:rsid w:val="00594F86"/>
    <w:rsid w:val="00596086"/>
    <w:rsid w:val="0059660E"/>
    <w:rsid w:val="005A070E"/>
    <w:rsid w:val="005A2CD6"/>
    <w:rsid w:val="005A6BCE"/>
    <w:rsid w:val="005B1354"/>
    <w:rsid w:val="005B23B2"/>
    <w:rsid w:val="005B4981"/>
    <w:rsid w:val="005B52A5"/>
    <w:rsid w:val="005C34AD"/>
    <w:rsid w:val="005C4E42"/>
    <w:rsid w:val="005C79F4"/>
    <w:rsid w:val="005D0216"/>
    <w:rsid w:val="005D0B77"/>
    <w:rsid w:val="005D0D0D"/>
    <w:rsid w:val="005D2303"/>
    <w:rsid w:val="005D537B"/>
    <w:rsid w:val="005D5D92"/>
    <w:rsid w:val="005D6A60"/>
    <w:rsid w:val="005D7EC3"/>
    <w:rsid w:val="005E2C33"/>
    <w:rsid w:val="005E4610"/>
    <w:rsid w:val="005E7D1E"/>
    <w:rsid w:val="005F196D"/>
    <w:rsid w:val="005F1EB8"/>
    <w:rsid w:val="005F6CA3"/>
    <w:rsid w:val="00602A7B"/>
    <w:rsid w:val="006030D6"/>
    <w:rsid w:val="006042CC"/>
    <w:rsid w:val="006052F0"/>
    <w:rsid w:val="006074C3"/>
    <w:rsid w:val="00607A2B"/>
    <w:rsid w:val="006126D3"/>
    <w:rsid w:val="00612862"/>
    <w:rsid w:val="00614255"/>
    <w:rsid w:val="006159C2"/>
    <w:rsid w:val="00616E2F"/>
    <w:rsid w:val="006170BC"/>
    <w:rsid w:val="00617EB4"/>
    <w:rsid w:val="00622FB2"/>
    <w:rsid w:val="0062388B"/>
    <w:rsid w:val="00623EC5"/>
    <w:rsid w:val="0062527C"/>
    <w:rsid w:val="006254BD"/>
    <w:rsid w:val="00626CD4"/>
    <w:rsid w:val="00634B01"/>
    <w:rsid w:val="00634EB1"/>
    <w:rsid w:val="00635614"/>
    <w:rsid w:val="006372DA"/>
    <w:rsid w:val="00640C75"/>
    <w:rsid w:val="00641B58"/>
    <w:rsid w:val="00642FD4"/>
    <w:rsid w:val="006447B9"/>
    <w:rsid w:val="00645A45"/>
    <w:rsid w:val="00645ABF"/>
    <w:rsid w:val="00645E68"/>
    <w:rsid w:val="00650DB8"/>
    <w:rsid w:val="00653EFA"/>
    <w:rsid w:val="00655252"/>
    <w:rsid w:val="00655336"/>
    <w:rsid w:val="006556C3"/>
    <w:rsid w:val="0065725A"/>
    <w:rsid w:val="00657AC1"/>
    <w:rsid w:val="00663867"/>
    <w:rsid w:val="00663EEB"/>
    <w:rsid w:val="00664551"/>
    <w:rsid w:val="00667414"/>
    <w:rsid w:val="00667AA0"/>
    <w:rsid w:val="00667E86"/>
    <w:rsid w:val="006700F7"/>
    <w:rsid w:val="00684516"/>
    <w:rsid w:val="0068466C"/>
    <w:rsid w:val="00684A9A"/>
    <w:rsid w:val="00685953"/>
    <w:rsid w:val="006869FB"/>
    <w:rsid w:val="0068764E"/>
    <w:rsid w:val="00690ABD"/>
    <w:rsid w:val="00690B5C"/>
    <w:rsid w:val="006951F6"/>
    <w:rsid w:val="00696331"/>
    <w:rsid w:val="00697206"/>
    <w:rsid w:val="006A1A3C"/>
    <w:rsid w:val="006A3824"/>
    <w:rsid w:val="006A4778"/>
    <w:rsid w:val="006A4E17"/>
    <w:rsid w:val="006A650B"/>
    <w:rsid w:val="006B27B9"/>
    <w:rsid w:val="006B3BCA"/>
    <w:rsid w:val="006B72EE"/>
    <w:rsid w:val="006B737C"/>
    <w:rsid w:val="006B7B2B"/>
    <w:rsid w:val="006C10A5"/>
    <w:rsid w:val="006C4109"/>
    <w:rsid w:val="006C5D7A"/>
    <w:rsid w:val="006C74A3"/>
    <w:rsid w:val="006C7681"/>
    <w:rsid w:val="006D0B5A"/>
    <w:rsid w:val="006D0E2B"/>
    <w:rsid w:val="006D22D9"/>
    <w:rsid w:val="006D2ED9"/>
    <w:rsid w:val="006D3E74"/>
    <w:rsid w:val="006D517F"/>
    <w:rsid w:val="006D798F"/>
    <w:rsid w:val="006E22CA"/>
    <w:rsid w:val="006E3033"/>
    <w:rsid w:val="006E440F"/>
    <w:rsid w:val="006E7479"/>
    <w:rsid w:val="006E7AB6"/>
    <w:rsid w:val="006F077E"/>
    <w:rsid w:val="006F2328"/>
    <w:rsid w:val="006F555C"/>
    <w:rsid w:val="006F5CF4"/>
    <w:rsid w:val="006F5EB1"/>
    <w:rsid w:val="006F6C59"/>
    <w:rsid w:val="00702503"/>
    <w:rsid w:val="0070530B"/>
    <w:rsid w:val="00706767"/>
    <w:rsid w:val="00707235"/>
    <w:rsid w:val="00707F6C"/>
    <w:rsid w:val="00712207"/>
    <w:rsid w:val="0071277B"/>
    <w:rsid w:val="007127FA"/>
    <w:rsid w:val="0071335F"/>
    <w:rsid w:val="00713C6C"/>
    <w:rsid w:val="00713E98"/>
    <w:rsid w:val="007146CD"/>
    <w:rsid w:val="00716A1D"/>
    <w:rsid w:val="00717D64"/>
    <w:rsid w:val="007225A8"/>
    <w:rsid w:val="00722A9E"/>
    <w:rsid w:val="007237BE"/>
    <w:rsid w:val="007245EA"/>
    <w:rsid w:val="00727507"/>
    <w:rsid w:val="00727992"/>
    <w:rsid w:val="00727EFB"/>
    <w:rsid w:val="00727EFC"/>
    <w:rsid w:val="00730CE5"/>
    <w:rsid w:val="00730F6B"/>
    <w:rsid w:val="00731700"/>
    <w:rsid w:val="00731FD5"/>
    <w:rsid w:val="0073404A"/>
    <w:rsid w:val="00735A3F"/>
    <w:rsid w:val="00735A4C"/>
    <w:rsid w:val="00735FD3"/>
    <w:rsid w:val="00740710"/>
    <w:rsid w:val="007408E4"/>
    <w:rsid w:val="00742560"/>
    <w:rsid w:val="00744148"/>
    <w:rsid w:val="00744EDB"/>
    <w:rsid w:val="00745AAE"/>
    <w:rsid w:val="007467A6"/>
    <w:rsid w:val="00746899"/>
    <w:rsid w:val="007533F0"/>
    <w:rsid w:val="00756456"/>
    <w:rsid w:val="0075690B"/>
    <w:rsid w:val="00761D41"/>
    <w:rsid w:val="00763483"/>
    <w:rsid w:val="007654F0"/>
    <w:rsid w:val="00765885"/>
    <w:rsid w:val="00766340"/>
    <w:rsid w:val="0077017C"/>
    <w:rsid w:val="007703F0"/>
    <w:rsid w:val="00770EE4"/>
    <w:rsid w:val="00772BB0"/>
    <w:rsid w:val="00774A35"/>
    <w:rsid w:val="007768D9"/>
    <w:rsid w:val="00780F8F"/>
    <w:rsid w:val="0078104B"/>
    <w:rsid w:val="007821D5"/>
    <w:rsid w:val="0078388D"/>
    <w:rsid w:val="0078408C"/>
    <w:rsid w:val="00785039"/>
    <w:rsid w:val="00785ED3"/>
    <w:rsid w:val="00791053"/>
    <w:rsid w:val="00791455"/>
    <w:rsid w:val="00793F89"/>
    <w:rsid w:val="00794EB0"/>
    <w:rsid w:val="0079559D"/>
    <w:rsid w:val="007972E9"/>
    <w:rsid w:val="007A04FF"/>
    <w:rsid w:val="007A22FF"/>
    <w:rsid w:val="007A3F45"/>
    <w:rsid w:val="007A5C4B"/>
    <w:rsid w:val="007A7B81"/>
    <w:rsid w:val="007B01F2"/>
    <w:rsid w:val="007B0350"/>
    <w:rsid w:val="007B103B"/>
    <w:rsid w:val="007B1040"/>
    <w:rsid w:val="007B7C67"/>
    <w:rsid w:val="007C00DF"/>
    <w:rsid w:val="007C280E"/>
    <w:rsid w:val="007C2A52"/>
    <w:rsid w:val="007C319C"/>
    <w:rsid w:val="007C3E31"/>
    <w:rsid w:val="007C5B71"/>
    <w:rsid w:val="007C5BDC"/>
    <w:rsid w:val="007C7A5F"/>
    <w:rsid w:val="007D2629"/>
    <w:rsid w:val="007D2971"/>
    <w:rsid w:val="007D3206"/>
    <w:rsid w:val="007D339C"/>
    <w:rsid w:val="007D464D"/>
    <w:rsid w:val="007D586F"/>
    <w:rsid w:val="007D74F5"/>
    <w:rsid w:val="007E0B39"/>
    <w:rsid w:val="007E17C4"/>
    <w:rsid w:val="007E2BEE"/>
    <w:rsid w:val="007E39B8"/>
    <w:rsid w:val="007E3C56"/>
    <w:rsid w:val="007E3D53"/>
    <w:rsid w:val="007E452D"/>
    <w:rsid w:val="007E6852"/>
    <w:rsid w:val="007E780D"/>
    <w:rsid w:val="007F0D58"/>
    <w:rsid w:val="007F0E0E"/>
    <w:rsid w:val="007F1F2B"/>
    <w:rsid w:val="007F312A"/>
    <w:rsid w:val="007F51D3"/>
    <w:rsid w:val="007F5FDE"/>
    <w:rsid w:val="007F678F"/>
    <w:rsid w:val="008003D4"/>
    <w:rsid w:val="00800D67"/>
    <w:rsid w:val="00804863"/>
    <w:rsid w:val="00805F86"/>
    <w:rsid w:val="0080753F"/>
    <w:rsid w:val="00810AF3"/>
    <w:rsid w:val="00810FE8"/>
    <w:rsid w:val="00811871"/>
    <w:rsid w:val="0081652A"/>
    <w:rsid w:val="00816F04"/>
    <w:rsid w:val="00820EE8"/>
    <w:rsid w:val="00821E24"/>
    <w:rsid w:val="008236A2"/>
    <w:rsid w:val="00823955"/>
    <w:rsid w:val="00823E18"/>
    <w:rsid w:val="00824684"/>
    <w:rsid w:val="00825FB9"/>
    <w:rsid w:val="00826CA2"/>
    <w:rsid w:val="00831F86"/>
    <w:rsid w:val="00835120"/>
    <w:rsid w:val="0083524C"/>
    <w:rsid w:val="0083553B"/>
    <w:rsid w:val="00836873"/>
    <w:rsid w:val="00840872"/>
    <w:rsid w:val="0084175F"/>
    <w:rsid w:val="00842169"/>
    <w:rsid w:val="008430BF"/>
    <w:rsid w:val="0084512A"/>
    <w:rsid w:val="008461BB"/>
    <w:rsid w:val="00846FBB"/>
    <w:rsid w:val="008475FB"/>
    <w:rsid w:val="00851741"/>
    <w:rsid w:val="00852C94"/>
    <w:rsid w:val="00856DA8"/>
    <w:rsid w:val="0085798F"/>
    <w:rsid w:val="00860155"/>
    <w:rsid w:val="0086086D"/>
    <w:rsid w:val="0087076E"/>
    <w:rsid w:val="00870BDA"/>
    <w:rsid w:val="0087168C"/>
    <w:rsid w:val="00871991"/>
    <w:rsid w:val="00873E10"/>
    <w:rsid w:val="0087689B"/>
    <w:rsid w:val="00876F21"/>
    <w:rsid w:val="008776BD"/>
    <w:rsid w:val="00877D38"/>
    <w:rsid w:val="008825B9"/>
    <w:rsid w:val="00883798"/>
    <w:rsid w:val="0088691F"/>
    <w:rsid w:val="00886FDE"/>
    <w:rsid w:val="00893148"/>
    <w:rsid w:val="00894EF5"/>
    <w:rsid w:val="008955B4"/>
    <w:rsid w:val="008974CF"/>
    <w:rsid w:val="008977B6"/>
    <w:rsid w:val="008A0F7E"/>
    <w:rsid w:val="008A2A02"/>
    <w:rsid w:val="008A4F1B"/>
    <w:rsid w:val="008A58AA"/>
    <w:rsid w:val="008A6177"/>
    <w:rsid w:val="008A658E"/>
    <w:rsid w:val="008A666A"/>
    <w:rsid w:val="008A6E45"/>
    <w:rsid w:val="008A711A"/>
    <w:rsid w:val="008A7BAD"/>
    <w:rsid w:val="008A7CEE"/>
    <w:rsid w:val="008A7FE8"/>
    <w:rsid w:val="008B00A5"/>
    <w:rsid w:val="008B0B29"/>
    <w:rsid w:val="008B1D53"/>
    <w:rsid w:val="008B2C61"/>
    <w:rsid w:val="008B4E0F"/>
    <w:rsid w:val="008B60DC"/>
    <w:rsid w:val="008B629E"/>
    <w:rsid w:val="008B6407"/>
    <w:rsid w:val="008B6561"/>
    <w:rsid w:val="008B6677"/>
    <w:rsid w:val="008C0EA8"/>
    <w:rsid w:val="008C1F1B"/>
    <w:rsid w:val="008C20DE"/>
    <w:rsid w:val="008C2952"/>
    <w:rsid w:val="008C31A6"/>
    <w:rsid w:val="008C5357"/>
    <w:rsid w:val="008C5C3A"/>
    <w:rsid w:val="008C63D2"/>
    <w:rsid w:val="008C7B52"/>
    <w:rsid w:val="008D097E"/>
    <w:rsid w:val="008D1B06"/>
    <w:rsid w:val="008D36AD"/>
    <w:rsid w:val="008D3A4F"/>
    <w:rsid w:val="008D3CA2"/>
    <w:rsid w:val="008D63C1"/>
    <w:rsid w:val="008E01E6"/>
    <w:rsid w:val="008E1FAC"/>
    <w:rsid w:val="008E26AA"/>
    <w:rsid w:val="008E344E"/>
    <w:rsid w:val="008E3A74"/>
    <w:rsid w:val="008E3E0C"/>
    <w:rsid w:val="008E56FA"/>
    <w:rsid w:val="008E7782"/>
    <w:rsid w:val="008E7961"/>
    <w:rsid w:val="008F114B"/>
    <w:rsid w:val="008F1225"/>
    <w:rsid w:val="008F25FA"/>
    <w:rsid w:val="008F2AFA"/>
    <w:rsid w:val="008F2E34"/>
    <w:rsid w:val="008F5AA6"/>
    <w:rsid w:val="008F63B6"/>
    <w:rsid w:val="008F6C2A"/>
    <w:rsid w:val="00904FB6"/>
    <w:rsid w:val="00907FDE"/>
    <w:rsid w:val="009121EE"/>
    <w:rsid w:val="00912846"/>
    <w:rsid w:val="00912FA3"/>
    <w:rsid w:val="009150EC"/>
    <w:rsid w:val="00917116"/>
    <w:rsid w:val="00917919"/>
    <w:rsid w:val="0092157A"/>
    <w:rsid w:val="0092188A"/>
    <w:rsid w:val="00923263"/>
    <w:rsid w:val="00925301"/>
    <w:rsid w:val="0092570D"/>
    <w:rsid w:val="009301A8"/>
    <w:rsid w:val="00930527"/>
    <w:rsid w:val="00930584"/>
    <w:rsid w:val="009309A5"/>
    <w:rsid w:val="0093190F"/>
    <w:rsid w:val="00932DCC"/>
    <w:rsid w:val="0093320D"/>
    <w:rsid w:val="009349C3"/>
    <w:rsid w:val="00934EDF"/>
    <w:rsid w:val="00935C43"/>
    <w:rsid w:val="00936417"/>
    <w:rsid w:val="00936781"/>
    <w:rsid w:val="00941003"/>
    <w:rsid w:val="00943043"/>
    <w:rsid w:val="00946626"/>
    <w:rsid w:val="0095004F"/>
    <w:rsid w:val="009525ED"/>
    <w:rsid w:val="00953EDF"/>
    <w:rsid w:val="00954CE1"/>
    <w:rsid w:val="00954F5F"/>
    <w:rsid w:val="00955A32"/>
    <w:rsid w:val="00955C41"/>
    <w:rsid w:val="0095724B"/>
    <w:rsid w:val="00957E73"/>
    <w:rsid w:val="00960478"/>
    <w:rsid w:val="00960C67"/>
    <w:rsid w:val="0096120D"/>
    <w:rsid w:val="0096153F"/>
    <w:rsid w:val="00962773"/>
    <w:rsid w:val="00962EF1"/>
    <w:rsid w:val="00964731"/>
    <w:rsid w:val="009650E9"/>
    <w:rsid w:val="00967951"/>
    <w:rsid w:val="0097005A"/>
    <w:rsid w:val="00972DB7"/>
    <w:rsid w:val="009745F1"/>
    <w:rsid w:val="00980033"/>
    <w:rsid w:val="00980BEC"/>
    <w:rsid w:val="00981010"/>
    <w:rsid w:val="0098321F"/>
    <w:rsid w:val="00992190"/>
    <w:rsid w:val="00992B25"/>
    <w:rsid w:val="009A1CF4"/>
    <w:rsid w:val="009A400D"/>
    <w:rsid w:val="009A4166"/>
    <w:rsid w:val="009A4E3F"/>
    <w:rsid w:val="009A6E85"/>
    <w:rsid w:val="009A7ABA"/>
    <w:rsid w:val="009B013C"/>
    <w:rsid w:val="009B133B"/>
    <w:rsid w:val="009B191F"/>
    <w:rsid w:val="009B2915"/>
    <w:rsid w:val="009B35C8"/>
    <w:rsid w:val="009B527B"/>
    <w:rsid w:val="009B71C2"/>
    <w:rsid w:val="009C0C68"/>
    <w:rsid w:val="009C23D2"/>
    <w:rsid w:val="009C47C5"/>
    <w:rsid w:val="009C68E2"/>
    <w:rsid w:val="009C6D61"/>
    <w:rsid w:val="009D16D2"/>
    <w:rsid w:val="009D1720"/>
    <w:rsid w:val="009D2F33"/>
    <w:rsid w:val="009D4A16"/>
    <w:rsid w:val="009D4A50"/>
    <w:rsid w:val="009D62EA"/>
    <w:rsid w:val="009D7294"/>
    <w:rsid w:val="009E2400"/>
    <w:rsid w:val="009E2E12"/>
    <w:rsid w:val="009E7D7A"/>
    <w:rsid w:val="009F0DA6"/>
    <w:rsid w:val="009F34A5"/>
    <w:rsid w:val="009F4AB5"/>
    <w:rsid w:val="009F62A1"/>
    <w:rsid w:val="00A001A0"/>
    <w:rsid w:val="00A0174D"/>
    <w:rsid w:val="00A021DB"/>
    <w:rsid w:val="00A028E9"/>
    <w:rsid w:val="00A03871"/>
    <w:rsid w:val="00A05E29"/>
    <w:rsid w:val="00A11101"/>
    <w:rsid w:val="00A11676"/>
    <w:rsid w:val="00A15CDC"/>
    <w:rsid w:val="00A16FFF"/>
    <w:rsid w:val="00A220F8"/>
    <w:rsid w:val="00A26B8F"/>
    <w:rsid w:val="00A273C1"/>
    <w:rsid w:val="00A2771D"/>
    <w:rsid w:val="00A27A7E"/>
    <w:rsid w:val="00A335CC"/>
    <w:rsid w:val="00A33D60"/>
    <w:rsid w:val="00A33ECB"/>
    <w:rsid w:val="00A34A71"/>
    <w:rsid w:val="00A3576D"/>
    <w:rsid w:val="00A35F8F"/>
    <w:rsid w:val="00A36BC4"/>
    <w:rsid w:val="00A37A1F"/>
    <w:rsid w:val="00A37E8E"/>
    <w:rsid w:val="00A407E6"/>
    <w:rsid w:val="00A4157B"/>
    <w:rsid w:val="00A41779"/>
    <w:rsid w:val="00A422B6"/>
    <w:rsid w:val="00A42F75"/>
    <w:rsid w:val="00A43423"/>
    <w:rsid w:val="00A43D34"/>
    <w:rsid w:val="00A44D5F"/>
    <w:rsid w:val="00A44EA9"/>
    <w:rsid w:val="00A45DE9"/>
    <w:rsid w:val="00A4749A"/>
    <w:rsid w:val="00A50085"/>
    <w:rsid w:val="00A5070F"/>
    <w:rsid w:val="00A511F0"/>
    <w:rsid w:val="00A5706F"/>
    <w:rsid w:val="00A57123"/>
    <w:rsid w:val="00A57800"/>
    <w:rsid w:val="00A60A49"/>
    <w:rsid w:val="00A64FBB"/>
    <w:rsid w:val="00A65B8F"/>
    <w:rsid w:val="00A66091"/>
    <w:rsid w:val="00A71329"/>
    <w:rsid w:val="00A71383"/>
    <w:rsid w:val="00A72A37"/>
    <w:rsid w:val="00A7407B"/>
    <w:rsid w:val="00A76184"/>
    <w:rsid w:val="00A7782E"/>
    <w:rsid w:val="00A77B1F"/>
    <w:rsid w:val="00A816C4"/>
    <w:rsid w:val="00A82C68"/>
    <w:rsid w:val="00A831B2"/>
    <w:rsid w:val="00A8451E"/>
    <w:rsid w:val="00A84548"/>
    <w:rsid w:val="00A85688"/>
    <w:rsid w:val="00A857F5"/>
    <w:rsid w:val="00A868AE"/>
    <w:rsid w:val="00A86A54"/>
    <w:rsid w:val="00A8721B"/>
    <w:rsid w:val="00A91287"/>
    <w:rsid w:val="00A917C2"/>
    <w:rsid w:val="00A94D76"/>
    <w:rsid w:val="00A96DE7"/>
    <w:rsid w:val="00A96FB3"/>
    <w:rsid w:val="00AA0BFB"/>
    <w:rsid w:val="00AA1C16"/>
    <w:rsid w:val="00AA1D69"/>
    <w:rsid w:val="00AA27F6"/>
    <w:rsid w:val="00AA34D7"/>
    <w:rsid w:val="00AA368A"/>
    <w:rsid w:val="00AA499E"/>
    <w:rsid w:val="00AA639D"/>
    <w:rsid w:val="00AA643A"/>
    <w:rsid w:val="00AA6D58"/>
    <w:rsid w:val="00AA6D6A"/>
    <w:rsid w:val="00AA6DB7"/>
    <w:rsid w:val="00AB51F5"/>
    <w:rsid w:val="00AB6488"/>
    <w:rsid w:val="00AC13D4"/>
    <w:rsid w:val="00AC15CC"/>
    <w:rsid w:val="00AC53C8"/>
    <w:rsid w:val="00AC6A8C"/>
    <w:rsid w:val="00AD08BB"/>
    <w:rsid w:val="00AD10B0"/>
    <w:rsid w:val="00AD2176"/>
    <w:rsid w:val="00AD2D6E"/>
    <w:rsid w:val="00AD3BB8"/>
    <w:rsid w:val="00AD6199"/>
    <w:rsid w:val="00AD6874"/>
    <w:rsid w:val="00AD6A09"/>
    <w:rsid w:val="00AD742E"/>
    <w:rsid w:val="00AE38B4"/>
    <w:rsid w:val="00AE3986"/>
    <w:rsid w:val="00AE6762"/>
    <w:rsid w:val="00AF263D"/>
    <w:rsid w:val="00AF31A2"/>
    <w:rsid w:val="00AF77EB"/>
    <w:rsid w:val="00B02695"/>
    <w:rsid w:val="00B0609E"/>
    <w:rsid w:val="00B06246"/>
    <w:rsid w:val="00B07E4E"/>
    <w:rsid w:val="00B11656"/>
    <w:rsid w:val="00B12A5A"/>
    <w:rsid w:val="00B13E5F"/>
    <w:rsid w:val="00B172A6"/>
    <w:rsid w:val="00B178F5"/>
    <w:rsid w:val="00B17C65"/>
    <w:rsid w:val="00B226D9"/>
    <w:rsid w:val="00B24367"/>
    <w:rsid w:val="00B2534E"/>
    <w:rsid w:val="00B30059"/>
    <w:rsid w:val="00B30FDD"/>
    <w:rsid w:val="00B3368D"/>
    <w:rsid w:val="00B350D3"/>
    <w:rsid w:val="00B35D68"/>
    <w:rsid w:val="00B370B8"/>
    <w:rsid w:val="00B376EA"/>
    <w:rsid w:val="00B408F7"/>
    <w:rsid w:val="00B40F08"/>
    <w:rsid w:val="00B458A0"/>
    <w:rsid w:val="00B47726"/>
    <w:rsid w:val="00B507C5"/>
    <w:rsid w:val="00B5147E"/>
    <w:rsid w:val="00B53364"/>
    <w:rsid w:val="00B56134"/>
    <w:rsid w:val="00B63974"/>
    <w:rsid w:val="00B63B93"/>
    <w:rsid w:val="00B63FAC"/>
    <w:rsid w:val="00B677F5"/>
    <w:rsid w:val="00B71A06"/>
    <w:rsid w:val="00B71E9D"/>
    <w:rsid w:val="00B7206C"/>
    <w:rsid w:val="00B7483A"/>
    <w:rsid w:val="00B751B2"/>
    <w:rsid w:val="00B75657"/>
    <w:rsid w:val="00B75F70"/>
    <w:rsid w:val="00B778D5"/>
    <w:rsid w:val="00B77A4D"/>
    <w:rsid w:val="00B808B5"/>
    <w:rsid w:val="00B81657"/>
    <w:rsid w:val="00B84B99"/>
    <w:rsid w:val="00B87350"/>
    <w:rsid w:val="00B902CC"/>
    <w:rsid w:val="00B94404"/>
    <w:rsid w:val="00B947C1"/>
    <w:rsid w:val="00B94DD5"/>
    <w:rsid w:val="00B96F99"/>
    <w:rsid w:val="00BA1016"/>
    <w:rsid w:val="00BA190B"/>
    <w:rsid w:val="00BA2F46"/>
    <w:rsid w:val="00BA300B"/>
    <w:rsid w:val="00BA4C1A"/>
    <w:rsid w:val="00BA65B8"/>
    <w:rsid w:val="00BB1F06"/>
    <w:rsid w:val="00BB346E"/>
    <w:rsid w:val="00BB3628"/>
    <w:rsid w:val="00BB4E8C"/>
    <w:rsid w:val="00BB557F"/>
    <w:rsid w:val="00BB60B5"/>
    <w:rsid w:val="00BB6DBD"/>
    <w:rsid w:val="00BB780E"/>
    <w:rsid w:val="00BB7976"/>
    <w:rsid w:val="00BB7D07"/>
    <w:rsid w:val="00BC0C76"/>
    <w:rsid w:val="00BC101E"/>
    <w:rsid w:val="00BC1FE5"/>
    <w:rsid w:val="00BC38B9"/>
    <w:rsid w:val="00BC4579"/>
    <w:rsid w:val="00BC55AD"/>
    <w:rsid w:val="00BC584F"/>
    <w:rsid w:val="00BC5C38"/>
    <w:rsid w:val="00BC7DB7"/>
    <w:rsid w:val="00BD1D0F"/>
    <w:rsid w:val="00BD3D3B"/>
    <w:rsid w:val="00BD608E"/>
    <w:rsid w:val="00BD765F"/>
    <w:rsid w:val="00BD7870"/>
    <w:rsid w:val="00BE0CA5"/>
    <w:rsid w:val="00BE2450"/>
    <w:rsid w:val="00BE2A5E"/>
    <w:rsid w:val="00BE3497"/>
    <w:rsid w:val="00BE5DA5"/>
    <w:rsid w:val="00BE65D3"/>
    <w:rsid w:val="00BE6A13"/>
    <w:rsid w:val="00BF4591"/>
    <w:rsid w:val="00BF5E9C"/>
    <w:rsid w:val="00C00CC4"/>
    <w:rsid w:val="00C01736"/>
    <w:rsid w:val="00C019B3"/>
    <w:rsid w:val="00C02097"/>
    <w:rsid w:val="00C0299C"/>
    <w:rsid w:val="00C0410C"/>
    <w:rsid w:val="00C07FD3"/>
    <w:rsid w:val="00C10596"/>
    <w:rsid w:val="00C11EAE"/>
    <w:rsid w:val="00C12098"/>
    <w:rsid w:val="00C149DF"/>
    <w:rsid w:val="00C2263B"/>
    <w:rsid w:val="00C232CD"/>
    <w:rsid w:val="00C2333B"/>
    <w:rsid w:val="00C2418F"/>
    <w:rsid w:val="00C24C51"/>
    <w:rsid w:val="00C2718E"/>
    <w:rsid w:val="00C302E6"/>
    <w:rsid w:val="00C3072E"/>
    <w:rsid w:val="00C30A8D"/>
    <w:rsid w:val="00C3184A"/>
    <w:rsid w:val="00C33EB4"/>
    <w:rsid w:val="00C3405E"/>
    <w:rsid w:val="00C34233"/>
    <w:rsid w:val="00C369A7"/>
    <w:rsid w:val="00C3738B"/>
    <w:rsid w:val="00C40AB7"/>
    <w:rsid w:val="00C40FE5"/>
    <w:rsid w:val="00C44843"/>
    <w:rsid w:val="00C451E8"/>
    <w:rsid w:val="00C46F20"/>
    <w:rsid w:val="00C51199"/>
    <w:rsid w:val="00C51E5B"/>
    <w:rsid w:val="00C5290E"/>
    <w:rsid w:val="00C54A4C"/>
    <w:rsid w:val="00C56B56"/>
    <w:rsid w:val="00C574D6"/>
    <w:rsid w:val="00C577DA"/>
    <w:rsid w:val="00C57D7E"/>
    <w:rsid w:val="00C604EC"/>
    <w:rsid w:val="00C60BD4"/>
    <w:rsid w:val="00C60C11"/>
    <w:rsid w:val="00C60CCE"/>
    <w:rsid w:val="00C62405"/>
    <w:rsid w:val="00C63C57"/>
    <w:rsid w:val="00C65370"/>
    <w:rsid w:val="00C65742"/>
    <w:rsid w:val="00C66DA4"/>
    <w:rsid w:val="00C704F8"/>
    <w:rsid w:val="00C72569"/>
    <w:rsid w:val="00C72652"/>
    <w:rsid w:val="00C7267D"/>
    <w:rsid w:val="00C7387E"/>
    <w:rsid w:val="00C74BD9"/>
    <w:rsid w:val="00C77852"/>
    <w:rsid w:val="00C81826"/>
    <w:rsid w:val="00C83730"/>
    <w:rsid w:val="00C83AFA"/>
    <w:rsid w:val="00C83ECB"/>
    <w:rsid w:val="00C84113"/>
    <w:rsid w:val="00C84CA8"/>
    <w:rsid w:val="00C85B1D"/>
    <w:rsid w:val="00C87E1A"/>
    <w:rsid w:val="00C91A3F"/>
    <w:rsid w:val="00C92CB2"/>
    <w:rsid w:val="00C93C49"/>
    <w:rsid w:val="00C94D5B"/>
    <w:rsid w:val="00C95590"/>
    <w:rsid w:val="00C96329"/>
    <w:rsid w:val="00C963BB"/>
    <w:rsid w:val="00C97CFA"/>
    <w:rsid w:val="00CA1961"/>
    <w:rsid w:val="00CA2016"/>
    <w:rsid w:val="00CA213A"/>
    <w:rsid w:val="00CA259D"/>
    <w:rsid w:val="00CA499E"/>
    <w:rsid w:val="00CA5269"/>
    <w:rsid w:val="00CA6DD9"/>
    <w:rsid w:val="00CB01E1"/>
    <w:rsid w:val="00CB17C6"/>
    <w:rsid w:val="00CB1BA8"/>
    <w:rsid w:val="00CB40A9"/>
    <w:rsid w:val="00CB4F80"/>
    <w:rsid w:val="00CB5531"/>
    <w:rsid w:val="00CB7F99"/>
    <w:rsid w:val="00CC019A"/>
    <w:rsid w:val="00CC1691"/>
    <w:rsid w:val="00CC1FF0"/>
    <w:rsid w:val="00CC2A6A"/>
    <w:rsid w:val="00CC3788"/>
    <w:rsid w:val="00CC3944"/>
    <w:rsid w:val="00CC4D5D"/>
    <w:rsid w:val="00CD17E7"/>
    <w:rsid w:val="00CD1EAD"/>
    <w:rsid w:val="00CD365E"/>
    <w:rsid w:val="00CD3A1B"/>
    <w:rsid w:val="00CD4023"/>
    <w:rsid w:val="00CD5E47"/>
    <w:rsid w:val="00CD64DC"/>
    <w:rsid w:val="00CD72FC"/>
    <w:rsid w:val="00CE10AB"/>
    <w:rsid w:val="00CE1BFC"/>
    <w:rsid w:val="00CE2191"/>
    <w:rsid w:val="00CE41A0"/>
    <w:rsid w:val="00CE7E98"/>
    <w:rsid w:val="00CF04E4"/>
    <w:rsid w:val="00CF05AA"/>
    <w:rsid w:val="00CF0F67"/>
    <w:rsid w:val="00CF38E3"/>
    <w:rsid w:val="00CF4670"/>
    <w:rsid w:val="00CF556F"/>
    <w:rsid w:val="00D03E96"/>
    <w:rsid w:val="00D06C64"/>
    <w:rsid w:val="00D06DD2"/>
    <w:rsid w:val="00D12F39"/>
    <w:rsid w:val="00D1473C"/>
    <w:rsid w:val="00D14985"/>
    <w:rsid w:val="00D149F3"/>
    <w:rsid w:val="00D157A2"/>
    <w:rsid w:val="00D1621D"/>
    <w:rsid w:val="00D167FB"/>
    <w:rsid w:val="00D1690F"/>
    <w:rsid w:val="00D1700C"/>
    <w:rsid w:val="00D170E1"/>
    <w:rsid w:val="00D21FFD"/>
    <w:rsid w:val="00D22D6E"/>
    <w:rsid w:val="00D2471F"/>
    <w:rsid w:val="00D25DA2"/>
    <w:rsid w:val="00D3540D"/>
    <w:rsid w:val="00D375EC"/>
    <w:rsid w:val="00D41004"/>
    <w:rsid w:val="00D426CF"/>
    <w:rsid w:val="00D43737"/>
    <w:rsid w:val="00D444FB"/>
    <w:rsid w:val="00D53497"/>
    <w:rsid w:val="00D55553"/>
    <w:rsid w:val="00D56348"/>
    <w:rsid w:val="00D56859"/>
    <w:rsid w:val="00D57160"/>
    <w:rsid w:val="00D579DB"/>
    <w:rsid w:val="00D6005E"/>
    <w:rsid w:val="00D607A9"/>
    <w:rsid w:val="00D60DFB"/>
    <w:rsid w:val="00D61BE1"/>
    <w:rsid w:val="00D638ED"/>
    <w:rsid w:val="00D64F5E"/>
    <w:rsid w:val="00D668D4"/>
    <w:rsid w:val="00D66C48"/>
    <w:rsid w:val="00D67C99"/>
    <w:rsid w:val="00D731C0"/>
    <w:rsid w:val="00D732F9"/>
    <w:rsid w:val="00D738E4"/>
    <w:rsid w:val="00D7547C"/>
    <w:rsid w:val="00D76DB0"/>
    <w:rsid w:val="00D80912"/>
    <w:rsid w:val="00D8103A"/>
    <w:rsid w:val="00D82004"/>
    <w:rsid w:val="00D822E3"/>
    <w:rsid w:val="00D82BB0"/>
    <w:rsid w:val="00D82CC3"/>
    <w:rsid w:val="00D82E97"/>
    <w:rsid w:val="00D83B49"/>
    <w:rsid w:val="00D84879"/>
    <w:rsid w:val="00D85475"/>
    <w:rsid w:val="00D85FA5"/>
    <w:rsid w:val="00D8615A"/>
    <w:rsid w:val="00D86A1A"/>
    <w:rsid w:val="00D86B38"/>
    <w:rsid w:val="00D86EB0"/>
    <w:rsid w:val="00D906BB"/>
    <w:rsid w:val="00D90A7C"/>
    <w:rsid w:val="00D91214"/>
    <w:rsid w:val="00D93448"/>
    <w:rsid w:val="00D93943"/>
    <w:rsid w:val="00D94F1B"/>
    <w:rsid w:val="00DA3F55"/>
    <w:rsid w:val="00DA4178"/>
    <w:rsid w:val="00DA4AEE"/>
    <w:rsid w:val="00DA5263"/>
    <w:rsid w:val="00DA54D8"/>
    <w:rsid w:val="00DA6020"/>
    <w:rsid w:val="00DA6398"/>
    <w:rsid w:val="00DB050A"/>
    <w:rsid w:val="00DB2E38"/>
    <w:rsid w:val="00DB3856"/>
    <w:rsid w:val="00DB428A"/>
    <w:rsid w:val="00DB6056"/>
    <w:rsid w:val="00DB7550"/>
    <w:rsid w:val="00DB7ACE"/>
    <w:rsid w:val="00DB7C17"/>
    <w:rsid w:val="00DC03B3"/>
    <w:rsid w:val="00DC0740"/>
    <w:rsid w:val="00DC115B"/>
    <w:rsid w:val="00DC1C83"/>
    <w:rsid w:val="00DC2097"/>
    <w:rsid w:val="00DC3843"/>
    <w:rsid w:val="00DC422F"/>
    <w:rsid w:val="00DC64F6"/>
    <w:rsid w:val="00DC689F"/>
    <w:rsid w:val="00DC70A2"/>
    <w:rsid w:val="00DC7868"/>
    <w:rsid w:val="00DD2C3D"/>
    <w:rsid w:val="00DD3743"/>
    <w:rsid w:val="00DD5E8A"/>
    <w:rsid w:val="00DD6785"/>
    <w:rsid w:val="00DD67D8"/>
    <w:rsid w:val="00DE0860"/>
    <w:rsid w:val="00DE23C4"/>
    <w:rsid w:val="00DE3B98"/>
    <w:rsid w:val="00DE46BB"/>
    <w:rsid w:val="00DE68F3"/>
    <w:rsid w:val="00DE6BF2"/>
    <w:rsid w:val="00DE7974"/>
    <w:rsid w:val="00DF03F7"/>
    <w:rsid w:val="00DF0D3B"/>
    <w:rsid w:val="00DF10C6"/>
    <w:rsid w:val="00DF13BB"/>
    <w:rsid w:val="00DF2C7D"/>
    <w:rsid w:val="00DF2DA4"/>
    <w:rsid w:val="00DF6615"/>
    <w:rsid w:val="00E00778"/>
    <w:rsid w:val="00E0167F"/>
    <w:rsid w:val="00E0673D"/>
    <w:rsid w:val="00E07D05"/>
    <w:rsid w:val="00E101ED"/>
    <w:rsid w:val="00E11EDF"/>
    <w:rsid w:val="00E12A3F"/>
    <w:rsid w:val="00E139E9"/>
    <w:rsid w:val="00E14757"/>
    <w:rsid w:val="00E16F11"/>
    <w:rsid w:val="00E2046D"/>
    <w:rsid w:val="00E219F6"/>
    <w:rsid w:val="00E2215F"/>
    <w:rsid w:val="00E2278E"/>
    <w:rsid w:val="00E24C33"/>
    <w:rsid w:val="00E31DC9"/>
    <w:rsid w:val="00E33DD2"/>
    <w:rsid w:val="00E34F6D"/>
    <w:rsid w:val="00E36076"/>
    <w:rsid w:val="00E364D4"/>
    <w:rsid w:val="00E402BB"/>
    <w:rsid w:val="00E429F8"/>
    <w:rsid w:val="00E439F0"/>
    <w:rsid w:val="00E44787"/>
    <w:rsid w:val="00E51520"/>
    <w:rsid w:val="00E52CE9"/>
    <w:rsid w:val="00E52F68"/>
    <w:rsid w:val="00E55E00"/>
    <w:rsid w:val="00E5602B"/>
    <w:rsid w:val="00E5638C"/>
    <w:rsid w:val="00E57352"/>
    <w:rsid w:val="00E60088"/>
    <w:rsid w:val="00E608A1"/>
    <w:rsid w:val="00E610D4"/>
    <w:rsid w:val="00E620E3"/>
    <w:rsid w:val="00E62646"/>
    <w:rsid w:val="00E6334F"/>
    <w:rsid w:val="00E64B01"/>
    <w:rsid w:val="00E65DDD"/>
    <w:rsid w:val="00E66DDB"/>
    <w:rsid w:val="00E6709A"/>
    <w:rsid w:val="00E67E17"/>
    <w:rsid w:val="00E729D8"/>
    <w:rsid w:val="00E730BD"/>
    <w:rsid w:val="00E7348E"/>
    <w:rsid w:val="00E7452D"/>
    <w:rsid w:val="00E80671"/>
    <w:rsid w:val="00E81D42"/>
    <w:rsid w:val="00E82C50"/>
    <w:rsid w:val="00E840FA"/>
    <w:rsid w:val="00E84254"/>
    <w:rsid w:val="00E8489F"/>
    <w:rsid w:val="00E867DB"/>
    <w:rsid w:val="00E86A19"/>
    <w:rsid w:val="00E87F1C"/>
    <w:rsid w:val="00E90209"/>
    <w:rsid w:val="00E90A30"/>
    <w:rsid w:val="00E910DB"/>
    <w:rsid w:val="00E9144A"/>
    <w:rsid w:val="00E91DF0"/>
    <w:rsid w:val="00E9455C"/>
    <w:rsid w:val="00E95E08"/>
    <w:rsid w:val="00E96124"/>
    <w:rsid w:val="00EA106D"/>
    <w:rsid w:val="00EA1862"/>
    <w:rsid w:val="00EA1F6F"/>
    <w:rsid w:val="00EA3086"/>
    <w:rsid w:val="00EA34EB"/>
    <w:rsid w:val="00EA3677"/>
    <w:rsid w:val="00EA3F10"/>
    <w:rsid w:val="00EA4188"/>
    <w:rsid w:val="00EA41C3"/>
    <w:rsid w:val="00EA57EF"/>
    <w:rsid w:val="00EA593E"/>
    <w:rsid w:val="00EA6BB5"/>
    <w:rsid w:val="00EA6C2D"/>
    <w:rsid w:val="00EA6DB0"/>
    <w:rsid w:val="00EB2163"/>
    <w:rsid w:val="00EB30FD"/>
    <w:rsid w:val="00EB3DBE"/>
    <w:rsid w:val="00EB3E8C"/>
    <w:rsid w:val="00EB4B86"/>
    <w:rsid w:val="00EB5977"/>
    <w:rsid w:val="00EC05E4"/>
    <w:rsid w:val="00EC1B03"/>
    <w:rsid w:val="00EC3914"/>
    <w:rsid w:val="00EC649E"/>
    <w:rsid w:val="00EC6FE5"/>
    <w:rsid w:val="00ED52F6"/>
    <w:rsid w:val="00ED5D25"/>
    <w:rsid w:val="00ED6628"/>
    <w:rsid w:val="00ED7570"/>
    <w:rsid w:val="00EE3149"/>
    <w:rsid w:val="00EE50A7"/>
    <w:rsid w:val="00EE63A4"/>
    <w:rsid w:val="00EF0D7D"/>
    <w:rsid w:val="00EF0F5A"/>
    <w:rsid w:val="00EF10C1"/>
    <w:rsid w:val="00EF3178"/>
    <w:rsid w:val="00EF5850"/>
    <w:rsid w:val="00F00498"/>
    <w:rsid w:val="00F00BA4"/>
    <w:rsid w:val="00F01FF5"/>
    <w:rsid w:val="00F030C2"/>
    <w:rsid w:val="00F06343"/>
    <w:rsid w:val="00F06A2D"/>
    <w:rsid w:val="00F0733E"/>
    <w:rsid w:val="00F11931"/>
    <w:rsid w:val="00F13441"/>
    <w:rsid w:val="00F143A8"/>
    <w:rsid w:val="00F14F39"/>
    <w:rsid w:val="00F1531B"/>
    <w:rsid w:val="00F16D8F"/>
    <w:rsid w:val="00F17004"/>
    <w:rsid w:val="00F219DB"/>
    <w:rsid w:val="00F21F26"/>
    <w:rsid w:val="00F2450D"/>
    <w:rsid w:val="00F24FF6"/>
    <w:rsid w:val="00F266EC"/>
    <w:rsid w:val="00F26B48"/>
    <w:rsid w:val="00F31007"/>
    <w:rsid w:val="00F315C7"/>
    <w:rsid w:val="00F324DB"/>
    <w:rsid w:val="00F3282E"/>
    <w:rsid w:val="00F329CE"/>
    <w:rsid w:val="00F32A3E"/>
    <w:rsid w:val="00F3407E"/>
    <w:rsid w:val="00F35C4C"/>
    <w:rsid w:val="00F366C4"/>
    <w:rsid w:val="00F4068C"/>
    <w:rsid w:val="00F40B44"/>
    <w:rsid w:val="00F416EE"/>
    <w:rsid w:val="00F44707"/>
    <w:rsid w:val="00F45748"/>
    <w:rsid w:val="00F46315"/>
    <w:rsid w:val="00F46BB4"/>
    <w:rsid w:val="00F46C94"/>
    <w:rsid w:val="00F50B64"/>
    <w:rsid w:val="00F51788"/>
    <w:rsid w:val="00F52A99"/>
    <w:rsid w:val="00F53AEE"/>
    <w:rsid w:val="00F53CAF"/>
    <w:rsid w:val="00F56143"/>
    <w:rsid w:val="00F61E11"/>
    <w:rsid w:val="00F62849"/>
    <w:rsid w:val="00F63595"/>
    <w:rsid w:val="00F63787"/>
    <w:rsid w:val="00F6439B"/>
    <w:rsid w:val="00F6557B"/>
    <w:rsid w:val="00F6590B"/>
    <w:rsid w:val="00F71B6D"/>
    <w:rsid w:val="00F71DE5"/>
    <w:rsid w:val="00F72B66"/>
    <w:rsid w:val="00F739DE"/>
    <w:rsid w:val="00F74865"/>
    <w:rsid w:val="00F765DE"/>
    <w:rsid w:val="00F7675B"/>
    <w:rsid w:val="00F80BE3"/>
    <w:rsid w:val="00F810ED"/>
    <w:rsid w:val="00F82E30"/>
    <w:rsid w:val="00F836E4"/>
    <w:rsid w:val="00F8449E"/>
    <w:rsid w:val="00F8587B"/>
    <w:rsid w:val="00F85D4C"/>
    <w:rsid w:val="00F86B43"/>
    <w:rsid w:val="00F8728B"/>
    <w:rsid w:val="00F91AE1"/>
    <w:rsid w:val="00F93656"/>
    <w:rsid w:val="00F93A28"/>
    <w:rsid w:val="00F93A5D"/>
    <w:rsid w:val="00F95275"/>
    <w:rsid w:val="00F967B8"/>
    <w:rsid w:val="00F96A38"/>
    <w:rsid w:val="00F971A1"/>
    <w:rsid w:val="00FA196A"/>
    <w:rsid w:val="00FA2B3E"/>
    <w:rsid w:val="00FA48F2"/>
    <w:rsid w:val="00FA781B"/>
    <w:rsid w:val="00FA7FD0"/>
    <w:rsid w:val="00FB026B"/>
    <w:rsid w:val="00FB0F80"/>
    <w:rsid w:val="00FB3532"/>
    <w:rsid w:val="00FB38D8"/>
    <w:rsid w:val="00FB4967"/>
    <w:rsid w:val="00FC09AB"/>
    <w:rsid w:val="00FC1D39"/>
    <w:rsid w:val="00FD0FAF"/>
    <w:rsid w:val="00FD1E5B"/>
    <w:rsid w:val="00FD269E"/>
    <w:rsid w:val="00FD28D1"/>
    <w:rsid w:val="00FD39B3"/>
    <w:rsid w:val="00FD5945"/>
    <w:rsid w:val="00FD60B7"/>
    <w:rsid w:val="00FE062A"/>
    <w:rsid w:val="00FE0D74"/>
    <w:rsid w:val="00FE1FEA"/>
    <w:rsid w:val="00FE3B5D"/>
    <w:rsid w:val="00FE3B89"/>
    <w:rsid w:val="00FE6A8F"/>
    <w:rsid w:val="00FE7F44"/>
    <w:rsid w:val="00FF0A7D"/>
    <w:rsid w:val="00FF1F6E"/>
    <w:rsid w:val="00FF235B"/>
    <w:rsid w:val="00FF27A4"/>
    <w:rsid w:val="00FF377B"/>
    <w:rsid w:val="00FF55C8"/>
    <w:rsid w:val="014D24E0"/>
    <w:rsid w:val="01CF32DE"/>
    <w:rsid w:val="01FB0577"/>
    <w:rsid w:val="02520836"/>
    <w:rsid w:val="02982D61"/>
    <w:rsid w:val="03613E1C"/>
    <w:rsid w:val="042E07AD"/>
    <w:rsid w:val="04610395"/>
    <w:rsid w:val="058A5105"/>
    <w:rsid w:val="058C1AF7"/>
    <w:rsid w:val="05BB4897"/>
    <w:rsid w:val="05EF03F3"/>
    <w:rsid w:val="06A436FB"/>
    <w:rsid w:val="08292EF0"/>
    <w:rsid w:val="08702488"/>
    <w:rsid w:val="08D521F0"/>
    <w:rsid w:val="0A4C6703"/>
    <w:rsid w:val="0AA3355A"/>
    <w:rsid w:val="0B2662C4"/>
    <w:rsid w:val="0B2B18D0"/>
    <w:rsid w:val="0C010665"/>
    <w:rsid w:val="0C4B67FC"/>
    <w:rsid w:val="0C7B5742"/>
    <w:rsid w:val="0D3055AA"/>
    <w:rsid w:val="0DD9007E"/>
    <w:rsid w:val="0FB65CF9"/>
    <w:rsid w:val="10127935"/>
    <w:rsid w:val="10CD0B16"/>
    <w:rsid w:val="115C0222"/>
    <w:rsid w:val="133121DF"/>
    <w:rsid w:val="15613E91"/>
    <w:rsid w:val="15AB6577"/>
    <w:rsid w:val="15EE4223"/>
    <w:rsid w:val="16E129C7"/>
    <w:rsid w:val="16FC53DE"/>
    <w:rsid w:val="1795066F"/>
    <w:rsid w:val="189B78DE"/>
    <w:rsid w:val="18C272A1"/>
    <w:rsid w:val="18DD7817"/>
    <w:rsid w:val="1A7E2606"/>
    <w:rsid w:val="1AF3341F"/>
    <w:rsid w:val="1B19090B"/>
    <w:rsid w:val="1C821221"/>
    <w:rsid w:val="1DB4038D"/>
    <w:rsid w:val="1F9017C1"/>
    <w:rsid w:val="20486FB7"/>
    <w:rsid w:val="22E06CA1"/>
    <w:rsid w:val="23072D77"/>
    <w:rsid w:val="23D7294D"/>
    <w:rsid w:val="272F2932"/>
    <w:rsid w:val="27BC1BC5"/>
    <w:rsid w:val="28994707"/>
    <w:rsid w:val="29980385"/>
    <w:rsid w:val="2A396119"/>
    <w:rsid w:val="2A6D3B32"/>
    <w:rsid w:val="2B3109E2"/>
    <w:rsid w:val="2C0A4EFF"/>
    <w:rsid w:val="2CB32B2E"/>
    <w:rsid w:val="2D9D1C2B"/>
    <w:rsid w:val="2F0922B4"/>
    <w:rsid w:val="2F370591"/>
    <w:rsid w:val="2F9B467C"/>
    <w:rsid w:val="2FB83131"/>
    <w:rsid w:val="2FBC7F5F"/>
    <w:rsid w:val="2FD40E75"/>
    <w:rsid w:val="306653E6"/>
    <w:rsid w:val="31597D59"/>
    <w:rsid w:val="31605B7D"/>
    <w:rsid w:val="331A5596"/>
    <w:rsid w:val="33914519"/>
    <w:rsid w:val="339935C8"/>
    <w:rsid w:val="35E3583F"/>
    <w:rsid w:val="36B41C7C"/>
    <w:rsid w:val="37D840A9"/>
    <w:rsid w:val="37F24BC6"/>
    <w:rsid w:val="3806660C"/>
    <w:rsid w:val="39693140"/>
    <w:rsid w:val="396E311B"/>
    <w:rsid w:val="397268D4"/>
    <w:rsid w:val="3DD86EA7"/>
    <w:rsid w:val="3EED2426"/>
    <w:rsid w:val="40A05104"/>
    <w:rsid w:val="40B04C94"/>
    <w:rsid w:val="417D5F77"/>
    <w:rsid w:val="423544BC"/>
    <w:rsid w:val="42FF5D83"/>
    <w:rsid w:val="44FA379B"/>
    <w:rsid w:val="450F5D66"/>
    <w:rsid w:val="46C91F85"/>
    <w:rsid w:val="46CC1CEE"/>
    <w:rsid w:val="46F53B97"/>
    <w:rsid w:val="47AF7EBF"/>
    <w:rsid w:val="47F279E3"/>
    <w:rsid w:val="47F95BF5"/>
    <w:rsid w:val="48B044F6"/>
    <w:rsid w:val="48DD1FC7"/>
    <w:rsid w:val="49E739C6"/>
    <w:rsid w:val="4A316AB2"/>
    <w:rsid w:val="4A6F3E14"/>
    <w:rsid w:val="4D7102B1"/>
    <w:rsid w:val="4D7D19FF"/>
    <w:rsid w:val="4F147BB7"/>
    <w:rsid w:val="507C1E50"/>
    <w:rsid w:val="51181EB3"/>
    <w:rsid w:val="511A4DB4"/>
    <w:rsid w:val="51AD73BF"/>
    <w:rsid w:val="51C128DC"/>
    <w:rsid w:val="528D3EA0"/>
    <w:rsid w:val="53684FB5"/>
    <w:rsid w:val="547A3510"/>
    <w:rsid w:val="54E52040"/>
    <w:rsid w:val="54FF12D2"/>
    <w:rsid w:val="55175CA3"/>
    <w:rsid w:val="556502F8"/>
    <w:rsid w:val="563F46E8"/>
    <w:rsid w:val="58353226"/>
    <w:rsid w:val="588E44CE"/>
    <w:rsid w:val="59A52FB9"/>
    <w:rsid w:val="5C87366D"/>
    <w:rsid w:val="5DD22B07"/>
    <w:rsid w:val="5DFE22BA"/>
    <w:rsid w:val="5E6D3EF4"/>
    <w:rsid w:val="5FB25D7E"/>
    <w:rsid w:val="60142654"/>
    <w:rsid w:val="61E15FB7"/>
    <w:rsid w:val="632414F2"/>
    <w:rsid w:val="636101AA"/>
    <w:rsid w:val="64293ABF"/>
    <w:rsid w:val="646F5050"/>
    <w:rsid w:val="64874569"/>
    <w:rsid w:val="651C409F"/>
    <w:rsid w:val="65D04032"/>
    <w:rsid w:val="66CD04B7"/>
    <w:rsid w:val="67206C39"/>
    <w:rsid w:val="676634E7"/>
    <w:rsid w:val="69796AD5"/>
    <w:rsid w:val="69D2308E"/>
    <w:rsid w:val="6A8D22AF"/>
    <w:rsid w:val="6C633400"/>
    <w:rsid w:val="6D2D3E5E"/>
    <w:rsid w:val="6E6A2B17"/>
    <w:rsid w:val="6F000C4B"/>
    <w:rsid w:val="6F0E33B0"/>
    <w:rsid w:val="6FEC771A"/>
    <w:rsid w:val="70EF6D4C"/>
    <w:rsid w:val="71566079"/>
    <w:rsid w:val="71705F87"/>
    <w:rsid w:val="7211280E"/>
    <w:rsid w:val="725F14AC"/>
    <w:rsid w:val="740A0B66"/>
    <w:rsid w:val="766320B0"/>
    <w:rsid w:val="76DD0CC0"/>
    <w:rsid w:val="76E901AD"/>
    <w:rsid w:val="77D8692B"/>
    <w:rsid w:val="78C07423"/>
    <w:rsid w:val="794F10EF"/>
    <w:rsid w:val="7CAB4D9F"/>
    <w:rsid w:val="7CB62EA9"/>
    <w:rsid w:val="7DB44302"/>
    <w:rsid w:val="7E461622"/>
    <w:rsid w:val="7EA73D8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iPriority="9"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0" w:semiHidden="0" w:name="toc 2"/>
    <w:lsdException w:qFormat="1" w:uiPriority="0" w:semiHidden="0" w:name="toc 3"/>
    <w:lsdException w:qFormat="1" w:uiPriority="0" w:semiHidden="0" w:name="toc 4"/>
    <w:lsdException w:qFormat="1" w:uiPriority="0" w:semiHidden="0" w:name="toc 5"/>
    <w:lsdException w:qFormat="1" w:uiPriority="0" w:semiHidden="0" w:name="toc 6"/>
    <w:lsdException w:qFormat="1" w:uiPriority="0" w:semiHidden="0" w:name="toc 7"/>
    <w:lsdException w:qFormat="1" w:uiPriority="0" w:semiHidden="0" w:name="toc 8"/>
    <w:lsdException w:qFormat="1" w:uiPriority="0" w:semiHidden="0" w:name="toc 9"/>
    <w:lsdException w:qFormat="1" w:unhideWhenUsed="0" w:uiPriority="0" w:semiHidden="0" w:name="Normal Indent"/>
    <w:lsdException w:uiPriority="99" w:name="footnote text"/>
    <w:lsdException w:qFormat="1" w:unhideWhenUsed="0" w:uiPriority="0" w:semiHidden="0"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qFormat="1" w:unhideWhenUsed="0" w:uiPriority="0" w:semiHidden="0" w:name="toa heading"/>
    <w:lsdException w:uiPriority="99" w:name="List"/>
    <w:lsdException w:uiPriority="99" w:name="List Bullet"/>
    <w:lsdException w:uiPriority="99" w:name="List Number"/>
    <w:lsdException w:qFormat="1" w:unhideWhenUsed="0" w:uiPriority="0" w:semiHidden="0" w:name="List 2"/>
    <w:lsdException w:qFormat="1"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qFormat="1" w:unhideWhenUsed="0" w:uiPriority="0" w:semiHidden="0"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0" w:semiHidden="0" w:name="Body Text First Indent"/>
    <w:lsdException w:uiPriority="99"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99" w:semiHidden="0" w:name="Block Text"/>
    <w:lsdException w:qFormat="1" w:unhideWhenUsed="0"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70"/>
    <w:qFormat/>
    <w:uiPriority w:val="0"/>
    <w:pPr>
      <w:keepNext/>
      <w:keepLines/>
      <w:spacing w:before="340" w:after="330" w:line="576" w:lineRule="auto"/>
      <w:outlineLvl w:val="0"/>
    </w:pPr>
    <w:rPr>
      <w:rFonts w:ascii="宋体" w:hAnsi="Courier New"/>
      <w:b/>
      <w:bCs/>
      <w:kern w:val="44"/>
      <w:sz w:val="44"/>
      <w:szCs w:val="44"/>
    </w:rPr>
  </w:style>
  <w:style w:type="paragraph" w:styleId="3">
    <w:name w:val="heading 2"/>
    <w:basedOn w:val="1"/>
    <w:next w:val="1"/>
    <w:link w:val="69"/>
    <w:qFormat/>
    <w:uiPriority w:val="0"/>
    <w:pPr>
      <w:keepNext/>
      <w:keepLines/>
      <w:spacing w:before="260" w:after="260" w:line="415" w:lineRule="auto"/>
      <w:outlineLvl w:val="1"/>
    </w:pPr>
    <w:rPr>
      <w:rFonts w:ascii="Arial" w:hAnsi="Arial" w:eastAsia="黑体"/>
      <w:b/>
      <w:bCs/>
      <w:sz w:val="32"/>
      <w:szCs w:val="32"/>
    </w:rPr>
  </w:style>
  <w:style w:type="paragraph" w:styleId="4">
    <w:name w:val="heading 3"/>
    <w:basedOn w:val="1"/>
    <w:next w:val="1"/>
    <w:link w:val="183"/>
    <w:qFormat/>
    <w:uiPriority w:val="0"/>
    <w:pPr>
      <w:keepNext/>
      <w:keepLines/>
      <w:spacing w:before="260" w:after="260" w:line="415" w:lineRule="auto"/>
      <w:outlineLvl w:val="2"/>
    </w:pPr>
    <w:rPr>
      <w:b/>
      <w:sz w:val="32"/>
      <w:szCs w:val="20"/>
    </w:rPr>
  </w:style>
  <w:style w:type="paragraph" w:styleId="5">
    <w:name w:val="heading 4"/>
    <w:basedOn w:val="1"/>
    <w:next w:val="1"/>
    <w:link w:val="211"/>
    <w:qFormat/>
    <w:uiPriority w:val="9"/>
    <w:pPr>
      <w:keepNext/>
      <w:keepLines/>
      <w:spacing w:before="280" w:after="290" w:line="374" w:lineRule="auto"/>
      <w:outlineLvl w:val="3"/>
    </w:pPr>
    <w:rPr>
      <w:rFonts w:ascii="Arial" w:hAnsi="Arial" w:eastAsia="黑体"/>
      <w:b/>
      <w:sz w:val="28"/>
      <w:szCs w:val="20"/>
    </w:rPr>
  </w:style>
  <w:style w:type="paragraph" w:styleId="6">
    <w:name w:val="heading 5"/>
    <w:basedOn w:val="1"/>
    <w:next w:val="1"/>
    <w:link w:val="221"/>
    <w:qFormat/>
    <w:uiPriority w:val="0"/>
    <w:pPr>
      <w:tabs>
        <w:tab w:val="left" w:pos="992"/>
        <w:tab w:val="left" w:pos="1134"/>
      </w:tabs>
      <w:spacing w:before="280" w:after="290" w:line="360" w:lineRule="auto"/>
      <w:ind w:left="992" w:hanging="992"/>
      <w:outlineLvl w:val="4"/>
    </w:pPr>
    <w:rPr>
      <w:b/>
      <w:bCs/>
      <w:kern w:val="0"/>
      <w:sz w:val="28"/>
      <w:szCs w:val="28"/>
    </w:rPr>
  </w:style>
  <w:style w:type="paragraph" w:styleId="7">
    <w:name w:val="heading 6"/>
    <w:basedOn w:val="1"/>
    <w:next w:val="1"/>
    <w:link w:val="219"/>
    <w:qFormat/>
    <w:uiPriority w:val="0"/>
    <w:pPr>
      <w:keepNext/>
      <w:keepLines/>
      <w:tabs>
        <w:tab w:val="left" w:pos="1134"/>
      </w:tabs>
      <w:spacing w:before="240" w:after="64" w:line="316" w:lineRule="auto"/>
      <w:ind w:left="1134" w:hanging="1134"/>
      <w:outlineLvl w:val="5"/>
    </w:pPr>
    <w:rPr>
      <w:rFonts w:ascii="Arial" w:hAnsi="Arial"/>
      <w:b/>
      <w:bCs/>
      <w:kern w:val="0"/>
      <w:sz w:val="28"/>
      <w:szCs w:val="18"/>
    </w:rPr>
  </w:style>
  <w:style w:type="paragraph" w:styleId="8">
    <w:name w:val="heading 7"/>
    <w:basedOn w:val="1"/>
    <w:next w:val="1"/>
    <w:link w:val="224"/>
    <w:qFormat/>
    <w:uiPriority w:val="0"/>
    <w:pPr>
      <w:keepNext/>
      <w:keepLines/>
      <w:spacing w:before="240" w:after="64" w:line="320" w:lineRule="auto"/>
      <w:outlineLvl w:val="6"/>
    </w:pPr>
    <w:rPr>
      <w:b/>
      <w:bCs/>
      <w:kern w:val="0"/>
      <w:sz w:val="24"/>
    </w:rPr>
  </w:style>
  <w:style w:type="paragraph" w:styleId="9">
    <w:name w:val="heading 8"/>
    <w:basedOn w:val="1"/>
    <w:next w:val="1"/>
    <w:link w:val="193"/>
    <w:qFormat/>
    <w:uiPriority w:val="0"/>
    <w:pPr>
      <w:keepNext/>
      <w:keepLines/>
      <w:spacing w:before="240" w:after="64" w:line="320" w:lineRule="auto"/>
      <w:outlineLvl w:val="7"/>
    </w:pPr>
    <w:rPr>
      <w:rFonts w:ascii="Cambria" w:hAnsi="Cambria"/>
      <w:kern w:val="0"/>
      <w:sz w:val="24"/>
    </w:rPr>
  </w:style>
  <w:style w:type="character" w:default="1" w:styleId="49">
    <w:name w:val="Default Paragraph Font"/>
    <w:semiHidden/>
    <w:unhideWhenUsed/>
    <w:qFormat/>
    <w:uiPriority w:val="1"/>
  </w:style>
  <w:style w:type="table" w:default="1" w:styleId="47">
    <w:name w:val="Normal Table"/>
    <w:semiHidden/>
    <w:unhideWhenUsed/>
    <w:qFormat/>
    <w:uiPriority w:val="99"/>
    <w:tblPr>
      <w:tblCellMar>
        <w:top w:w="0" w:type="dxa"/>
        <w:left w:w="108" w:type="dxa"/>
        <w:bottom w:w="0" w:type="dxa"/>
        <w:right w:w="108" w:type="dxa"/>
      </w:tblCellMar>
    </w:tblPr>
  </w:style>
  <w:style w:type="paragraph" w:styleId="10">
    <w:name w:val="List 3"/>
    <w:basedOn w:val="1"/>
    <w:semiHidden/>
    <w:unhideWhenUsed/>
    <w:qFormat/>
    <w:uiPriority w:val="99"/>
    <w:pPr>
      <w:ind w:left="100" w:leftChars="400" w:hanging="200" w:hangingChars="200"/>
      <w:contextualSpacing/>
    </w:pPr>
  </w:style>
  <w:style w:type="paragraph" w:styleId="11">
    <w:name w:val="toc 7"/>
    <w:basedOn w:val="1"/>
    <w:next w:val="1"/>
    <w:unhideWhenUsed/>
    <w:qFormat/>
    <w:uiPriority w:val="0"/>
    <w:pPr>
      <w:ind w:left="2520" w:leftChars="1200"/>
    </w:pPr>
    <w:rPr>
      <w:szCs w:val="20"/>
    </w:rPr>
  </w:style>
  <w:style w:type="paragraph" w:styleId="12">
    <w:name w:val="List Number 2"/>
    <w:basedOn w:val="1"/>
    <w:qFormat/>
    <w:uiPriority w:val="0"/>
    <w:pPr>
      <w:tabs>
        <w:tab w:val="left" w:pos="780"/>
      </w:tabs>
      <w:ind w:left="840" w:hanging="360"/>
    </w:pPr>
    <w:rPr>
      <w:szCs w:val="20"/>
    </w:rPr>
  </w:style>
  <w:style w:type="paragraph" w:styleId="13">
    <w:name w:val="Normal Indent"/>
    <w:basedOn w:val="1"/>
    <w:link w:val="171"/>
    <w:qFormat/>
    <w:uiPriority w:val="0"/>
    <w:pPr>
      <w:ind w:firstLine="420"/>
    </w:pPr>
    <w:rPr>
      <w:rFonts w:ascii="等线" w:hAnsi="等线" w:eastAsia="等线"/>
      <w:szCs w:val="22"/>
    </w:rPr>
  </w:style>
  <w:style w:type="paragraph" w:styleId="14">
    <w:name w:val="Document Map"/>
    <w:basedOn w:val="1"/>
    <w:link w:val="128"/>
    <w:qFormat/>
    <w:uiPriority w:val="0"/>
    <w:pPr>
      <w:shd w:val="clear" w:color="auto" w:fill="000080"/>
    </w:pPr>
    <w:rPr>
      <w:rFonts w:ascii="等线" w:hAnsi="等线" w:eastAsia="等线"/>
    </w:rPr>
  </w:style>
  <w:style w:type="paragraph" w:styleId="15">
    <w:name w:val="toa heading"/>
    <w:basedOn w:val="1"/>
    <w:next w:val="1"/>
    <w:qFormat/>
    <w:uiPriority w:val="0"/>
    <w:pPr>
      <w:spacing w:before="120"/>
    </w:pPr>
    <w:rPr>
      <w:rFonts w:ascii="Arial" w:hAnsi="Arial" w:cs="Arial"/>
      <w:sz w:val="24"/>
    </w:rPr>
  </w:style>
  <w:style w:type="paragraph" w:styleId="16">
    <w:name w:val="annotation text"/>
    <w:basedOn w:val="1"/>
    <w:link w:val="74"/>
    <w:qFormat/>
    <w:uiPriority w:val="0"/>
    <w:pPr>
      <w:jc w:val="left"/>
    </w:pPr>
    <w:rPr>
      <w:rFonts w:ascii="Calibri" w:hAnsi="Calibri"/>
    </w:rPr>
  </w:style>
  <w:style w:type="paragraph" w:styleId="17">
    <w:name w:val="Body Text 3"/>
    <w:basedOn w:val="1"/>
    <w:link w:val="310"/>
    <w:qFormat/>
    <w:uiPriority w:val="0"/>
    <w:pPr>
      <w:spacing w:after="120"/>
    </w:pPr>
    <w:rPr>
      <w:sz w:val="16"/>
      <w:szCs w:val="16"/>
    </w:rPr>
  </w:style>
  <w:style w:type="paragraph" w:styleId="18">
    <w:name w:val="Body Text"/>
    <w:basedOn w:val="1"/>
    <w:link w:val="78"/>
    <w:qFormat/>
    <w:uiPriority w:val="0"/>
    <w:pPr>
      <w:spacing w:line="420" w:lineRule="auto"/>
    </w:pPr>
    <w:rPr>
      <w:kern w:val="0"/>
      <w:sz w:val="24"/>
    </w:rPr>
  </w:style>
  <w:style w:type="paragraph" w:styleId="19">
    <w:name w:val="Body Text Indent"/>
    <w:basedOn w:val="1"/>
    <w:link w:val="80"/>
    <w:qFormat/>
    <w:uiPriority w:val="0"/>
    <w:pPr>
      <w:spacing w:line="440" w:lineRule="exact"/>
      <w:ind w:firstLine="630"/>
    </w:pPr>
    <w:rPr>
      <w:rFonts w:ascii="宋体" w:hAnsi="宋体" w:eastAsia="等线"/>
      <w:sz w:val="28"/>
    </w:rPr>
  </w:style>
  <w:style w:type="paragraph" w:styleId="20">
    <w:name w:val="List 2"/>
    <w:basedOn w:val="1"/>
    <w:qFormat/>
    <w:uiPriority w:val="0"/>
    <w:pPr>
      <w:ind w:left="100" w:leftChars="200" w:hanging="200" w:hangingChars="200"/>
      <w:contextualSpacing/>
    </w:pPr>
  </w:style>
  <w:style w:type="paragraph" w:styleId="21">
    <w:name w:val="Block Text"/>
    <w:basedOn w:val="1"/>
    <w:qFormat/>
    <w:uiPriority w:val="99"/>
    <w:pPr>
      <w:widowControl/>
      <w:tabs>
        <w:tab w:val="left" w:pos="284"/>
      </w:tabs>
      <w:ind w:left="788" w:right="-594"/>
    </w:pPr>
    <w:rPr>
      <w:rFonts w:ascii="创艺繁楷体" w:hAnsi="Calibri" w:eastAsia="创艺繁楷体"/>
      <w:szCs w:val="22"/>
    </w:rPr>
  </w:style>
  <w:style w:type="paragraph" w:styleId="22">
    <w:name w:val="toc 5"/>
    <w:basedOn w:val="1"/>
    <w:next w:val="1"/>
    <w:unhideWhenUsed/>
    <w:qFormat/>
    <w:uiPriority w:val="0"/>
    <w:pPr>
      <w:ind w:left="1680" w:leftChars="800"/>
    </w:pPr>
    <w:rPr>
      <w:szCs w:val="20"/>
    </w:rPr>
  </w:style>
  <w:style w:type="paragraph" w:styleId="23">
    <w:name w:val="toc 3"/>
    <w:basedOn w:val="1"/>
    <w:next w:val="1"/>
    <w:unhideWhenUsed/>
    <w:qFormat/>
    <w:uiPriority w:val="0"/>
    <w:pPr>
      <w:ind w:left="840" w:leftChars="400"/>
    </w:pPr>
    <w:rPr>
      <w:szCs w:val="21"/>
    </w:rPr>
  </w:style>
  <w:style w:type="paragraph" w:styleId="24">
    <w:name w:val="Plain Text"/>
    <w:basedOn w:val="1"/>
    <w:link w:val="173"/>
    <w:qFormat/>
    <w:uiPriority w:val="0"/>
    <w:rPr>
      <w:rFonts w:ascii="宋体" w:hAnsi="Courier New"/>
      <w:kern w:val="0"/>
      <w:szCs w:val="21"/>
    </w:rPr>
  </w:style>
  <w:style w:type="paragraph" w:styleId="25">
    <w:name w:val="toc 8"/>
    <w:basedOn w:val="1"/>
    <w:next w:val="1"/>
    <w:unhideWhenUsed/>
    <w:qFormat/>
    <w:uiPriority w:val="0"/>
    <w:pPr>
      <w:ind w:left="2940" w:leftChars="1400"/>
    </w:pPr>
    <w:rPr>
      <w:szCs w:val="20"/>
    </w:rPr>
  </w:style>
  <w:style w:type="paragraph" w:styleId="26">
    <w:name w:val="Date"/>
    <w:basedOn w:val="1"/>
    <w:next w:val="1"/>
    <w:link w:val="83"/>
    <w:qFormat/>
    <w:uiPriority w:val="0"/>
    <w:rPr>
      <w:rFonts w:ascii="宋体" w:hAnsi="Courier New" w:eastAsia="楷体_GB2312"/>
      <w:sz w:val="32"/>
      <w:szCs w:val="20"/>
    </w:rPr>
  </w:style>
  <w:style w:type="paragraph" w:styleId="27">
    <w:name w:val="Body Text Indent 2"/>
    <w:basedOn w:val="1"/>
    <w:link w:val="181"/>
    <w:qFormat/>
    <w:uiPriority w:val="0"/>
    <w:pPr>
      <w:tabs>
        <w:tab w:val="left" w:pos="540"/>
      </w:tabs>
      <w:ind w:firstLine="538" w:firstLineChars="192"/>
    </w:pPr>
    <w:rPr>
      <w:rFonts w:ascii="等线" w:hAnsi="等线" w:eastAsia="等线"/>
      <w:sz w:val="28"/>
    </w:rPr>
  </w:style>
  <w:style w:type="paragraph" w:styleId="28">
    <w:name w:val="Balloon Text"/>
    <w:basedOn w:val="1"/>
    <w:link w:val="88"/>
    <w:qFormat/>
    <w:uiPriority w:val="0"/>
    <w:rPr>
      <w:sz w:val="18"/>
      <w:szCs w:val="18"/>
    </w:rPr>
  </w:style>
  <w:style w:type="paragraph" w:styleId="29">
    <w:name w:val="footer"/>
    <w:basedOn w:val="1"/>
    <w:link w:val="57"/>
    <w:unhideWhenUsed/>
    <w:qFormat/>
    <w:uiPriority w:val="99"/>
    <w:pPr>
      <w:tabs>
        <w:tab w:val="center" w:pos="4153"/>
        <w:tab w:val="right" w:pos="8306"/>
      </w:tabs>
      <w:snapToGrid w:val="0"/>
      <w:jc w:val="left"/>
    </w:pPr>
    <w:rPr>
      <w:sz w:val="18"/>
      <w:szCs w:val="18"/>
    </w:rPr>
  </w:style>
  <w:style w:type="paragraph" w:styleId="30">
    <w:name w:val="header"/>
    <w:basedOn w:val="1"/>
    <w:link w:val="56"/>
    <w:unhideWhenUsed/>
    <w:qFormat/>
    <w:uiPriority w:val="0"/>
    <w:pPr>
      <w:pBdr>
        <w:bottom w:val="single" w:color="auto" w:sz="6" w:space="1"/>
      </w:pBdr>
      <w:tabs>
        <w:tab w:val="center" w:pos="4153"/>
        <w:tab w:val="right" w:pos="8306"/>
      </w:tabs>
      <w:snapToGrid w:val="0"/>
      <w:jc w:val="center"/>
    </w:pPr>
    <w:rPr>
      <w:sz w:val="18"/>
      <w:szCs w:val="18"/>
    </w:rPr>
  </w:style>
  <w:style w:type="paragraph" w:styleId="31">
    <w:name w:val="toc 1"/>
    <w:basedOn w:val="1"/>
    <w:next w:val="1"/>
    <w:link w:val="212"/>
    <w:qFormat/>
    <w:uiPriority w:val="39"/>
    <w:pPr>
      <w:tabs>
        <w:tab w:val="right" w:leader="dot" w:pos="8834"/>
      </w:tabs>
      <w:spacing w:before="120" w:after="120"/>
      <w:jc w:val="left"/>
    </w:pPr>
    <w:rPr>
      <w:b/>
      <w:bCs/>
      <w:caps/>
      <w:sz w:val="28"/>
      <w:szCs w:val="28"/>
    </w:rPr>
  </w:style>
  <w:style w:type="paragraph" w:styleId="32">
    <w:name w:val="toc 4"/>
    <w:basedOn w:val="1"/>
    <w:next w:val="1"/>
    <w:unhideWhenUsed/>
    <w:qFormat/>
    <w:uiPriority w:val="0"/>
    <w:pPr>
      <w:ind w:left="1260" w:leftChars="600"/>
    </w:pPr>
    <w:rPr>
      <w:szCs w:val="20"/>
    </w:rPr>
  </w:style>
  <w:style w:type="paragraph" w:styleId="33">
    <w:name w:val="Subtitle"/>
    <w:basedOn w:val="1"/>
    <w:next w:val="1"/>
    <w:link w:val="89"/>
    <w:qFormat/>
    <w:uiPriority w:val="0"/>
    <w:pPr>
      <w:spacing w:before="240" w:after="60" w:line="312" w:lineRule="auto"/>
      <w:jc w:val="center"/>
      <w:outlineLvl w:val="1"/>
    </w:pPr>
    <w:rPr>
      <w:rFonts w:ascii="Cambria" w:hAnsi="Cambria" w:eastAsia="方正楷体简体"/>
      <w:kern w:val="28"/>
      <w:sz w:val="32"/>
      <w:szCs w:val="32"/>
    </w:rPr>
  </w:style>
  <w:style w:type="paragraph" w:styleId="34">
    <w:name w:val="toc 6"/>
    <w:basedOn w:val="1"/>
    <w:next w:val="1"/>
    <w:unhideWhenUsed/>
    <w:qFormat/>
    <w:uiPriority w:val="0"/>
    <w:pPr>
      <w:ind w:left="2100" w:leftChars="1000"/>
    </w:pPr>
    <w:rPr>
      <w:szCs w:val="20"/>
    </w:rPr>
  </w:style>
  <w:style w:type="paragraph" w:styleId="35">
    <w:name w:val="Body Text Indent 3"/>
    <w:basedOn w:val="1"/>
    <w:link w:val="178"/>
    <w:qFormat/>
    <w:uiPriority w:val="0"/>
    <w:pPr>
      <w:ind w:firstLine="420" w:firstLineChars="150"/>
    </w:pPr>
    <w:rPr>
      <w:rFonts w:ascii="等线" w:hAnsi="等线" w:eastAsia="等线"/>
      <w:sz w:val="28"/>
    </w:rPr>
  </w:style>
  <w:style w:type="paragraph" w:styleId="36">
    <w:name w:val="toc 2"/>
    <w:basedOn w:val="1"/>
    <w:next w:val="1"/>
    <w:qFormat/>
    <w:uiPriority w:val="0"/>
    <w:pPr>
      <w:ind w:left="420" w:leftChars="200"/>
    </w:pPr>
    <w:rPr>
      <w:szCs w:val="21"/>
    </w:rPr>
  </w:style>
  <w:style w:type="paragraph" w:styleId="37">
    <w:name w:val="toc 9"/>
    <w:basedOn w:val="1"/>
    <w:next w:val="1"/>
    <w:unhideWhenUsed/>
    <w:qFormat/>
    <w:uiPriority w:val="0"/>
    <w:pPr>
      <w:ind w:left="3360" w:leftChars="1600"/>
    </w:pPr>
    <w:rPr>
      <w:szCs w:val="20"/>
    </w:rPr>
  </w:style>
  <w:style w:type="paragraph" w:styleId="38">
    <w:name w:val="Body Text 2"/>
    <w:basedOn w:val="1"/>
    <w:link w:val="242"/>
    <w:qFormat/>
    <w:uiPriority w:val="0"/>
    <w:pPr>
      <w:spacing w:line="200" w:lineRule="exact"/>
      <w:jc w:val="center"/>
    </w:pPr>
    <w:rPr>
      <w:rFonts w:ascii="宋体" w:hAnsi="宋体"/>
      <w:color w:val="000000"/>
      <w:sz w:val="18"/>
      <w:szCs w:val="18"/>
    </w:rPr>
  </w:style>
  <w:style w:type="paragraph" w:styleId="39">
    <w:name w:val="HTML Preformatted"/>
    <w:basedOn w:val="1"/>
    <w:link w:val="24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40">
    <w:name w:val="Normal (Web)"/>
    <w:basedOn w:val="1"/>
    <w:qFormat/>
    <w:uiPriority w:val="0"/>
    <w:pPr>
      <w:widowControl/>
      <w:spacing w:before="240" w:after="240"/>
      <w:jc w:val="left"/>
    </w:pPr>
    <w:rPr>
      <w:rFonts w:ascii="宋体" w:hAnsi="宋体" w:cs="宋体"/>
      <w:kern w:val="0"/>
      <w:sz w:val="24"/>
    </w:rPr>
  </w:style>
  <w:style w:type="paragraph" w:styleId="41">
    <w:name w:val="index 1"/>
    <w:basedOn w:val="1"/>
    <w:next w:val="1"/>
    <w:qFormat/>
    <w:uiPriority w:val="0"/>
    <w:pPr>
      <w:widowControl/>
      <w:jc w:val="left"/>
    </w:pPr>
    <w:rPr>
      <w:rFonts w:ascii="Arial" w:hAnsi="Arial" w:cs="Arial"/>
      <w:b/>
      <w:bCs/>
      <w:kern w:val="0"/>
      <w:sz w:val="17"/>
      <w:szCs w:val="20"/>
      <w:lang w:eastAsia="en-US"/>
    </w:rPr>
  </w:style>
  <w:style w:type="paragraph" w:styleId="42">
    <w:name w:val="Title"/>
    <w:basedOn w:val="1"/>
    <w:next w:val="1"/>
    <w:link w:val="92"/>
    <w:qFormat/>
    <w:uiPriority w:val="0"/>
    <w:pPr>
      <w:spacing w:before="240" w:after="60"/>
      <w:jc w:val="center"/>
      <w:outlineLvl w:val="0"/>
    </w:pPr>
    <w:rPr>
      <w:rFonts w:ascii="Cambria" w:hAnsi="Cambria"/>
      <w:b/>
      <w:bCs/>
      <w:sz w:val="32"/>
      <w:szCs w:val="32"/>
    </w:rPr>
  </w:style>
  <w:style w:type="paragraph" w:styleId="43">
    <w:name w:val="annotation subject"/>
    <w:basedOn w:val="19"/>
    <w:next w:val="19"/>
    <w:link w:val="76"/>
    <w:qFormat/>
    <w:uiPriority w:val="0"/>
    <w:rPr>
      <w:rFonts w:ascii="等线" w:hAnsi="等线"/>
      <w:b/>
      <w:bCs/>
    </w:rPr>
  </w:style>
  <w:style w:type="paragraph" w:styleId="44">
    <w:name w:val="Body Text First Indent"/>
    <w:basedOn w:val="45"/>
    <w:link w:val="347"/>
    <w:qFormat/>
    <w:uiPriority w:val="0"/>
    <w:pPr>
      <w:tabs>
        <w:tab w:val="left" w:pos="420"/>
      </w:tabs>
      <w:spacing w:after="120" w:line="240" w:lineRule="auto"/>
      <w:ind w:firstLine="420" w:firstLineChars="100"/>
    </w:pPr>
  </w:style>
  <w:style w:type="paragraph" w:customStyle="1" w:styleId="45">
    <w:name w:val="正文要点"/>
    <w:basedOn w:val="1"/>
    <w:next w:val="46"/>
    <w:link w:val="99"/>
    <w:qFormat/>
    <w:uiPriority w:val="0"/>
    <w:pPr>
      <w:tabs>
        <w:tab w:val="left" w:pos="420"/>
      </w:tabs>
      <w:spacing w:line="360" w:lineRule="auto"/>
      <w:ind w:left="840" w:hanging="420"/>
    </w:pPr>
    <w:rPr>
      <w:szCs w:val="21"/>
    </w:rPr>
  </w:style>
  <w:style w:type="paragraph" w:customStyle="1" w:styleId="46">
    <w:name w:val="正文要点内容"/>
    <w:basedOn w:val="45"/>
    <w:link w:val="98"/>
    <w:qFormat/>
    <w:uiPriority w:val="0"/>
    <w:pPr>
      <w:tabs>
        <w:tab w:val="left" w:pos="840"/>
        <w:tab w:val="clear" w:pos="420"/>
      </w:tabs>
      <w:ind w:left="400" w:leftChars="400" w:firstLine="200" w:firstLineChars="200"/>
    </w:pPr>
  </w:style>
  <w:style w:type="table" w:styleId="48">
    <w:name w:val="Table Grid"/>
    <w:qFormat/>
    <w:uiPriority w:val="0"/>
    <w:rPr>
      <w:rFonts w:ascii="Calibri" w:hAnsi="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
  </w:style>
  <w:style w:type="character" w:styleId="50">
    <w:name w:val="Strong"/>
    <w:basedOn w:val="49"/>
    <w:qFormat/>
    <w:uiPriority w:val="0"/>
    <w:rPr>
      <w:b/>
      <w:bCs/>
    </w:rPr>
  </w:style>
  <w:style w:type="character" w:styleId="51">
    <w:name w:val="page number"/>
    <w:qFormat/>
    <w:uiPriority w:val="0"/>
    <w:rPr>
      <w:rFonts w:cs="Times New Roman"/>
    </w:rPr>
  </w:style>
  <w:style w:type="character" w:styleId="52">
    <w:name w:val="FollowedHyperlink"/>
    <w:qFormat/>
    <w:uiPriority w:val="99"/>
    <w:rPr>
      <w:color w:val="954F72"/>
      <w:u w:val="single"/>
    </w:rPr>
  </w:style>
  <w:style w:type="character" w:styleId="53">
    <w:name w:val="Emphasis"/>
    <w:qFormat/>
    <w:uiPriority w:val="0"/>
    <w:rPr>
      <w:i/>
    </w:rPr>
  </w:style>
  <w:style w:type="character" w:styleId="54">
    <w:name w:val="Hyperlink"/>
    <w:qFormat/>
    <w:uiPriority w:val="99"/>
    <w:rPr>
      <w:color w:val="0000FF"/>
      <w:u w:val="single"/>
    </w:rPr>
  </w:style>
  <w:style w:type="character" w:styleId="55">
    <w:name w:val="annotation reference"/>
    <w:qFormat/>
    <w:uiPriority w:val="0"/>
    <w:rPr>
      <w:sz w:val="21"/>
      <w:szCs w:val="21"/>
    </w:rPr>
  </w:style>
  <w:style w:type="character" w:customStyle="1" w:styleId="56">
    <w:name w:val="页眉 Char1"/>
    <w:basedOn w:val="49"/>
    <w:link w:val="30"/>
    <w:qFormat/>
    <w:uiPriority w:val="99"/>
    <w:rPr>
      <w:sz w:val="18"/>
      <w:szCs w:val="18"/>
    </w:rPr>
  </w:style>
  <w:style w:type="character" w:customStyle="1" w:styleId="57">
    <w:name w:val="页脚 Char1"/>
    <w:basedOn w:val="49"/>
    <w:link w:val="29"/>
    <w:qFormat/>
    <w:uiPriority w:val="99"/>
    <w:rPr>
      <w:sz w:val="18"/>
      <w:szCs w:val="18"/>
    </w:rPr>
  </w:style>
  <w:style w:type="character" w:customStyle="1" w:styleId="58">
    <w:name w:val="标题 1 字符"/>
    <w:basedOn w:val="49"/>
    <w:qFormat/>
    <w:uiPriority w:val="0"/>
    <w:rPr>
      <w:rFonts w:ascii="Times New Roman" w:hAnsi="Times New Roman" w:eastAsia="宋体" w:cs="Times New Roman"/>
      <w:b/>
      <w:bCs/>
      <w:kern w:val="44"/>
      <w:sz w:val="44"/>
      <w:szCs w:val="44"/>
    </w:rPr>
  </w:style>
  <w:style w:type="character" w:customStyle="1" w:styleId="59">
    <w:name w:val="标题 2 字符"/>
    <w:basedOn w:val="49"/>
    <w:qFormat/>
    <w:uiPriority w:val="0"/>
    <w:rPr>
      <w:rFonts w:asciiTheme="majorHAnsi" w:hAnsiTheme="majorHAnsi" w:eastAsiaTheme="majorEastAsia" w:cstheme="majorBidi"/>
      <w:b/>
      <w:bCs/>
      <w:sz w:val="32"/>
      <w:szCs w:val="32"/>
    </w:rPr>
  </w:style>
  <w:style w:type="character" w:customStyle="1" w:styleId="60">
    <w:name w:val="标题 3 字符"/>
    <w:basedOn w:val="49"/>
    <w:qFormat/>
    <w:uiPriority w:val="0"/>
    <w:rPr>
      <w:rFonts w:ascii="Times New Roman" w:hAnsi="Times New Roman" w:eastAsia="宋体" w:cs="Times New Roman"/>
      <w:b/>
      <w:bCs/>
      <w:sz w:val="32"/>
      <w:szCs w:val="32"/>
    </w:rPr>
  </w:style>
  <w:style w:type="character" w:customStyle="1" w:styleId="61">
    <w:name w:val="标题 4 字符"/>
    <w:basedOn w:val="49"/>
    <w:qFormat/>
    <w:uiPriority w:val="9"/>
    <w:rPr>
      <w:rFonts w:asciiTheme="majorHAnsi" w:hAnsiTheme="majorHAnsi" w:eastAsiaTheme="majorEastAsia" w:cstheme="majorBidi"/>
      <w:b/>
      <w:bCs/>
      <w:sz w:val="28"/>
      <w:szCs w:val="28"/>
    </w:rPr>
  </w:style>
  <w:style w:type="character" w:customStyle="1" w:styleId="62">
    <w:name w:val="标题 5 字符"/>
    <w:basedOn w:val="49"/>
    <w:qFormat/>
    <w:uiPriority w:val="0"/>
    <w:rPr>
      <w:rFonts w:ascii="Times New Roman" w:hAnsi="Times New Roman" w:eastAsia="宋体" w:cs="Times New Roman"/>
      <w:b/>
      <w:bCs/>
      <w:sz w:val="28"/>
      <w:szCs w:val="28"/>
    </w:rPr>
  </w:style>
  <w:style w:type="character" w:customStyle="1" w:styleId="63">
    <w:name w:val="标题 6 字符"/>
    <w:basedOn w:val="49"/>
    <w:qFormat/>
    <w:uiPriority w:val="0"/>
    <w:rPr>
      <w:rFonts w:asciiTheme="majorHAnsi" w:hAnsiTheme="majorHAnsi" w:eastAsiaTheme="majorEastAsia" w:cstheme="majorBidi"/>
      <w:b/>
      <w:bCs/>
      <w:sz w:val="24"/>
      <w:szCs w:val="24"/>
    </w:rPr>
  </w:style>
  <w:style w:type="character" w:customStyle="1" w:styleId="64">
    <w:name w:val="标题 7 字符"/>
    <w:basedOn w:val="49"/>
    <w:qFormat/>
    <w:uiPriority w:val="0"/>
    <w:rPr>
      <w:rFonts w:ascii="Times New Roman" w:hAnsi="Times New Roman" w:eastAsia="宋体" w:cs="Times New Roman"/>
      <w:b/>
      <w:bCs/>
      <w:sz w:val="24"/>
      <w:szCs w:val="24"/>
    </w:rPr>
  </w:style>
  <w:style w:type="character" w:customStyle="1" w:styleId="65">
    <w:name w:val="标题 8 字符"/>
    <w:basedOn w:val="49"/>
    <w:qFormat/>
    <w:uiPriority w:val="0"/>
    <w:rPr>
      <w:rFonts w:asciiTheme="majorHAnsi" w:hAnsiTheme="majorHAnsi" w:eastAsiaTheme="majorEastAsia" w:cstheme="majorBidi"/>
      <w:sz w:val="24"/>
      <w:szCs w:val="24"/>
    </w:rPr>
  </w:style>
  <w:style w:type="character" w:customStyle="1" w:styleId="66">
    <w:name w:val="页眉 字符1"/>
    <w:basedOn w:val="49"/>
    <w:qFormat/>
    <w:uiPriority w:val="0"/>
    <w:rPr>
      <w:kern w:val="2"/>
      <w:sz w:val="18"/>
      <w:szCs w:val="18"/>
    </w:rPr>
  </w:style>
  <w:style w:type="character" w:customStyle="1" w:styleId="67">
    <w:name w:val="页脚 字符1"/>
    <w:basedOn w:val="49"/>
    <w:qFormat/>
    <w:uiPriority w:val="0"/>
    <w:rPr>
      <w:kern w:val="2"/>
      <w:sz w:val="18"/>
      <w:szCs w:val="18"/>
    </w:rPr>
  </w:style>
  <w:style w:type="character" w:customStyle="1" w:styleId="68">
    <w:name w:val="文档结构图 字符"/>
    <w:basedOn w:val="49"/>
    <w:qFormat/>
    <w:uiPriority w:val="0"/>
    <w:rPr>
      <w:rFonts w:ascii="Microsoft YaHei UI" w:hAnsi="Times New Roman" w:eastAsia="Microsoft YaHei UI" w:cs="Times New Roman"/>
      <w:sz w:val="18"/>
      <w:szCs w:val="18"/>
    </w:rPr>
  </w:style>
  <w:style w:type="character" w:customStyle="1" w:styleId="69">
    <w:name w:val="标题 2 Char"/>
    <w:basedOn w:val="49"/>
    <w:link w:val="3"/>
    <w:qFormat/>
    <w:uiPriority w:val="0"/>
    <w:rPr>
      <w:rFonts w:ascii="Arial" w:hAnsi="Arial" w:eastAsia="黑体" w:cs="Times New Roman"/>
      <w:b/>
      <w:bCs/>
      <w:sz w:val="32"/>
      <w:szCs w:val="32"/>
    </w:rPr>
  </w:style>
  <w:style w:type="character" w:customStyle="1" w:styleId="70">
    <w:name w:val="标题 1 Char"/>
    <w:basedOn w:val="49"/>
    <w:link w:val="2"/>
    <w:qFormat/>
    <w:uiPriority w:val="0"/>
    <w:rPr>
      <w:rFonts w:ascii="宋体" w:hAnsi="Courier New" w:eastAsia="宋体" w:cs="Times New Roman"/>
      <w:b/>
      <w:bCs/>
      <w:kern w:val="44"/>
      <w:sz w:val="44"/>
      <w:szCs w:val="44"/>
    </w:rPr>
  </w:style>
  <w:style w:type="character" w:customStyle="1" w:styleId="71">
    <w:name w:val="标题 3 Char"/>
    <w:basedOn w:val="49"/>
    <w:qFormat/>
    <w:uiPriority w:val="0"/>
    <w:rPr>
      <w:b/>
      <w:bCs/>
      <w:kern w:val="2"/>
      <w:sz w:val="32"/>
      <w:szCs w:val="32"/>
    </w:rPr>
  </w:style>
  <w:style w:type="character" w:customStyle="1" w:styleId="72">
    <w:name w:val="标题 4 Char"/>
    <w:basedOn w:val="49"/>
    <w:qFormat/>
    <w:uiPriority w:val="0"/>
    <w:rPr>
      <w:rFonts w:ascii="仿宋_GB2312" w:eastAsia="仿宋_GB2312" w:cs="仿宋_GB2312"/>
      <w:kern w:val="2"/>
      <w:sz w:val="28"/>
      <w:szCs w:val="28"/>
    </w:rPr>
  </w:style>
  <w:style w:type="character" w:customStyle="1" w:styleId="73">
    <w:name w:val="批注文字 字符"/>
    <w:basedOn w:val="49"/>
    <w:qFormat/>
    <w:uiPriority w:val="0"/>
    <w:rPr>
      <w:rFonts w:ascii="Times New Roman" w:hAnsi="Times New Roman" w:eastAsia="宋体" w:cs="Times New Roman"/>
      <w:szCs w:val="24"/>
    </w:rPr>
  </w:style>
  <w:style w:type="character" w:customStyle="1" w:styleId="74">
    <w:name w:val="批注文字 Char1"/>
    <w:basedOn w:val="49"/>
    <w:link w:val="16"/>
    <w:qFormat/>
    <w:uiPriority w:val="99"/>
    <w:rPr>
      <w:rFonts w:ascii="Calibri" w:hAnsi="Calibri" w:eastAsia="宋体" w:cs="Times New Roman"/>
      <w:szCs w:val="24"/>
    </w:rPr>
  </w:style>
  <w:style w:type="character" w:customStyle="1" w:styleId="75">
    <w:name w:val="批注主题 字符"/>
    <w:basedOn w:val="73"/>
    <w:qFormat/>
    <w:uiPriority w:val="0"/>
    <w:rPr>
      <w:rFonts w:ascii="Times New Roman" w:hAnsi="Times New Roman" w:eastAsia="宋体" w:cs="Times New Roman"/>
      <w:b/>
      <w:bCs/>
      <w:szCs w:val="24"/>
    </w:rPr>
  </w:style>
  <w:style w:type="character" w:customStyle="1" w:styleId="76">
    <w:name w:val="批注主题 Char"/>
    <w:basedOn w:val="74"/>
    <w:link w:val="43"/>
    <w:qFormat/>
    <w:uiPriority w:val="0"/>
    <w:rPr>
      <w:rFonts w:ascii="等线" w:hAnsi="等线" w:eastAsia="等线" w:cs="Times New Roman"/>
      <w:b/>
      <w:bCs/>
      <w:sz w:val="28"/>
      <w:szCs w:val="24"/>
    </w:rPr>
  </w:style>
  <w:style w:type="character" w:customStyle="1" w:styleId="77">
    <w:name w:val="正文文本 字符"/>
    <w:basedOn w:val="49"/>
    <w:qFormat/>
    <w:uiPriority w:val="0"/>
    <w:rPr>
      <w:rFonts w:ascii="Times New Roman" w:hAnsi="Times New Roman" w:eastAsia="宋体" w:cs="Times New Roman"/>
      <w:szCs w:val="24"/>
    </w:rPr>
  </w:style>
  <w:style w:type="character" w:customStyle="1" w:styleId="78">
    <w:name w:val="正文文本 Char"/>
    <w:basedOn w:val="49"/>
    <w:link w:val="18"/>
    <w:qFormat/>
    <w:uiPriority w:val="0"/>
    <w:rPr>
      <w:rFonts w:ascii="Times New Roman" w:hAnsi="Times New Roman" w:eastAsia="宋体" w:cs="Times New Roman"/>
      <w:kern w:val="0"/>
      <w:sz w:val="24"/>
      <w:szCs w:val="24"/>
    </w:rPr>
  </w:style>
  <w:style w:type="character" w:customStyle="1" w:styleId="79">
    <w:name w:val="正文文本缩进 字符"/>
    <w:basedOn w:val="49"/>
    <w:qFormat/>
    <w:uiPriority w:val="0"/>
    <w:rPr>
      <w:rFonts w:ascii="Times New Roman" w:hAnsi="Times New Roman" w:eastAsia="宋体" w:cs="Times New Roman"/>
      <w:szCs w:val="24"/>
    </w:rPr>
  </w:style>
  <w:style w:type="character" w:customStyle="1" w:styleId="80">
    <w:name w:val="正文文本缩进 Char"/>
    <w:basedOn w:val="49"/>
    <w:link w:val="19"/>
    <w:qFormat/>
    <w:uiPriority w:val="0"/>
    <w:rPr>
      <w:rFonts w:ascii="宋体" w:hAnsi="宋体" w:eastAsia="等线" w:cs="Times New Roman"/>
      <w:sz w:val="28"/>
      <w:szCs w:val="24"/>
    </w:rPr>
  </w:style>
  <w:style w:type="character" w:customStyle="1" w:styleId="81">
    <w:name w:val="纯文本 字符"/>
    <w:basedOn w:val="49"/>
    <w:qFormat/>
    <w:uiPriority w:val="99"/>
    <w:rPr>
      <w:rFonts w:hAnsi="Courier New" w:cs="Courier New" w:asciiTheme="minorEastAsia"/>
      <w:szCs w:val="24"/>
    </w:rPr>
  </w:style>
  <w:style w:type="character" w:customStyle="1" w:styleId="82">
    <w:name w:val="纯文本 Char"/>
    <w:basedOn w:val="49"/>
    <w:qFormat/>
    <w:uiPriority w:val="0"/>
    <w:rPr>
      <w:rFonts w:ascii="宋体" w:hAnsi="Courier New"/>
      <w:sz w:val="21"/>
      <w:szCs w:val="21"/>
    </w:rPr>
  </w:style>
  <w:style w:type="character" w:customStyle="1" w:styleId="83">
    <w:name w:val="日期 Char1"/>
    <w:basedOn w:val="49"/>
    <w:link w:val="26"/>
    <w:qFormat/>
    <w:uiPriority w:val="0"/>
    <w:rPr>
      <w:rFonts w:ascii="宋体" w:hAnsi="Courier New" w:eastAsia="楷体_GB2312" w:cs="Times New Roman"/>
      <w:sz w:val="32"/>
      <w:szCs w:val="20"/>
    </w:rPr>
  </w:style>
  <w:style w:type="character" w:customStyle="1" w:styleId="84">
    <w:name w:val="日期 Char"/>
    <w:basedOn w:val="49"/>
    <w:qFormat/>
    <w:uiPriority w:val="0"/>
    <w:rPr>
      <w:rFonts w:ascii="宋体" w:hAnsi="Courier New"/>
      <w:sz w:val="21"/>
      <w:szCs w:val="21"/>
    </w:rPr>
  </w:style>
  <w:style w:type="character" w:customStyle="1" w:styleId="85">
    <w:name w:val="正文文本缩进 2 字符"/>
    <w:basedOn w:val="49"/>
    <w:qFormat/>
    <w:uiPriority w:val="0"/>
    <w:rPr>
      <w:rFonts w:ascii="Times New Roman" w:hAnsi="Times New Roman" w:eastAsia="宋体" w:cs="Times New Roman"/>
      <w:szCs w:val="24"/>
    </w:rPr>
  </w:style>
  <w:style w:type="character" w:customStyle="1" w:styleId="86">
    <w:name w:val="正文文本缩进 2 Char"/>
    <w:basedOn w:val="49"/>
    <w:qFormat/>
    <w:uiPriority w:val="0"/>
    <w:rPr>
      <w:sz w:val="24"/>
      <w:szCs w:val="24"/>
    </w:rPr>
  </w:style>
  <w:style w:type="character" w:customStyle="1" w:styleId="87">
    <w:name w:val="批注框文本 字符"/>
    <w:basedOn w:val="49"/>
    <w:qFormat/>
    <w:uiPriority w:val="0"/>
    <w:rPr>
      <w:rFonts w:ascii="Times New Roman" w:hAnsi="Times New Roman" w:eastAsia="宋体" w:cs="Times New Roman"/>
      <w:sz w:val="18"/>
      <w:szCs w:val="18"/>
    </w:rPr>
  </w:style>
  <w:style w:type="character" w:customStyle="1" w:styleId="88">
    <w:name w:val="批注框文本 Char"/>
    <w:basedOn w:val="49"/>
    <w:link w:val="28"/>
    <w:qFormat/>
    <w:uiPriority w:val="0"/>
    <w:rPr>
      <w:rFonts w:ascii="Times New Roman" w:hAnsi="Times New Roman" w:eastAsia="宋体" w:cs="Times New Roman"/>
      <w:sz w:val="18"/>
      <w:szCs w:val="18"/>
    </w:rPr>
  </w:style>
  <w:style w:type="character" w:customStyle="1" w:styleId="89">
    <w:name w:val="副标题 Char"/>
    <w:basedOn w:val="49"/>
    <w:link w:val="33"/>
    <w:qFormat/>
    <w:uiPriority w:val="0"/>
    <w:rPr>
      <w:rFonts w:ascii="Cambria" w:hAnsi="Cambria" w:eastAsia="方正楷体简体" w:cs="Times New Roman"/>
      <w:kern w:val="28"/>
      <w:sz w:val="32"/>
      <w:szCs w:val="32"/>
    </w:rPr>
  </w:style>
  <w:style w:type="character" w:customStyle="1" w:styleId="90">
    <w:name w:val="正文文本缩进 3 字符"/>
    <w:basedOn w:val="49"/>
    <w:qFormat/>
    <w:uiPriority w:val="0"/>
    <w:rPr>
      <w:rFonts w:ascii="Times New Roman" w:hAnsi="Times New Roman" w:eastAsia="宋体" w:cs="Times New Roman"/>
      <w:sz w:val="16"/>
      <w:szCs w:val="16"/>
    </w:rPr>
  </w:style>
  <w:style w:type="character" w:customStyle="1" w:styleId="91">
    <w:name w:val="正文文本缩进 3 Char"/>
    <w:basedOn w:val="49"/>
    <w:qFormat/>
    <w:uiPriority w:val="0"/>
    <w:rPr>
      <w:sz w:val="16"/>
      <w:szCs w:val="16"/>
    </w:rPr>
  </w:style>
  <w:style w:type="character" w:customStyle="1" w:styleId="92">
    <w:name w:val="标题 Char1"/>
    <w:basedOn w:val="49"/>
    <w:link w:val="42"/>
    <w:qFormat/>
    <w:uiPriority w:val="0"/>
    <w:rPr>
      <w:rFonts w:ascii="Cambria" w:hAnsi="Cambria" w:eastAsia="宋体" w:cs="Times New Roman"/>
      <w:b/>
      <w:bCs/>
      <w:sz w:val="32"/>
      <w:szCs w:val="32"/>
    </w:rPr>
  </w:style>
  <w:style w:type="character" w:customStyle="1" w:styleId="93">
    <w:name w:val="标题 Char"/>
    <w:basedOn w:val="49"/>
    <w:qFormat/>
    <w:uiPriority w:val="0"/>
    <w:rPr>
      <w:rFonts w:ascii="Cambria" w:hAnsi="Cambria" w:eastAsia="方正小标宋简体"/>
      <w:b/>
      <w:bCs/>
      <w:kern w:val="2"/>
      <w:sz w:val="32"/>
      <w:szCs w:val="32"/>
    </w:rPr>
  </w:style>
  <w:style w:type="paragraph" w:customStyle="1" w:styleId="94">
    <w:name w:val="Char"/>
    <w:basedOn w:val="1"/>
    <w:qFormat/>
    <w:uiPriority w:val="0"/>
    <w:rPr>
      <w:szCs w:val="21"/>
    </w:rPr>
  </w:style>
  <w:style w:type="paragraph" w:customStyle="1" w:styleId="95">
    <w:name w:val="样式1"/>
    <w:basedOn w:val="1"/>
    <w:qFormat/>
    <w:uiPriority w:val="0"/>
    <w:pPr>
      <w:tabs>
        <w:tab w:val="left" w:pos="1674"/>
      </w:tabs>
      <w:adjustRightInd w:val="0"/>
      <w:ind w:left="1674" w:hanging="1125"/>
      <w:textAlignment w:val="baseline"/>
    </w:pPr>
    <w:rPr>
      <w:rFonts w:ascii="宋体" w:hAnsi="宋体" w:cs="宋体"/>
      <w:kern w:val="0"/>
      <w:szCs w:val="21"/>
    </w:rPr>
  </w:style>
  <w:style w:type="paragraph" w:customStyle="1" w:styleId="96">
    <w:name w:val="TOC 标题1"/>
    <w:basedOn w:val="2"/>
    <w:next w:val="1"/>
    <w:qFormat/>
    <w:uiPriority w:val="0"/>
    <w:pPr>
      <w:widowControl/>
      <w:spacing w:before="480" w:after="0" w:line="276" w:lineRule="auto"/>
      <w:jc w:val="left"/>
      <w:outlineLvl w:val="9"/>
    </w:pPr>
    <w:rPr>
      <w:rFonts w:ascii="Cambria" w:hAnsi="Cambria" w:cs="Cambria"/>
      <w:color w:val="365F91"/>
      <w:kern w:val="0"/>
      <w:sz w:val="28"/>
      <w:szCs w:val="28"/>
    </w:rPr>
  </w:style>
  <w:style w:type="paragraph" w:customStyle="1" w:styleId="97">
    <w:name w:val="默认段落字体 Para Char Char Char Char"/>
    <w:basedOn w:val="1"/>
    <w:qFormat/>
    <w:uiPriority w:val="0"/>
    <w:rPr>
      <w:szCs w:val="21"/>
    </w:rPr>
  </w:style>
  <w:style w:type="character" w:customStyle="1" w:styleId="98">
    <w:name w:val="正文要点内容 Char Char"/>
    <w:basedOn w:val="99"/>
    <w:link w:val="46"/>
    <w:qFormat/>
    <w:locked/>
    <w:uiPriority w:val="0"/>
    <w:rPr>
      <w:rFonts w:ascii="Times New Roman" w:hAnsi="Times New Roman" w:eastAsia="宋体" w:cs="Times New Roman"/>
      <w:szCs w:val="21"/>
    </w:rPr>
  </w:style>
  <w:style w:type="character" w:customStyle="1" w:styleId="99">
    <w:name w:val="正文要点 Char Char"/>
    <w:basedOn w:val="49"/>
    <w:link w:val="45"/>
    <w:qFormat/>
    <w:locked/>
    <w:uiPriority w:val="0"/>
    <w:rPr>
      <w:rFonts w:ascii="Times New Roman" w:hAnsi="Times New Roman" w:eastAsia="宋体" w:cs="Times New Roman"/>
      <w:szCs w:val="21"/>
    </w:rPr>
  </w:style>
  <w:style w:type="paragraph" w:customStyle="1" w:styleId="100">
    <w:name w:val="Bullet"/>
    <w:basedOn w:val="1"/>
    <w:qFormat/>
    <w:uiPriority w:val="0"/>
    <w:pPr>
      <w:widowControl/>
      <w:adjustRightInd w:val="0"/>
      <w:spacing w:before="60" w:after="60" w:line="500" w:lineRule="exact"/>
      <w:ind w:firstLine="551" w:firstLineChars="196"/>
    </w:pPr>
    <w:rPr>
      <w:rFonts w:ascii="宋体" w:hAnsi="宋体" w:cs="宋体"/>
      <w:b/>
      <w:bCs/>
      <w:color w:val="333333"/>
      <w:kern w:val="0"/>
      <w:sz w:val="28"/>
      <w:szCs w:val="28"/>
    </w:rPr>
  </w:style>
  <w:style w:type="paragraph" w:customStyle="1" w:styleId="101">
    <w:name w:val="样式 标题 3h3Level 3 HeadH3Heading 3 - oldlevel_3PIM 3BOD 0s..."/>
    <w:basedOn w:val="4"/>
    <w:qFormat/>
    <w:uiPriority w:val="0"/>
    <w:pPr>
      <w:tabs>
        <w:tab w:val="left" w:pos="0"/>
      </w:tabs>
      <w:adjustRightInd w:val="0"/>
      <w:spacing w:before="0" w:after="0" w:line="500" w:lineRule="exact"/>
      <w:textAlignment w:val="baseline"/>
    </w:pPr>
    <w:rPr>
      <w:kern w:val="0"/>
      <w:sz w:val="28"/>
      <w:szCs w:val="28"/>
    </w:rPr>
  </w:style>
  <w:style w:type="paragraph" w:customStyle="1" w:styleId="102">
    <w:name w:val="font8"/>
    <w:basedOn w:val="1"/>
    <w:qFormat/>
    <w:uiPriority w:val="0"/>
    <w:pPr>
      <w:widowControl/>
      <w:spacing w:before="100" w:beforeAutospacing="1" w:after="100" w:afterAutospacing="1"/>
      <w:jc w:val="left"/>
    </w:pPr>
    <w:rPr>
      <w:rFonts w:ascii="黑体" w:hAnsi="Arial Unicode MS" w:eastAsia="黑体" w:cs="黑体"/>
      <w:kern w:val="0"/>
      <w:sz w:val="22"/>
      <w:szCs w:val="22"/>
    </w:rPr>
  </w:style>
  <w:style w:type="paragraph" w:customStyle="1" w:styleId="103">
    <w:name w:val="xl27"/>
    <w:basedOn w:val="1"/>
    <w:qFormat/>
    <w:uiPriority w:val="0"/>
    <w:pPr>
      <w:widowControl/>
      <w:spacing w:before="100" w:beforeAutospacing="1" w:after="100" w:afterAutospacing="1"/>
      <w:jc w:val="center"/>
      <w:textAlignment w:val="center"/>
    </w:pPr>
    <w:rPr>
      <w:rFonts w:ascii="华文细黑" w:hAnsi="华文细黑" w:eastAsia="华文细黑" w:cs="华文细黑"/>
      <w:b/>
      <w:bCs/>
      <w:kern w:val="0"/>
      <w:sz w:val="22"/>
      <w:szCs w:val="22"/>
    </w:rPr>
  </w:style>
  <w:style w:type="paragraph" w:customStyle="1" w:styleId="104">
    <w:name w:val="xl33"/>
    <w:basedOn w:val="1"/>
    <w:qFormat/>
    <w:uiPriority w:val="0"/>
    <w:pPr>
      <w:widowControl/>
      <w:spacing w:before="100" w:beforeAutospacing="1" w:after="100" w:afterAutospacing="1"/>
      <w:jc w:val="center"/>
      <w:textAlignment w:val="center"/>
    </w:pPr>
    <w:rPr>
      <w:rFonts w:ascii="黑体" w:hAnsi="Arial Unicode MS" w:eastAsia="黑体" w:cs="黑体"/>
      <w:kern w:val="0"/>
      <w:sz w:val="22"/>
      <w:szCs w:val="22"/>
    </w:rPr>
  </w:style>
  <w:style w:type="paragraph" w:customStyle="1" w:styleId="105">
    <w:name w:val="无间隔1"/>
    <w:link w:val="106"/>
    <w:qFormat/>
    <w:uiPriority w:val="0"/>
    <w:rPr>
      <w:rFonts w:ascii="Calibri" w:hAnsi="Calibri" w:eastAsia="宋体" w:cs="Calibri"/>
      <w:sz w:val="22"/>
      <w:szCs w:val="22"/>
      <w:lang w:val="en-US" w:eastAsia="zh-CN" w:bidi="ar-SA"/>
    </w:rPr>
  </w:style>
  <w:style w:type="character" w:customStyle="1" w:styleId="106">
    <w:name w:val="无间隔 Char"/>
    <w:basedOn w:val="49"/>
    <w:link w:val="105"/>
    <w:qFormat/>
    <w:locked/>
    <w:uiPriority w:val="0"/>
    <w:rPr>
      <w:rFonts w:ascii="Calibri" w:hAnsi="Calibri" w:eastAsia="宋体" w:cs="Calibri"/>
      <w:kern w:val="0"/>
      <w:sz w:val="22"/>
    </w:rPr>
  </w:style>
  <w:style w:type="paragraph" w:customStyle="1" w:styleId="107">
    <w:name w:val="Char Char1 Char Char Char Char Char Char Char Char Char Char Char Char Char Char Char"/>
    <w:basedOn w:val="1"/>
    <w:qFormat/>
    <w:uiPriority w:val="0"/>
    <w:pPr>
      <w:widowControl/>
      <w:spacing w:after="160" w:line="240" w:lineRule="exact"/>
      <w:jc w:val="left"/>
    </w:pPr>
    <w:rPr>
      <w:rFonts w:ascii="Verdana" w:hAnsi="Verdana" w:cs="Verdana"/>
      <w:kern w:val="0"/>
      <w:sz w:val="20"/>
      <w:szCs w:val="20"/>
      <w:lang w:eastAsia="en-US"/>
    </w:rPr>
  </w:style>
  <w:style w:type="paragraph" w:customStyle="1" w:styleId="108">
    <w:name w:val="Char1 Char Char Char"/>
    <w:basedOn w:val="1"/>
    <w:qFormat/>
    <w:uiPriority w:val="0"/>
    <w:rPr>
      <w:rFonts w:eastAsia="仿宋_GB2312"/>
      <w:sz w:val="28"/>
      <w:szCs w:val="28"/>
    </w:rPr>
  </w:style>
  <w:style w:type="paragraph" w:customStyle="1" w:styleId="109">
    <w:name w:val="默认段落字体 Para Char Char Char Char Char Char Char Char Char Char"/>
    <w:basedOn w:val="1"/>
    <w:qFormat/>
    <w:uiPriority w:val="0"/>
    <w:rPr>
      <w:rFonts w:ascii="Tahoma" w:hAnsi="Tahoma" w:cs="Tahoma"/>
      <w:sz w:val="24"/>
    </w:rPr>
  </w:style>
  <w:style w:type="paragraph" w:customStyle="1" w:styleId="110">
    <w:name w:val="修订1"/>
    <w:hidden/>
    <w:qFormat/>
    <w:uiPriority w:val="0"/>
    <w:rPr>
      <w:rFonts w:ascii="Times New Roman" w:hAnsi="Times New Roman" w:eastAsia="宋体" w:cs="Times New Roman"/>
      <w:kern w:val="2"/>
      <w:sz w:val="21"/>
      <w:szCs w:val="21"/>
      <w:lang w:val="en-US" w:eastAsia="zh-CN" w:bidi="ar-SA"/>
    </w:rPr>
  </w:style>
  <w:style w:type="paragraph" w:customStyle="1" w:styleId="111">
    <w:name w:val="列出段落1"/>
    <w:basedOn w:val="1"/>
    <w:link w:val="175"/>
    <w:qFormat/>
    <w:uiPriority w:val="0"/>
    <w:pPr>
      <w:ind w:firstLine="420" w:firstLineChars="200"/>
    </w:pPr>
    <w:rPr>
      <w:szCs w:val="21"/>
    </w:rPr>
  </w:style>
  <w:style w:type="character" w:customStyle="1" w:styleId="112">
    <w:name w:val="Title Char"/>
    <w:qFormat/>
    <w:locked/>
    <w:uiPriority w:val="0"/>
    <w:rPr>
      <w:rFonts w:ascii="Cambria" w:hAnsi="Cambria" w:eastAsia="方正小标宋简体" w:cs="Cambria"/>
      <w:b/>
      <w:bCs/>
      <w:kern w:val="2"/>
      <w:sz w:val="32"/>
      <w:szCs w:val="32"/>
    </w:rPr>
  </w:style>
  <w:style w:type="character" w:customStyle="1" w:styleId="113">
    <w:name w:val="Subtitle Char"/>
    <w:qFormat/>
    <w:locked/>
    <w:uiPriority w:val="0"/>
    <w:rPr>
      <w:rFonts w:ascii="Cambria" w:hAnsi="Cambria" w:eastAsia="方正楷体简体" w:cs="Cambria"/>
      <w:kern w:val="28"/>
      <w:sz w:val="32"/>
      <w:szCs w:val="32"/>
    </w:rPr>
  </w:style>
  <w:style w:type="character" w:customStyle="1" w:styleId="114">
    <w:name w:val="Plain Text Char"/>
    <w:qFormat/>
    <w:locked/>
    <w:uiPriority w:val="0"/>
    <w:rPr>
      <w:rFonts w:ascii="宋体" w:hAnsi="Courier New" w:cs="宋体"/>
      <w:sz w:val="21"/>
      <w:szCs w:val="21"/>
    </w:rPr>
  </w:style>
  <w:style w:type="character" w:customStyle="1" w:styleId="115">
    <w:name w:val="Date Char"/>
    <w:qFormat/>
    <w:locked/>
    <w:uiPriority w:val="0"/>
    <w:rPr>
      <w:rFonts w:ascii="宋体" w:hAnsi="Courier New" w:cs="宋体"/>
      <w:sz w:val="21"/>
      <w:szCs w:val="21"/>
    </w:rPr>
  </w:style>
  <w:style w:type="character" w:customStyle="1" w:styleId="116">
    <w:name w:val="Body Text Indent Char"/>
    <w:qFormat/>
    <w:locked/>
    <w:uiPriority w:val="0"/>
    <w:rPr>
      <w:rFonts w:ascii="仿宋_GB2312" w:hAnsi="Times New Roman" w:eastAsia="仿宋_GB2312" w:cs="仿宋_GB2312"/>
      <w:sz w:val="32"/>
      <w:szCs w:val="32"/>
    </w:rPr>
  </w:style>
  <w:style w:type="character" w:customStyle="1" w:styleId="117">
    <w:name w:val="case31"/>
    <w:basedOn w:val="49"/>
    <w:qFormat/>
    <w:uiPriority w:val="0"/>
    <w:rPr>
      <w:sz w:val="21"/>
      <w:szCs w:val="21"/>
    </w:rPr>
  </w:style>
  <w:style w:type="character" w:customStyle="1" w:styleId="118">
    <w:name w:val="Footer Char"/>
    <w:qFormat/>
    <w:locked/>
    <w:uiPriority w:val="0"/>
    <w:rPr>
      <w:rFonts w:ascii="Times New Roman" w:hAnsi="Times New Roman" w:cs="Times New Roman"/>
      <w:sz w:val="18"/>
      <w:szCs w:val="18"/>
    </w:rPr>
  </w:style>
  <w:style w:type="character" w:customStyle="1" w:styleId="119">
    <w:name w:val="Header Char"/>
    <w:qFormat/>
    <w:locked/>
    <w:uiPriority w:val="0"/>
    <w:rPr>
      <w:rFonts w:ascii="Times New Roman" w:hAnsi="Times New Roman" w:cs="Times New Roman"/>
      <w:sz w:val="18"/>
      <w:szCs w:val="18"/>
    </w:rPr>
  </w:style>
  <w:style w:type="character" w:customStyle="1" w:styleId="120">
    <w:name w:val="Body Text Indent 3 Char"/>
    <w:qFormat/>
    <w:locked/>
    <w:uiPriority w:val="0"/>
    <w:rPr>
      <w:rFonts w:ascii="Times New Roman" w:hAnsi="Times New Roman" w:cs="Times New Roman"/>
      <w:sz w:val="16"/>
      <w:szCs w:val="16"/>
    </w:rPr>
  </w:style>
  <w:style w:type="character" w:customStyle="1" w:styleId="121">
    <w:name w:val="Body Text Char"/>
    <w:qFormat/>
    <w:locked/>
    <w:uiPriority w:val="0"/>
    <w:rPr>
      <w:rFonts w:ascii="Times New Roman" w:hAnsi="Times New Roman" w:cs="Times New Roman"/>
      <w:sz w:val="24"/>
      <w:szCs w:val="24"/>
    </w:rPr>
  </w:style>
  <w:style w:type="character" w:customStyle="1" w:styleId="122">
    <w:name w:val="Body Text Indent 2 Char"/>
    <w:qFormat/>
    <w:locked/>
    <w:uiPriority w:val="0"/>
    <w:rPr>
      <w:rFonts w:ascii="Times New Roman" w:hAnsi="Times New Roman" w:cs="Times New Roman"/>
      <w:sz w:val="24"/>
      <w:szCs w:val="24"/>
    </w:rPr>
  </w:style>
  <w:style w:type="character" w:customStyle="1" w:styleId="123">
    <w:name w:val="Char Char4"/>
    <w:basedOn w:val="49"/>
    <w:qFormat/>
    <w:uiPriority w:val="0"/>
    <w:rPr>
      <w:rFonts w:eastAsia="宋体"/>
      <w:b/>
      <w:bCs/>
      <w:kern w:val="44"/>
      <w:sz w:val="44"/>
      <w:szCs w:val="44"/>
      <w:lang w:val="en-US" w:eastAsia="zh-CN"/>
    </w:rPr>
  </w:style>
  <w:style w:type="character" w:customStyle="1" w:styleId="124">
    <w:name w:val="普通文字 Char"/>
    <w:basedOn w:val="49"/>
    <w:qFormat/>
    <w:uiPriority w:val="0"/>
    <w:rPr>
      <w:rFonts w:ascii="宋体" w:hAnsi="Courier New" w:cs="宋体"/>
      <w:sz w:val="21"/>
      <w:szCs w:val="21"/>
    </w:rPr>
  </w:style>
  <w:style w:type="paragraph" w:styleId="125">
    <w:name w:val="No Spacing"/>
    <w:basedOn w:val="1"/>
    <w:link w:val="318"/>
    <w:qFormat/>
    <w:uiPriority w:val="0"/>
    <w:pPr>
      <w:widowControl/>
      <w:jc w:val="left"/>
    </w:pPr>
    <w:rPr>
      <w:rFonts w:ascii="Calibri" w:hAnsi="Calibri"/>
      <w:kern w:val="0"/>
      <w:sz w:val="22"/>
      <w:szCs w:val="22"/>
      <w:lang w:eastAsia="en-US" w:bidi="en-US"/>
    </w:rPr>
  </w:style>
  <w:style w:type="paragraph" w:customStyle="1" w:styleId="126">
    <w:name w:val="TOC 标题2"/>
    <w:basedOn w:val="2"/>
    <w:next w:val="1"/>
    <w:qFormat/>
    <w:uiPriority w:val="0"/>
    <w:pPr>
      <w:widowControl/>
      <w:spacing w:before="480" w:after="0" w:line="276" w:lineRule="auto"/>
      <w:jc w:val="left"/>
      <w:outlineLvl w:val="9"/>
    </w:pPr>
    <w:rPr>
      <w:rFonts w:ascii="Cambria" w:hAnsi="Cambria" w:cs="Cambria"/>
      <w:color w:val="365F91"/>
      <w:kern w:val="0"/>
      <w:sz w:val="28"/>
      <w:szCs w:val="28"/>
    </w:rPr>
  </w:style>
  <w:style w:type="paragraph" w:styleId="127">
    <w:name w:val="List Paragraph"/>
    <w:basedOn w:val="1"/>
    <w:qFormat/>
    <w:uiPriority w:val="0"/>
    <w:pPr>
      <w:widowControl/>
      <w:ind w:left="720"/>
      <w:contextualSpacing/>
      <w:jc w:val="left"/>
    </w:pPr>
    <w:rPr>
      <w:rFonts w:eastAsia="Times New Roman"/>
      <w:kern w:val="0"/>
      <w:sz w:val="24"/>
    </w:rPr>
  </w:style>
  <w:style w:type="character" w:customStyle="1" w:styleId="128">
    <w:name w:val="文档结构图 Char"/>
    <w:basedOn w:val="49"/>
    <w:link w:val="14"/>
    <w:qFormat/>
    <w:uiPriority w:val="0"/>
    <w:rPr>
      <w:rFonts w:ascii="等线" w:hAnsi="等线" w:eastAsia="等线" w:cs="Times New Roman"/>
      <w:szCs w:val="24"/>
      <w:shd w:val="clear" w:color="auto" w:fill="000080"/>
    </w:rPr>
  </w:style>
  <w:style w:type="paragraph" w:customStyle="1" w:styleId="129">
    <w:name w:val="font5"/>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30">
    <w:name w:val="font6"/>
    <w:basedOn w:val="1"/>
    <w:qFormat/>
    <w:uiPriority w:val="0"/>
    <w:pPr>
      <w:widowControl/>
      <w:spacing w:before="100" w:beforeAutospacing="1" w:after="100" w:afterAutospacing="1"/>
      <w:jc w:val="left"/>
    </w:pPr>
    <w:rPr>
      <w:kern w:val="0"/>
      <w:szCs w:val="21"/>
    </w:rPr>
  </w:style>
  <w:style w:type="paragraph" w:customStyle="1" w:styleId="131">
    <w:name w:val="font7"/>
    <w:basedOn w:val="1"/>
    <w:qFormat/>
    <w:uiPriority w:val="0"/>
    <w:pPr>
      <w:widowControl/>
      <w:spacing w:before="100" w:beforeAutospacing="1" w:after="100" w:afterAutospacing="1"/>
      <w:jc w:val="left"/>
    </w:pPr>
    <w:rPr>
      <w:rFonts w:ascii="宋体" w:hAnsi="宋体" w:cs="宋体"/>
      <w:kern w:val="0"/>
      <w:szCs w:val="21"/>
    </w:rPr>
  </w:style>
  <w:style w:type="paragraph" w:customStyle="1" w:styleId="132">
    <w:name w:val="xl66"/>
    <w:basedOn w:val="1"/>
    <w:qFormat/>
    <w:uiPriority w:val="0"/>
    <w:pPr>
      <w:widowControl/>
      <w:pBdr>
        <w:left w:val="single" w:color="auto" w:sz="8" w:space="0"/>
      </w:pBdr>
      <w:spacing w:before="100" w:beforeAutospacing="1" w:after="100" w:afterAutospacing="1"/>
      <w:jc w:val="left"/>
      <w:textAlignment w:val="center"/>
    </w:pPr>
    <w:rPr>
      <w:rFonts w:ascii="宋体" w:hAnsi="宋体" w:cs="宋体"/>
      <w:b/>
      <w:bCs/>
      <w:kern w:val="0"/>
      <w:szCs w:val="21"/>
    </w:rPr>
  </w:style>
  <w:style w:type="paragraph" w:customStyle="1" w:styleId="133">
    <w:name w:val="xl67"/>
    <w:basedOn w:val="1"/>
    <w:qFormat/>
    <w:uiPriority w:val="0"/>
    <w:pPr>
      <w:widowControl/>
      <w:pBdr>
        <w:left w:val="single" w:color="auto" w:sz="8" w:space="0"/>
      </w:pBdr>
      <w:spacing w:before="100" w:beforeAutospacing="1" w:after="100" w:afterAutospacing="1"/>
      <w:jc w:val="left"/>
      <w:textAlignment w:val="center"/>
    </w:pPr>
    <w:rPr>
      <w:rFonts w:ascii="宋体" w:hAnsi="宋体" w:cs="宋体"/>
      <w:kern w:val="0"/>
      <w:szCs w:val="21"/>
    </w:rPr>
  </w:style>
  <w:style w:type="paragraph" w:customStyle="1" w:styleId="134">
    <w:name w:val="xl68"/>
    <w:basedOn w:val="1"/>
    <w:qFormat/>
    <w:uiPriority w:val="0"/>
    <w:pPr>
      <w:widowControl/>
      <w:spacing w:before="100" w:beforeAutospacing="1" w:after="100" w:afterAutospacing="1"/>
      <w:jc w:val="left"/>
      <w:textAlignment w:val="center"/>
    </w:pPr>
    <w:rPr>
      <w:rFonts w:ascii="宋体" w:hAnsi="宋体" w:cs="宋体"/>
      <w:kern w:val="0"/>
      <w:szCs w:val="21"/>
    </w:rPr>
  </w:style>
  <w:style w:type="paragraph" w:customStyle="1" w:styleId="135">
    <w:name w:val="xl69"/>
    <w:basedOn w:val="1"/>
    <w:qFormat/>
    <w:uiPriority w:val="0"/>
    <w:pPr>
      <w:widowControl/>
      <w:pBdr>
        <w:right w:val="single" w:color="000000" w:sz="8" w:space="0"/>
      </w:pBdr>
      <w:spacing w:before="100" w:beforeAutospacing="1" w:after="100" w:afterAutospacing="1"/>
      <w:jc w:val="left"/>
      <w:textAlignment w:val="center"/>
    </w:pPr>
    <w:rPr>
      <w:rFonts w:ascii="宋体" w:hAnsi="宋体" w:cs="宋体"/>
      <w:kern w:val="0"/>
      <w:szCs w:val="21"/>
    </w:rPr>
  </w:style>
  <w:style w:type="paragraph" w:customStyle="1" w:styleId="136">
    <w:name w:val="xl70"/>
    <w:basedOn w:val="1"/>
    <w:qFormat/>
    <w:uiPriority w:val="0"/>
    <w:pPr>
      <w:widowControl/>
      <w:pBdr>
        <w:left w:val="single" w:color="auto" w:sz="8" w:space="0"/>
        <w:bottom w:val="single" w:color="auto" w:sz="8" w:space="0"/>
      </w:pBdr>
      <w:spacing w:before="100" w:beforeAutospacing="1" w:after="100" w:afterAutospacing="1"/>
      <w:jc w:val="left"/>
      <w:textAlignment w:val="center"/>
    </w:pPr>
    <w:rPr>
      <w:rFonts w:ascii="宋体" w:hAnsi="宋体" w:cs="宋体"/>
      <w:kern w:val="0"/>
      <w:szCs w:val="21"/>
    </w:rPr>
  </w:style>
  <w:style w:type="paragraph" w:customStyle="1" w:styleId="137">
    <w:name w:val="xl71"/>
    <w:basedOn w:val="1"/>
    <w:qFormat/>
    <w:uiPriority w:val="0"/>
    <w:pPr>
      <w:widowControl/>
      <w:pBdr>
        <w:bottom w:val="single" w:color="auto" w:sz="8" w:space="0"/>
      </w:pBdr>
      <w:spacing w:before="100" w:beforeAutospacing="1" w:after="100" w:afterAutospacing="1"/>
      <w:jc w:val="left"/>
      <w:textAlignment w:val="center"/>
    </w:pPr>
    <w:rPr>
      <w:rFonts w:ascii="宋体" w:hAnsi="宋体" w:cs="宋体"/>
      <w:kern w:val="0"/>
      <w:szCs w:val="21"/>
    </w:rPr>
  </w:style>
  <w:style w:type="paragraph" w:customStyle="1" w:styleId="138">
    <w:name w:val="xl72"/>
    <w:basedOn w:val="1"/>
    <w:qFormat/>
    <w:uiPriority w:val="0"/>
    <w:pPr>
      <w:widowControl/>
      <w:pBdr>
        <w:bottom w:val="single" w:color="auto" w:sz="8" w:space="0"/>
        <w:right w:val="single" w:color="000000" w:sz="8" w:space="0"/>
      </w:pBdr>
      <w:spacing w:before="100" w:beforeAutospacing="1" w:after="100" w:afterAutospacing="1"/>
      <w:jc w:val="left"/>
      <w:textAlignment w:val="center"/>
    </w:pPr>
    <w:rPr>
      <w:rFonts w:ascii="宋体" w:hAnsi="宋体" w:cs="宋体"/>
      <w:kern w:val="0"/>
      <w:szCs w:val="21"/>
    </w:rPr>
  </w:style>
  <w:style w:type="paragraph" w:customStyle="1" w:styleId="139">
    <w:name w:val="xl73"/>
    <w:basedOn w:val="1"/>
    <w:qFormat/>
    <w:uiPriority w:val="0"/>
    <w:pPr>
      <w:widowControl/>
      <w:spacing w:before="100" w:beforeAutospacing="1" w:after="100" w:afterAutospacing="1"/>
      <w:jc w:val="left"/>
      <w:textAlignment w:val="center"/>
    </w:pPr>
    <w:rPr>
      <w:rFonts w:ascii="宋体" w:hAnsi="宋体" w:cs="宋体"/>
      <w:b/>
      <w:bCs/>
      <w:kern w:val="0"/>
      <w:szCs w:val="21"/>
    </w:rPr>
  </w:style>
  <w:style w:type="paragraph" w:customStyle="1" w:styleId="140">
    <w:name w:val="xl74"/>
    <w:basedOn w:val="1"/>
    <w:qFormat/>
    <w:uiPriority w:val="0"/>
    <w:pPr>
      <w:widowControl/>
      <w:pBdr>
        <w:right w:val="single" w:color="000000" w:sz="8" w:space="0"/>
      </w:pBdr>
      <w:spacing w:before="100" w:beforeAutospacing="1" w:after="100" w:afterAutospacing="1"/>
      <w:jc w:val="left"/>
      <w:textAlignment w:val="center"/>
    </w:pPr>
    <w:rPr>
      <w:rFonts w:ascii="宋体" w:hAnsi="宋体" w:cs="宋体"/>
      <w:b/>
      <w:bCs/>
      <w:kern w:val="0"/>
      <w:szCs w:val="21"/>
    </w:rPr>
  </w:style>
  <w:style w:type="paragraph" w:customStyle="1" w:styleId="141">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Cs w:val="21"/>
    </w:rPr>
  </w:style>
  <w:style w:type="paragraph" w:customStyle="1" w:styleId="142">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Cs w:val="21"/>
    </w:rPr>
  </w:style>
  <w:style w:type="paragraph" w:customStyle="1" w:styleId="143">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Cs w:val="21"/>
    </w:rPr>
  </w:style>
  <w:style w:type="paragraph" w:customStyle="1" w:styleId="144">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Cs w:val="21"/>
    </w:rPr>
  </w:style>
  <w:style w:type="paragraph" w:customStyle="1" w:styleId="145">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Cs w:val="21"/>
    </w:rPr>
  </w:style>
  <w:style w:type="paragraph" w:customStyle="1" w:styleId="146">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cs="宋体"/>
      <w:kern w:val="0"/>
      <w:szCs w:val="21"/>
    </w:rPr>
  </w:style>
  <w:style w:type="paragraph" w:customStyle="1" w:styleId="147">
    <w:name w:val="xl81"/>
    <w:basedOn w:val="1"/>
    <w:qFormat/>
    <w:uiPriority w:val="0"/>
    <w:pPr>
      <w:widowControl/>
      <w:spacing w:before="100" w:beforeAutospacing="1" w:after="100" w:afterAutospacing="1"/>
      <w:jc w:val="left"/>
    </w:pPr>
    <w:rPr>
      <w:rFonts w:ascii="宋体" w:hAnsi="宋体" w:cs="宋体"/>
      <w:kern w:val="0"/>
      <w:szCs w:val="21"/>
    </w:rPr>
  </w:style>
  <w:style w:type="paragraph" w:customStyle="1" w:styleId="148">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top"/>
    </w:pPr>
    <w:rPr>
      <w:rFonts w:ascii="宋体" w:hAnsi="宋体" w:cs="宋体"/>
      <w:kern w:val="0"/>
      <w:szCs w:val="21"/>
    </w:rPr>
  </w:style>
  <w:style w:type="paragraph" w:customStyle="1" w:styleId="149">
    <w:name w:val="xl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kern w:val="0"/>
      <w:szCs w:val="21"/>
    </w:rPr>
  </w:style>
  <w:style w:type="paragraph" w:customStyle="1" w:styleId="150">
    <w:name w:val="font9"/>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51">
    <w:name w:val="xl84"/>
    <w:basedOn w:val="1"/>
    <w:qFormat/>
    <w:uiPriority w:val="0"/>
    <w:pPr>
      <w:widowControl/>
      <w:pBdr>
        <w:top w:val="single" w:color="auto" w:sz="4" w:space="0"/>
        <w:left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52">
    <w:name w:val="xl85"/>
    <w:basedOn w:val="1"/>
    <w:qFormat/>
    <w:uiPriority w:val="0"/>
    <w:pPr>
      <w:widowControl/>
      <w:pBdr>
        <w:top w:val="single" w:color="auto" w:sz="4" w:space="0"/>
        <w:left w:val="single" w:color="auto" w:sz="4" w:space="0"/>
        <w:bottom w:val="single" w:color="auto" w:sz="4"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53">
    <w:name w:val="xl86"/>
    <w:basedOn w:val="1"/>
    <w:qFormat/>
    <w:uiPriority w:val="0"/>
    <w:pPr>
      <w:widowControl/>
      <w:shd w:val="clear" w:color="000000" w:fill="F2F2F2"/>
      <w:spacing w:before="100" w:beforeAutospacing="1" w:after="100" w:afterAutospacing="1"/>
      <w:jc w:val="left"/>
    </w:pPr>
    <w:rPr>
      <w:rFonts w:ascii="宋体" w:hAnsi="宋体" w:cs="宋体"/>
      <w:kern w:val="0"/>
      <w:sz w:val="24"/>
    </w:rPr>
  </w:style>
  <w:style w:type="paragraph" w:customStyle="1" w:styleId="154">
    <w:name w:val="xl87"/>
    <w:basedOn w:val="1"/>
    <w:qFormat/>
    <w:uiPriority w:val="0"/>
    <w:pPr>
      <w:widowControl/>
      <w:pBdr>
        <w:left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55">
    <w:name w:val="xl88"/>
    <w:basedOn w:val="1"/>
    <w:qFormat/>
    <w:uiPriority w:val="0"/>
    <w:pPr>
      <w:widowControl/>
      <w:pBdr>
        <w:top w:val="single" w:color="auto" w:sz="4" w:space="0"/>
        <w:left w:val="single" w:color="auto" w:sz="4" w:space="0"/>
        <w:bottom w:val="single" w:color="auto" w:sz="4"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56">
    <w:name w:val="xl89"/>
    <w:basedOn w:val="1"/>
    <w:qFormat/>
    <w:uiPriority w:val="0"/>
    <w:pPr>
      <w:widowControl/>
      <w:pBdr>
        <w:top w:val="single" w:color="auto" w:sz="4" w:space="0"/>
        <w:left w:val="single" w:color="auto" w:sz="4" w:space="0"/>
        <w:bottom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57">
    <w:name w:val="xl90"/>
    <w:basedOn w:val="1"/>
    <w:qFormat/>
    <w:uiPriority w:val="0"/>
    <w:pPr>
      <w:widowControl/>
      <w:pBdr>
        <w:top w:val="single" w:color="auto" w:sz="4" w:space="0"/>
        <w:left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58">
    <w:name w:val="xl91"/>
    <w:basedOn w:val="1"/>
    <w:qFormat/>
    <w:uiPriority w:val="0"/>
    <w:pPr>
      <w:widowControl/>
      <w:pBdr>
        <w:top w:val="single" w:color="auto" w:sz="4" w:space="0"/>
        <w:left w:val="single" w:color="auto" w:sz="4"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59">
    <w:name w:val="xl92"/>
    <w:basedOn w:val="1"/>
    <w:qFormat/>
    <w:uiPriority w:val="0"/>
    <w:pPr>
      <w:widowControl/>
      <w:pBdr>
        <w:top w:val="single" w:color="auto" w:sz="4" w:space="0"/>
        <w:left w:val="single" w:color="auto" w:sz="4"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60">
    <w:name w:val="xl93"/>
    <w:basedOn w:val="1"/>
    <w:qFormat/>
    <w:uiPriority w:val="0"/>
    <w:pPr>
      <w:widowControl/>
      <w:pBdr>
        <w:top w:val="single" w:color="auto" w:sz="4" w:space="0"/>
        <w:left w:val="single" w:color="auto" w:sz="8" w:space="0"/>
        <w:bottom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61">
    <w:name w:val="xl94"/>
    <w:basedOn w:val="1"/>
    <w:qFormat/>
    <w:uiPriority w:val="0"/>
    <w:pPr>
      <w:widowControl/>
      <w:pBdr>
        <w:top w:val="single" w:color="auto" w:sz="4" w:space="0"/>
        <w:left w:val="single" w:color="auto" w:sz="4" w:space="0"/>
        <w:bottom w:val="single" w:color="auto" w:sz="4" w:space="0"/>
        <w:right w:val="single" w:color="auto" w:sz="8"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62">
    <w:name w:val="xl9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Cs w:val="21"/>
    </w:rPr>
  </w:style>
  <w:style w:type="paragraph" w:customStyle="1" w:styleId="163">
    <w:name w:val="xl9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Cs w:val="21"/>
    </w:rPr>
  </w:style>
  <w:style w:type="paragraph" w:customStyle="1" w:styleId="164">
    <w:name w:val="xl97"/>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textAlignment w:val="center"/>
    </w:pPr>
    <w:rPr>
      <w:rFonts w:ascii="宋体" w:hAnsi="宋体" w:cs="宋体"/>
      <w:kern w:val="0"/>
      <w:szCs w:val="21"/>
    </w:rPr>
  </w:style>
  <w:style w:type="paragraph" w:customStyle="1" w:styleId="165">
    <w:name w:val="xl98"/>
    <w:basedOn w:val="1"/>
    <w:qFormat/>
    <w:uiPriority w:val="0"/>
    <w:pPr>
      <w:widowControl/>
      <w:pBdr>
        <w:top w:val="single" w:color="auto" w:sz="4" w:space="0"/>
        <w:left w:val="single" w:color="auto" w:sz="8" w:space="0"/>
        <w:bottom w:val="single" w:color="auto" w:sz="8"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66">
    <w:name w:val="xl99"/>
    <w:basedOn w:val="1"/>
    <w:qFormat/>
    <w:uiPriority w:val="0"/>
    <w:pPr>
      <w:widowControl/>
      <w:pBdr>
        <w:top w:val="single" w:color="auto" w:sz="4" w:space="0"/>
        <w:left w:val="single" w:color="auto" w:sz="4" w:space="0"/>
        <w:bottom w:val="single" w:color="auto" w:sz="8"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67">
    <w:name w:val="xl100"/>
    <w:basedOn w:val="1"/>
    <w:qFormat/>
    <w:uiPriority w:val="0"/>
    <w:pPr>
      <w:widowControl/>
      <w:pBdr>
        <w:top w:val="single" w:color="auto" w:sz="4" w:space="0"/>
        <w:left w:val="single" w:color="auto" w:sz="4" w:space="0"/>
        <w:bottom w:val="single" w:color="auto" w:sz="8"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68">
    <w:name w:val="xl101"/>
    <w:basedOn w:val="1"/>
    <w:qFormat/>
    <w:uiPriority w:val="0"/>
    <w:pPr>
      <w:widowControl/>
      <w:pBdr>
        <w:top w:val="single" w:color="auto" w:sz="4" w:space="0"/>
        <w:left w:val="single" w:color="auto" w:sz="4" w:space="0"/>
        <w:bottom w:val="single" w:color="auto" w:sz="8"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69">
    <w:name w:val="xl102"/>
    <w:basedOn w:val="1"/>
    <w:qFormat/>
    <w:uiPriority w:val="0"/>
    <w:pPr>
      <w:widowControl/>
      <w:pBdr>
        <w:top w:val="single" w:color="auto" w:sz="4" w:space="0"/>
        <w:left w:val="single" w:color="auto" w:sz="4" w:space="0"/>
        <w:bottom w:val="single" w:color="auto" w:sz="8" w:space="0"/>
        <w:right w:val="single" w:color="auto" w:sz="8"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70">
    <w:name w:val="修订2"/>
    <w:link w:val="216"/>
    <w:qFormat/>
    <w:uiPriority w:val="99"/>
    <w:rPr>
      <w:rFonts w:ascii="Times New Roman" w:hAnsi="Times New Roman" w:eastAsia="宋体" w:cs="Times New Roman"/>
      <w:kern w:val="2"/>
      <w:sz w:val="21"/>
      <w:szCs w:val="21"/>
      <w:lang w:val="en-US" w:eastAsia="zh-CN" w:bidi="ar-SA"/>
    </w:rPr>
  </w:style>
  <w:style w:type="character" w:customStyle="1" w:styleId="171">
    <w:name w:val="正文缩进 Char"/>
    <w:link w:val="13"/>
    <w:qFormat/>
    <w:uiPriority w:val="0"/>
    <w:rPr>
      <w:rFonts w:ascii="等线" w:hAnsi="等线" w:eastAsia="等线" w:cs="Times New Roman"/>
    </w:rPr>
  </w:style>
  <w:style w:type="character" w:customStyle="1" w:styleId="172">
    <w:name w:val="列表段落 字符"/>
    <w:qFormat/>
    <w:uiPriority w:val="0"/>
    <w:rPr>
      <w:rFonts w:ascii="Times New Roman" w:hAnsi="Times New Roman" w:eastAsia="宋体" w:cs="Times New Roman"/>
      <w:szCs w:val="21"/>
    </w:rPr>
  </w:style>
  <w:style w:type="character" w:customStyle="1" w:styleId="173">
    <w:name w:val="纯文本 Char1"/>
    <w:link w:val="24"/>
    <w:qFormat/>
    <w:locked/>
    <w:uiPriority w:val="0"/>
    <w:rPr>
      <w:rFonts w:ascii="宋体" w:hAnsi="Courier New" w:eastAsia="宋体" w:cs="Times New Roman"/>
      <w:kern w:val="0"/>
      <w:szCs w:val="21"/>
    </w:rPr>
  </w:style>
  <w:style w:type="character" w:customStyle="1" w:styleId="174">
    <w:name w:val="列出段落 Char"/>
    <w:qFormat/>
    <w:uiPriority w:val="0"/>
    <w:rPr>
      <w:rFonts w:ascii="Calibri" w:hAnsi="Calibri"/>
      <w:kern w:val="2"/>
      <w:sz w:val="21"/>
      <w:szCs w:val="22"/>
    </w:rPr>
  </w:style>
  <w:style w:type="character" w:customStyle="1" w:styleId="175">
    <w:name w:val="列出段落字符"/>
    <w:link w:val="111"/>
    <w:qFormat/>
    <w:locked/>
    <w:uiPriority w:val="0"/>
    <w:rPr>
      <w:rFonts w:ascii="Times New Roman" w:hAnsi="Times New Roman" w:eastAsia="宋体" w:cs="Times New Roman"/>
      <w:szCs w:val="21"/>
    </w:rPr>
  </w:style>
  <w:style w:type="character" w:customStyle="1" w:styleId="176">
    <w:name w:val="style1"/>
    <w:qFormat/>
    <w:uiPriority w:val="0"/>
  </w:style>
  <w:style w:type="character" w:customStyle="1" w:styleId="177">
    <w:name w:val="up"/>
    <w:qFormat/>
    <w:uiPriority w:val="0"/>
  </w:style>
  <w:style w:type="character" w:customStyle="1" w:styleId="178">
    <w:name w:val="正文文本缩进 3 Char1"/>
    <w:link w:val="35"/>
    <w:qFormat/>
    <w:locked/>
    <w:uiPriority w:val="0"/>
    <w:rPr>
      <w:rFonts w:ascii="等线" w:hAnsi="等线" w:eastAsia="等线" w:cs="Times New Roman"/>
      <w:sz w:val="28"/>
      <w:szCs w:val="24"/>
    </w:rPr>
  </w:style>
  <w:style w:type="character" w:customStyle="1" w:styleId="179">
    <w:name w:val="f101"/>
    <w:qFormat/>
    <w:uiPriority w:val="0"/>
    <w:rPr>
      <w:sz w:val="20"/>
      <w:szCs w:val="20"/>
    </w:rPr>
  </w:style>
  <w:style w:type="character" w:customStyle="1" w:styleId="180">
    <w:name w:val="style201"/>
    <w:qFormat/>
    <w:uiPriority w:val="0"/>
    <w:rPr>
      <w:sz w:val="27"/>
      <w:szCs w:val="27"/>
    </w:rPr>
  </w:style>
  <w:style w:type="character" w:customStyle="1" w:styleId="181">
    <w:name w:val="正文文本缩进 2 Char1"/>
    <w:link w:val="27"/>
    <w:qFormat/>
    <w:locked/>
    <w:uiPriority w:val="0"/>
    <w:rPr>
      <w:rFonts w:ascii="等线" w:hAnsi="等线" w:eastAsia="等线" w:cs="Times New Roman"/>
      <w:sz w:val="28"/>
      <w:szCs w:val="24"/>
    </w:rPr>
  </w:style>
  <w:style w:type="character" w:customStyle="1" w:styleId="182">
    <w:name w:val="标题 2 Char Char Char Char Char Char Char Char Char Char Char Char Char Char Char Char Char Char Char Char Char"/>
    <w:qFormat/>
    <w:uiPriority w:val="0"/>
  </w:style>
  <w:style w:type="character" w:customStyle="1" w:styleId="183">
    <w:name w:val="标题 3 Char1"/>
    <w:link w:val="4"/>
    <w:qFormat/>
    <w:uiPriority w:val="0"/>
    <w:rPr>
      <w:rFonts w:ascii="Times New Roman" w:hAnsi="Times New Roman" w:eastAsia="宋体" w:cs="Times New Roman"/>
      <w:b/>
      <w:sz w:val="32"/>
      <w:szCs w:val="20"/>
    </w:rPr>
  </w:style>
  <w:style w:type="character" w:customStyle="1" w:styleId="184">
    <w:name w:val="正文缩进 字符"/>
    <w:qFormat/>
    <w:uiPriority w:val="0"/>
  </w:style>
  <w:style w:type="character" w:customStyle="1" w:styleId="185">
    <w:name w:val="Char Char11"/>
    <w:link w:val="186"/>
    <w:qFormat/>
    <w:uiPriority w:val="0"/>
    <w:rPr>
      <w:sz w:val="24"/>
    </w:rPr>
  </w:style>
  <w:style w:type="paragraph" w:customStyle="1" w:styleId="186">
    <w:name w:val="正文文本缩进 Char Char"/>
    <w:basedOn w:val="1"/>
    <w:link w:val="185"/>
    <w:qFormat/>
    <w:uiPriority w:val="0"/>
    <w:pPr>
      <w:widowControl/>
      <w:spacing w:after="120"/>
      <w:ind w:left="420" w:leftChars="200"/>
      <w:jc w:val="left"/>
    </w:pPr>
    <w:rPr>
      <w:rFonts w:asciiTheme="minorHAnsi" w:hAnsiTheme="minorHAnsi" w:eastAsiaTheme="minorEastAsia" w:cstheme="minorBidi"/>
      <w:sz w:val="24"/>
      <w:szCs w:val="22"/>
    </w:rPr>
  </w:style>
  <w:style w:type="character" w:customStyle="1" w:styleId="187">
    <w:name w:val="标题 2 字符1"/>
    <w:qFormat/>
    <w:uiPriority w:val="0"/>
    <w:rPr>
      <w:rFonts w:ascii="Arial" w:hAnsi="Arial" w:eastAsia="黑体" w:cs="Times New Roman"/>
      <w:b/>
      <w:bCs/>
      <w:sz w:val="32"/>
      <w:szCs w:val="32"/>
    </w:rPr>
  </w:style>
  <w:style w:type="character" w:customStyle="1" w:styleId="188">
    <w:name w:val="Heading 3 Char"/>
    <w:qFormat/>
    <w:locked/>
    <w:uiPriority w:val="0"/>
    <w:rPr>
      <w:rFonts w:cs="Times New Roman"/>
      <w:b/>
      <w:kern w:val="2"/>
      <w:sz w:val="32"/>
    </w:rPr>
  </w:style>
  <w:style w:type="character" w:customStyle="1" w:styleId="189">
    <w:name w:val="style121"/>
    <w:qFormat/>
    <w:uiPriority w:val="0"/>
    <w:rPr>
      <w:b/>
      <w:bCs/>
      <w:color w:val="000000"/>
    </w:rPr>
  </w:style>
  <w:style w:type="character" w:customStyle="1" w:styleId="190">
    <w:name w:val="gray_91"/>
    <w:qFormat/>
    <w:uiPriority w:val="0"/>
    <w:rPr>
      <w:rFonts w:hint="default" w:ascii="ˎ̥" w:hAnsi="ˎ̥"/>
      <w:color w:val="666666"/>
      <w:sz w:val="18"/>
      <w:szCs w:val="18"/>
    </w:rPr>
  </w:style>
  <w:style w:type="character" w:customStyle="1" w:styleId="191">
    <w:name w:val="Char Char9"/>
    <w:qFormat/>
    <w:uiPriority w:val="0"/>
    <w:rPr>
      <w:rFonts w:eastAsia="宋体"/>
      <w:kern w:val="2"/>
      <w:sz w:val="18"/>
      <w:szCs w:val="18"/>
      <w:lang w:val="en-US" w:eastAsia="zh-CN" w:bidi="ar-SA"/>
    </w:rPr>
  </w:style>
  <w:style w:type="character" w:customStyle="1" w:styleId="192">
    <w:name w:val="e1"/>
    <w:qFormat/>
    <w:uiPriority w:val="0"/>
  </w:style>
  <w:style w:type="character" w:customStyle="1" w:styleId="193">
    <w:name w:val="标题 8 Char"/>
    <w:link w:val="9"/>
    <w:qFormat/>
    <w:locked/>
    <w:uiPriority w:val="0"/>
    <w:rPr>
      <w:rFonts w:ascii="Cambria" w:hAnsi="Cambria" w:eastAsia="宋体" w:cs="Times New Roman"/>
      <w:kern w:val="0"/>
      <w:sz w:val="24"/>
      <w:szCs w:val="24"/>
    </w:rPr>
  </w:style>
  <w:style w:type="character" w:customStyle="1" w:styleId="194">
    <w:name w:val="f10b"/>
    <w:qFormat/>
    <w:uiPriority w:val="0"/>
  </w:style>
  <w:style w:type="character" w:customStyle="1" w:styleId="195">
    <w:name w:val="Heading 1 Char"/>
    <w:qFormat/>
    <w:locked/>
    <w:uiPriority w:val="0"/>
    <w:rPr>
      <w:rFonts w:ascii="宋体" w:eastAsia="宋体" w:cs="Times New Roman"/>
      <w:b/>
      <w:kern w:val="44"/>
      <w:sz w:val="32"/>
    </w:rPr>
  </w:style>
  <w:style w:type="character" w:customStyle="1" w:styleId="196">
    <w:name w:val="批注主题 字符1"/>
    <w:qFormat/>
    <w:locked/>
    <w:uiPriority w:val="0"/>
    <w:rPr>
      <w:b/>
      <w:bCs/>
      <w:szCs w:val="24"/>
    </w:rPr>
  </w:style>
  <w:style w:type="character" w:customStyle="1" w:styleId="197">
    <w:name w:val="正文文本 字符1"/>
    <w:qFormat/>
    <w:locked/>
    <w:uiPriority w:val="0"/>
    <w:rPr>
      <w:rFonts w:ascii="宋体" w:hAnsi="宋体"/>
      <w:sz w:val="24"/>
      <w:szCs w:val="24"/>
    </w:rPr>
  </w:style>
  <w:style w:type="character" w:customStyle="1" w:styleId="198">
    <w:name w:val="条款样式 Char"/>
    <w:qFormat/>
    <w:locked/>
    <w:uiPriority w:val="0"/>
    <w:rPr>
      <w:rFonts w:ascii="Calibri" w:hAnsi="Calibri"/>
    </w:rPr>
  </w:style>
  <w:style w:type="character" w:customStyle="1" w:styleId="199">
    <w:name w:val="正文（首行缩进两字） Char"/>
    <w:qFormat/>
    <w:uiPriority w:val="0"/>
    <w:rPr>
      <w:rFonts w:eastAsia="宋体"/>
      <w:kern w:val="2"/>
      <w:sz w:val="21"/>
      <w:lang w:val="en-US" w:eastAsia="zh-CN" w:bidi="ar-SA"/>
    </w:rPr>
  </w:style>
  <w:style w:type="character" w:customStyle="1" w:styleId="200">
    <w:name w:val="ca-8"/>
    <w:qFormat/>
    <w:uiPriority w:val="0"/>
  </w:style>
  <w:style w:type="character" w:customStyle="1" w:styleId="201">
    <w:name w:val="huei12b1"/>
    <w:qFormat/>
    <w:uiPriority w:val="0"/>
    <w:rPr>
      <w:b/>
      <w:bCs/>
      <w:color w:val="333333"/>
      <w:sz w:val="18"/>
      <w:szCs w:val="18"/>
    </w:rPr>
  </w:style>
  <w:style w:type="character" w:customStyle="1" w:styleId="202">
    <w:name w:val="正文文本缩进 字符1"/>
    <w:qFormat/>
    <w:locked/>
    <w:uiPriority w:val="0"/>
    <w:rPr>
      <w:rFonts w:ascii="宋体" w:hAnsi="宋体"/>
      <w:sz w:val="28"/>
      <w:szCs w:val="24"/>
    </w:rPr>
  </w:style>
  <w:style w:type="character" w:customStyle="1" w:styleId="203">
    <w:name w:val="样式 正文首行缩进 + (符号) 宋体1 Char"/>
    <w:link w:val="204"/>
    <w:qFormat/>
    <w:uiPriority w:val="0"/>
    <w:rPr>
      <w:sz w:val="24"/>
    </w:rPr>
  </w:style>
  <w:style w:type="paragraph" w:customStyle="1" w:styleId="204">
    <w:name w:val="样式 正文首行缩进 + (符号) 宋体1"/>
    <w:basedOn w:val="44"/>
    <w:link w:val="203"/>
    <w:qFormat/>
    <w:uiPriority w:val="0"/>
    <w:pPr>
      <w:widowControl/>
      <w:spacing w:line="360" w:lineRule="auto"/>
      <w:ind w:firstLine="200" w:firstLineChars="200"/>
      <w:jc w:val="left"/>
    </w:pPr>
    <w:rPr>
      <w:rFonts w:asciiTheme="minorHAnsi" w:hAnsiTheme="minorHAnsi" w:eastAsiaTheme="minorEastAsia" w:cstheme="minorBidi"/>
      <w:sz w:val="24"/>
      <w:szCs w:val="22"/>
    </w:rPr>
  </w:style>
  <w:style w:type="character" w:customStyle="1" w:styleId="205">
    <w:name w:val="span_paramvalue"/>
    <w:qFormat/>
    <w:uiPriority w:val="0"/>
  </w:style>
  <w:style w:type="character" w:customStyle="1" w:styleId="206">
    <w:name w:val="批注文字 Char"/>
    <w:qFormat/>
    <w:locked/>
    <w:uiPriority w:val="0"/>
    <w:rPr>
      <w:kern w:val="2"/>
      <w:sz w:val="21"/>
      <w:szCs w:val="24"/>
    </w:rPr>
  </w:style>
  <w:style w:type="character" w:customStyle="1" w:styleId="207">
    <w:name w:val="页脚 Char"/>
    <w:qFormat/>
    <w:uiPriority w:val="99"/>
    <w:rPr>
      <w:kern w:val="2"/>
      <w:sz w:val="18"/>
      <w:szCs w:val="18"/>
    </w:rPr>
  </w:style>
  <w:style w:type="character" w:customStyle="1" w:styleId="208">
    <w:name w:val="dash6b63-6587--char"/>
    <w:qFormat/>
    <w:uiPriority w:val="0"/>
  </w:style>
  <w:style w:type="character" w:customStyle="1" w:styleId="209">
    <w:name w:val="普通文字 Char3"/>
    <w:qFormat/>
    <w:uiPriority w:val="0"/>
    <w:rPr>
      <w:rFonts w:ascii="宋体" w:hAnsi="Courier New" w:eastAsia="宋体"/>
      <w:kern w:val="2"/>
      <w:sz w:val="21"/>
      <w:lang w:val="en-US" w:eastAsia="zh-CN" w:bidi="ar-SA"/>
    </w:rPr>
  </w:style>
  <w:style w:type="character" w:customStyle="1" w:styleId="210">
    <w:name w:val="Normal Indent Char"/>
    <w:qFormat/>
    <w:locked/>
    <w:uiPriority w:val="0"/>
    <w:rPr>
      <w:rFonts w:ascii="Times New Roman" w:hAnsi="Times New Roman" w:eastAsia="宋体"/>
      <w:sz w:val="24"/>
    </w:rPr>
  </w:style>
  <w:style w:type="character" w:customStyle="1" w:styleId="211">
    <w:name w:val="标题 4 Char1"/>
    <w:link w:val="5"/>
    <w:qFormat/>
    <w:locked/>
    <w:uiPriority w:val="0"/>
    <w:rPr>
      <w:rFonts w:ascii="Arial" w:hAnsi="Arial" w:eastAsia="黑体" w:cs="Times New Roman"/>
      <w:b/>
      <w:sz w:val="28"/>
      <w:szCs w:val="20"/>
    </w:rPr>
  </w:style>
  <w:style w:type="character" w:customStyle="1" w:styleId="212">
    <w:name w:val="目录 1 Char"/>
    <w:link w:val="31"/>
    <w:qFormat/>
    <w:uiPriority w:val="0"/>
    <w:rPr>
      <w:rFonts w:ascii="Times New Roman" w:hAnsi="Times New Roman" w:eastAsia="宋体" w:cs="Times New Roman"/>
      <w:b/>
      <w:bCs/>
      <w:caps/>
      <w:sz w:val="28"/>
      <w:szCs w:val="28"/>
    </w:rPr>
  </w:style>
  <w:style w:type="character" w:customStyle="1" w:styleId="213">
    <w:name w:val="Heading 2 Char"/>
    <w:qFormat/>
    <w:locked/>
    <w:uiPriority w:val="0"/>
    <w:rPr>
      <w:rFonts w:ascii="华文中宋" w:eastAsia="华文中宋" w:cs="Times New Roman"/>
      <w:b/>
      <w:kern w:val="2"/>
      <w:sz w:val="32"/>
    </w:rPr>
  </w:style>
  <w:style w:type="character" w:customStyle="1" w:styleId="214">
    <w:name w:val="文档结构图 字符1"/>
    <w:qFormat/>
    <w:locked/>
    <w:uiPriority w:val="0"/>
    <w:rPr>
      <w:szCs w:val="24"/>
      <w:shd w:val="clear" w:color="auto" w:fill="000080"/>
    </w:rPr>
  </w:style>
  <w:style w:type="character" w:customStyle="1" w:styleId="215">
    <w:name w:val="普通文字 Char4"/>
    <w:qFormat/>
    <w:uiPriority w:val="0"/>
    <w:rPr>
      <w:rFonts w:ascii="宋体" w:hAnsi="Courier New" w:eastAsia="宋体"/>
      <w:kern w:val="2"/>
      <w:sz w:val="21"/>
      <w:lang w:val="en-US" w:eastAsia="zh-CN" w:bidi="ar-SA"/>
    </w:rPr>
  </w:style>
  <w:style w:type="character" w:customStyle="1" w:styleId="216">
    <w:name w:val="修订 字符"/>
    <w:link w:val="170"/>
    <w:qFormat/>
    <w:uiPriority w:val="0"/>
    <w:rPr>
      <w:rFonts w:ascii="Times New Roman" w:hAnsi="Times New Roman" w:eastAsia="宋体" w:cs="Times New Roman"/>
      <w:szCs w:val="21"/>
    </w:rPr>
  </w:style>
  <w:style w:type="character" w:customStyle="1" w:styleId="217">
    <w:name w:val="ca-11"/>
    <w:qFormat/>
    <w:uiPriority w:val="0"/>
  </w:style>
  <w:style w:type="character" w:customStyle="1" w:styleId="218">
    <w:name w:val="dw41"/>
    <w:qFormat/>
    <w:uiPriority w:val="0"/>
    <w:rPr>
      <w:color w:val="FFFFFF"/>
      <w:sz w:val="18"/>
      <w:szCs w:val="18"/>
      <w:u w:val="none"/>
    </w:rPr>
  </w:style>
  <w:style w:type="character" w:customStyle="1" w:styleId="219">
    <w:name w:val="标题 6 Char"/>
    <w:link w:val="7"/>
    <w:qFormat/>
    <w:locked/>
    <w:uiPriority w:val="0"/>
    <w:rPr>
      <w:rFonts w:ascii="Arial" w:hAnsi="Arial" w:eastAsia="宋体" w:cs="Times New Roman"/>
      <w:b/>
      <w:bCs/>
      <w:kern w:val="0"/>
      <w:sz w:val="28"/>
      <w:szCs w:val="18"/>
    </w:rPr>
  </w:style>
  <w:style w:type="character" w:customStyle="1" w:styleId="220">
    <w:name w:val="unnamed11"/>
    <w:qFormat/>
    <w:uiPriority w:val="0"/>
    <w:rPr>
      <w:sz w:val="18"/>
      <w:szCs w:val="18"/>
    </w:rPr>
  </w:style>
  <w:style w:type="character" w:customStyle="1" w:styleId="221">
    <w:name w:val="标题 5 Char"/>
    <w:link w:val="6"/>
    <w:qFormat/>
    <w:locked/>
    <w:uiPriority w:val="0"/>
    <w:rPr>
      <w:rFonts w:ascii="Times New Roman" w:hAnsi="Times New Roman" w:eastAsia="宋体" w:cs="Times New Roman"/>
      <w:b/>
      <w:bCs/>
      <w:kern w:val="0"/>
      <w:sz w:val="28"/>
      <w:szCs w:val="28"/>
    </w:rPr>
  </w:style>
  <w:style w:type="character" w:customStyle="1" w:styleId="222">
    <w:name w:val="hei12b1"/>
    <w:qFormat/>
    <w:uiPriority w:val="0"/>
    <w:rPr>
      <w:b/>
      <w:bCs/>
      <w:color w:val="000000"/>
      <w:sz w:val="18"/>
      <w:szCs w:val="18"/>
    </w:rPr>
  </w:style>
  <w:style w:type="character" w:customStyle="1" w:styleId="223">
    <w:name w:val="（符号）邀请函中一、"/>
    <w:qFormat/>
    <w:uiPriority w:val="0"/>
    <w:rPr>
      <w:rFonts w:ascii="黑体" w:hAnsi="黑体" w:eastAsia="黑体"/>
      <w:b/>
      <w:sz w:val="24"/>
    </w:rPr>
  </w:style>
  <w:style w:type="character" w:customStyle="1" w:styleId="224">
    <w:name w:val="标题 7 Char"/>
    <w:link w:val="8"/>
    <w:qFormat/>
    <w:locked/>
    <w:uiPriority w:val="0"/>
    <w:rPr>
      <w:rFonts w:ascii="Times New Roman" w:hAnsi="Times New Roman" w:eastAsia="宋体" w:cs="Times New Roman"/>
      <w:b/>
      <w:bCs/>
      <w:kern w:val="0"/>
      <w:sz w:val="24"/>
      <w:szCs w:val="24"/>
    </w:rPr>
  </w:style>
  <w:style w:type="character" w:customStyle="1" w:styleId="225">
    <w:name w:val="Table Text Char"/>
    <w:link w:val="226"/>
    <w:qFormat/>
    <w:uiPriority w:val="0"/>
    <w:rPr>
      <w:snapToGrid w:val="0"/>
      <w:szCs w:val="21"/>
    </w:rPr>
  </w:style>
  <w:style w:type="paragraph" w:customStyle="1" w:styleId="226">
    <w:name w:val="Table Text"/>
    <w:basedOn w:val="1"/>
    <w:link w:val="225"/>
    <w:qFormat/>
    <w:uiPriority w:val="0"/>
    <w:pPr>
      <w:topLinePunct/>
      <w:adjustRightInd w:val="0"/>
      <w:snapToGrid w:val="0"/>
      <w:spacing w:before="80" w:after="80" w:line="240" w:lineRule="atLeast"/>
      <w:jc w:val="left"/>
    </w:pPr>
    <w:rPr>
      <w:rFonts w:asciiTheme="minorHAnsi" w:hAnsiTheme="minorHAnsi" w:eastAsiaTheme="minorEastAsia" w:cstheme="minorBidi"/>
      <w:snapToGrid w:val="0"/>
      <w:szCs w:val="21"/>
    </w:rPr>
  </w:style>
  <w:style w:type="character" w:customStyle="1" w:styleId="227">
    <w:name w:val="Item List Char"/>
    <w:link w:val="228"/>
    <w:qFormat/>
    <w:uiPriority w:val="0"/>
    <w:rPr>
      <w:rFonts w:cs="Arial"/>
      <w:szCs w:val="21"/>
    </w:rPr>
  </w:style>
  <w:style w:type="paragraph" w:customStyle="1" w:styleId="228">
    <w:name w:val="Item List"/>
    <w:basedOn w:val="1"/>
    <w:link w:val="227"/>
    <w:qFormat/>
    <w:uiPriority w:val="0"/>
    <w:pPr>
      <w:widowControl/>
      <w:adjustRightInd w:val="0"/>
      <w:snapToGrid w:val="0"/>
      <w:spacing w:before="80" w:after="80" w:line="240" w:lineRule="atLeast"/>
      <w:ind w:left="2126" w:hanging="425"/>
      <w:jc w:val="left"/>
    </w:pPr>
    <w:rPr>
      <w:rFonts w:cs="Arial" w:asciiTheme="minorHAnsi" w:hAnsiTheme="minorHAnsi" w:eastAsiaTheme="minorEastAsia"/>
      <w:szCs w:val="21"/>
    </w:rPr>
  </w:style>
  <w:style w:type="character" w:customStyle="1" w:styleId="229">
    <w:name w:val="批注框文本 字符1"/>
    <w:qFormat/>
    <w:uiPriority w:val="0"/>
    <w:rPr>
      <w:rFonts w:ascii="Times New Roman" w:hAnsi="Times New Roman" w:eastAsia="宋体" w:cs="Times New Roman"/>
      <w:sz w:val="18"/>
      <w:szCs w:val="18"/>
    </w:rPr>
  </w:style>
  <w:style w:type="character" w:customStyle="1" w:styleId="230">
    <w:name w:val="页眉 Char"/>
    <w:qFormat/>
    <w:uiPriority w:val="0"/>
    <w:rPr>
      <w:kern w:val="2"/>
      <w:sz w:val="18"/>
      <w:szCs w:val="18"/>
    </w:rPr>
  </w:style>
  <w:style w:type="paragraph" w:customStyle="1" w:styleId="231">
    <w:name w:val="表格"/>
    <w:basedOn w:val="1"/>
    <w:qFormat/>
    <w:uiPriority w:val="0"/>
    <w:pPr>
      <w:spacing w:line="400" w:lineRule="exact"/>
    </w:pPr>
    <w:rPr>
      <w:sz w:val="24"/>
    </w:rPr>
  </w:style>
  <w:style w:type="paragraph" w:customStyle="1" w:styleId="232">
    <w:name w:val="p0"/>
    <w:basedOn w:val="1"/>
    <w:qFormat/>
    <w:uiPriority w:val="0"/>
    <w:pPr>
      <w:widowControl/>
      <w:spacing w:before="100" w:beforeAutospacing="1" w:after="100" w:afterAutospacing="1"/>
      <w:jc w:val="left"/>
    </w:pPr>
    <w:rPr>
      <w:rFonts w:ascii="宋体" w:hAnsi="宋体" w:cs="宋体"/>
      <w:kern w:val="0"/>
      <w:sz w:val="24"/>
    </w:rPr>
  </w:style>
  <w:style w:type="paragraph" w:customStyle="1" w:styleId="233">
    <w:name w:val="10-sinobest-标注（3）"/>
    <w:basedOn w:val="1"/>
    <w:qFormat/>
    <w:uiPriority w:val="0"/>
    <w:pPr>
      <w:tabs>
        <w:tab w:val="left" w:pos="840"/>
      </w:tabs>
      <w:spacing w:line="360" w:lineRule="auto"/>
      <w:ind w:left="501" w:hanging="360"/>
    </w:pPr>
    <w:rPr>
      <w:sz w:val="24"/>
    </w:rPr>
  </w:style>
  <w:style w:type="paragraph" w:customStyle="1" w:styleId="234">
    <w:name w:val="MM Topic 8"/>
    <w:basedOn w:val="9"/>
    <w:next w:val="235"/>
    <w:qFormat/>
    <w:uiPriority w:val="0"/>
    <w:pPr>
      <w:tabs>
        <w:tab w:val="left" w:pos="4394"/>
      </w:tabs>
    </w:pPr>
    <w:rPr>
      <w:rFonts w:ascii="Arial" w:hAnsi="Arial" w:eastAsia="黑体"/>
    </w:rPr>
  </w:style>
  <w:style w:type="paragraph" w:customStyle="1" w:styleId="235">
    <w:name w:val="文章正文"/>
    <w:basedOn w:val="1"/>
    <w:qFormat/>
    <w:uiPriority w:val="0"/>
    <w:pPr>
      <w:spacing w:line="360" w:lineRule="auto"/>
      <w:ind w:firstLine="420"/>
    </w:pPr>
    <w:rPr>
      <w:sz w:val="24"/>
    </w:rPr>
  </w:style>
  <w:style w:type="paragraph" w:customStyle="1" w:styleId="236">
    <w:name w:val="标题 11"/>
    <w:basedOn w:val="1"/>
    <w:next w:val="1"/>
    <w:qFormat/>
    <w:uiPriority w:val="0"/>
    <w:pPr>
      <w:keepNext/>
      <w:keepLines/>
      <w:spacing w:before="340" w:after="330" w:line="578" w:lineRule="auto"/>
      <w:outlineLvl w:val="0"/>
    </w:pPr>
    <w:rPr>
      <w:b/>
      <w:bCs/>
      <w:kern w:val="44"/>
      <w:sz w:val="44"/>
      <w:szCs w:val="44"/>
    </w:rPr>
  </w:style>
  <w:style w:type="paragraph" w:customStyle="1" w:styleId="237">
    <w:name w:val="样式 样式 样式 标题 2 + 宋体 五号 非加粗 黑色 + 段前: 6 磅 段后: 0 磅 行距: 单倍行距 + 段前: 12..."/>
    <w:basedOn w:val="1"/>
    <w:qFormat/>
    <w:uiPriority w:val="0"/>
    <w:pPr>
      <w:keepNext/>
      <w:keepLines/>
      <w:numPr>
        <w:ilvl w:val="0"/>
        <w:numId w:val="1"/>
      </w:numPr>
      <w:tabs>
        <w:tab w:val="left" w:pos="1680"/>
        <w:tab w:val="left" w:pos="2100"/>
      </w:tabs>
      <w:adjustRightInd w:val="0"/>
      <w:spacing w:before="240"/>
      <w:jc w:val="left"/>
      <w:textAlignment w:val="baseline"/>
      <w:outlineLvl w:val="1"/>
    </w:pPr>
    <w:rPr>
      <w:rFonts w:ascii="宋体" w:hAnsi="宋体" w:cs="宋体"/>
      <w:color w:val="000000"/>
      <w:kern w:val="0"/>
      <w:szCs w:val="20"/>
    </w:rPr>
  </w:style>
  <w:style w:type="paragraph" w:customStyle="1" w:styleId="238">
    <w:name w:val="正文(首行缩进)"/>
    <w:basedOn w:val="1"/>
    <w:qFormat/>
    <w:uiPriority w:val="0"/>
    <w:pPr>
      <w:ind w:firstLine="200" w:firstLineChars="200"/>
    </w:pPr>
    <w:rPr>
      <w:rFonts w:ascii="Arial Narrow" w:hAnsi="Arial Narrow"/>
      <w:szCs w:val="20"/>
    </w:rPr>
  </w:style>
  <w:style w:type="paragraph" w:customStyle="1" w:styleId="239">
    <w:name w:val="默认段落字体 Para Char Char Char Char Char Char Char Char Char Char Char Char Char Char Char1 Char Char Char Char"/>
    <w:basedOn w:val="127"/>
    <w:qFormat/>
    <w:uiPriority w:val="0"/>
    <w:pPr>
      <w:adjustRightInd w:val="0"/>
      <w:spacing w:line="436" w:lineRule="exact"/>
      <w:ind w:left="357"/>
      <w:outlineLvl w:val="3"/>
    </w:pPr>
    <w:rPr>
      <w:rFonts w:ascii="Tahoma" w:hAnsi="Tahoma"/>
      <w:b/>
    </w:rPr>
  </w:style>
  <w:style w:type="paragraph" w:customStyle="1" w:styleId="240">
    <w:name w:val="正文1"/>
    <w:qFormat/>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character" w:customStyle="1" w:styleId="241">
    <w:name w:val="HTML 预设格式 Char"/>
    <w:basedOn w:val="49"/>
    <w:link w:val="39"/>
    <w:qFormat/>
    <w:uiPriority w:val="0"/>
    <w:rPr>
      <w:rFonts w:ascii="宋体" w:hAnsi="宋体" w:eastAsia="宋体" w:cs="宋体"/>
      <w:kern w:val="0"/>
      <w:sz w:val="24"/>
      <w:szCs w:val="24"/>
    </w:rPr>
  </w:style>
  <w:style w:type="character" w:customStyle="1" w:styleId="242">
    <w:name w:val="正文文本 2 Char"/>
    <w:basedOn w:val="49"/>
    <w:link w:val="38"/>
    <w:qFormat/>
    <w:uiPriority w:val="0"/>
    <w:rPr>
      <w:rFonts w:ascii="宋体" w:hAnsi="宋体" w:eastAsia="宋体" w:cs="Times New Roman"/>
      <w:color w:val="000000"/>
      <w:sz w:val="18"/>
      <w:szCs w:val="18"/>
    </w:rPr>
  </w:style>
  <w:style w:type="paragraph" w:customStyle="1" w:styleId="243">
    <w:name w:val="正文空两格"/>
    <w:basedOn w:val="1"/>
    <w:qFormat/>
    <w:uiPriority w:val="0"/>
    <w:pPr>
      <w:widowControl/>
      <w:spacing w:before="120" w:line="300" w:lineRule="auto"/>
      <w:ind w:left="1440" w:hanging="480"/>
    </w:pPr>
    <w:rPr>
      <w:rFonts w:ascii="宋体"/>
      <w:sz w:val="24"/>
      <w:szCs w:val="21"/>
    </w:rPr>
  </w:style>
  <w:style w:type="paragraph" w:customStyle="1" w:styleId="244">
    <w:name w:val="pit正文"/>
    <w:basedOn w:val="1"/>
    <w:qFormat/>
    <w:uiPriority w:val="0"/>
    <w:pPr>
      <w:spacing w:line="400" w:lineRule="exact"/>
    </w:pPr>
    <w:rPr>
      <w:spacing w:val="20"/>
      <w:sz w:val="24"/>
      <w:szCs w:val="20"/>
    </w:rPr>
  </w:style>
  <w:style w:type="paragraph" w:customStyle="1" w:styleId="245">
    <w:name w:val="Char1"/>
    <w:basedOn w:val="1"/>
    <w:qFormat/>
    <w:uiPriority w:val="0"/>
    <w:rPr>
      <w:rFonts w:ascii="Tahoma" w:hAnsi="Tahoma"/>
      <w:sz w:val="24"/>
      <w:szCs w:val="20"/>
    </w:rPr>
  </w:style>
  <w:style w:type="paragraph" w:customStyle="1" w:styleId="246">
    <w:name w:val="tabletext"/>
    <w:basedOn w:val="1"/>
    <w:qFormat/>
    <w:uiPriority w:val="0"/>
    <w:pPr>
      <w:widowControl/>
      <w:spacing w:before="100" w:beforeAutospacing="1" w:after="100" w:afterAutospacing="1"/>
      <w:jc w:val="left"/>
    </w:pPr>
    <w:rPr>
      <w:rFonts w:ascii="宋体" w:hAnsi="宋体" w:cs="宋体"/>
      <w:kern w:val="0"/>
      <w:sz w:val="24"/>
    </w:rPr>
  </w:style>
  <w:style w:type="paragraph" w:customStyle="1" w:styleId="247">
    <w:name w:val="段落正文"/>
    <w:basedOn w:val="1"/>
    <w:link w:val="353"/>
    <w:qFormat/>
    <w:uiPriority w:val="0"/>
    <w:pPr>
      <w:ind w:firstLine="480" w:firstLineChars="200"/>
    </w:pPr>
    <w:rPr>
      <w:rFonts w:ascii="宋体" w:hAnsi="Cambria" w:eastAsia="等线"/>
      <w:szCs w:val="22"/>
    </w:rPr>
  </w:style>
  <w:style w:type="paragraph" w:customStyle="1" w:styleId="248">
    <w:name w:val="标准正文"/>
    <w:basedOn w:val="1"/>
    <w:next w:val="35"/>
    <w:qFormat/>
    <w:uiPriority w:val="0"/>
    <w:pPr>
      <w:spacing w:before="60" w:after="60" w:line="360" w:lineRule="auto"/>
      <w:ind w:firstLine="482"/>
    </w:pPr>
    <w:rPr>
      <w:rFonts w:ascii="宋体" w:hAnsi="宋体" w:cs="宋体"/>
      <w:sz w:val="24"/>
    </w:rPr>
  </w:style>
  <w:style w:type="paragraph" w:customStyle="1" w:styleId="249">
    <w:name w:val="Default"/>
    <w:qFormat/>
    <w:uiPriority w:val="0"/>
    <w:pPr>
      <w:widowControl w:val="0"/>
      <w:autoSpaceDE w:val="0"/>
      <w:autoSpaceDN w:val="0"/>
      <w:adjustRightInd w:val="0"/>
    </w:pPr>
    <w:rPr>
      <w:rFonts w:ascii="楷体_GB2312" w:hAnsi="Calibri" w:eastAsia="楷体_GB2312" w:cs="楷体_GB2312"/>
      <w:color w:val="000000"/>
      <w:sz w:val="24"/>
      <w:szCs w:val="24"/>
      <w:lang w:val="en-US" w:eastAsia="zh-CN" w:bidi="ar-SA"/>
    </w:rPr>
  </w:style>
  <w:style w:type="paragraph" w:customStyle="1" w:styleId="250">
    <w:name w:val="Char Char2"/>
    <w:basedOn w:val="127"/>
    <w:qFormat/>
    <w:uiPriority w:val="0"/>
  </w:style>
  <w:style w:type="paragraph" w:customStyle="1" w:styleId="251">
    <w:name w:val="方案文档"/>
    <w:basedOn w:val="1"/>
    <w:qFormat/>
    <w:uiPriority w:val="0"/>
    <w:pPr>
      <w:spacing w:before="120" w:after="120" w:line="360" w:lineRule="auto"/>
      <w:ind w:firstLine="567"/>
    </w:pPr>
    <w:rPr>
      <w:rFonts w:ascii="Arial" w:hAnsi="Arial"/>
      <w:sz w:val="24"/>
      <w:szCs w:val="20"/>
    </w:rPr>
  </w:style>
  <w:style w:type="paragraph" w:customStyle="1" w:styleId="252">
    <w:name w:val="09正文_wh"/>
    <w:qFormat/>
    <w:uiPriority w:val="0"/>
    <w:pPr>
      <w:spacing w:line="300" w:lineRule="auto"/>
      <w:ind w:firstLine="200" w:firstLineChars="200"/>
      <w:jc w:val="both"/>
    </w:pPr>
    <w:rPr>
      <w:rFonts w:ascii="Times New Roman" w:hAnsi="Times New Roman" w:eastAsia="宋体" w:cs="Times New Roman"/>
      <w:kern w:val="2"/>
      <w:sz w:val="28"/>
      <w:szCs w:val="24"/>
      <w:lang w:val="en-US" w:eastAsia="zh-CN" w:bidi="ar-SA"/>
    </w:rPr>
  </w:style>
  <w:style w:type="paragraph" w:customStyle="1" w:styleId="253">
    <w:name w:val="列项——（一级）"/>
    <w:qFormat/>
    <w:uiPriority w:val="0"/>
    <w:pPr>
      <w:widowControl w:val="0"/>
      <w:tabs>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254">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255">
    <w:name w:val="样式 小四 首行缩进:  0.85 厘米 行距: 1.5 倍行距"/>
    <w:basedOn w:val="1"/>
    <w:qFormat/>
    <w:uiPriority w:val="0"/>
    <w:pPr>
      <w:adjustRightInd w:val="0"/>
      <w:spacing w:before="12" w:after="12" w:line="360" w:lineRule="auto"/>
      <w:ind w:firstLine="480" w:firstLineChars="200"/>
      <w:textAlignment w:val="baseline"/>
    </w:pPr>
    <w:rPr>
      <w:rFonts w:ascii="宋体" w:hAnsi="宋体" w:cs="宋体"/>
      <w:kern w:val="0"/>
      <w:sz w:val="24"/>
      <w:szCs w:val="20"/>
    </w:rPr>
  </w:style>
  <w:style w:type="paragraph" w:customStyle="1" w:styleId="256">
    <w:name w:val="表格列样式"/>
    <w:basedOn w:val="1"/>
    <w:qFormat/>
    <w:uiPriority w:val="0"/>
    <w:pPr>
      <w:spacing w:line="360" w:lineRule="auto"/>
      <w:jc w:val="left"/>
    </w:pPr>
    <w:rPr>
      <w:rFonts w:ascii="宋体" w:hAnsi="宋体"/>
      <w:color w:val="000000"/>
      <w:sz w:val="24"/>
      <w:szCs w:val="21"/>
    </w:rPr>
  </w:style>
  <w:style w:type="paragraph" w:customStyle="1" w:styleId="257">
    <w:name w:val="样式 首行缩进:  2 字符"/>
    <w:basedOn w:val="1"/>
    <w:qFormat/>
    <w:uiPriority w:val="0"/>
    <w:pPr>
      <w:spacing w:line="400" w:lineRule="exact"/>
      <w:ind w:firstLine="200" w:firstLineChars="200"/>
    </w:pPr>
    <w:rPr>
      <w:rFonts w:cs="宋体"/>
      <w:sz w:val="24"/>
    </w:rPr>
  </w:style>
  <w:style w:type="paragraph" w:customStyle="1" w:styleId="258">
    <w:name w:val="论文正文"/>
    <w:basedOn w:val="1"/>
    <w:qFormat/>
    <w:uiPriority w:val="0"/>
    <w:pPr>
      <w:spacing w:line="360" w:lineRule="auto"/>
      <w:ind w:firstLine="540" w:firstLineChars="192"/>
    </w:pPr>
    <w:rPr>
      <w:rFonts w:ascii="宋体" w:hAnsi="宋体"/>
      <w:b/>
      <w:bCs/>
      <w:color w:val="000000"/>
      <w:sz w:val="28"/>
      <w:szCs w:val="28"/>
    </w:rPr>
  </w:style>
  <w:style w:type="paragraph" w:customStyle="1" w:styleId="259">
    <w:name w:val="4端"/>
    <w:basedOn w:val="5"/>
    <w:qFormat/>
    <w:uiPriority w:val="0"/>
    <w:pPr>
      <w:tabs>
        <w:tab w:val="left" w:pos="360"/>
      </w:tabs>
      <w:spacing w:before="60" w:after="60" w:line="360" w:lineRule="auto"/>
      <w:ind w:left="630" w:leftChars="300" w:hanging="113"/>
      <w:jc w:val="left"/>
    </w:pPr>
    <w:rPr>
      <w:rFonts w:ascii="宋体" w:hAnsi="宋体" w:eastAsia="仿宋_GB2312" w:cs="宋体"/>
      <w:bCs/>
      <w:szCs w:val="28"/>
    </w:rPr>
  </w:style>
  <w:style w:type="paragraph" w:customStyle="1" w:styleId="260">
    <w:name w:val="样式"/>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261">
    <w:name w:val="标准段落"/>
    <w:basedOn w:val="1"/>
    <w:qFormat/>
    <w:uiPriority w:val="0"/>
    <w:pPr>
      <w:topLinePunct/>
      <w:autoSpaceDE w:val="0"/>
      <w:autoSpaceDN w:val="0"/>
      <w:spacing w:line="360" w:lineRule="auto"/>
      <w:ind w:firstLine="560" w:firstLineChars="200"/>
    </w:pPr>
    <w:rPr>
      <w:rFonts w:eastAsia="仿宋_GB2312"/>
      <w:sz w:val="28"/>
      <w:lang w:bidi="th-TH"/>
    </w:rPr>
  </w:style>
  <w:style w:type="paragraph" w:customStyle="1" w:styleId="262">
    <w:name w:val="dash6b63-6587"/>
    <w:basedOn w:val="1"/>
    <w:qFormat/>
    <w:uiPriority w:val="0"/>
    <w:pPr>
      <w:widowControl/>
      <w:spacing w:before="100" w:beforeAutospacing="1" w:after="100" w:afterAutospacing="1"/>
      <w:jc w:val="left"/>
    </w:pPr>
    <w:rPr>
      <w:rFonts w:ascii="宋体" w:hAnsi="宋体"/>
      <w:kern w:val="0"/>
      <w:sz w:val="24"/>
    </w:rPr>
  </w:style>
  <w:style w:type="paragraph" w:customStyle="1" w:styleId="263">
    <w:name w:val="_Style 16"/>
    <w:basedOn w:val="1"/>
    <w:qFormat/>
    <w:uiPriority w:val="0"/>
    <w:pPr>
      <w:spacing w:line="360" w:lineRule="auto"/>
      <w:ind w:firstLine="200" w:firstLineChars="200"/>
    </w:pPr>
    <w:rPr>
      <w:rFonts w:ascii="宋体" w:hAnsi="宋体" w:cs="宋体"/>
      <w:sz w:val="24"/>
    </w:rPr>
  </w:style>
  <w:style w:type="paragraph" w:customStyle="1" w:styleId="264">
    <w:name w:val="正文首行缩进两字符"/>
    <w:basedOn w:val="1"/>
    <w:qFormat/>
    <w:uiPriority w:val="0"/>
    <w:pPr>
      <w:spacing w:line="360" w:lineRule="auto"/>
      <w:ind w:firstLine="200" w:firstLineChars="200"/>
    </w:pPr>
  </w:style>
  <w:style w:type="paragraph" w:customStyle="1" w:styleId="265">
    <w:name w:val="本文正文"/>
    <w:basedOn w:val="1"/>
    <w:qFormat/>
    <w:uiPriority w:val="0"/>
    <w:pPr>
      <w:spacing w:line="360" w:lineRule="auto"/>
      <w:ind w:firstLine="480" w:firstLineChars="200"/>
    </w:pPr>
    <w:rPr>
      <w:rFonts w:ascii="宋体"/>
      <w:bCs/>
      <w:sz w:val="24"/>
    </w:rPr>
  </w:style>
  <w:style w:type="paragraph" w:customStyle="1" w:styleId="266">
    <w:name w:val="pa-11"/>
    <w:basedOn w:val="1"/>
    <w:qFormat/>
    <w:uiPriority w:val="0"/>
    <w:pPr>
      <w:widowControl/>
      <w:spacing w:before="100" w:beforeAutospacing="1" w:after="100" w:afterAutospacing="1"/>
      <w:jc w:val="left"/>
    </w:pPr>
    <w:rPr>
      <w:rFonts w:ascii="宋体" w:hAnsi="宋体" w:cs="宋体"/>
      <w:kern w:val="0"/>
      <w:sz w:val="24"/>
    </w:rPr>
  </w:style>
  <w:style w:type="paragraph" w:customStyle="1" w:styleId="267">
    <w:name w:val="Char Char Char"/>
    <w:basedOn w:val="1"/>
    <w:qFormat/>
    <w:uiPriority w:val="0"/>
    <w:rPr>
      <w:rFonts w:ascii="Tahoma" w:hAnsi="Tahoma"/>
      <w:sz w:val="24"/>
      <w:szCs w:val="20"/>
    </w:rPr>
  </w:style>
  <w:style w:type="paragraph" w:customStyle="1" w:styleId="268">
    <w:name w:val="Char Char Char Char"/>
    <w:basedOn w:val="1"/>
    <w:qFormat/>
    <w:uiPriority w:val="0"/>
    <w:rPr>
      <w:rFonts w:ascii="Tahoma" w:hAnsi="Tahoma"/>
      <w:sz w:val="24"/>
      <w:szCs w:val="20"/>
    </w:rPr>
  </w:style>
  <w:style w:type="paragraph" w:customStyle="1" w:styleId="269">
    <w:name w:val="样式 正文首行缩进 + 宋体 首行缩进:  2 字符"/>
    <w:basedOn w:val="44"/>
    <w:qFormat/>
    <w:uiPriority w:val="0"/>
    <w:pPr>
      <w:widowControl/>
      <w:spacing w:line="360" w:lineRule="auto"/>
      <w:ind w:firstLine="200" w:firstLineChars="200"/>
      <w:jc w:val="left"/>
    </w:pPr>
    <w:rPr>
      <w:rFonts w:ascii="宋体" w:hAnsi="宋体" w:cs="宋体"/>
      <w:kern w:val="0"/>
      <w:sz w:val="24"/>
      <w:szCs w:val="20"/>
    </w:rPr>
  </w:style>
  <w:style w:type="paragraph" w:customStyle="1" w:styleId="270">
    <w:name w:val="样式 正文首行缩进 + 首行缩进:  2 字符1"/>
    <w:basedOn w:val="44"/>
    <w:qFormat/>
    <w:uiPriority w:val="0"/>
    <w:pPr>
      <w:widowControl/>
      <w:spacing w:line="360" w:lineRule="auto"/>
      <w:ind w:firstLine="200" w:firstLineChars="200"/>
      <w:jc w:val="left"/>
    </w:pPr>
    <w:rPr>
      <w:rFonts w:cs="宋体"/>
      <w:kern w:val="0"/>
      <w:sz w:val="24"/>
      <w:szCs w:val="20"/>
    </w:rPr>
  </w:style>
  <w:style w:type="paragraph" w:customStyle="1" w:styleId="271">
    <w:name w:val="Aufzählung"/>
    <w:basedOn w:val="1"/>
    <w:next w:val="1"/>
    <w:qFormat/>
    <w:uiPriority w:val="0"/>
    <w:pPr>
      <w:keepLines/>
      <w:widowControl/>
      <w:tabs>
        <w:tab w:val="left" w:pos="113"/>
      </w:tabs>
      <w:spacing w:line="228" w:lineRule="exact"/>
      <w:ind w:left="113" w:hanging="113"/>
      <w:jc w:val="left"/>
    </w:pPr>
    <w:rPr>
      <w:rFonts w:ascii="MetaPlusLF" w:hAnsi="MetaPlusLF"/>
      <w:kern w:val="0"/>
      <w:sz w:val="15"/>
      <w:szCs w:val="20"/>
      <w:lang w:val="de-DE" w:eastAsia="de-DE"/>
    </w:rPr>
  </w:style>
  <w:style w:type="paragraph" w:customStyle="1" w:styleId="272">
    <w:name w:val="ZJ Paragraph"/>
    <w:basedOn w:val="1"/>
    <w:qFormat/>
    <w:uiPriority w:val="0"/>
    <w:pPr>
      <w:spacing w:before="120" w:after="120"/>
      <w:ind w:firstLine="420"/>
    </w:pPr>
    <w:rPr>
      <w:rFonts w:ascii="华文仿宋" w:hAnsi="华文仿宋" w:eastAsia="华文仿宋"/>
      <w:sz w:val="28"/>
    </w:rPr>
  </w:style>
  <w:style w:type="paragraph" w:customStyle="1" w:styleId="273">
    <w:name w:val="条款样式"/>
    <w:basedOn w:val="1"/>
    <w:qFormat/>
    <w:uiPriority w:val="0"/>
    <w:pPr>
      <w:tabs>
        <w:tab w:val="left" w:pos="770"/>
      </w:tabs>
      <w:spacing w:line="440" w:lineRule="exact"/>
      <w:ind w:left="770" w:hanging="770"/>
      <w:jc w:val="left"/>
    </w:pPr>
    <w:rPr>
      <w:rFonts w:ascii="Calibri" w:hAnsi="Calibri" w:eastAsia="等线"/>
      <w:szCs w:val="22"/>
    </w:rPr>
  </w:style>
  <w:style w:type="paragraph" w:customStyle="1" w:styleId="274">
    <w:name w:val="xl24"/>
    <w:basedOn w:val="1"/>
    <w:qFormat/>
    <w:uiPriority w:val="0"/>
    <w:pPr>
      <w:widowControl/>
      <w:spacing w:before="100" w:beforeAutospacing="1" w:after="100" w:afterAutospacing="1"/>
      <w:jc w:val="center"/>
      <w:textAlignment w:val="center"/>
    </w:pPr>
    <w:rPr>
      <w:rFonts w:ascii="宋体" w:hAnsi="宋体"/>
      <w:kern w:val="0"/>
      <w:sz w:val="24"/>
    </w:rPr>
  </w:style>
  <w:style w:type="paragraph" w:customStyle="1" w:styleId="275">
    <w:name w:val="pa-8"/>
    <w:basedOn w:val="1"/>
    <w:qFormat/>
    <w:uiPriority w:val="0"/>
    <w:pPr>
      <w:widowControl/>
      <w:spacing w:before="100" w:beforeAutospacing="1" w:after="100" w:afterAutospacing="1"/>
      <w:jc w:val="left"/>
    </w:pPr>
    <w:rPr>
      <w:rFonts w:ascii="宋体" w:hAnsi="宋体" w:cs="宋体"/>
      <w:kern w:val="0"/>
      <w:sz w:val="24"/>
    </w:rPr>
  </w:style>
  <w:style w:type="paragraph" w:customStyle="1" w:styleId="276">
    <w:name w:val="pa-13"/>
    <w:basedOn w:val="1"/>
    <w:qFormat/>
    <w:uiPriority w:val="0"/>
    <w:pPr>
      <w:widowControl/>
      <w:spacing w:before="100" w:beforeAutospacing="1" w:after="100" w:afterAutospacing="1"/>
      <w:jc w:val="left"/>
    </w:pPr>
    <w:rPr>
      <w:rFonts w:ascii="宋体" w:hAnsi="宋体" w:cs="宋体"/>
      <w:kern w:val="0"/>
      <w:sz w:val="24"/>
    </w:rPr>
  </w:style>
  <w:style w:type="paragraph" w:customStyle="1" w:styleId="277">
    <w:name w:val="普通"/>
    <w:qFormat/>
    <w:uiPriority w:val="0"/>
    <w:rPr>
      <w:rFonts w:ascii="Arial" w:hAnsi="Arial" w:eastAsia="仿宋_GB2312" w:cs="Times New Roman"/>
      <w:bCs/>
      <w:kern w:val="2"/>
      <w:sz w:val="28"/>
      <w:szCs w:val="28"/>
      <w:lang w:val="en-US" w:eastAsia="zh-CN" w:bidi="ar-SA"/>
    </w:rPr>
  </w:style>
  <w:style w:type="paragraph" w:customStyle="1" w:styleId="278">
    <w:name w:val="pa-6"/>
    <w:basedOn w:val="1"/>
    <w:qFormat/>
    <w:uiPriority w:val="0"/>
    <w:pPr>
      <w:widowControl/>
      <w:spacing w:before="100" w:beforeAutospacing="1" w:after="100" w:afterAutospacing="1"/>
      <w:jc w:val="left"/>
    </w:pPr>
    <w:rPr>
      <w:rFonts w:ascii="宋体" w:hAnsi="宋体" w:cs="宋体"/>
      <w:kern w:val="0"/>
      <w:sz w:val="24"/>
    </w:rPr>
  </w:style>
  <w:style w:type="character" w:customStyle="1" w:styleId="279">
    <w:name w:val="font81"/>
    <w:qFormat/>
    <w:uiPriority w:val="0"/>
    <w:rPr>
      <w:rFonts w:ascii="Arial" w:hAnsi="Arial" w:cs="Arial"/>
      <w:color w:val="000000"/>
      <w:sz w:val="24"/>
      <w:szCs w:val="24"/>
      <w:u w:val="none"/>
      <w:lang w:bidi="ar-SA"/>
    </w:rPr>
  </w:style>
  <w:style w:type="character" w:customStyle="1" w:styleId="280">
    <w:name w:val="font61"/>
    <w:qFormat/>
    <w:uiPriority w:val="0"/>
    <w:rPr>
      <w:rFonts w:ascii="宋体" w:eastAsia="宋体"/>
      <w:color w:val="000000"/>
      <w:sz w:val="24"/>
      <w:szCs w:val="24"/>
      <w:u w:val="none"/>
    </w:rPr>
  </w:style>
  <w:style w:type="character" w:customStyle="1" w:styleId="281">
    <w:name w:val="font31"/>
    <w:basedOn w:val="49"/>
    <w:qFormat/>
    <w:uiPriority w:val="0"/>
    <w:rPr>
      <w:rFonts w:ascii="宋体" w:eastAsia="宋体" w:cs="宋体"/>
      <w:color w:val="000000"/>
      <w:sz w:val="24"/>
      <w:szCs w:val="24"/>
      <w:u w:val="none"/>
      <w:lang w:bidi="ar-SA"/>
    </w:rPr>
  </w:style>
  <w:style w:type="character" w:customStyle="1" w:styleId="282">
    <w:name w:val="Texte Helvética 9"/>
    <w:qFormat/>
    <w:uiPriority w:val="0"/>
    <w:rPr>
      <w:rFonts w:ascii="Helvetica" w:hAnsi="Helvetica" w:cs="Helvetica"/>
      <w:sz w:val="18"/>
      <w:szCs w:val="18"/>
      <w:lang w:bidi="ar-SA"/>
    </w:rPr>
  </w:style>
  <w:style w:type="character" w:customStyle="1" w:styleId="283">
    <w:name w:val="a14baihang201"/>
    <w:qFormat/>
    <w:uiPriority w:val="0"/>
    <w:rPr>
      <w:color w:val="000000"/>
      <w:sz w:val="23"/>
      <w:szCs w:val="23"/>
    </w:rPr>
  </w:style>
  <w:style w:type="character" w:customStyle="1" w:styleId="284">
    <w:name w:val="font11"/>
    <w:basedOn w:val="49"/>
    <w:qFormat/>
    <w:uiPriority w:val="0"/>
    <w:rPr>
      <w:rFonts w:ascii="宋体" w:eastAsia="宋体"/>
      <w:color w:val="000000"/>
      <w:sz w:val="22"/>
      <w:szCs w:val="22"/>
      <w:u w:val="none"/>
    </w:rPr>
  </w:style>
  <w:style w:type="character" w:customStyle="1" w:styleId="285">
    <w:name w:val="tpc_content1"/>
    <w:qFormat/>
    <w:uiPriority w:val="0"/>
    <w:rPr>
      <w:sz w:val="20"/>
      <w:szCs w:val="20"/>
    </w:rPr>
  </w:style>
  <w:style w:type="character" w:customStyle="1" w:styleId="286">
    <w:name w:val="font41"/>
    <w:basedOn w:val="49"/>
    <w:qFormat/>
    <w:uiPriority w:val="0"/>
    <w:rPr>
      <w:rFonts w:ascii="宋体" w:eastAsia="宋体"/>
      <w:color w:val="000000"/>
      <w:sz w:val="22"/>
      <w:szCs w:val="22"/>
      <w:u w:val="none"/>
      <w:vertAlign w:val="superscript"/>
    </w:rPr>
  </w:style>
  <w:style w:type="character" w:customStyle="1" w:styleId="287">
    <w:name w:val="font21"/>
    <w:basedOn w:val="49"/>
    <w:qFormat/>
    <w:uiPriority w:val="0"/>
    <w:rPr>
      <w:rFonts w:ascii="宋体" w:eastAsia="宋体"/>
      <w:color w:val="000000"/>
      <w:sz w:val="24"/>
      <w:szCs w:val="24"/>
      <w:u w:val="none"/>
      <w:vertAlign w:val="superscript"/>
    </w:rPr>
  </w:style>
  <w:style w:type="character" w:customStyle="1" w:styleId="288">
    <w:name w:val="font51"/>
    <w:basedOn w:val="49"/>
    <w:qFormat/>
    <w:uiPriority w:val="0"/>
    <w:rPr>
      <w:rFonts w:ascii="宋体" w:eastAsia="宋体"/>
      <w:color w:val="000000"/>
      <w:sz w:val="24"/>
      <w:szCs w:val="24"/>
      <w:u w:val="none"/>
    </w:rPr>
  </w:style>
  <w:style w:type="character" w:customStyle="1" w:styleId="289">
    <w:name w:val="font71"/>
    <w:qFormat/>
    <w:uiPriority w:val="0"/>
    <w:rPr>
      <w:rFonts w:ascii="宋体" w:eastAsia="宋体"/>
      <w:color w:val="000000"/>
      <w:sz w:val="24"/>
      <w:szCs w:val="24"/>
      <w:u w:val="none"/>
      <w:vertAlign w:val="superscript"/>
    </w:rPr>
  </w:style>
  <w:style w:type="paragraph" w:customStyle="1" w:styleId="290">
    <w:name w:val="titre page niveau 1"/>
    <w:qFormat/>
    <w:uiPriority w:val="0"/>
    <w:pPr>
      <w:widowControl w:val="0"/>
      <w:spacing w:before="1" w:after="1"/>
      <w:ind w:left="1" w:right="1" w:firstLine="1"/>
    </w:pPr>
    <w:rPr>
      <w:rFonts w:ascii="Helvetica" w:hAnsi="Helvetica" w:eastAsia="宋体" w:cs="Helvetica"/>
      <w:b/>
      <w:bCs/>
      <w:color w:val="000000"/>
      <w:sz w:val="24"/>
      <w:szCs w:val="24"/>
      <w:lang w:val="en-US" w:eastAsia="zh-CN" w:bidi="ar-SA"/>
    </w:rPr>
  </w:style>
  <w:style w:type="paragraph" w:customStyle="1" w:styleId="291">
    <w:name w:val="Char Char Char Char Char Char Char Char Char Char Char Char Char Char Char Char Char Char Char"/>
    <w:basedOn w:val="1"/>
    <w:qFormat/>
    <w:uiPriority w:val="0"/>
    <w:pPr>
      <w:widowControl/>
      <w:spacing w:after="160" w:line="240" w:lineRule="exact"/>
      <w:jc w:val="left"/>
    </w:pPr>
  </w:style>
  <w:style w:type="paragraph" w:customStyle="1" w:styleId="292">
    <w:name w:val="Text"/>
    <w:basedOn w:val="1"/>
    <w:qFormat/>
    <w:uiPriority w:val="0"/>
    <w:pPr>
      <w:widowControl/>
      <w:spacing w:before="120"/>
    </w:pPr>
    <w:rPr>
      <w:kern w:val="0"/>
      <w:sz w:val="24"/>
      <w:szCs w:val="20"/>
      <w:lang w:eastAsia="en-US"/>
    </w:rPr>
  </w:style>
  <w:style w:type="paragraph" w:customStyle="1" w:styleId="293">
    <w:name w:val="texte"/>
    <w:qFormat/>
    <w:uiPriority w:val="0"/>
    <w:pPr>
      <w:spacing w:before="1" w:after="1"/>
      <w:ind w:left="1" w:right="1" w:firstLine="1"/>
    </w:pPr>
    <w:rPr>
      <w:rFonts w:ascii="Helvetica" w:hAnsi="Helvetica" w:eastAsia="宋体" w:cs="Helvetica"/>
      <w:color w:val="000000"/>
      <w:sz w:val="18"/>
      <w:szCs w:val="18"/>
      <w:lang w:val="en-US" w:eastAsia="zh-CN" w:bidi="ar-SA"/>
    </w:rPr>
  </w:style>
  <w:style w:type="paragraph" w:customStyle="1" w:styleId="294">
    <w:name w:val="A2-texte"/>
    <w:basedOn w:val="1"/>
    <w:qFormat/>
    <w:uiPriority w:val="0"/>
    <w:pPr>
      <w:spacing w:before="1" w:after="1"/>
      <w:ind w:left="1134"/>
    </w:pPr>
    <w:rPr>
      <w:rFonts w:ascii="Arial" w:hAnsi="Arial" w:cs="Arial"/>
      <w:color w:val="000000"/>
      <w:sz w:val="18"/>
      <w:szCs w:val="18"/>
      <w:lang w:val="fr-FR" w:eastAsia="fr-FR"/>
    </w:rPr>
  </w:style>
  <w:style w:type="paragraph" w:customStyle="1" w:styleId="295">
    <w:name w:val="条2"/>
    <w:basedOn w:val="1"/>
    <w:next w:val="1"/>
    <w:qFormat/>
    <w:uiPriority w:val="0"/>
    <w:pPr>
      <w:ind w:left="1040"/>
      <w:outlineLvl w:val="1"/>
    </w:pPr>
    <w:rPr>
      <w:rFonts w:ascii="黑体" w:eastAsia="黑体"/>
      <w:kern w:val="21"/>
      <w:szCs w:val="20"/>
    </w:rPr>
  </w:style>
  <w:style w:type="paragraph" w:customStyle="1" w:styleId="296">
    <w:name w:val="Arial 9"/>
    <w:basedOn w:val="1"/>
    <w:qFormat/>
    <w:uiPriority w:val="0"/>
    <w:rPr>
      <w:rFonts w:ascii="Arial" w:hAnsi="Arial" w:cs="Arial"/>
      <w:sz w:val="18"/>
      <w:szCs w:val="18"/>
      <w:lang w:val="fr-FR" w:eastAsia="fr-FR"/>
    </w:rPr>
  </w:style>
  <w:style w:type="paragraph" w:customStyle="1" w:styleId="297">
    <w:name w:val="样式 Arial 9 + 两端对齐 段前: 2 磅 行距: 1.5 倍行距"/>
    <w:basedOn w:val="296"/>
    <w:qFormat/>
    <w:uiPriority w:val="0"/>
    <w:pPr>
      <w:autoSpaceDE w:val="0"/>
      <w:autoSpaceDN w:val="0"/>
      <w:spacing w:before="40" w:line="360" w:lineRule="auto"/>
      <w:ind w:left="1133" w:leftChars="1133"/>
    </w:pPr>
    <w:rPr>
      <w:rFonts w:cs="宋体"/>
      <w:szCs w:val="20"/>
    </w:rPr>
  </w:style>
  <w:style w:type="paragraph" w:customStyle="1" w:styleId="298">
    <w:name w:val="List Paragraph2"/>
    <w:basedOn w:val="1"/>
    <w:qFormat/>
    <w:uiPriority w:val="0"/>
    <w:pPr>
      <w:widowControl/>
      <w:ind w:firstLine="420" w:firstLineChars="200"/>
      <w:jc w:val="left"/>
    </w:pPr>
    <w:rPr>
      <w:kern w:val="0"/>
      <w:sz w:val="20"/>
      <w:szCs w:val="20"/>
    </w:rPr>
  </w:style>
  <w:style w:type="paragraph" w:customStyle="1" w:styleId="299">
    <w:name w:val="Arial 9 texte"/>
    <w:basedOn w:val="1"/>
    <w:qFormat/>
    <w:uiPriority w:val="0"/>
    <w:rPr>
      <w:rFonts w:ascii="Arial" w:hAnsi="Arial" w:cs="Arial"/>
      <w:sz w:val="18"/>
      <w:szCs w:val="18"/>
      <w:lang w:val="fr-FR" w:eastAsia="fr-FR"/>
    </w:rPr>
  </w:style>
  <w:style w:type="paragraph" w:customStyle="1" w:styleId="300">
    <w:name w:val="style9"/>
    <w:basedOn w:val="1"/>
    <w:qFormat/>
    <w:uiPriority w:val="0"/>
    <w:pPr>
      <w:widowControl/>
      <w:spacing w:before="100" w:beforeAutospacing="1" w:after="100" w:afterAutospacing="1"/>
      <w:jc w:val="left"/>
    </w:pPr>
    <w:rPr>
      <w:rFonts w:ascii="宋体"/>
      <w:color w:val="666666"/>
      <w:kern w:val="0"/>
      <w:sz w:val="24"/>
    </w:rPr>
  </w:style>
  <w:style w:type="paragraph" w:customStyle="1" w:styleId="301">
    <w:name w:val="样式 A2-texte + 左侧:  4 厘米 段前: 0 磅 段后: 0 磅 行距: 1.5 倍行距"/>
    <w:basedOn w:val="294"/>
    <w:qFormat/>
    <w:uiPriority w:val="0"/>
    <w:pPr>
      <w:autoSpaceDE w:val="0"/>
      <w:autoSpaceDN w:val="0"/>
      <w:spacing w:before="0" w:after="0" w:line="360" w:lineRule="auto"/>
      <w:ind w:left="2268"/>
    </w:pPr>
    <w:rPr>
      <w:rFonts w:cs="宋体"/>
      <w:szCs w:val="20"/>
    </w:rPr>
  </w:style>
  <w:style w:type="paragraph" w:customStyle="1" w:styleId="302">
    <w:name w:val="UP正文"/>
    <w:basedOn w:val="1"/>
    <w:qFormat/>
    <w:uiPriority w:val="0"/>
    <w:pPr>
      <w:spacing w:line="360" w:lineRule="auto"/>
      <w:ind w:left="200" w:leftChars="200" w:firstLine="200" w:firstLineChars="200"/>
    </w:pPr>
    <w:rPr>
      <w:rFonts w:ascii="Tahoma" w:hAnsi="Tahoma" w:cs="宋体"/>
      <w:szCs w:val="20"/>
    </w:rPr>
  </w:style>
  <w:style w:type="paragraph" w:customStyle="1" w:styleId="303">
    <w:name w:val="Arial corps 9"/>
    <w:basedOn w:val="293"/>
    <w:qFormat/>
    <w:uiPriority w:val="0"/>
    <w:pPr>
      <w:widowControl w:val="0"/>
      <w:ind w:left="0" w:right="0" w:firstLine="0"/>
    </w:pPr>
    <w:rPr>
      <w:rFonts w:ascii="Arial" w:hAnsi="Arial" w:cs="Arial"/>
    </w:rPr>
  </w:style>
  <w:style w:type="paragraph" w:customStyle="1" w:styleId="304">
    <w:name w:val="Heading Left"/>
    <w:basedOn w:val="1"/>
    <w:qFormat/>
    <w:uiPriority w:val="0"/>
    <w:pPr>
      <w:widowControl/>
      <w:tabs>
        <w:tab w:val="center" w:pos="4820"/>
        <w:tab w:val="right" w:pos="9639"/>
      </w:tabs>
      <w:spacing w:before="120" w:after="120"/>
      <w:jc w:val="left"/>
    </w:pPr>
    <w:rPr>
      <w:rFonts w:ascii="Arial" w:hAnsi="Arial"/>
      <w:b/>
      <w:caps/>
      <w:kern w:val="0"/>
      <w:sz w:val="24"/>
      <w:szCs w:val="20"/>
      <w:lang w:val="en-GB" w:eastAsia="en-US"/>
    </w:rPr>
  </w:style>
  <w:style w:type="paragraph" w:customStyle="1" w:styleId="305">
    <w:name w:val="样式 A2-texte + 加粗"/>
    <w:basedOn w:val="294"/>
    <w:qFormat/>
    <w:uiPriority w:val="0"/>
    <w:pPr>
      <w:autoSpaceDE w:val="0"/>
      <w:autoSpaceDN w:val="0"/>
    </w:pPr>
    <w:rPr>
      <w:rFonts w:ascii="黑体" w:eastAsia="黑体"/>
      <w:bCs/>
      <w:lang w:val="zh-CN" w:eastAsia="zh-CN"/>
    </w:rPr>
  </w:style>
  <w:style w:type="paragraph" w:customStyle="1" w:styleId="306">
    <w:name w:val="style10"/>
    <w:basedOn w:val="1"/>
    <w:qFormat/>
    <w:uiPriority w:val="0"/>
    <w:pPr>
      <w:widowControl/>
      <w:spacing w:before="100" w:beforeAutospacing="1" w:after="100" w:afterAutospacing="1"/>
      <w:jc w:val="left"/>
    </w:pPr>
    <w:rPr>
      <w:rFonts w:ascii="宋体"/>
      <w:b/>
      <w:bCs/>
      <w:color w:val="339966"/>
      <w:kern w:val="0"/>
      <w:sz w:val="24"/>
    </w:rPr>
  </w:style>
  <w:style w:type="paragraph" w:customStyle="1" w:styleId="307">
    <w:name w:val="xl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cs="宋体"/>
      <w:b/>
      <w:bCs/>
      <w:color w:val="000000"/>
      <w:kern w:val="0"/>
      <w:sz w:val="24"/>
    </w:rPr>
  </w:style>
  <w:style w:type="paragraph" w:customStyle="1" w:styleId="308">
    <w:name w:val="ZB8"/>
    <w:next w:val="17"/>
    <w:qFormat/>
    <w:uiPriority w:val="0"/>
    <w:pPr>
      <w:widowControl w:val="0"/>
      <w:spacing w:line="340" w:lineRule="atLeast"/>
      <w:jc w:val="both"/>
    </w:pPr>
    <w:rPr>
      <w:rFonts w:ascii="Consolas" w:hAnsi="Consolas" w:eastAsia="方正中等线简体" w:cs="Times New Roman"/>
      <w:sz w:val="21"/>
      <w:lang w:val="en-US" w:eastAsia="zh-CN" w:bidi="ar-SA"/>
    </w:rPr>
  </w:style>
  <w:style w:type="character" w:customStyle="1" w:styleId="309">
    <w:name w:val="正文文本 3 字符"/>
    <w:basedOn w:val="49"/>
    <w:qFormat/>
    <w:uiPriority w:val="0"/>
    <w:rPr>
      <w:rFonts w:ascii="Times New Roman" w:hAnsi="Times New Roman" w:eastAsia="宋体" w:cs="Times New Roman"/>
      <w:sz w:val="16"/>
      <w:szCs w:val="16"/>
    </w:rPr>
  </w:style>
  <w:style w:type="character" w:customStyle="1" w:styleId="310">
    <w:name w:val="正文文本 3 Char"/>
    <w:link w:val="17"/>
    <w:qFormat/>
    <w:uiPriority w:val="0"/>
    <w:rPr>
      <w:rFonts w:ascii="Times New Roman" w:hAnsi="Times New Roman" w:eastAsia="宋体" w:cs="Times New Roman"/>
      <w:sz w:val="16"/>
      <w:szCs w:val="16"/>
    </w:rPr>
  </w:style>
  <w:style w:type="paragraph" w:customStyle="1" w:styleId="311">
    <w:name w:val="列表段落1"/>
    <w:basedOn w:val="1"/>
    <w:qFormat/>
    <w:uiPriority w:val="34"/>
    <w:pPr>
      <w:ind w:firstLine="420" w:firstLineChars="200"/>
    </w:pPr>
    <w:rPr>
      <w:rFonts w:ascii="Calibri" w:hAnsi="Calibri"/>
      <w:szCs w:val="22"/>
    </w:rPr>
  </w:style>
  <w:style w:type="character" w:customStyle="1" w:styleId="312">
    <w:name w:val="op-map-singlepoint-info-right1"/>
    <w:qFormat/>
    <w:uiPriority w:val="0"/>
  </w:style>
  <w:style w:type="character" w:customStyle="1" w:styleId="313">
    <w:name w:val="apple-converted-space"/>
    <w:qFormat/>
    <w:uiPriority w:val="0"/>
  </w:style>
  <w:style w:type="paragraph" w:customStyle="1" w:styleId="314">
    <w:name w:val="_Style 1"/>
    <w:basedOn w:val="1"/>
    <w:qFormat/>
    <w:uiPriority w:val="0"/>
    <w:pPr>
      <w:ind w:firstLine="420" w:firstLineChars="200"/>
    </w:pPr>
    <w:rPr>
      <w:rFonts w:ascii="Calibri" w:hAnsi="Calibri"/>
      <w:szCs w:val="22"/>
    </w:rPr>
  </w:style>
  <w:style w:type="paragraph" w:customStyle="1" w:styleId="315">
    <w:name w:val="Char Char"/>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316">
    <w:name w:val="z-窗体底端1"/>
    <w:basedOn w:val="1"/>
    <w:next w:val="1"/>
    <w:link w:val="317"/>
    <w:qFormat/>
    <w:uiPriority w:val="0"/>
    <w:pPr>
      <w:widowControl/>
      <w:pBdr>
        <w:top w:val="single" w:color="auto" w:sz="6" w:space="1"/>
      </w:pBdr>
      <w:jc w:val="center"/>
    </w:pPr>
    <w:rPr>
      <w:rFonts w:ascii="Arial" w:hAnsi="Arial" w:cs="Arial"/>
      <w:vanish/>
      <w:kern w:val="0"/>
      <w:sz w:val="16"/>
      <w:szCs w:val="16"/>
    </w:rPr>
  </w:style>
  <w:style w:type="character" w:customStyle="1" w:styleId="317">
    <w:name w:val="z-窗体底端 字符"/>
    <w:basedOn w:val="49"/>
    <w:link w:val="316"/>
    <w:qFormat/>
    <w:uiPriority w:val="0"/>
    <w:rPr>
      <w:rFonts w:ascii="Arial" w:hAnsi="Arial" w:eastAsia="宋体" w:cs="Arial"/>
      <w:vanish/>
      <w:kern w:val="0"/>
      <w:sz w:val="16"/>
      <w:szCs w:val="16"/>
    </w:rPr>
  </w:style>
  <w:style w:type="character" w:customStyle="1" w:styleId="318">
    <w:name w:val="无间隔 Char1"/>
    <w:link w:val="125"/>
    <w:qFormat/>
    <w:uiPriority w:val="0"/>
    <w:rPr>
      <w:rFonts w:ascii="Calibri" w:hAnsi="Calibri" w:eastAsia="宋体" w:cs="Times New Roman"/>
      <w:kern w:val="0"/>
      <w:sz w:val="22"/>
      <w:lang w:eastAsia="en-US" w:bidi="en-US"/>
    </w:rPr>
  </w:style>
  <w:style w:type="paragraph" w:customStyle="1" w:styleId="319">
    <w:name w:val="Char Char1 Char Char Char Char Char Char"/>
    <w:basedOn w:val="1"/>
    <w:qFormat/>
    <w:uiPriority w:val="0"/>
    <w:pPr>
      <w:widowControl/>
      <w:adjustRightInd w:val="0"/>
      <w:snapToGrid w:val="0"/>
      <w:spacing w:beforeLines="25" w:afterLines="25" w:line="240" w:lineRule="exact"/>
      <w:ind w:firstLine="560" w:firstLineChars="192"/>
      <w:jc w:val="left"/>
    </w:pPr>
    <w:rPr>
      <w:rFonts w:ascii="宋体" w:hAnsi="宋体"/>
      <w:kern w:val="0"/>
      <w:sz w:val="28"/>
      <w:szCs w:val="28"/>
      <w:lang w:eastAsia="en-US"/>
    </w:rPr>
  </w:style>
  <w:style w:type="paragraph" w:customStyle="1" w:styleId="320">
    <w:name w:val="默认段落字体 Para Char Char Char Char Char Char Char"/>
    <w:basedOn w:val="1"/>
    <w:next w:val="1"/>
    <w:qFormat/>
    <w:uiPriority w:val="0"/>
    <w:rPr>
      <w:rFonts w:ascii="Tahoma" w:hAnsi="Tahoma"/>
      <w:sz w:val="24"/>
      <w:szCs w:val="20"/>
    </w:rPr>
  </w:style>
  <w:style w:type="paragraph" w:customStyle="1" w:styleId="321">
    <w:name w:val="midtext"/>
    <w:basedOn w:val="1"/>
    <w:qFormat/>
    <w:uiPriority w:val="0"/>
    <w:pPr>
      <w:widowControl/>
      <w:spacing w:before="100" w:beforeAutospacing="1" w:after="100" w:afterAutospacing="1"/>
      <w:jc w:val="left"/>
    </w:pPr>
    <w:rPr>
      <w:rFonts w:ascii="宋体" w:hAnsi="宋体" w:cs="宋体"/>
      <w:kern w:val="0"/>
      <w:sz w:val="24"/>
    </w:rPr>
  </w:style>
  <w:style w:type="character" w:customStyle="1" w:styleId="322">
    <w:name w:val="jason.dong"/>
    <w:qFormat/>
    <w:uiPriority w:val="0"/>
    <w:rPr>
      <w:rFonts w:hint="default" w:ascii="Arial" w:hAnsi="Arial" w:cs="Arial"/>
      <w:color w:val="0000FF"/>
      <w:sz w:val="20"/>
      <w:szCs w:val="20"/>
    </w:rPr>
  </w:style>
  <w:style w:type="paragraph" w:customStyle="1" w:styleId="323">
    <w:name w:val="RD Bullet1"/>
    <w:basedOn w:val="1"/>
    <w:qFormat/>
    <w:uiPriority w:val="0"/>
    <w:pPr>
      <w:widowControl/>
      <w:numPr>
        <w:ilvl w:val="0"/>
        <w:numId w:val="2"/>
      </w:numPr>
      <w:jc w:val="left"/>
    </w:pPr>
    <w:rPr>
      <w:rFonts w:ascii="Calibri" w:hAnsi="Calibri" w:cs="Calibri"/>
      <w:color w:val="000000"/>
      <w:kern w:val="0"/>
      <w:sz w:val="24"/>
      <w:lang w:eastAsia="en-US"/>
    </w:rPr>
  </w:style>
  <w:style w:type="paragraph" w:customStyle="1" w:styleId="324">
    <w:name w:val="_Style 7"/>
    <w:basedOn w:val="1"/>
    <w:qFormat/>
    <w:uiPriority w:val="0"/>
    <w:pPr>
      <w:widowControl/>
      <w:jc w:val="left"/>
    </w:pPr>
    <w:rPr>
      <w:rFonts w:ascii="Calibri" w:hAnsi="Calibri" w:cs="Calibri"/>
      <w:kern w:val="0"/>
      <w:sz w:val="24"/>
      <w:lang w:eastAsia="en-US"/>
    </w:rPr>
  </w:style>
  <w:style w:type="character" w:customStyle="1" w:styleId="325">
    <w:name w:val="title1"/>
    <w:qFormat/>
    <w:uiPriority w:val="0"/>
    <w:rPr>
      <w:b/>
      <w:bCs/>
      <w:color w:val="FFFFFF"/>
      <w:sz w:val="24"/>
      <w:szCs w:val="24"/>
    </w:rPr>
  </w:style>
  <w:style w:type="character" w:customStyle="1" w:styleId="326">
    <w:name w:val="en1"/>
    <w:qFormat/>
    <w:uiPriority w:val="0"/>
    <w:rPr>
      <w:rFonts w:hint="default" w:ascii="Arial" w:hAnsi="Arial" w:cs="Arial"/>
      <w:sz w:val="20"/>
      <w:szCs w:val="20"/>
    </w:rPr>
  </w:style>
  <w:style w:type="character" w:customStyle="1" w:styleId="327">
    <w:name w:val="fontstyle01"/>
    <w:qFormat/>
    <w:uiPriority w:val="0"/>
    <w:rPr>
      <w:rFonts w:hint="eastAsia" w:ascii="华文中宋" w:hAnsi="华文中宋" w:eastAsia="华文中宋"/>
      <w:color w:val="000000"/>
      <w:sz w:val="24"/>
      <w:szCs w:val="24"/>
    </w:rPr>
  </w:style>
  <w:style w:type="paragraph" w:customStyle="1" w:styleId="328">
    <w:name w:val="列出段落2"/>
    <w:basedOn w:val="1"/>
    <w:qFormat/>
    <w:uiPriority w:val="0"/>
    <w:pPr>
      <w:ind w:firstLine="420" w:firstLineChars="200"/>
    </w:pPr>
    <w:rPr>
      <w:rFonts w:ascii="Calibri" w:hAnsi="Calibri"/>
      <w:szCs w:val="22"/>
    </w:rPr>
  </w:style>
  <w:style w:type="paragraph" w:customStyle="1" w:styleId="329">
    <w:name w:val="_Style 0"/>
    <w:qFormat/>
    <w:uiPriority w:val="0"/>
    <w:pPr>
      <w:widowControl w:val="0"/>
      <w:jc w:val="both"/>
    </w:pPr>
    <w:rPr>
      <w:rFonts w:ascii="Calibri" w:hAnsi="Calibri" w:eastAsia="宋体" w:cs="Times New Roman"/>
      <w:kern w:val="2"/>
      <w:sz w:val="21"/>
      <w:szCs w:val="24"/>
      <w:lang w:val="en-US" w:eastAsia="zh-CN" w:bidi="ar-SA"/>
    </w:rPr>
  </w:style>
  <w:style w:type="character" w:customStyle="1" w:styleId="330">
    <w:name w:val="正文文本 (18)1"/>
    <w:qFormat/>
    <w:uiPriority w:val="0"/>
    <w:rPr>
      <w:rFonts w:ascii="MingLiU" w:hAnsi="MingLiU" w:eastAsia="MingLiU" w:cs="Times New Roman"/>
      <w:sz w:val="26"/>
    </w:rPr>
  </w:style>
  <w:style w:type="paragraph" w:customStyle="1" w:styleId="331">
    <w:name w:val="_Style 2"/>
    <w:qFormat/>
    <w:uiPriority w:val="0"/>
    <w:pPr>
      <w:widowControl w:val="0"/>
      <w:jc w:val="both"/>
    </w:pPr>
    <w:rPr>
      <w:rFonts w:ascii="Calibri" w:hAnsi="Calibri" w:eastAsia="宋体" w:cs="Times New Roman"/>
      <w:kern w:val="2"/>
      <w:sz w:val="21"/>
      <w:szCs w:val="24"/>
      <w:lang w:val="en-US" w:eastAsia="zh-CN" w:bidi="ar-SA"/>
    </w:rPr>
  </w:style>
  <w:style w:type="paragraph" w:customStyle="1" w:styleId="332">
    <w:name w:val="表 靠左"/>
    <w:basedOn w:val="1"/>
    <w:qFormat/>
    <w:uiPriority w:val="0"/>
    <w:pPr>
      <w:jc w:val="left"/>
    </w:pPr>
    <w:rPr>
      <w:rFonts w:ascii="宋体" w:hAnsi="宋体"/>
    </w:rPr>
  </w:style>
  <w:style w:type="character" w:customStyle="1" w:styleId="333">
    <w:name w:val="纯文本 字符1"/>
    <w:qFormat/>
    <w:locked/>
    <w:uiPriority w:val="0"/>
    <w:rPr>
      <w:rFonts w:ascii="宋体" w:hAnsi="Courier New"/>
      <w:kern w:val="2"/>
      <w:sz w:val="21"/>
    </w:rPr>
  </w:style>
  <w:style w:type="paragraph" w:customStyle="1" w:styleId="334">
    <w:name w:val="List Paragraph1"/>
    <w:basedOn w:val="1"/>
    <w:qFormat/>
    <w:uiPriority w:val="0"/>
    <w:pPr>
      <w:widowControl/>
      <w:ind w:firstLine="420" w:firstLineChars="200"/>
    </w:pPr>
    <w:rPr>
      <w:rFonts w:ascii="Verdana" w:hAnsi="Verdana"/>
      <w:kern w:val="0"/>
      <w:sz w:val="18"/>
      <w:szCs w:val="20"/>
      <w:lang w:eastAsia="en-US"/>
    </w:rPr>
  </w:style>
  <w:style w:type="character" w:customStyle="1" w:styleId="335">
    <w:name w:val="列表段落 字符1"/>
    <w:qFormat/>
    <w:uiPriority w:val="0"/>
  </w:style>
  <w:style w:type="paragraph" w:customStyle="1" w:styleId="336">
    <w:name w:val="_Style 6"/>
    <w:basedOn w:val="1"/>
    <w:next w:val="13"/>
    <w:qFormat/>
    <w:uiPriority w:val="0"/>
    <w:pPr>
      <w:ind w:firstLine="420" w:firstLineChars="200"/>
    </w:pPr>
    <w:rPr>
      <w:szCs w:val="22"/>
    </w:rPr>
  </w:style>
  <w:style w:type="character" w:customStyle="1" w:styleId="337">
    <w:name w:val="NormalCharacter"/>
    <w:qFormat/>
    <w:uiPriority w:val="0"/>
  </w:style>
  <w:style w:type="paragraph" w:customStyle="1" w:styleId="338">
    <w:name w:val="UserStyle_1"/>
    <w:basedOn w:val="1"/>
    <w:qFormat/>
    <w:uiPriority w:val="0"/>
    <w:pPr>
      <w:widowControl/>
      <w:ind w:firstLine="420" w:firstLineChars="200"/>
    </w:pPr>
    <w:rPr>
      <w:rFonts w:ascii="Verdana" w:hAnsi="Verdana"/>
      <w:kern w:val="0"/>
      <w:sz w:val="18"/>
      <w:szCs w:val="20"/>
      <w:lang w:eastAsia="en-US"/>
    </w:rPr>
  </w:style>
  <w:style w:type="character" w:customStyle="1" w:styleId="339">
    <w:name w:val="font121"/>
    <w:qFormat/>
    <w:uiPriority w:val="0"/>
    <w:rPr>
      <w:rFonts w:hint="eastAsia" w:ascii="宋体" w:hAnsi="宋体" w:eastAsia="宋体" w:cs="宋体"/>
      <w:color w:val="000000"/>
      <w:sz w:val="36"/>
      <w:szCs w:val="36"/>
      <w:u w:val="none"/>
    </w:rPr>
  </w:style>
  <w:style w:type="character" w:customStyle="1" w:styleId="340">
    <w:name w:val="font101"/>
    <w:qFormat/>
    <w:uiPriority w:val="0"/>
    <w:rPr>
      <w:rFonts w:hint="eastAsia" w:ascii="宋体" w:hAnsi="宋体" w:eastAsia="宋体" w:cs="宋体"/>
      <w:color w:val="000000"/>
      <w:sz w:val="22"/>
      <w:szCs w:val="22"/>
      <w:u w:val="none"/>
    </w:rPr>
  </w:style>
  <w:style w:type="paragraph" w:customStyle="1" w:styleId="341">
    <w:name w:val="1级"/>
    <w:basedOn w:val="13"/>
    <w:link w:val="343"/>
    <w:qFormat/>
    <w:uiPriority w:val="0"/>
    <w:pPr>
      <w:numPr>
        <w:ilvl w:val="0"/>
        <w:numId w:val="3"/>
      </w:numPr>
      <w:outlineLvl w:val="0"/>
    </w:pPr>
    <w:rPr>
      <w:rFonts w:ascii="Calibri" w:hAnsi="Calibri"/>
    </w:rPr>
  </w:style>
  <w:style w:type="paragraph" w:customStyle="1" w:styleId="342">
    <w:name w:val="2级"/>
    <w:basedOn w:val="13"/>
    <w:qFormat/>
    <w:uiPriority w:val="0"/>
    <w:pPr>
      <w:tabs>
        <w:tab w:val="left" w:pos="720"/>
      </w:tabs>
      <w:ind w:left="422" w:hanging="422" w:hangingChars="200"/>
      <w:outlineLvl w:val="1"/>
    </w:pPr>
    <w:rPr>
      <w:rFonts w:ascii="Calibri" w:hAnsi="Calibri"/>
      <w:b/>
    </w:rPr>
  </w:style>
  <w:style w:type="character" w:customStyle="1" w:styleId="343">
    <w:name w:val="1级 Char"/>
    <w:link w:val="341"/>
    <w:qFormat/>
    <w:uiPriority w:val="0"/>
    <w:rPr>
      <w:rFonts w:ascii="Calibri" w:hAnsi="Calibri" w:eastAsia="等线" w:cs="Times New Roman"/>
    </w:rPr>
  </w:style>
  <w:style w:type="character" w:customStyle="1" w:styleId="344">
    <w:name w:val="2级 Char"/>
    <w:qFormat/>
    <w:uiPriority w:val="0"/>
    <w:rPr>
      <w:rFonts w:ascii="Calibri" w:hAnsi="Calibri" w:eastAsia="宋体" w:cs="Times New Roman"/>
      <w:b/>
      <w:szCs w:val="21"/>
    </w:rPr>
  </w:style>
  <w:style w:type="paragraph" w:customStyle="1" w:styleId="345">
    <w:name w:val="3级"/>
    <w:basedOn w:val="13"/>
    <w:qFormat/>
    <w:uiPriority w:val="0"/>
    <w:pPr>
      <w:tabs>
        <w:tab w:val="left" w:pos="720"/>
      </w:tabs>
      <w:ind w:left="720" w:hanging="720"/>
      <w:outlineLvl w:val="2"/>
    </w:pPr>
    <w:rPr>
      <w:rFonts w:ascii="宋体" w:hAnsi="宋体"/>
      <w:color w:val="000000"/>
    </w:rPr>
  </w:style>
  <w:style w:type="character" w:customStyle="1" w:styleId="346">
    <w:name w:val="3级 Char"/>
    <w:qFormat/>
    <w:uiPriority w:val="0"/>
    <w:rPr>
      <w:rFonts w:ascii="宋体" w:hAnsi="宋体" w:eastAsia="宋体" w:cs="Times New Roman"/>
      <w:color w:val="000000"/>
      <w:szCs w:val="21"/>
    </w:rPr>
  </w:style>
  <w:style w:type="character" w:customStyle="1" w:styleId="347">
    <w:name w:val="正文首行缩进 Char"/>
    <w:basedOn w:val="77"/>
    <w:link w:val="44"/>
    <w:qFormat/>
    <w:uiPriority w:val="0"/>
    <w:rPr>
      <w:rFonts w:ascii="Times New Roman" w:hAnsi="Times New Roman" w:eastAsia="宋体" w:cs="Times New Roman"/>
      <w:szCs w:val="21"/>
    </w:rPr>
  </w:style>
  <w:style w:type="paragraph" w:customStyle="1" w:styleId="348">
    <w:name w:val="msonormal"/>
    <w:basedOn w:val="1"/>
    <w:qFormat/>
    <w:uiPriority w:val="0"/>
    <w:pPr>
      <w:widowControl/>
      <w:spacing w:before="100" w:beforeAutospacing="1" w:after="100" w:afterAutospacing="1"/>
      <w:jc w:val="left"/>
    </w:pPr>
    <w:rPr>
      <w:rFonts w:ascii="宋体" w:hAnsi="宋体" w:cs="宋体"/>
      <w:kern w:val="0"/>
      <w:sz w:val="24"/>
    </w:rPr>
  </w:style>
  <w:style w:type="paragraph" w:customStyle="1" w:styleId="349">
    <w:name w:val="xl65"/>
    <w:basedOn w:val="1"/>
    <w:qFormat/>
    <w:uiPriority w:val="0"/>
    <w:pPr>
      <w:widowControl/>
      <w:spacing w:before="100" w:beforeAutospacing="1" w:after="100" w:afterAutospacing="1"/>
      <w:jc w:val="center"/>
    </w:pPr>
    <w:rPr>
      <w:rFonts w:ascii="宋体" w:hAnsi="宋体" w:cs="宋体"/>
      <w:color w:val="000000"/>
      <w:kern w:val="0"/>
      <w:sz w:val="24"/>
    </w:rPr>
  </w:style>
  <w:style w:type="paragraph" w:customStyle="1" w:styleId="350">
    <w:name w:val="正文格式"/>
    <w:basedOn w:val="1"/>
    <w:qFormat/>
    <w:uiPriority w:val="0"/>
    <w:pPr>
      <w:widowControl/>
      <w:adjustRightInd w:val="0"/>
      <w:snapToGrid w:val="0"/>
      <w:spacing w:line="400" w:lineRule="atLeast"/>
      <w:ind w:firstLine="482"/>
      <w:textAlignment w:val="baseline"/>
    </w:pPr>
    <w:rPr>
      <w:kern w:val="0"/>
      <w:sz w:val="24"/>
    </w:rPr>
  </w:style>
  <w:style w:type="character" w:customStyle="1" w:styleId="351">
    <w:name w:val="name"/>
    <w:basedOn w:val="49"/>
    <w:qFormat/>
    <w:uiPriority w:val="0"/>
  </w:style>
  <w:style w:type="character" w:customStyle="1" w:styleId="352">
    <w:name w:val="页码1"/>
    <w:qFormat/>
    <w:uiPriority w:val="0"/>
    <w:rPr>
      <w:rFonts w:cs="Times New Roman"/>
    </w:rPr>
  </w:style>
  <w:style w:type="character" w:customStyle="1" w:styleId="353">
    <w:name w:val="段落正文 Char"/>
    <w:link w:val="247"/>
    <w:qFormat/>
    <w:uiPriority w:val="0"/>
    <w:rPr>
      <w:rFonts w:ascii="宋体" w:hAnsi="Cambria" w:eastAsia="等线" w:cs="Times New Roman"/>
    </w:rPr>
  </w:style>
  <w:style w:type="character" w:customStyle="1" w:styleId="354">
    <w:name w:val="Char Char91"/>
    <w:qFormat/>
    <w:uiPriority w:val="0"/>
    <w:rPr>
      <w:rFonts w:eastAsia="宋体"/>
      <w:kern w:val="2"/>
      <w:sz w:val="18"/>
      <w:szCs w:val="18"/>
      <w:lang w:val="en-US" w:eastAsia="zh-CN" w:bidi="ar-SA"/>
    </w:rPr>
  </w:style>
  <w:style w:type="character" w:customStyle="1" w:styleId="355">
    <w:name w:val="Char Char111"/>
    <w:qFormat/>
    <w:uiPriority w:val="0"/>
    <w:rPr>
      <w:rFonts w:eastAsia="宋体"/>
      <w:kern w:val="2"/>
      <w:sz w:val="24"/>
      <w:lang w:bidi="ar-SA"/>
    </w:rPr>
  </w:style>
  <w:style w:type="paragraph" w:customStyle="1" w:styleId="356">
    <w:name w:val="xl278"/>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cs="宋体"/>
      <w:color w:val="000000"/>
      <w:kern w:val="0"/>
      <w:sz w:val="24"/>
    </w:rPr>
  </w:style>
  <w:style w:type="paragraph" w:customStyle="1" w:styleId="357">
    <w:name w:val="页脚1"/>
    <w:basedOn w:val="1"/>
    <w:next w:val="29"/>
    <w:qFormat/>
    <w:uiPriority w:val="99"/>
    <w:pPr>
      <w:tabs>
        <w:tab w:val="center" w:pos="4153"/>
        <w:tab w:val="right" w:pos="8306"/>
      </w:tabs>
      <w:snapToGrid w:val="0"/>
      <w:jc w:val="left"/>
    </w:pPr>
    <w:rPr>
      <w:sz w:val="18"/>
      <w:szCs w:val="18"/>
    </w:rPr>
  </w:style>
  <w:style w:type="paragraph" w:customStyle="1" w:styleId="358">
    <w:name w:val="xl2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 w:val="24"/>
    </w:rPr>
  </w:style>
  <w:style w:type="paragraph" w:customStyle="1" w:styleId="359">
    <w:name w:val="xl277"/>
    <w:basedOn w:val="1"/>
    <w:qFormat/>
    <w:uiPriority w:val="0"/>
    <w:pPr>
      <w:widowControl/>
      <w:pBdr>
        <w:top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cs="宋体"/>
      <w:color w:val="000000"/>
      <w:kern w:val="0"/>
      <w:sz w:val="24"/>
    </w:rPr>
  </w:style>
  <w:style w:type="paragraph" w:customStyle="1" w:styleId="360">
    <w:name w:val="xl2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361">
    <w:name w:val="xl276"/>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362">
    <w:name w:val="xl2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sz w:val="24"/>
    </w:rPr>
  </w:style>
  <w:style w:type="paragraph" w:customStyle="1" w:styleId="363">
    <w:name w:val="xl2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364">
    <w:name w:val="xl26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cs="宋体"/>
      <w:color w:val="000000"/>
      <w:kern w:val="0"/>
      <w:sz w:val="24"/>
    </w:rPr>
  </w:style>
  <w:style w:type="paragraph" w:customStyle="1" w:styleId="365">
    <w:name w:val="xl2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366">
    <w:name w:val="xl2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367">
    <w:name w:val="Char Char Char1"/>
    <w:basedOn w:val="1"/>
    <w:qFormat/>
    <w:uiPriority w:val="0"/>
    <w:rPr>
      <w:rFonts w:ascii="Tahoma" w:hAnsi="Tahoma"/>
      <w:sz w:val="24"/>
      <w:szCs w:val="20"/>
    </w:rPr>
  </w:style>
  <w:style w:type="paragraph" w:customStyle="1" w:styleId="368">
    <w:name w:val="xl26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8"/>
      <w:szCs w:val="28"/>
    </w:rPr>
  </w:style>
  <w:style w:type="paragraph" w:customStyle="1" w:styleId="369">
    <w:name w:val="Char11"/>
    <w:basedOn w:val="1"/>
    <w:qFormat/>
    <w:uiPriority w:val="0"/>
    <w:rPr>
      <w:rFonts w:ascii="Tahoma" w:hAnsi="Tahoma"/>
      <w:sz w:val="24"/>
      <w:szCs w:val="20"/>
    </w:rPr>
  </w:style>
  <w:style w:type="paragraph" w:customStyle="1" w:styleId="370">
    <w:name w:val="Char2"/>
    <w:basedOn w:val="14"/>
    <w:qFormat/>
    <w:uiPriority w:val="0"/>
    <w:pPr>
      <w:widowControl/>
    </w:pPr>
    <w:rPr>
      <w:rFonts w:ascii="Tahoma" w:hAnsi="Tahoma" w:eastAsia="宋体"/>
      <w:sz w:val="24"/>
    </w:rPr>
  </w:style>
  <w:style w:type="paragraph" w:customStyle="1" w:styleId="371">
    <w:name w:val="Char Char1"/>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372">
    <w:name w:val="Table Paragraph"/>
    <w:basedOn w:val="1"/>
    <w:qFormat/>
    <w:uiPriority w:val="1"/>
    <w:rPr>
      <w:rFonts w:ascii="仿宋" w:hAnsi="仿宋" w:eastAsia="仿宋" w:cs="仿宋"/>
      <w:lang w:val="zh-CN" w:bidi="zh-CN"/>
    </w:rPr>
  </w:style>
  <w:style w:type="paragraph" w:customStyle="1" w:styleId="373">
    <w:name w:val="xl283"/>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8"/>
      <w:szCs w:val="28"/>
    </w:rPr>
  </w:style>
  <w:style w:type="paragraph" w:customStyle="1" w:styleId="374">
    <w:name w:val="xl2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rPr>
  </w:style>
  <w:style w:type="paragraph" w:customStyle="1" w:styleId="375">
    <w:name w:val="xl258"/>
    <w:basedOn w:val="1"/>
    <w:qFormat/>
    <w:uiPriority w:val="0"/>
    <w:pPr>
      <w:widowControl/>
      <w:spacing w:before="100" w:beforeAutospacing="1" w:after="100" w:afterAutospacing="1"/>
      <w:jc w:val="left"/>
    </w:pPr>
    <w:rPr>
      <w:rFonts w:ascii="宋体" w:hAnsi="宋体" w:cs="宋体"/>
      <w:color w:val="FF0000"/>
      <w:kern w:val="0"/>
      <w:sz w:val="28"/>
      <w:szCs w:val="28"/>
    </w:rPr>
  </w:style>
  <w:style w:type="paragraph" w:customStyle="1" w:styleId="376">
    <w:name w:val="xl2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color w:val="000000"/>
      <w:kern w:val="0"/>
      <w:sz w:val="24"/>
    </w:rPr>
  </w:style>
  <w:style w:type="paragraph" w:customStyle="1" w:styleId="377">
    <w:name w:val="列表段落2"/>
    <w:basedOn w:val="1"/>
    <w:qFormat/>
    <w:uiPriority w:val="0"/>
    <w:pPr>
      <w:widowControl/>
      <w:ind w:left="720"/>
      <w:contextualSpacing/>
      <w:jc w:val="left"/>
    </w:pPr>
    <w:rPr>
      <w:rFonts w:eastAsia="Times New Roman"/>
      <w:kern w:val="0"/>
      <w:sz w:val="24"/>
    </w:rPr>
  </w:style>
  <w:style w:type="paragraph" w:customStyle="1" w:styleId="378">
    <w:name w:val="Char1 Char Char Char1"/>
    <w:basedOn w:val="1"/>
    <w:qFormat/>
    <w:uiPriority w:val="0"/>
    <w:pPr>
      <w:spacing w:line="360" w:lineRule="auto"/>
    </w:pPr>
    <w:rPr>
      <w:rFonts w:ascii="Tahoma" w:hAnsi="Tahoma"/>
      <w:sz w:val="24"/>
      <w:szCs w:val="20"/>
    </w:rPr>
  </w:style>
  <w:style w:type="paragraph" w:customStyle="1" w:styleId="379">
    <w:name w:val="xl260"/>
    <w:basedOn w:val="1"/>
    <w:qFormat/>
    <w:uiPriority w:val="0"/>
    <w:pPr>
      <w:widowControl/>
      <w:spacing w:before="100" w:beforeAutospacing="1" w:after="100" w:afterAutospacing="1"/>
      <w:jc w:val="left"/>
    </w:pPr>
    <w:rPr>
      <w:rFonts w:ascii="宋体" w:hAnsi="宋体" w:cs="宋体"/>
      <w:kern w:val="0"/>
      <w:sz w:val="24"/>
    </w:rPr>
  </w:style>
  <w:style w:type="paragraph" w:customStyle="1" w:styleId="380">
    <w:name w:val="普通(网站)1"/>
    <w:basedOn w:val="1"/>
    <w:qFormat/>
    <w:uiPriority w:val="0"/>
    <w:pPr>
      <w:widowControl/>
      <w:spacing w:before="240" w:after="240"/>
      <w:jc w:val="left"/>
    </w:pPr>
    <w:rPr>
      <w:rFonts w:ascii="宋体" w:hAnsi="宋体" w:cs="宋体"/>
      <w:kern w:val="0"/>
      <w:sz w:val="24"/>
    </w:rPr>
  </w:style>
  <w:style w:type="paragraph" w:customStyle="1" w:styleId="381">
    <w:name w:val="unnamed1"/>
    <w:basedOn w:val="1"/>
    <w:qFormat/>
    <w:uiPriority w:val="0"/>
    <w:pPr>
      <w:widowControl/>
      <w:spacing w:beforeAutospacing="1" w:afterAutospacing="1" w:line="288" w:lineRule="auto"/>
      <w:jc w:val="left"/>
    </w:pPr>
    <w:rPr>
      <w:rFonts w:hint="eastAsia" w:ascii="宋体" w:hAnsi="宋体"/>
      <w:kern w:val="0"/>
      <w:szCs w:val="21"/>
    </w:rPr>
  </w:style>
  <w:style w:type="paragraph" w:customStyle="1" w:styleId="382">
    <w:name w:val="Char Char Char Char Char Char Char Char Char Char Char Char Char Char Char Char Char Char Char1"/>
    <w:basedOn w:val="1"/>
    <w:qFormat/>
    <w:uiPriority w:val="0"/>
    <w:pPr>
      <w:widowControl/>
      <w:spacing w:after="160" w:line="240" w:lineRule="exact"/>
      <w:jc w:val="left"/>
    </w:pPr>
  </w:style>
  <w:style w:type="paragraph" w:customStyle="1" w:styleId="383">
    <w:name w:val="xl259"/>
    <w:basedOn w:val="1"/>
    <w:qFormat/>
    <w:uiPriority w:val="0"/>
    <w:pPr>
      <w:widowControl/>
      <w:spacing w:before="100" w:beforeAutospacing="1" w:after="100" w:afterAutospacing="1"/>
      <w:jc w:val="left"/>
    </w:pPr>
    <w:rPr>
      <w:rFonts w:ascii="宋体" w:hAnsi="宋体" w:cs="宋体"/>
      <w:kern w:val="0"/>
      <w:sz w:val="28"/>
      <w:szCs w:val="28"/>
    </w:rPr>
  </w:style>
  <w:style w:type="paragraph" w:customStyle="1" w:styleId="384">
    <w:name w:val="xl2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color w:val="000000"/>
      <w:kern w:val="0"/>
      <w:sz w:val="24"/>
    </w:rPr>
  </w:style>
  <w:style w:type="paragraph" w:customStyle="1" w:styleId="385">
    <w:name w:val="xl2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386">
    <w:name w:val="Char Char Char Char1"/>
    <w:basedOn w:val="1"/>
    <w:qFormat/>
    <w:uiPriority w:val="0"/>
    <w:rPr>
      <w:rFonts w:ascii="Tahoma" w:hAnsi="Tahoma"/>
      <w:sz w:val="24"/>
      <w:szCs w:val="20"/>
    </w:rPr>
  </w:style>
  <w:style w:type="paragraph" w:customStyle="1" w:styleId="387">
    <w:name w:val="xl261"/>
    <w:basedOn w:val="1"/>
    <w:qFormat/>
    <w:uiPriority w:val="0"/>
    <w:pPr>
      <w:widowControl/>
      <w:spacing w:before="100" w:beforeAutospacing="1" w:after="100" w:afterAutospacing="1"/>
      <w:jc w:val="center"/>
    </w:pPr>
    <w:rPr>
      <w:rFonts w:ascii="宋体" w:hAnsi="宋体" w:cs="宋体"/>
      <w:kern w:val="0"/>
      <w:sz w:val="24"/>
    </w:rPr>
  </w:style>
  <w:style w:type="paragraph" w:customStyle="1" w:styleId="388">
    <w:name w:val="xl2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rPr>
  </w:style>
  <w:style w:type="paragraph" w:customStyle="1" w:styleId="389">
    <w:name w:val="xl257"/>
    <w:basedOn w:val="1"/>
    <w:qFormat/>
    <w:uiPriority w:val="0"/>
    <w:pPr>
      <w:widowControl/>
      <w:spacing w:before="100" w:beforeAutospacing="1" w:after="100" w:afterAutospacing="1"/>
      <w:jc w:val="left"/>
    </w:pPr>
    <w:rPr>
      <w:rFonts w:ascii="宋体" w:hAnsi="宋体" w:cs="宋体"/>
      <w:kern w:val="0"/>
      <w:sz w:val="28"/>
      <w:szCs w:val="28"/>
    </w:rPr>
  </w:style>
  <w:style w:type="paragraph" w:customStyle="1" w:styleId="390">
    <w:name w:val="xl263"/>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kern w:val="0"/>
      <w:sz w:val="24"/>
    </w:rPr>
  </w:style>
  <w:style w:type="paragraph" w:customStyle="1" w:styleId="391">
    <w:name w:val="xl2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color w:val="000000"/>
      <w:kern w:val="0"/>
      <w:sz w:val="28"/>
      <w:szCs w:val="28"/>
    </w:rPr>
  </w:style>
  <w:style w:type="paragraph" w:customStyle="1" w:styleId="392">
    <w:name w:val="xl2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393">
    <w:name w:val="xl27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4"/>
    </w:rPr>
  </w:style>
  <w:style w:type="paragraph" w:customStyle="1" w:styleId="394">
    <w:name w:val="xl282"/>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b/>
      <w:bCs/>
      <w:kern w:val="0"/>
      <w:sz w:val="28"/>
      <w:szCs w:val="28"/>
    </w:rPr>
  </w:style>
  <w:style w:type="character" w:customStyle="1" w:styleId="395">
    <w:name w:val="纯文本 Char2"/>
    <w:qFormat/>
    <w:uiPriority w:val="0"/>
    <w:rPr>
      <w:rFonts w:ascii="宋体" w:hAnsi="Courier New" w:eastAsia="宋体" w:cs="Times New Roman"/>
      <w:kern w:val="0"/>
      <w:sz w:val="20"/>
      <w:szCs w:val="20"/>
    </w:rPr>
  </w:style>
  <w:style w:type="paragraph" w:customStyle="1" w:styleId="396">
    <w:name w:val="mybody"/>
    <w:basedOn w:val="1"/>
    <w:link w:val="397"/>
    <w:qFormat/>
    <w:uiPriority w:val="0"/>
    <w:pPr>
      <w:widowControl/>
      <w:spacing w:beforeLines="100" w:afterLines="100" w:line="288" w:lineRule="auto"/>
      <w:ind w:firstLine="200" w:firstLineChars="200"/>
      <w:jc w:val="left"/>
    </w:pPr>
    <w:rPr>
      <w:rFonts w:ascii="Calibri" w:hAnsi="Calibri"/>
      <w:color w:val="000000"/>
      <w:kern w:val="0"/>
      <w:sz w:val="28"/>
      <w:szCs w:val="22"/>
      <w:lang w:eastAsia="en-US"/>
    </w:rPr>
  </w:style>
  <w:style w:type="character" w:customStyle="1" w:styleId="397">
    <w:name w:val="mybody Char"/>
    <w:link w:val="396"/>
    <w:qFormat/>
    <w:uiPriority w:val="0"/>
    <w:rPr>
      <w:rFonts w:ascii="Calibri" w:hAnsi="Calibri"/>
      <w:color w:val="000000"/>
      <w:sz w:val="28"/>
      <w:szCs w:val="22"/>
      <w:lang w:eastAsia="en-US"/>
    </w:rPr>
  </w:style>
  <w:style w:type="paragraph" w:customStyle="1" w:styleId="398">
    <w:name w:val="Normal (Web) Char"/>
    <w:basedOn w:val="1"/>
    <w:qFormat/>
    <w:uiPriority w:val="0"/>
    <w:pPr>
      <w:widowControl/>
      <w:spacing w:before="100" w:beforeAutospacing="1" w:after="100" w:afterAutospacing="1"/>
      <w:jc w:val="left"/>
    </w:pPr>
    <w:rPr>
      <w:rFonts w:ascii="宋体" w:hAnsi="宋体" w:cs="宋体"/>
      <w:kern w:val="0"/>
      <w:sz w:val="24"/>
      <w:szCs w:val="22"/>
    </w:rPr>
  </w:style>
  <w:style w:type="character" w:customStyle="1" w:styleId="399">
    <w:name w:val="xdrichtextbox"/>
    <w:qFormat/>
    <w:uiPriority w:val="0"/>
  </w:style>
  <w:style w:type="character" w:customStyle="1" w:styleId="400">
    <w:name w:val="批注框文本 Char1"/>
    <w:basedOn w:val="49"/>
    <w:semiHidden/>
    <w:qFormat/>
    <w:uiPriority w:val="99"/>
    <w:rPr>
      <w:rFonts w:ascii="Times New Roman" w:hAnsi="Times New Roman" w:eastAsia="宋体" w:cs="Times New Roman"/>
      <w:sz w:val="18"/>
      <w:szCs w:val="18"/>
    </w:rPr>
  </w:style>
  <w:style w:type="character" w:customStyle="1" w:styleId="401">
    <w:name w:val="批注主题 Char1"/>
    <w:basedOn w:val="74"/>
    <w:semiHidden/>
    <w:qFormat/>
    <w:uiPriority w:val="99"/>
    <w:rPr>
      <w:rFonts w:ascii="Times New Roman" w:hAnsi="Times New Roman" w:eastAsia="宋体" w:cs="Times New Roman"/>
      <w:b/>
      <w:bCs/>
      <w:szCs w:val="24"/>
    </w:rPr>
  </w:style>
  <w:style w:type="character" w:customStyle="1" w:styleId="402">
    <w:name w:val="文档结构图 Char1"/>
    <w:basedOn w:val="49"/>
    <w:semiHidden/>
    <w:qFormat/>
    <w:uiPriority w:val="99"/>
    <w:rPr>
      <w:rFonts w:ascii="宋体" w:hAnsi="Times New Roman" w:eastAsia="宋体" w:cs="Times New Roman"/>
      <w:sz w:val="18"/>
      <w:szCs w:val="18"/>
    </w:rPr>
  </w:style>
  <w:style w:type="paragraph" w:customStyle="1" w:styleId="403">
    <w:name w:val="[基本段落]"/>
    <w:basedOn w:val="1"/>
    <w:qFormat/>
    <w:uiPriority w:val="99"/>
    <w:pPr>
      <w:autoSpaceDE w:val="0"/>
      <w:autoSpaceDN w:val="0"/>
      <w:adjustRightInd w:val="0"/>
      <w:spacing w:line="288" w:lineRule="auto"/>
    </w:pPr>
    <w:rPr>
      <w:rFonts w:ascii="宋体" w:hAnsi="Calibri" w:cs="宋体"/>
      <w:color w:val="000000"/>
      <w:kern w:val="0"/>
      <w:sz w:val="24"/>
      <w:lang w:val="zh-CN"/>
    </w:rPr>
  </w:style>
  <w:style w:type="paragraph" w:customStyle="1" w:styleId="404">
    <w:name w:val="PlainText"/>
    <w:basedOn w:val="1"/>
    <w:link w:val="406"/>
    <w:qFormat/>
    <w:uiPriority w:val="0"/>
    <w:pPr>
      <w:widowControl/>
      <w:textAlignment w:val="baseline"/>
    </w:pPr>
    <w:rPr>
      <w:rFonts w:ascii="宋体" w:hAnsi="Courier New"/>
      <w:kern w:val="0"/>
      <w:szCs w:val="21"/>
    </w:rPr>
  </w:style>
  <w:style w:type="character" w:customStyle="1" w:styleId="405">
    <w:name w:val="UserStyle_0"/>
    <w:qFormat/>
    <w:uiPriority w:val="0"/>
  </w:style>
  <w:style w:type="character" w:customStyle="1" w:styleId="406">
    <w:name w:val="UserStyle_18"/>
    <w:link w:val="404"/>
    <w:qFormat/>
    <w:uiPriority w:val="0"/>
    <w:rPr>
      <w:rFonts w:ascii="宋体" w:hAnsi="Courier New"/>
      <w:sz w:val="21"/>
      <w:szCs w:val="21"/>
    </w:rPr>
  </w:style>
  <w:style w:type="character" w:customStyle="1" w:styleId="407">
    <w:name w:val="可研正文 字符"/>
    <w:autoRedefine/>
    <w:qFormat/>
    <w:uiPriority w:val="0"/>
    <w:rPr>
      <w:rFonts w:cs="宋体"/>
    </w:rPr>
  </w:style>
  <w:style w:type="paragraph" w:customStyle="1" w:styleId="408">
    <w:name w:val="可研正文"/>
    <w:basedOn w:val="1"/>
    <w:autoRedefine/>
    <w:qFormat/>
    <w:uiPriority w:val="0"/>
    <w:pPr>
      <w:spacing w:before="72" w:beforeLines="30" w:after="72" w:afterLines="30" w:line="360" w:lineRule="auto"/>
      <w:ind w:firstLine="480" w:firstLineChars="200"/>
    </w:pPr>
    <w:rPr>
      <w:bCs/>
      <w:sz w:val="24"/>
      <w:szCs w:val="28"/>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numbering" Target="numbering.xml"/><Relationship Id="rId16" Type="http://schemas.openxmlformats.org/officeDocument/2006/relationships/theme" Target="theme/theme1.xml"/><Relationship Id="rId15" Type="http://schemas.openxmlformats.org/officeDocument/2006/relationships/footer" Target="footer7.xml"/><Relationship Id="rId14" Type="http://schemas.openxmlformats.org/officeDocument/2006/relationships/footer" Target="footer6.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DB2ABC-40B4-4CD8-B9C3-853338C822EA}">
  <ds:schemaRefs/>
</ds:datastoreItem>
</file>

<file path=docProps/app.xml><?xml version="1.0" encoding="utf-8"?>
<Properties xmlns="http://schemas.openxmlformats.org/officeDocument/2006/extended-properties" xmlns:vt="http://schemas.openxmlformats.org/officeDocument/2006/docPropsVTypes">
  <Template>Normal.dotm</Template>
  <Company>WRGHO.COM</Company>
  <Pages>98</Pages>
  <Words>19425</Words>
  <Characters>20656</Characters>
  <Lines>471</Lines>
  <Paragraphs>132</Paragraphs>
  <TotalTime>81</TotalTime>
  <ScaleCrop>false</ScaleCrop>
  <LinksUpToDate>false</LinksUpToDate>
  <CharactersWithSpaces>20772</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2026-03-24T06:43:00Z</dcterms:created>
  <dc:creator>Administrator</dc:creator>
  <cp:lastModifiedBy>皮皮夏</cp:lastModifiedBy>
  <cp:lastPrinted>2022-08-25T06:57:00Z</cp:lastPrinted>
  <dcterms:modified xsi:type="dcterms:W3CDTF">2026-06-26T08:05:52Z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CE57350C35FB4D00A7AC3841DF7C65C9_13</vt:lpwstr>
  </property>
  <property fmtid="{D5CDD505-2E9C-101B-9397-08002B2CF9AE}" pid="4" name="KSOTemplateDocerSaveRecord">
    <vt:lpwstr>eyJoZGlkIjoiZDQxYjA2ZTllZmE5MGM2MjRiNDYyMDNiZGU5MjI0NTgiLCJ1c2VySWQiOiI4NDA2MjczNjIifQ==</vt:lpwstr>
  </property>
</Properties>
</file>