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87EEB1">
      <w:pPr>
        <w:pageBreakBefore w:val="0"/>
        <w:kinsoku/>
        <w:wordWrap w:val="0"/>
        <w:overflowPunct/>
        <w:topLinePunct w:val="0"/>
        <w:bidi w:val="0"/>
        <w:adjustRightInd/>
        <w:snapToGrid/>
        <w:spacing w:line="360" w:lineRule="exact"/>
        <w:jc w:val="right"/>
        <w:rPr>
          <w:rFonts w:hint="default" w:ascii="仿宋" w:hAnsi="仿宋" w:eastAsia="仿宋" w:cs="仿宋"/>
          <w:b w:val="0"/>
          <w:bCs/>
          <w:color w:val="000000" w:themeColor="text1"/>
          <w:sz w:val="32"/>
          <w:szCs w:val="32"/>
          <w:highlight w:val="none"/>
          <w:lang w:val="en-US" w:eastAsia="zh-CN"/>
          <w14:textFill>
            <w14:solidFill>
              <w14:schemeClr w14:val="tx1"/>
            </w14:solidFill>
          </w14:textFill>
        </w:rPr>
      </w:pPr>
      <w:r>
        <w:rPr>
          <w:rFonts w:hint="eastAsia" w:ascii="仿宋" w:hAnsi="仿宋" w:eastAsia="仿宋" w:cs="仿宋"/>
          <w:b w:val="0"/>
          <w:bCs/>
          <w:color w:val="000000" w:themeColor="text1"/>
          <w:sz w:val="32"/>
          <w:szCs w:val="32"/>
          <w:highlight w:val="none"/>
          <w14:textFill>
            <w14:solidFill>
              <w14:schemeClr w14:val="tx1"/>
            </w14:solidFill>
          </w14:textFill>
        </w:rPr>
        <w:t>招标编号：PURM202605250003</w:t>
      </w:r>
    </w:p>
    <w:p w14:paraId="0E1E0CDB">
      <w:pPr>
        <w:pageBreakBefore w:val="0"/>
        <w:kinsoku/>
        <w:overflowPunct/>
        <w:topLinePunct w:val="0"/>
        <w:bidi w:val="0"/>
        <w:adjustRightInd/>
        <w:snapToGrid/>
        <w:rPr>
          <w:rFonts w:hint="eastAsia" w:ascii="仿宋" w:hAnsi="仿宋" w:eastAsia="仿宋" w:cs="仿宋"/>
          <w:b w:val="0"/>
          <w:bCs/>
          <w:color w:val="000000" w:themeColor="text1"/>
          <w:highlight w:val="none"/>
          <w14:textFill>
            <w14:solidFill>
              <w14:schemeClr w14:val="tx1"/>
            </w14:solidFill>
          </w14:textFill>
        </w:rPr>
      </w:pPr>
    </w:p>
    <w:p w14:paraId="4B3FC5D7">
      <w:pPr>
        <w:pageBreakBefore w:val="0"/>
        <w:kinsoku/>
        <w:overflowPunct/>
        <w:topLinePunct w:val="0"/>
        <w:bidi w:val="0"/>
        <w:adjustRightInd/>
        <w:snapToGrid/>
        <w:rPr>
          <w:rFonts w:hint="eastAsia" w:ascii="仿宋" w:hAnsi="仿宋" w:eastAsia="仿宋" w:cs="仿宋"/>
          <w:b w:val="0"/>
          <w:bCs/>
          <w:color w:val="000000" w:themeColor="text1"/>
          <w:highlight w:val="none"/>
          <w14:textFill>
            <w14:solidFill>
              <w14:schemeClr w14:val="tx1"/>
            </w14:solidFill>
          </w14:textFill>
        </w:rPr>
      </w:pPr>
    </w:p>
    <w:p w14:paraId="6EA4444A">
      <w:pPr>
        <w:pageBreakBefore w:val="0"/>
        <w:kinsoku/>
        <w:overflowPunct/>
        <w:topLinePunct w:val="0"/>
        <w:bidi w:val="0"/>
        <w:adjustRightInd/>
        <w:snapToGrid/>
        <w:rPr>
          <w:rFonts w:hint="eastAsia" w:ascii="仿宋" w:hAnsi="仿宋" w:eastAsia="仿宋" w:cs="仿宋"/>
          <w:b w:val="0"/>
          <w:bCs/>
          <w:color w:val="000000" w:themeColor="text1"/>
          <w:highlight w:val="none"/>
          <w14:textFill>
            <w14:solidFill>
              <w14:schemeClr w14:val="tx1"/>
            </w14:solidFill>
          </w14:textFill>
        </w:rPr>
      </w:pPr>
    </w:p>
    <w:p w14:paraId="275597F8">
      <w:pPr>
        <w:pageBreakBefore w:val="0"/>
        <w:kinsoku/>
        <w:overflowPunct/>
        <w:topLinePunct w:val="0"/>
        <w:bidi w:val="0"/>
        <w:adjustRightInd/>
        <w:snapToGrid/>
        <w:rPr>
          <w:rFonts w:hint="eastAsia" w:ascii="仿宋" w:hAnsi="仿宋" w:eastAsia="仿宋" w:cs="仿宋"/>
          <w:b w:val="0"/>
          <w:bCs/>
          <w:color w:val="000000" w:themeColor="text1"/>
          <w:highlight w:val="none"/>
          <w14:textFill>
            <w14:solidFill>
              <w14:schemeClr w14:val="tx1"/>
            </w14:solidFill>
          </w14:textFill>
        </w:rPr>
      </w:pPr>
    </w:p>
    <w:p w14:paraId="1A58D2FE">
      <w:pPr>
        <w:pageBreakBefore w:val="0"/>
        <w:kinsoku/>
        <w:overflowPunct/>
        <w:topLinePunct w:val="0"/>
        <w:bidi w:val="0"/>
        <w:adjustRightInd/>
        <w:snapToGrid/>
        <w:rPr>
          <w:rFonts w:hint="eastAsia" w:ascii="仿宋" w:hAnsi="仿宋" w:eastAsia="仿宋" w:cs="仿宋"/>
          <w:b w:val="0"/>
          <w:bCs/>
          <w:color w:val="000000" w:themeColor="text1"/>
          <w:highlight w:val="none"/>
          <w14:textFill>
            <w14:solidFill>
              <w14:schemeClr w14:val="tx1"/>
            </w14:solidFill>
          </w14:textFill>
        </w:rPr>
      </w:pPr>
    </w:p>
    <w:p w14:paraId="0539FFEE">
      <w:pPr>
        <w:pStyle w:val="51"/>
        <w:pageBreakBefore w:val="0"/>
        <w:kinsoku/>
        <w:overflowPunct/>
        <w:topLinePunct w:val="0"/>
        <w:bidi w:val="0"/>
        <w:adjustRightInd/>
        <w:snapToGrid/>
        <w:ind w:left="0" w:leftChars="0" w:firstLine="0" w:firstLineChars="0"/>
        <w:jc w:val="center"/>
        <w:rPr>
          <w:rFonts w:hint="eastAsia" w:ascii="仿宋" w:hAnsi="仿宋" w:eastAsia="仿宋" w:cs="仿宋"/>
          <w:b w:val="0"/>
          <w:bCs/>
          <w:color w:val="000000" w:themeColor="text1"/>
          <w:highlight w:val="none"/>
          <w:lang w:eastAsia="zh-CN"/>
          <w14:textFill>
            <w14:solidFill>
              <w14:schemeClr w14:val="tx1"/>
            </w14:solidFill>
          </w14:textFill>
        </w:rPr>
      </w:pPr>
      <w:r>
        <w:rPr>
          <w:rFonts w:hint="eastAsia" w:ascii="仿宋" w:hAnsi="仿宋" w:eastAsia="仿宋" w:cs="仿宋"/>
          <w:b w:val="0"/>
          <w:bCs/>
          <w:color w:val="000000" w:themeColor="text1"/>
          <w:sz w:val="52"/>
          <w:szCs w:val="52"/>
          <w:highlight w:val="none"/>
          <w:lang w:val="en-US" w:eastAsia="zh-CN"/>
          <w14:textFill>
            <w14:solidFill>
              <w14:schemeClr w14:val="tx1"/>
            </w14:solidFill>
          </w14:textFill>
        </w:rPr>
        <w:t>选定五金杂品及劳保用品供应单位</w:t>
      </w:r>
    </w:p>
    <w:p w14:paraId="4D2A7E3B">
      <w:pPr>
        <w:pageBreakBefore w:val="0"/>
        <w:kinsoku/>
        <w:overflowPunct/>
        <w:topLinePunct w:val="0"/>
        <w:bidi w:val="0"/>
        <w:adjustRightInd/>
        <w:snapToGrid/>
        <w:rPr>
          <w:rFonts w:hint="eastAsia" w:ascii="仿宋" w:hAnsi="仿宋" w:eastAsia="仿宋" w:cs="仿宋"/>
          <w:b w:val="0"/>
          <w:bCs/>
          <w:color w:val="000000" w:themeColor="text1"/>
          <w:highlight w:val="none"/>
          <w14:textFill>
            <w14:solidFill>
              <w14:schemeClr w14:val="tx1"/>
            </w14:solidFill>
          </w14:textFill>
        </w:rPr>
      </w:pPr>
    </w:p>
    <w:p w14:paraId="3F6B6E79">
      <w:pPr>
        <w:pageBreakBefore w:val="0"/>
        <w:kinsoku/>
        <w:overflowPunct/>
        <w:topLinePunct w:val="0"/>
        <w:bidi w:val="0"/>
        <w:adjustRightInd/>
        <w:snapToGrid/>
        <w:rPr>
          <w:rFonts w:hint="eastAsia" w:ascii="仿宋" w:hAnsi="仿宋" w:eastAsia="仿宋" w:cs="仿宋"/>
          <w:b w:val="0"/>
          <w:bCs/>
          <w:color w:val="000000" w:themeColor="text1"/>
          <w:highlight w:val="none"/>
          <w14:textFill>
            <w14:solidFill>
              <w14:schemeClr w14:val="tx1"/>
            </w14:solidFill>
          </w14:textFill>
        </w:rPr>
      </w:pPr>
    </w:p>
    <w:p w14:paraId="06420AEA">
      <w:pPr>
        <w:pageBreakBefore w:val="0"/>
        <w:kinsoku/>
        <w:overflowPunct/>
        <w:topLinePunct w:val="0"/>
        <w:bidi w:val="0"/>
        <w:adjustRightInd/>
        <w:snapToGrid/>
        <w:spacing w:before="156" w:beforeLines="50" w:line="360" w:lineRule="auto"/>
        <w:ind w:firstLine="3905" w:firstLineChars="751"/>
        <w:rPr>
          <w:rFonts w:hint="eastAsia" w:ascii="仿宋" w:hAnsi="仿宋" w:eastAsia="仿宋" w:cs="仿宋"/>
          <w:b w:val="0"/>
          <w:bCs/>
          <w:color w:val="000000" w:themeColor="text1"/>
          <w:sz w:val="52"/>
          <w:szCs w:val="52"/>
          <w:highlight w:val="none"/>
          <w14:textFill>
            <w14:solidFill>
              <w14:schemeClr w14:val="tx1"/>
            </w14:solidFill>
          </w14:textFill>
        </w:rPr>
      </w:pPr>
      <w:r>
        <w:rPr>
          <w:rFonts w:hint="eastAsia" w:ascii="仿宋" w:hAnsi="仿宋" w:eastAsia="仿宋" w:cs="仿宋"/>
          <w:b w:val="0"/>
          <w:bCs/>
          <w:color w:val="000000" w:themeColor="text1"/>
          <w:sz w:val="52"/>
          <w:szCs w:val="52"/>
          <w:highlight w:val="none"/>
          <w14:textFill>
            <w14:solidFill>
              <w14:schemeClr w14:val="tx1"/>
            </w14:solidFill>
          </w14:textFill>
        </w:rPr>
        <w:t>招标文件</w:t>
      </w:r>
    </w:p>
    <w:p w14:paraId="1F0B93D1">
      <w:pPr>
        <w:pageBreakBefore w:val="0"/>
        <w:kinsoku/>
        <w:overflowPunct/>
        <w:topLinePunct w:val="0"/>
        <w:bidi w:val="0"/>
        <w:adjustRightInd/>
        <w:snapToGrid/>
        <w:spacing w:before="156" w:beforeLines="50" w:line="360" w:lineRule="auto"/>
        <w:ind w:firstLine="1351" w:firstLineChars="751"/>
        <w:rPr>
          <w:rFonts w:hint="eastAsia" w:ascii="仿宋" w:hAnsi="仿宋" w:eastAsia="仿宋" w:cs="仿宋"/>
          <w:b w:val="0"/>
          <w:bCs/>
          <w:color w:val="000000" w:themeColor="text1"/>
          <w:sz w:val="18"/>
          <w:szCs w:val="18"/>
          <w:highlight w:val="none"/>
          <w14:textFill>
            <w14:solidFill>
              <w14:schemeClr w14:val="tx1"/>
            </w14:solidFill>
          </w14:textFill>
        </w:rPr>
      </w:pPr>
    </w:p>
    <w:p w14:paraId="1A39B22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color w:val="000000" w:themeColor="text1"/>
          <w:sz w:val="52"/>
          <w:szCs w:val="52"/>
          <w:highlight w:val="none"/>
          <w:lang w:eastAsia="zh-CN"/>
          <w14:textFill>
            <w14:solidFill>
              <w14:schemeClr w14:val="tx1"/>
            </w14:solidFill>
          </w14:textFill>
        </w:rPr>
      </w:pPr>
      <w:r>
        <w:rPr>
          <w:rFonts w:hint="eastAsia" w:ascii="仿宋" w:hAnsi="仿宋" w:eastAsia="仿宋" w:cs="仿宋"/>
          <w:b w:val="0"/>
          <w:bCs/>
          <w:color w:val="000000" w:themeColor="text1"/>
          <w:sz w:val="52"/>
          <w:szCs w:val="52"/>
          <w:highlight w:val="none"/>
          <w:lang w:eastAsia="zh-CN"/>
          <w14:textFill>
            <w14:solidFill>
              <w14:schemeClr w14:val="tx1"/>
            </w14:solidFill>
          </w14:textFill>
        </w:rPr>
        <w:drawing>
          <wp:inline distT="0" distB="0" distL="114300" distR="114300">
            <wp:extent cx="2470150" cy="2391410"/>
            <wp:effectExtent l="0" t="0" r="6350" b="8890"/>
            <wp:docPr id="2" name="图片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LOGO"/>
                    <pic:cNvPicPr>
                      <a:picLocks noChangeAspect="1"/>
                    </pic:cNvPicPr>
                  </pic:nvPicPr>
                  <pic:blipFill>
                    <a:blip r:embed="rId13"/>
                    <a:stretch>
                      <a:fillRect/>
                    </a:stretch>
                  </pic:blipFill>
                  <pic:spPr>
                    <a:xfrm>
                      <a:off x="0" y="0"/>
                      <a:ext cx="2470150" cy="2391410"/>
                    </a:xfrm>
                    <a:prstGeom prst="rect">
                      <a:avLst/>
                    </a:prstGeom>
                  </pic:spPr>
                </pic:pic>
              </a:graphicData>
            </a:graphic>
          </wp:inline>
        </w:drawing>
      </w:r>
    </w:p>
    <w:p w14:paraId="68047E60">
      <w:pPr>
        <w:pageBreakBefore w:val="0"/>
        <w:kinsoku/>
        <w:overflowPunct/>
        <w:topLinePunct w:val="0"/>
        <w:bidi w:val="0"/>
        <w:adjustRightInd/>
        <w:snapToGrid/>
        <w:spacing w:line="360" w:lineRule="auto"/>
        <w:rPr>
          <w:rFonts w:hint="eastAsia" w:ascii="仿宋" w:hAnsi="仿宋" w:eastAsia="仿宋" w:cs="仿宋"/>
          <w:b w:val="0"/>
          <w:bCs/>
          <w:color w:val="000000" w:themeColor="text1"/>
          <w:sz w:val="16"/>
          <w:szCs w:val="36"/>
          <w:highlight w:val="none"/>
          <w14:textFill>
            <w14:solidFill>
              <w14:schemeClr w14:val="tx1"/>
            </w14:solidFill>
          </w14:textFill>
        </w:rPr>
      </w:pPr>
    </w:p>
    <w:p w14:paraId="2D368F73">
      <w:pPr>
        <w:pageBreakBefore w:val="0"/>
        <w:kinsoku/>
        <w:overflowPunct/>
        <w:topLinePunct w:val="0"/>
        <w:bidi w:val="0"/>
        <w:adjustRightInd/>
        <w:snapToGrid/>
        <w:spacing w:line="360" w:lineRule="auto"/>
        <w:rPr>
          <w:rFonts w:hint="eastAsia" w:ascii="仿宋" w:hAnsi="仿宋" w:eastAsia="仿宋" w:cs="仿宋"/>
          <w:b w:val="0"/>
          <w:bCs/>
          <w:color w:val="000000" w:themeColor="text1"/>
          <w:sz w:val="16"/>
          <w:szCs w:val="36"/>
          <w:highlight w:val="none"/>
          <w14:textFill>
            <w14:solidFill>
              <w14:schemeClr w14:val="tx1"/>
            </w14:solidFill>
          </w14:textFill>
        </w:rPr>
      </w:pPr>
    </w:p>
    <w:p w14:paraId="19F8D578">
      <w:pPr>
        <w:pStyle w:val="204"/>
        <w:pageBreakBefore w:val="0"/>
        <w:kinsoku/>
        <w:overflowPunct/>
        <w:topLinePunct w:val="0"/>
        <w:bidi w:val="0"/>
        <w:adjustRightInd/>
        <w:snapToGrid/>
        <w:rPr>
          <w:rFonts w:hint="eastAsia" w:ascii="仿宋" w:hAnsi="仿宋" w:eastAsia="仿宋" w:cs="仿宋"/>
          <w:b w:val="0"/>
          <w:bCs/>
          <w:color w:val="000000" w:themeColor="text1"/>
          <w:highlight w:val="none"/>
          <w14:textFill>
            <w14:solidFill>
              <w14:schemeClr w14:val="tx1"/>
            </w14:solidFill>
          </w14:textFill>
        </w:rPr>
      </w:pPr>
    </w:p>
    <w:p w14:paraId="20336076">
      <w:pPr>
        <w:pageBreakBefore w:val="0"/>
        <w:kinsoku/>
        <w:overflowPunct/>
        <w:topLinePunct w:val="0"/>
        <w:bidi w:val="0"/>
        <w:adjustRightInd/>
        <w:snapToGrid/>
        <w:spacing w:before="156" w:beforeLines="50" w:line="360" w:lineRule="auto"/>
        <w:ind w:firstLine="723" w:firstLineChars="201"/>
        <w:jc w:val="center"/>
        <w:rPr>
          <w:rFonts w:hint="eastAsia" w:ascii="仿宋" w:hAnsi="仿宋" w:eastAsia="仿宋" w:cs="仿宋"/>
          <w:b w:val="0"/>
          <w:bCs/>
          <w:color w:val="000000" w:themeColor="text1"/>
          <w:kern w:val="0"/>
          <w:sz w:val="36"/>
          <w:szCs w:val="36"/>
          <w:highlight w:val="none"/>
          <w:lang w:eastAsia="zh-CN"/>
          <w14:textFill>
            <w14:solidFill>
              <w14:schemeClr w14:val="tx1"/>
            </w14:solidFill>
          </w14:textFill>
        </w:rPr>
      </w:pPr>
      <w:bookmarkStart w:id="0" w:name="_Hlk154665901"/>
      <w:r>
        <w:rPr>
          <w:rFonts w:hint="eastAsia" w:ascii="仿宋" w:hAnsi="仿宋" w:eastAsia="仿宋" w:cs="仿宋"/>
          <w:b w:val="0"/>
          <w:bCs/>
          <w:color w:val="000000" w:themeColor="text1"/>
          <w:sz w:val="36"/>
          <w:szCs w:val="36"/>
          <w:highlight w:val="none"/>
          <w14:textFill>
            <w14:solidFill>
              <w14:schemeClr w14:val="tx1"/>
            </w14:solidFill>
          </w14:textFill>
        </w:rPr>
        <w:t>代理机构：</w:t>
      </w:r>
      <w:r>
        <w:rPr>
          <w:rFonts w:hint="eastAsia" w:ascii="仿宋" w:hAnsi="仿宋" w:eastAsia="仿宋" w:cs="仿宋"/>
          <w:b w:val="0"/>
          <w:bCs/>
          <w:color w:val="000000" w:themeColor="text1"/>
          <w:sz w:val="36"/>
          <w:szCs w:val="36"/>
          <w:highlight w:val="none"/>
          <w:lang w:eastAsia="zh-CN"/>
          <w14:textFill>
            <w14:solidFill>
              <w14:schemeClr w14:val="tx1"/>
            </w14:solidFill>
          </w14:textFill>
        </w:rPr>
        <w:t>山东同力建设项目管理有限公司</w:t>
      </w:r>
    </w:p>
    <w:p w14:paraId="3FF10162">
      <w:pPr>
        <w:pageBreakBefore w:val="0"/>
        <w:kinsoku/>
        <w:overflowPunct/>
        <w:topLinePunct w:val="0"/>
        <w:bidi w:val="0"/>
        <w:adjustRightInd/>
        <w:snapToGrid/>
        <w:spacing w:line="360" w:lineRule="auto"/>
        <w:jc w:val="center"/>
        <w:rPr>
          <w:rFonts w:hint="eastAsia" w:ascii="仿宋" w:hAnsi="仿宋" w:eastAsia="仿宋" w:cs="仿宋"/>
          <w:b w:val="0"/>
          <w:bCs/>
          <w:color w:val="000000" w:themeColor="text1"/>
          <w:sz w:val="36"/>
          <w:szCs w:val="36"/>
          <w:highlight w:val="none"/>
          <w:lang w:eastAsia="zh-CN"/>
          <w14:textFill>
            <w14:solidFill>
              <w14:schemeClr w14:val="tx1"/>
            </w14:solidFill>
          </w14:textFill>
        </w:rPr>
      </w:pPr>
      <w:r>
        <w:rPr>
          <w:rFonts w:hint="eastAsia" w:ascii="仿宋" w:hAnsi="仿宋" w:eastAsia="仿宋" w:cs="仿宋"/>
          <w:b w:val="0"/>
          <w:bCs/>
          <w:color w:val="000000" w:themeColor="text1"/>
          <w:sz w:val="36"/>
          <w:szCs w:val="36"/>
          <w:highlight w:val="none"/>
          <w14:textFill>
            <w14:solidFill>
              <w14:schemeClr w14:val="tx1"/>
            </w14:solidFill>
          </w14:textFill>
        </w:rPr>
        <w:t>编制时间：</w:t>
      </w:r>
      <w:r>
        <w:rPr>
          <w:rFonts w:hint="eastAsia" w:ascii="仿宋" w:hAnsi="仿宋" w:eastAsia="仿宋" w:cs="仿宋"/>
          <w:b w:val="0"/>
          <w:bCs/>
          <w:color w:val="000000" w:themeColor="text1"/>
          <w:sz w:val="36"/>
          <w:szCs w:val="36"/>
          <w:highlight w:val="none"/>
          <w:lang w:eastAsia="zh-CN"/>
          <w14:textFill>
            <w14:solidFill>
              <w14:schemeClr w14:val="tx1"/>
            </w14:solidFill>
          </w14:textFill>
        </w:rPr>
        <w:t>2026年</w:t>
      </w:r>
      <w:r>
        <w:rPr>
          <w:rFonts w:hint="eastAsia" w:ascii="仿宋" w:hAnsi="仿宋" w:eastAsia="仿宋" w:cs="仿宋"/>
          <w:b w:val="0"/>
          <w:bCs/>
          <w:color w:val="000000" w:themeColor="text1"/>
          <w:sz w:val="36"/>
          <w:szCs w:val="36"/>
          <w:highlight w:val="none"/>
          <w:lang w:val="en-US" w:eastAsia="zh-CN"/>
          <w14:textFill>
            <w14:solidFill>
              <w14:schemeClr w14:val="tx1"/>
            </w14:solidFill>
          </w14:textFill>
        </w:rPr>
        <w:t>6</w:t>
      </w:r>
      <w:r>
        <w:rPr>
          <w:rFonts w:hint="eastAsia" w:ascii="仿宋" w:hAnsi="仿宋" w:eastAsia="仿宋" w:cs="仿宋"/>
          <w:b w:val="0"/>
          <w:bCs/>
          <w:color w:val="000000" w:themeColor="text1"/>
          <w:sz w:val="36"/>
          <w:szCs w:val="36"/>
          <w:highlight w:val="none"/>
          <w:lang w:eastAsia="zh-CN"/>
          <w14:textFill>
            <w14:solidFill>
              <w14:schemeClr w14:val="tx1"/>
            </w14:solidFill>
          </w14:textFill>
        </w:rPr>
        <w:t>月</w:t>
      </w:r>
    </w:p>
    <w:bookmarkEnd w:id="0"/>
    <w:p w14:paraId="43D86B19">
      <w:pPr>
        <w:pageBreakBefore w:val="0"/>
        <w:kinsoku/>
        <w:overflowPunct/>
        <w:topLinePunct w:val="0"/>
        <w:bidi w:val="0"/>
        <w:adjustRightInd/>
        <w:snapToGrid/>
        <w:spacing w:line="360" w:lineRule="exact"/>
        <w:rPr>
          <w:rFonts w:hint="eastAsia" w:ascii="仿宋" w:hAnsi="仿宋" w:eastAsia="仿宋" w:cs="仿宋"/>
          <w:color w:val="000000" w:themeColor="text1"/>
          <w:szCs w:val="21"/>
          <w:highlight w:val="none"/>
          <w14:textFill>
            <w14:solidFill>
              <w14:schemeClr w14:val="tx1"/>
            </w14:solidFill>
          </w14:textFill>
        </w:rPr>
      </w:pPr>
    </w:p>
    <w:p w14:paraId="23B67836">
      <w:pPr>
        <w:pageBreakBefore w:val="0"/>
        <w:kinsoku/>
        <w:overflowPunct/>
        <w:topLinePunct w:val="0"/>
        <w:bidi w:val="0"/>
        <w:adjustRightInd/>
        <w:snapToGrid/>
        <w:rPr>
          <w:rFonts w:hint="eastAsia" w:ascii="仿宋" w:hAnsi="仿宋" w:eastAsia="仿宋" w:cs="仿宋"/>
          <w:color w:val="000000" w:themeColor="text1"/>
          <w:highlight w:val="none"/>
          <w14:textFill>
            <w14:solidFill>
              <w14:schemeClr w14:val="tx1"/>
            </w14:solidFill>
          </w14:textFill>
        </w:rPr>
      </w:pPr>
    </w:p>
    <w:sdt>
      <w:sdtPr>
        <w:rPr>
          <w:rFonts w:hint="eastAsia" w:ascii="仿宋" w:hAnsi="仿宋" w:eastAsia="仿宋" w:cs="仿宋"/>
          <w:b w:val="0"/>
          <w:bCs w:val="0"/>
          <w:caps/>
          <w:color w:val="000000" w:themeColor="text1"/>
          <w:kern w:val="2"/>
          <w:sz w:val="21"/>
          <w:szCs w:val="24"/>
          <w:highlight w:val="none"/>
          <w:lang w:val="zh-CN"/>
          <w14:textFill>
            <w14:solidFill>
              <w14:schemeClr w14:val="tx1"/>
            </w14:solidFill>
          </w14:textFill>
        </w:rPr>
        <w:id w:val="984660636"/>
        <w:docPartObj>
          <w:docPartGallery w:val="Table of Contents"/>
          <w:docPartUnique/>
        </w:docPartObj>
      </w:sdtPr>
      <w:sdtEndPr>
        <w:rPr>
          <w:rFonts w:hint="eastAsia" w:ascii="仿宋" w:hAnsi="仿宋" w:eastAsia="仿宋" w:cs="仿宋"/>
          <w:b/>
          <w:bCs/>
          <w:caps/>
          <w:color w:val="000000" w:themeColor="text1"/>
          <w:kern w:val="2"/>
          <w:sz w:val="28"/>
          <w:szCs w:val="28"/>
          <w:highlight w:val="none"/>
          <w:lang w:val="zh-CN"/>
          <w14:textFill>
            <w14:solidFill>
              <w14:schemeClr w14:val="tx1"/>
            </w14:solidFill>
          </w14:textFill>
        </w:rPr>
      </w:sdtEndPr>
      <w:sdtContent>
        <w:p w14:paraId="4D3D4200">
          <w:pPr>
            <w:pStyle w:val="388"/>
            <w:pageBreakBefore w:val="0"/>
            <w:kinsoku/>
            <w:overflowPunct/>
            <w:topLinePunct w:val="0"/>
            <w:bidi w:val="0"/>
            <w:adjustRightInd/>
            <w:snapToGrid/>
            <w:jc w:val="center"/>
            <w:rPr>
              <w:rFonts w:hint="eastAsia" w:ascii="仿宋" w:hAnsi="仿宋" w:eastAsia="仿宋" w:cs="仿宋"/>
              <w:color w:val="000000" w:themeColor="text1"/>
              <w:sz w:val="44"/>
              <w:szCs w:val="44"/>
              <w:highlight w:val="none"/>
              <w14:textFill>
                <w14:solidFill>
                  <w14:schemeClr w14:val="tx1"/>
                </w14:solidFill>
              </w14:textFill>
            </w:rPr>
          </w:pPr>
          <w:bookmarkStart w:id="1" w:name="_Hlk130651888"/>
          <w:bookmarkStart w:id="2" w:name="_Toc413596380"/>
          <w:bookmarkStart w:id="3" w:name="_Toc382129898"/>
          <w:r>
            <w:rPr>
              <w:rFonts w:hint="eastAsia" w:ascii="仿宋" w:hAnsi="仿宋" w:eastAsia="仿宋" w:cs="仿宋"/>
              <w:color w:val="000000" w:themeColor="text1"/>
              <w:sz w:val="44"/>
              <w:szCs w:val="44"/>
              <w:highlight w:val="none"/>
              <w:lang w:val="zh-CN"/>
              <w14:textFill>
                <w14:solidFill>
                  <w14:schemeClr w14:val="tx1"/>
                </w14:solidFill>
              </w14:textFill>
            </w:rPr>
            <w:t>目录</w:t>
          </w:r>
        </w:p>
        <w:p w14:paraId="7E468AB4">
          <w:pPr>
            <w:pStyle w:val="34"/>
            <w:keepNext w:val="0"/>
            <w:keepLines w:val="0"/>
            <w:pageBreakBefore w:val="0"/>
            <w:widowControl w:val="0"/>
            <w:tabs>
              <w:tab w:val="right" w:leader="dot" w:pos="9746"/>
              <w:tab w:val="clear" w:pos="8834"/>
            </w:tabs>
            <w:kinsoku/>
            <w:wordWrap/>
            <w:overflowPunct/>
            <w:topLinePunct w:val="0"/>
            <w:autoSpaceDE/>
            <w:autoSpaceDN/>
            <w:bidi w:val="0"/>
            <w:adjustRightInd/>
            <w:snapToGrid/>
            <w:spacing w:before="0" w:after="0" w:line="360" w:lineRule="auto"/>
            <w:textAlignment w:val="auto"/>
            <w:rPr>
              <w:rFonts w:hint="eastAsia" w:ascii="仿宋" w:hAnsi="仿宋" w:eastAsia="仿宋" w:cs="仿宋"/>
              <w:sz w:val="24"/>
              <w:szCs w:val="24"/>
              <w:highlight w:val="none"/>
            </w:rPr>
          </w:pPr>
          <w:r>
            <w:rPr>
              <w:rStyle w:val="59"/>
              <w:rFonts w:hint="eastAsia" w:ascii="仿宋" w:hAnsi="仿宋" w:eastAsia="仿宋" w:cs="仿宋"/>
              <w:color w:val="000000" w:themeColor="text1"/>
              <w:sz w:val="24"/>
              <w:szCs w:val="24"/>
              <w:highlight w:val="none"/>
              <w14:textFill>
                <w14:solidFill>
                  <w14:schemeClr w14:val="tx1"/>
                </w14:solidFill>
              </w14:textFill>
            </w:rPr>
            <w:fldChar w:fldCharType="begin"/>
          </w:r>
          <w:r>
            <w:rPr>
              <w:rStyle w:val="59"/>
              <w:rFonts w:hint="eastAsia" w:ascii="仿宋" w:hAnsi="仿宋" w:eastAsia="仿宋" w:cs="仿宋"/>
              <w:color w:val="000000" w:themeColor="text1"/>
              <w:sz w:val="24"/>
              <w:szCs w:val="24"/>
              <w:highlight w:val="none"/>
              <w14:textFill>
                <w14:solidFill>
                  <w14:schemeClr w14:val="tx1"/>
                </w14:solidFill>
              </w14:textFill>
            </w:rPr>
            <w:instrText xml:space="preserve"> TOC \o "1-3" \h \z \u </w:instrText>
          </w:r>
          <w:r>
            <w:rPr>
              <w:rStyle w:val="59"/>
              <w:rFonts w:hint="eastAsia" w:ascii="仿宋" w:hAnsi="仿宋" w:eastAsia="仿宋" w:cs="仿宋"/>
              <w:color w:val="000000" w:themeColor="text1"/>
              <w:sz w:val="24"/>
              <w:szCs w:val="24"/>
              <w:highlight w:val="none"/>
              <w14:textFill>
                <w14:solidFill>
                  <w14:schemeClr w14:val="tx1"/>
                </w14:solidFill>
              </w14:textFill>
            </w:rPr>
            <w:fldChar w:fldCharType="separate"/>
          </w:r>
          <w:r>
            <w:rPr>
              <w:rFonts w:hint="eastAsia" w:ascii="仿宋" w:hAnsi="仿宋" w:eastAsia="仿宋" w:cs="仿宋"/>
              <w:color w:val="000000" w:themeColor="text1"/>
              <w:sz w:val="24"/>
              <w:szCs w:val="24"/>
              <w:highlight w:val="none"/>
              <w14:textFill>
                <w14:solidFill>
                  <w14:schemeClr w14:val="tx1"/>
                </w14:solidFill>
              </w14:textFill>
            </w:rPr>
            <w:fldChar w:fldCharType="begin"/>
          </w:r>
          <w:r>
            <w:rPr>
              <w:rFonts w:hint="eastAsia" w:ascii="仿宋" w:hAnsi="仿宋" w:eastAsia="仿宋" w:cs="仿宋"/>
              <w:sz w:val="24"/>
              <w:szCs w:val="24"/>
              <w:highlight w:val="none"/>
            </w:rPr>
            <w:instrText xml:space="preserve"> HYPERLINK \l _Toc12451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第一章  招标公告</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_Toc12451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1</w:t>
          </w:r>
          <w:r>
            <w:rPr>
              <w:rFonts w:hint="eastAsia" w:ascii="仿宋" w:hAnsi="仿宋" w:eastAsia="仿宋" w:cs="仿宋"/>
              <w:sz w:val="24"/>
              <w:szCs w:val="24"/>
              <w:highlight w:val="none"/>
            </w:rPr>
            <w:fldChar w:fldCharType="end"/>
          </w:r>
          <w:r>
            <w:rPr>
              <w:rFonts w:hint="eastAsia" w:ascii="仿宋" w:hAnsi="仿宋" w:eastAsia="仿宋" w:cs="仿宋"/>
              <w:color w:val="000000" w:themeColor="text1"/>
              <w:sz w:val="24"/>
              <w:szCs w:val="24"/>
              <w:highlight w:val="none"/>
              <w14:textFill>
                <w14:solidFill>
                  <w14:schemeClr w14:val="tx1"/>
                </w14:solidFill>
              </w14:textFill>
            </w:rPr>
            <w:fldChar w:fldCharType="end"/>
          </w:r>
        </w:p>
        <w:p w14:paraId="109CD004">
          <w:pPr>
            <w:pStyle w:val="34"/>
            <w:keepNext w:val="0"/>
            <w:keepLines w:val="0"/>
            <w:pageBreakBefore w:val="0"/>
            <w:widowControl w:val="0"/>
            <w:tabs>
              <w:tab w:val="right" w:leader="dot" w:pos="9746"/>
              <w:tab w:val="clear" w:pos="8834"/>
            </w:tabs>
            <w:kinsoku/>
            <w:wordWrap/>
            <w:overflowPunct/>
            <w:topLinePunct w:val="0"/>
            <w:autoSpaceDE/>
            <w:autoSpaceDN/>
            <w:bidi w:val="0"/>
            <w:adjustRightInd/>
            <w:snapToGrid/>
            <w:spacing w:before="0" w:after="0" w:line="360" w:lineRule="auto"/>
            <w:textAlignment w:val="auto"/>
            <w:rPr>
              <w:rFonts w:hint="eastAsia" w:ascii="仿宋" w:hAnsi="仿宋" w:eastAsia="仿宋" w:cs="仿宋"/>
              <w:sz w:val="24"/>
              <w:szCs w:val="24"/>
              <w:highlight w:val="none"/>
            </w:rPr>
          </w:pPr>
          <w:r>
            <w:rPr>
              <w:rFonts w:hint="eastAsia" w:ascii="仿宋" w:hAnsi="仿宋" w:eastAsia="仿宋" w:cs="仿宋"/>
              <w:color w:val="000000" w:themeColor="text1"/>
              <w:sz w:val="24"/>
              <w:szCs w:val="24"/>
              <w:highlight w:val="none"/>
              <w14:textFill>
                <w14:solidFill>
                  <w14:schemeClr w14:val="tx1"/>
                </w14:solidFill>
              </w14:textFill>
            </w:rPr>
            <w:fldChar w:fldCharType="begin"/>
          </w:r>
          <w:r>
            <w:rPr>
              <w:rFonts w:hint="eastAsia" w:ascii="仿宋" w:hAnsi="仿宋" w:eastAsia="仿宋" w:cs="仿宋"/>
              <w:sz w:val="24"/>
              <w:szCs w:val="24"/>
              <w:highlight w:val="none"/>
            </w:rPr>
            <w:instrText xml:space="preserve"> HYPERLINK \l _Toc20341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第二章  投标须知</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_Toc20341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5</w:t>
          </w:r>
          <w:r>
            <w:rPr>
              <w:rFonts w:hint="eastAsia" w:ascii="仿宋" w:hAnsi="仿宋" w:eastAsia="仿宋" w:cs="仿宋"/>
              <w:sz w:val="24"/>
              <w:szCs w:val="24"/>
              <w:highlight w:val="none"/>
            </w:rPr>
            <w:fldChar w:fldCharType="end"/>
          </w:r>
          <w:r>
            <w:rPr>
              <w:rFonts w:hint="eastAsia" w:ascii="仿宋" w:hAnsi="仿宋" w:eastAsia="仿宋" w:cs="仿宋"/>
              <w:color w:val="000000" w:themeColor="text1"/>
              <w:sz w:val="24"/>
              <w:szCs w:val="24"/>
              <w:highlight w:val="none"/>
              <w14:textFill>
                <w14:solidFill>
                  <w14:schemeClr w14:val="tx1"/>
                </w14:solidFill>
              </w14:textFill>
            </w:rPr>
            <w:fldChar w:fldCharType="end"/>
          </w:r>
        </w:p>
        <w:p w14:paraId="51B2B0FF">
          <w:pPr>
            <w:pStyle w:val="42"/>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r>
            <w:rPr>
              <w:rFonts w:hint="eastAsia" w:ascii="仿宋" w:hAnsi="仿宋" w:eastAsia="仿宋" w:cs="仿宋"/>
              <w:color w:val="000000" w:themeColor="text1"/>
              <w:sz w:val="24"/>
              <w:szCs w:val="24"/>
              <w:highlight w:val="none"/>
              <w14:textFill>
                <w14:solidFill>
                  <w14:schemeClr w14:val="tx1"/>
                </w14:solidFill>
              </w14:textFill>
            </w:rPr>
            <w:fldChar w:fldCharType="begin"/>
          </w:r>
          <w:r>
            <w:rPr>
              <w:rFonts w:hint="eastAsia" w:ascii="仿宋" w:hAnsi="仿宋" w:eastAsia="仿宋" w:cs="仿宋"/>
              <w:sz w:val="24"/>
              <w:szCs w:val="24"/>
              <w:highlight w:val="none"/>
            </w:rPr>
            <w:instrText xml:space="preserve"> HYPERLINK \l _Toc17106 </w:instrText>
          </w:r>
          <w:r>
            <w:rPr>
              <w:rFonts w:hint="eastAsia" w:ascii="仿宋" w:hAnsi="仿宋" w:eastAsia="仿宋" w:cs="仿宋"/>
              <w:sz w:val="24"/>
              <w:szCs w:val="24"/>
              <w:highlight w:val="none"/>
            </w:rPr>
            <w:fldChar w:fldCharType="separate"/>
          </w:r>
          <w:r>
            <w:rPr>
              <w:rFonts w:hint="eastAsia" w:ascii="仿宋" w:hAnsi="仿宋" w:eastAsia="仿宋" w:cs="仿宋"/>
              <w:bCs/>
              <w:kern w:val="2"/>
              <w:sz w:val="24"/>
              <w:szCs w:val="24"/>
              <w:highlight w:val="none"/>
            </w:rPr>
            <w:t>一、说明</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_Toc17106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14</w:t>
          </w:r>
          <w:r>
            <w:rPr>
              <w:rFonts w:hint="eastAsia" w:ascii="仿宋" w:hAnsi="仿宋" w:eastAsia="仿宋" w:cs="仿宋"/>
              <w:sz w:val="24"/>
              <w:szCs w:val="24"/>
              <w:highlight w:val="none"/>
            </w:rPr>
            <w:fldChar w:fldCharType="end"/>
          </w:r>
          <w:r>
            <w:rPr>
              <w:rFonts w:hint="eastAsia" w:ascii="仿宋" w:hAnsi="仿宋" w:eastAsia="仿宋" w:cs="仿宋"/>
              <w:color w:val="000000" w:themeColor="text1"/>
              <w:sz w:val="24"/>
              <w:szCs w:val="24"/>
              <w:highlight w:val="none"/>
              <w14:textFill>
                <w14:solidFill>
                  <w14:schemeClr w14:val="tx1"/>
                </w14:solidFill>
              </w14:textFill>
            </w:rPr>
            <w:fldChar w:fldCharType="end"/>
          </w:r>
        </w:p>
        <w:p w14:paraId="12862B9A">
          <w:pPr>
            <w:pStyle w:val="42"/>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r>
            <w:rPr>
              <w:rFonts w:hint="eastAsia" w:ascii="仿宋" w:hAnsi="仿宋" w:eastAsia="仿宋" w:cs="仿宋"/>
              <w:color w:val="000000" w:themeColor="text1"/>
              <w:sz w:val="24"/>
              <w:szCs w:val="24"/>
              <w:highlight w:val="none"/>
              <w14:textFill>
                <w14:solidFill>
                  <w14:schemeClr w14:val="tx1"/>
                </w14:solidFill>
              </w14:textFill>
            </w:rPr>
            <w:fldChar w:fldCharType="begin"/>
          </w:r>
          <w:r>
            <w:rPr>
              <w:rFonts w:hint="eastAsia" w:ascii="仿宋" w:hAnsi="仿宋" w:eastAsia="仿宋" w:cs="仿宋"/>
              <w:sz w:val="24"/>
              <w:szCs w:val="24"/>
              <w:highlight w:val="none"/>
            </w:rPr>
            <w:instrText xml:space="preserve"> HYPERLINK \l _Toc2675 </w:instrText>
          </w:r>
          <w:r>
            <w:rPr>
              <w:rFonts w:hint="eastAsia" w:ascii="仿宋" w:hAnsi="仿宋" w:eastAsia="仿宋" w:cs="仿宋"/>
              <w:sz w:val="24"/>
              <w:szCs w:val="24"/>
              <w:highlight w:val="none"/>
            </w:rPr>
            <w:fldChar w:fldCharType="separate"/>
          </w:r>
          <w:r>
            <w:rPr>
              <w:rFonts w:hint="eastAsia" w:ascii="仿宋" w:hAnsi="仿宋" w:eastAsia="仿宋" w:cs="仿宋"/>
              <w:bCs/>
              <w:kern w:val="2"/>
              <w:sz w:val="24"/>
              <w:szCs w:val="24"/>
              <w:highlight w:val="none"/>
            </w:rPr>
            <w:t>二、招标文件</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_Toc2675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15</w:t>
          </w:r>
          <w:r>
            <w:rPr>
              <w:rFonts w:hint="eastAsia" w:ascii="仿宋" w:hAnsi="仿宋" w:eastAsia="仿宋" w:cs="仿宋"/>
              <w:sz w:val="24"/>
              <w:szCs w:val="24"/>
              <w:highlight w:val="none"/>
            </w:rPr>
            <w:fldChar w:fldCharType="end"/>
          </w:r>
          <w:r>
            <w:rPr>
              <w:rFonts w:hint="eastAsia" w:ascii="仿宋" w:hAnsi="仿宋" w:eastAsia="仿宋" w:cs="仿宋"/>
              <w:color w:val="000000" w:themeColor="text1"/>
              <w:sz w:val="24"/>
              <w:szCs w:val="24"/>
              <w:highlight w:val="none"/>
              <w14:textFill>
                <w14:solidFill>
                  <w14:schemeClr w14:val="tx1"/>
                </w14:solidFill>
              </w14:textFill>
            </w:rPr>
            <w:fldChar w:fldCharType="end"/>
          </w:r>
        </w:p>
        <w:p w14:paraId="64F2DEE0">
          <w:pPr>
            <w:pStyle w:val="42"/>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r>
            <w:rPr>
              <w:rFonts w:hint="eastAsia" w:ascii="仿宋" w:hAnsi="仿宋" w:eastAsia="仿宋" w:cs="仿宋"/>
              <w:color w:val="000000" w:themeColor="text1"/>
              <w:sz w:val="24"/>
              <w:szCs w:val="24"/>
              <w:highlight w:val="none"/>
              <w14:textFill>
                <w14:solidFill>
                  <w14:schemeClr w14:val="tx1"/>
                </w14:solidFill>
              </w14:textFill>
            </w:rPr>
            <w:fldChar w:fldCharType="begin"/>
          </w:r>
          <w:r>
            <w:rPr>
              <w:rFonts w:hint="eastAsia" w:ascii="仿宋" w:hAnsi="仿宋" w:eastAsia="仿宋" w:cs="仿宋"/>
              <w:sz w:val="24"/>
              <w:szCs w:val="24"/>
              <w:highlight w:val="none"/>
            </w:rPr>
            <w:instrText xml:space="preserve"> HYPERLINK \l _Toc23254 </w:instrText>
          </w:r>
          <w:r>
            <w:rPr>
              <w:rFonts w:hint="eastAsia" w:ascii="仿宋" w:hAnsi="仿宋" w:eastAsia="仿宋" w:cs="仿宋"/>
              <w:sz w:val="24"/>
              <w:szCs w:val="24"/>
              <w:highlight w:val="none"/>
            </w:rPr>
            <w:fldChar w:fldCharType="separate"/>
          </w:r>
          <w:r>
            <w:rPr>
              <w:rFonts w:hint="eastAsia" w:ascii="仿宋" w:hAnsi="仿宋" w:eastAsia="仿宋" w:cs="仿宋"/>
              <w:bCs/>
              <w:kern w:val="2"/>
              <w:sz w:val="24"/>
              <w:szCs w:val="24"/>
              <w:highlight w:val="none"/>
            </w:rPr>
            <w:t>三、投标文件的编制</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_Toc23254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17</w:t>
          </w:r>
          <w:r>
            <w:rPr>
              <w:rFonts w:hint="eastAsia" w:ascii="仿宋" w:hAnsi="仿宋" w:eastAsia="仿宋" w:cs="仿宋"/>
              <w:sz w:val="24"/>
              <w:szCs w:val="24"/>
              <w:highlight w:val="none"/>
            </w:rPr>
            <w:fldChar w:fldCharType="end"/>
          </w:r>
          <w:r>
            <w:rPr>
              <w:rFonts w:hint="eastAsia" w:ascii="仿宋" w:hAnsi="仿宋" w:eastAsia="仿宋" w:cs="仿宋"/>
              <w:color w:val="000000" w:themeColor="text1"/>
              <w:sz w:val="24"/>
              <w:szCs w:val="24"/>
              <w:highlight w:val="none"/>
              <w14:textFill>
                <w14:solidFill>
                  <w14:schemeClr w14:val="tx1"/>
                </w14:solidFill>
              </w14:textFill>
            </w:rPr>
            <w:fldChar w:fldCharType="end"/>
          </w:r>
        </w:p>
        <w:p w14:paraId="14850FCC">
          <w:pPr>
            <w:pStyle w:val="42"/>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r>
            <w:rPr>
              <w:rFonts w:hint="eastAsia" w:ascii="仿宋" w:hAnsi="仿宋" w:eastAsia="仿宋" w:cs="仿宋"/>
              <w:color w:val="000000" w:themeColor="text1"/>
              <w:sz w:val="24"/>
              <w:szCs w:val="24"/>
              <w:highlight w:val="none"/>
              <w14:textFill>
                <w14:solidFill>
                  <w14:schemeClr w14:val="tx1"/>
                </w14:solidFill>
              </w14:textFill>
            </w:rPr>
            <w:fldChar w:fldCharType="begin"/>
          </w:r>
          <w:r>
            <w:rPr>
              <w:rFonts w:hint="eastAsia" w:ascii="仿宋" w:hAnsi="仿宋" w:eastAsia="仿宋" w:cs="仿宋"/>
              <w:sz w:val="24"/>
              <w:szCs w:val="24"/>
              <w:highlight w:val="none"/>
            </w:rPr>
            <w:instrText xml:space="preserve"> HYPERLINK \l _Toc3721 </w:instrText>
          </w:r>
          <w:r>
            <w:rPr>
              <w:rFonts w:hint="eastAsia" w:ascii="仿宋" w:hAnsi="仿宋" w:eastAsia="仿宋" w:cs="仿宋"/>
              <w:sz w:val="24"/>
              <w:szCs w:val="24"/>
              <w:highlight w:val="none"/>
            </w:rPr>
            <w:fldChar w:fldCharType="separate"/>
          </w:r>
          <w:r>
            <w:rPr>
              <w:rFonts w:hint="eastAsia" w:ascii="仿宋" w:hAnsi="仿宋" w:eastAsia="仿宋" w:cs="仿宋"/>
              <w:bCs/>
              <w:kern w:val="2"/>
              <w:sz w:val="24"/>
              <w:szCs w:val="24"/>
              <w:highlight w:val="none"/>
            </w:rPr>
            <w:t>四、投标文件的提交</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_Toc3721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26</w:t>
          </w:r>
          <w:r>
            <w:rPr>
              <w:rFonts w:hint="eastAsia" w:ascii="仿宋" w:hAnsi="仿宋" w:eastAsia="仿宋" w:cs="仿宋"/>
              <w:sz w:val="24"/>
              <w:szCs w:val="24"/>
              <w:highlight w:val="none"/>
            </w:rPr>
            <w:fldChar w:fldCharType="end"/>
          </w:r>
          <w:r>
            <w:rPr>
              <w:rFonts w:hint="eastAsia" w:ascii="仿宋" w:hAnsi="仿宋" w:eastAsia="仿宋" w:cs="仿宋"/>
              <w:color w:val="000000" w:themeColor="text1"/>
              <w:sz w:val="24"/>
              <w:szCs w:val="24"/>
              <w:highlight w:val="none"/>
              <w14:textFill>
                <w14:solidFill>
                  <w14:schemeClr w14:val="tx1"/>
                </w14:solidFill>
              </w14:textFill>
            </w:rPr>
            <w:fldChar w:fldCharType="end"/>
          </w:r>
        </w:p>
        <w:p w14:paraId="36CA9C79">
          <w:pPr>
            <w:pStyle w:val="42"/>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r>
            <w:rPr>
              <w:rFonts w:hint="eastAsia" w:ascii="仿宋" w:hAnsi="仿宋" w:eastAsia="仿宋" w:cs="仿宋"/>
              <w:color w:val="000000" w:themeColor="text1"/>
              <w:sz w:val="24"/>
              <w:szCs w:val="24"/>
              <w:highlight w:val="none"/>
              <w14:textFill>
                <w14:solidFill>
                  <w14:schemeClr w14:val="tx1"/>
                </w14:solidFill>
              </w14:textFill>
            </w:rPr>
            <w:fldChar w:fldCharType="begin"/>
          </w:r>
          <w:r>
            <w:rPr>
              <w:rFonts w:hint="eastAsia" w:ascii="仿宋" w:hAnsi="仿宋" w:eastAsia="仿宋" w:cs="仿宋"/>
              <w:sz w:val="24"/>
              <w:szCs w:val="24"/>
              <w:highlight w:val="none"/>
            </w:rPr>
            <w:instrText xml:space="preserve"> HYPERLINK \l _Toc29901 </w:instrText>
          </w:r>
          <w:r>
            <w:rPr>
              <w:rFonts w:hint="eastAsia" w:ascii="仿宋" w:hAnsi="仿宋" w:eastAsia="仿宋" w:cs="仿宋"/>
              <w:sz w:val="24"/>
              <w:szCs w:val="24"/>
              <w:highlight w:val="none"/>
            </w:rPr>
            <w:fldChar w:fldCharType="separate"/>
          </w:r>
          <w:r>
            <w:rPr>
              <w:rFonts w:hint="eastAsia" w:ascii="仿宋" w:hAnsi="仿宋" w:eastAsia="仿宋" w:cs="仿宋"/>
              <w:bCs/>
              <w:kern w:val="2"/>
              <w:sz w:val="24"/>
              <w:szCs w:val="24"/>
              <w:highlight w:val="none"/>
            </w:rPr>
            <w:t>五、开标与评审</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_Toc29901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28</w:t>
          </w:r>
          <w:r>
            <w:rPr>
              <w:rFonts w:hint="eastAsia" w:ascii="仿宋" w:hAnsi="仿宋" w:eastAsia="仿宋" w:cs="仿宋"/>
              <w:sz w:val="24"/>
              <w:szCs w:val="24"/>
              <w:highlight w:val="none"/>
            </w:rPr>
            <w:fldChar w:fldCharType="end"/>
          </w:r>
          <w:r>
            <w:rPr>
              <w:rFonts w:hint="eastAsia" w:ascii="仿宋" w:hAnsi="仿宋" w:eastAsia="仿宋" w:cs="仿宋"/>
              <w:color w:val="000000" w:themeColor="text1"/>
              <w:sz w:val="24"/>
              <w:szCs w:val="24"/>
              <w:highlight w:val="none"/>
              <w14:textFill>
                <w14:solidFill>
                  <w14:schemeClr w14:val="tx1"/>
                </w14:solidFill>
              </w14:textFill>
            </w:rPr>
            <w:fldChar w:fldCharType="end"/>
          </w:r>
        </w:p>
        <w:p w14:paraId="4C4AA77D">
          <w:pPr>
            <w:pStyle w:val="42"/>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r>
            <w:rPr>
              <w:rFonts w:hint="eastAsia" w:ascii="仿宋" w:hAnsi="仿宋" w:eastAsia="仿宋" w:cs="仿宋"/>
              <w:color w:val="000000" w:themeColor="text1"/>
              <w:sz w:val="24"/>
              <w:szCs w:val="24"/>
              <w:highlight w:val="none"/>
              <w14:textFill>
                <w14:solidFill>
                  <w14:schemeClr w14:val="tx1"/>
                </w14:solidFill>
              </w14:textFill>
            </w:rPr>
            <w:fldChar w:fldCharType="begin"/>
          </w:r>
          <w:r>
            <w:rPr>
              <w:rFonts w:hint="eastAsia" w:ascii="仿宋" w:hAnsi="仿宋" w:eastAsia="仿宋" w:cs="仿宋"/>
              <w:sz w:val="24"/>
              <w:szCs w:val="24"/>
              <w:highlight w:val="none"/>
            </w:rPr>
            <w:instrText xml:space="preserve"> HYPERLINK \l _Toc11797 </w:instrText>
          </w:r>
          <w:r>
            <w:rPr>
              <w:rFonts w:hint="eastAsia" w:ascii="仿宋" w:hAnsi="仿宋" w:eastAsia="仿宋" w:cs="仿宋"/>
              <w:sz w:val="24"/>
              <w:szCs w:val="24"/>
              <w:highlight w:val="none"/>
            </w:rPr>
            <w:fldChar w:fldCharType="separate"/>
          </w:r>
          <w:r>
            <w:rPr>
              <w:rFonts w:hint="eastAsia" w:ascii="仿宋" w:hAnsi="仿宋" w:eastAsia="仿宋" w:cs="仿宋"/>
              <w:bCs/>
              <w:kern w:val="2"/>
              <w:sz w:val="24"/>
              <w:szCs w:val="24"/>
              <w:highlight w:val="none"/>
            </w:rPr>
            <w:t>六、定标</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_Toc11797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39</w:t>
          </w:r>
          <w:r>
            <w:rPr>
              <w:rFonts w:hint="eastAsia" w:ascii="仿宋" w:hAnsi="仿宋" w:eastAsia="仿宋" w:cs="仿宋"/>
              <w:sz w:val="24"/>
              <w:szCs w:val="24"/>
              <w:highlight w:val="none"/>
            </w:rPr>
            <w:fldChar w:fldCharType="end"/>
          </w:r>
          <w:r>
            <w:rPr>
              <w:rFonts w:hint="eastAsia" w:ascii="仿宋" w:hAnsi="仿宋" w:eastAsia="仿宋" w:cs="仿宋"/>
              <w:color w:val="000000" w:themeColor="text1"/>
              <w:sz w:val="24"/>
              <w:szCs w:val="24"/>
              <w:highlight w:val="none"/>
              <w14:textFill>
                <w14:solidFill>
                  <w14:schemeClr w14:val="tx1"/>
                </w14:solidFill>
              </w14:textFill>
            </w:rPr>
            <w:fldChar w:fldCharType="end"/>
          </w:r>
        </w:p>
        <w:p w14:paraId="25B20F95">
          <w:pPr>
            <w:pStyle w:val="42"/>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r>
            <w:rPr>
              <w:rFonts w:hint="eastAsia" w:ascii="仿宋" w:hAnsi="仿宋" w:eastAsia="仿宋" w:cs="仿宋"/>
              <w:color w:val="000000" w:themeColor="text1"/>
              <w:sz w:val="24"/>
              <w:szCs w:val="24"/>
              <w:highlight w:val="none"/>
              <w14:textFill>
                <w14:solidFill>
                  <w14:schemeClr w14:val="tx1"/>
                </w14:solidFill>
              </w14:textFill>
            </w:rPr>
            <w:fldChar w:fldCharType="begin"/>
          </w:r>
          <w:r>
            <w:rPr>
              <w:rFonts w:hint="eastAsia" w:ascii="仿宋" w:hAnsi="仿宋" w:eastAsia="仿宋" w:cs="仿宋"/>
              <w:sz w:val="24"/>
              <w:szCs w:val="24"/>
              <w:highlight w:val="none"/>
            </w:rPr>
            <w:instrText xml:space="preserve"> HYPERLINK \l _Toc11630 </w:instrText>
          </w:r>
          <w:r>
            <w:rPr>
              <w:rFonts w:hint="eastAsia" w:ascii="仿宋" w:hAnsi="仿宋" w:eastAsia="仿宋" w:cs="仿宋"/>
              <w:sz w:val="24"/>
              <w:szCs w:val="24"/>
              <w:highlight w:val="none"/>
            </w:rPr>
            <w:fldChar w:fldCharType="separate"/>
          </w:r>
          <w:r>
            <w:rPr>
              <w:rFonts w:hint="eastAsia" w:ascii="仿宋" w:hAnsi="仿宋" w:eastAsia="仿宋" w:cs="仿宋"/>
              <w:bCs/>
              <w:kern w:val="2"/>
              <w:sz w:val="24"/>
              <w:szCs w:val="24"/>
              <w:highlight w:val="none"/>
            </w:rPr>
            <w:t>七、结果公示</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_Toc11630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40</w:t>
          </w:r>
          <w:r>
            <w:rPr>
              <w:rFonts w:hint="eastAsia" w:ascii="仿宋" w:hAnsi="仿宋" w:eastAsia="仿宋" w:cs="仿宋"/>
              <w:sz w:val="24"/>
              <w:szCs w:val="24"/>
              <w:highlight w:val="none"/>
            </w:rPr>
            <w:fldChar w:fldCharType="end"/>
          </w:r>
          <w:r>
            <w:rPr>
              <w:rFonts w:hint="eastAsia" w:ascii="仿宋" w:hAnsi="仿宋" w:eastAsia="仿宋" w:cs="仿宋"/>
              <w:color w:val="000000" w:themeColor="text1"/>
              <w:sz w:val="24"/>
              <w:szCs w:val="24"/>
              <w:highlight w:val="none"/>
              <w14:textFill>
                <w14:solidFill>
                  <w14:schemeClr w14:val="tx1"/>
                </w14:solidFill>
              </w14:textFill>
            </w:rPr>
            <w:fldChar w:fldCharType="end"/>
          </w:r>
        </w:p>
        <w:p w14:paraId="7AFB89A8">
          <w:pPr>
            <w:pStyle w:val="42"/>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r>
            <w:rPr>
              <w:rFonts w:hint="eastAsia" w:ascii="仿宋" w:hAnsi="仿宋" w:eastAsia="仿宋" w:cs="仿宋"/>
              <w:color w:val="000000" w:themeColor="text1"/>
              <w:sz w:val="24"/>
              <w:szCs w:val="24"/>
              <w:highlight w:val="none"/>
              <w14:textFill>
                <w14:solidFill>
                  <w14:schemeClr w14:val="tx1"/>
                </w14:solidFill>
              </w14:textFill>
            </w:rPr>
            <w:fldChar w:fldCharType="begin"/>
          </w:r>
          <w:r>
            <w:rPr>
              <w:rFonts w:hint="eastAsia" w:ascii="仿宋" w:hAnsi="仿宋" w:eastAsia="仿宋" w:cs="仿宋"/>
              <w:sz w:val="24"/>
              <w:szCs w:val="24"/>
              <w:highlight w:val="none"/>
            </w:rPr>
            <w:instrText xml:space="preserve"> HYPERLINK \l _Toc8065 </w:instrText>
          </w:r>
          <w:r>
            <w:rPr>
              <w:rFonts w:hint="eastAsia" w:ascii="仿宋" w:hAnsi="仿宋" w:eastAsia="仿宋" w:cs="仿宋"/>
              <w:sz w:val="24"/>
              <w:szCs w:val="24"/>
              <w:highlight w:val="none"/>
            </w:rPr>
            <w:fldChar w:fldCharType="separate"/>
          </w:r>
          <w:r>
            <w:rPr>
              <w:rFonts w:hint="eastAsia" w:ascii="仿宋" w:hAnsi="仿宋" w:eastAsia="仿宋" w:cs="仿宋"/>
              <w:bCs/>
              <w:kern w:val="2"/>
              <w:sz w:val="24"/>
              <w:szCs w:val="24"/>
              <w:highlight w:val="none"/>
            </w:rPr>
            <w:t>八、质疑</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_Toc8065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40</w:t>
          </w:r>
          <w:r>
            <w:rPr>
              <w:rFonts w:hint="eastAsia" w:ascii="仿宋" w:hAnsi="仿宋" w:eastAsia="仿宋" w:cs="仿宋"/>
              <w:sz w:val="24"/>
              <w:szCs w:val="24"/>
              <w:highlight w:val="none"/>
            </w:rPr>
            <w:fldChar w:fldCharType="end"/>
          </w:r>
          <w:r>
            <w:rPr>
              <w:rFonts w:hint="eastAsia" w:ascii="仿宋" w:hAnsi="仿宋" w:eastAsia="仿宋" w:cs="仿宋"/>
              <w:color w:val="000000" w:themeColor="text1"/>
              <w:sz w:val="24"/>
              <w:szCs w:val="24"/>
              <w:highlight w:val="none"/>
              <w14:textFill>
                <w14:solidFill>
                  <w14:schemeClr w14:val="tx1"/>
                </w14:solidFill>
              </w14:textFill>
            </w:rPr>
            <w:fldChar w:fldCharType="end"/>
          </w:r>
        </w:p>
        <w:p w14:paraId="5E4939CE">
          <w:pPr>
            <w:pStyle w:val="42"/>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r>
            <w:rPr>
              <w:rFonts w:hint="eastAsia" w:ascii="仿宋" w:hAnsi="仿宋" w:eastAsia="仿宋" w:cs="仿宋"/>
              <w:color w:val="000000" w:themeColor="text1"/>
              <w:sz w:val="24"/>
              <w:szCs w:val="24"/>
              <w:highlight w:val="none"/>
              <w14:textFill>
                <w14:solidFill>
                  <w14:schemeClr w14:val="tx1"/>
                </w14:solidFill>
              </w14:textFill>
            </w:rPr>
            <w:fldChar w:fldCharType="begin"/>
          </w:r>
          <w:r>
            <w:rPr>
              <w:rFonts w:hint="eastAsia" w:ascii="仿宋" w:hAnsi="仿宋" w:eastAsia="仿宋" w:cs="仿宋"/>
              <w:sz w:val="24"/>
              <w:szCs w:val="24"/>
              <w:highlight w:val="none"/>
            </w:rPr>
            <w:instrText xml:space="preserve"> HYPERLINK \l _Toc25567 </w:instrText>
          </w:r>
          <w:r>
            <w:rPr>
              <w:rFonts w:hint="eastAsia" w:ascii="仿宋" w:hAnsi="仿宋" w:eastAsia="仿宋" w:cs="仿宋"/>
              <w:sz w:val="24"/>
              <w:szCs w:val="24"/>
              <w:highlight w:val="none"/>
            </w:rPr>
            <w:fldChar w:fldCharType="separate"/>
          </w:r>
          <w:r>
            <w:rPr>
              <w:rFonts w:hint="eastAsia" w:ascii="仿宋" w:hAnsi="仿宋" w:eastAsia="仿宋" w:cs="仿宋"/>
              <w:bCs/>
              <w:kern w:val="2"/>
              <w:sz w:val="24"/>
              <w:szCs w:val="24"/>
              <w:highlight w:val="none"/>
            </w:rPr>
            <w:t>九、签订合同</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_Toc25567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42</w:t>
          </w:r>
          <w:r>
            <w:rPr>
              <w:rFonts w:hint="eastAsia" w:ascii="仿宋" w:hAnsi="仿宋" w:eastAsia="仿宋" w:cs="仿宋"/>
              <w:sz w:val="24"/>
              <w:szCs w:val="24"/>
              <w:highlight w:val="none"/>
            </w:rPr>
            <w:fldChar w:fldCharType="end"/>
          </w:r>
          <w:r>
            <w:rPr>
              <w:rFonts w:hint="eastAsia" w:ascii="仿宋" w:hAnsi="仿宋" w:eastAsia="仿宋" w:cs="仿宋"/>
              <w:color w:val="000000" w:themeColor="text1"/>
              <w:sz w:val="24"/>
              <w:szCs w:val="24"/>
              <w:highlight w:val="none"/>
              <w14:textFill>
                <w14:solidFill>
                  <w14:schemeClr w14:val="tx1"/>
                </w14:solidFill>
              </w14:textFill>
            </w:rPr>
            <w:fldChar w:fldCharType="end"/>
          </w:r>
        </w:p>
        <w:p w14:paraId="6AD6F894">
          <w:pPr>
            <w:pStyle w:val="34"/>
            <w:keepNext w:val="0"/>
            <w:keepLines w:val="0"/>
            <w:pageBreakBefore w:val="0"/>
            <w:widowControl w:val="0"/>
            <w:tabs>
              <w:tab w:val="right" w:leader="dot" w:pos="9746"/>
              <w:tab w:val="clear" w:pos="8834"/>
            </w:tabs>
            <w:kinsoku/>
            <w:wordWrap/>
            <w:overflowPunct/>
            <w:topLinePunct w:val="0"/>
            <w:autoSpaceDE/>
            <w:autoSpaceDN/>
            <w:bidi w:val="0"/>
            <w:adjustRightInd/>
            <w:snapToGrid/>
            <w:spacing w:before="0" w:after="0" w:line="360" w:lineRule="auto"/>
            <w:textAlignment w:val="auto"/>
            <w:rPr>
              <w:rFonts w:hint="eastAsia" w:ascii="仿宋" w:hAnsi="仿宋" w:eastAsia="仿宋" w:cs="仿宋"/>
              <w:sz w:val="24"/>
              <w:szCs w:val="24"/>
              <w:highlight w:val="none"/>
            </w:rPr>
          </w:pPr>
          <w:r>
            <w:rPr>
              <w:rFonts w:hint="eastAsia" w:ascii="仿宋" w:hAnsi="仿宋" w:eastAsia="仿宋" w:cs="仿宋"/>
              <w:color w:val="000000" w:themeColor="text1"/>
              <w:sz w:val="24"/>
              <w:szCs w:val="24"/>
              <w:highlight w:val="none"/>
              <w14:textFill>
                <w14:solidFill>
                  <w14:schemeClr w14:val="tx1"/>
                </w14:solidFill>
              </w14:textFill>
            </w:rPr>
            <w:fldChar w:fldCharType="begin"/>
          </w:r>
          <w:r>
            <w:rPr>
              <w:rFonts w:hint="eastAsia" w:ascii="仿宋" w:hAnsi="仿宋" w:eastAsia="仿宋" w:cs="仿宋"/>
              <w:sz w:val="24"/>
              <w:szCs w:val="24"/>
              <w:highlight w:val="none"/>
            </w:rPr>
            <w:instrText xml:space="preserve"> HYPERLINK \l _Toc17971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第三章  开标、评标、定标</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_Toc17971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43</w:t>
          </w:r>
          <w:r>
            <w:rPr>
              <w:rFonts w:hint="eastAsia" w:ascii="仿宋" w:hAnsi="仿宋" w:eastAsia="仿宋" w:cs="仿宋"/>
              <w:sz w:val="24"/>
              <w:szCs w:val="24"/>
              <w:highlight w:val="none"/>
            </w:rPr>
            <w:fldChar w:fldCharType="end"/>
          </w:r>
          <w:r>
            <w:rPr>
              <w:rFonts w:hint="eastAsia" w:ascii="仿宋" w:hAnsi="仿宋" w:eastAsia="仿宋" w:cs="仿宋"/>
              <w:color w:val="000000" w:themeColor="text1"/>
              <w:sz w:val="24"/>
              <w:szCs w:val="24"/>
              <w:highlight w:val="none"/>
              <w14:textFill>
                <w14:solidFill>
                  <w14:schemeClr w14:val="tx1"/>
                </w14:solidFill>
              </w14:textFill>
            </w:rPr>
            <w:fldChar w:fldCharType="end"/>
          </w:r>
        </w:p>
        <w:p w14:paraId="5E30292E">
          <w:pPr>
            <w:pStyle w:val="42"/>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r>
            <w:rPr>
              <w:rFonts w:hint="eastAsia" w:ascii="仿宋" w:hAnsi="仿宋" w:eastAsia="仿宋" w:cs="仿宋"/>
              <w:color w:val="000000" w:themeColor="text1"/>
              <w:sz w:val="24"/>
              <w:szCs w:val="24"/>
              <w:highlight w:val="none"/>
              <w14:textFill>
                <w14:solidFill>
                  <w14:schemeClr w14:val="tx1"/>
                </w14:solidFill>
              </w14:textFill>
            </w:rPr>
            <w:fldChar w:fldCharType="begin"/>
          </w:r>
          <w:r>
            <w:rPr>
              <w:rFonts w:hint="eastAsia" w:ascii="仿宋" w:hAnsi="仿宋" w:eastAsia="仿宋" w:cs="仿宋"/>
              <w:sz w:val="24"/>
              <w:szCs w:val="24"/>
              <w:highlight w:val="none"/>
            </w:rPr>
            <w:instrText xml:space="preserve"> HYPERLINK \l _Toc21341 </w:instrText>
          </w:r>
          <w:r>
            <w:rPr>
              <w:rFonts w:hint="eastAsia" w:ascii="仿宋" w:hAnsi="仿宋" w:eastAsia="仿宋" w:cs="仿宋"/>
              <w:sz w:val="24"/>
              <w:szCs w:val="24"/>
              <w:highlight w:val="none"/>
            </w:rPr>
            <w:fldChar w:fldCharType="separate"/>
          </w:r>
          <w:r>
            <w:rPr>
              <w:rFonts w:hint="eastAsia" w:ascii="仿宋" w:hAnsi="仿宋" w:eastAsia="仿宋" w:cs="仿宋"/>
              <w:bCs/>
              <w:kern w:val="2"/>
              <w:sz w:val="24"/>
              <w:szCs w:val="24"/>
              <w:highlight w:val="none"/>
            </w:rPr>
            <w:t>一、开标</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_Toc21341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43</w:t>
          </w:r>
          <w:r>
            <w:rPr>
              <w:rFonts w:hint="eastAsia" w:ascii="仿宋" w:hAnsi="仿宋" w:eastAsia="仿宋" w:cs="仿宋"/>
              <w:sz w:val="24"/>
              <w:szCs w:val="24"/>
              <w:highlight w:val="none"/>
            </w:rPr>
            <w:fldChar w:fldCharType="end"/>
          </w:r>
          <w:r>
            <w:rPr>
              <w:rFonts w:hint="eastAsia" w:ascii="仿宋" w:hAnsi="仿宋" w:eastAsia="仿宋" w:cs="仿宋"/>
              <w:color w:val="000000" w:themeColor="text1"/>
              <w:sz w:val="24"/>
              <w:szCs w:val="24"/>
              <w:highlight w:val="none"/>
              <w14:textFill>
                <w14:solidFill>
                  <w14:schemeClr w14:val="tx1"/>
                </w14:solidFill>
              </w14:textFill>
            </w:rPr>
            <w:fldChar w:fldCharType="end"/>
          </w:r>
        </w:p>
        <w:p w14:paraId="6DB02196">
          <w:pPr>
            <w:pStyle w:val="42"/>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r>
            <w:rPr>
              <w:rFonts w:hint="eastAsia" w:ascii="仿宋" w:hAnsi="仿宋" w:eastAsia="仿宋" w:cs="仿宋"/>
              <w:color w:val="000000" w:themeColor="text1"/>
              <w:sz w:val="24"/>
              <w:szCs w:val="24"/>
              <w:highlight w:val="none"/>
              <w14:textFill>
                <w14:solidFill>
                  <w14:schemeClr w14:val="tx1"/>
                </w14:solidFill>
              </w14:textFill>
            </w:rPr>
            <w:fldChar w:fldCharType="begin"/>
          </w:r>
          <w:r>
            <w:rPr>
              <w:rFonts w:hint="eastAsia" w:ascii="仿宋" w:hAnsi="仿宋" w:eastAsia="仿宋" w:cs="仿宋"/>
              <w:sz w:val="24"/>
              <w:szCs w:val="24"/>
              <w:highlight w:val="none"/>
            </w:rPr>
            <w:instrText xml:space="preserve"> HYPERLINK \l _Toc2076 </w:instrText>
          </w:r>
          <w:r>
            <w:rPr>
              <w:rFonts w:hint="eastAsia" w:ascii="仿宋" w:hAnsi="仿宋" w:eastAsia="仿宋" w:cs="仿宋"/>
              <w:sz w:val="24"/>
              <w:szCs w:val="24"/>
              <w:highlight w:val="none"/>
            </w:rPr>
            <w:fldChar w:fldCharType="separate"/>
          </w:r>
          <w:r>
            <w:rPr>
              <w:rFonts w:hint="eastAsia" w:ascii="仿宋" w:hAnsi="仿宋" w:eastAsia="仿宋" w:cs="仿宋"/>
              <w:bCs/>
              <w:kern w:val="2"/>
              <w:sz w:val="24"/>
              <w:szCs w:val="24"/>
              <w:highlight w:val="none"/>
            </w:rPr>
            <w:t>二、评标</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_Toc2076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44</w:t>
          </w:r>
          <w:r>
            <w:rPr>
              <w:rFonts w:hint="eastAsia" w:ascii="仿宋" w:hAnsi="仿宋" w:eastAsia="仿宋" w:cs="仿宋"/>
              <w:sz w:val="24"/>
              <w:szCs w:val="24"/>
              <w:highlight w:val="none"/>
            </w:rPr>
            <w:fldChar w:fldCharType="end"/>
          </w:r>
          <w:r>
            <w:rPr>
              <w:rFonts w:hint="eastAsia" w:ascii="仿宋" w:hAnsi="仿宋" w:eastAsia="仿宋" w:cs="仿宋"/>
              <w:color w:val="000000" w:themeColor="text1"/>
              <w:sz w:val="24"/>
              <w:szCs w:val="24"/>
              <w:highlight w:val="none"/>
              <w14:textFill>
                <w14:solidFill>
                  <w14:schemeClr w14:val="tx1"/>
                </w14:solidFill>
              </w14:textFill>
            </w:rPr>
            <w:fldChar w:fldCharType="end"/>
          </w:r>
        </w:p>
        <w:p w14:paraId="2099D8C0">
          <w:pPr>
            <w:pStyle w:val="42"/>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r>
            <w:rPr>
              <w:rFonts w:hint="eastAsia" w:ascii="仿宋" w:hAnsi="仿宋" w:eastAsia="仿宋" w:cs="仿宋"/>
              <w:color w:val="000000" w:themeColor="text1"/>
              <w:sz w:val="24"/>
              <w:szCs w:val="24"/>
              <w:highlight w:val="none"/>
              <w14:textFill>
                <w14:solidFill>
                  <w14:schemeClr w14:val="tx1"/>
                </w14:solidFill>
              </w14:textFill>
            </w:rPr>
            <w:fldChar w:fldCharType="begin"/>
          </w:r>
          <w:r>
            <w:rPr>
              <w:rFonts w:hint="eastAsia" w:ascii="仿宋" w:hAnsi="仿宋" w:eastAsia="仿宋" w:cs="仿宋"/>
              <w:sz w:val="24"/>
              <w:szCs w:val="24"/>
              <w:highlight w:val="none"/>
            </w:rPr>
            <w:instrText xml:space="preserve"> HYPERLINK \l _Toc11034 </w:instrText>
          </w:r>
          <w:r>
            <w:rPr>
              <w:rFonts w:hint="eastAsia" w:ascii="仿宋" w:hAnsi="仿宋" w:eastAsia="仿宋" w:cs="仿宋"/>
              <w:sz w:val="24"/>
              <w:szCs w:val="24"/>
              <w:highlight w:val="none"/>
            </w:rPr>
            <w:fldChar w:fldCharType="separate"/>
          </w:r>
          <w:r>
            <w:rPr>
              <w:rFonts w:hint="eastAsia" w:ascii="仿宋" w:hAnsi="仿宋" w:eastAsia="仿宋" w:cs="仿宋"/>
              <w:bCs/>
              <w:kern w:val="2"/>
              <w:sz w:val="24"/>
              <w:szCs w:val="24"/>
              <w:highlight w:val="none"/>
            </w:rPr>
            <w:t>三、编写评标报告</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_Toc11034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47</w:t>
          </w:r>
          <w:r>
            <w:rPr>
              <w:rFonts w:hint="eastAsia" w:ascii="仿宋" w:hAnsi="仿宋" w:eastAsia="仿宋" w:cs="仿宋"/>
              <w:sz w:val="24"/>
              <w:szCs w:val="24"/>
              <w:highlight w:val="none"/>
            </w:rPr>
            <w:fldChar w:fldCharType="end"/>
          </w:r>
          <w:r>
            <w:rPr>
              <w:rFonts w:hint="eastAsia" w:ascii="仿宋" w:hAnsi="仿宋" w:eastAsia="仿宋" w:cs="仿宋"/>
              <w:color w:val="000000" w:themeColor="text1"/>
              <w:sz w:val="24"/>
              <w:szCs w:val="24"/>
              <w:highlight w:val="none"/>
              <w14:textFill>
                <w14:solidFill>
                  <w14:schemeClr w14:val="tx1"/>
                </w14:solidFill>
              </w14:textFill>
            </w:rPr>
            <w:fldChar w:fldCharType="end"/>
          </w:r>
        </w:p>
        <w:p w14:paraId="54E0816B">
          <w:pPr>
            <w:pStyle w:val="42"/>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r>
            <w:rPr>
              <w:rFonts w:hint="eastAsia" w:ascii="仿宋" w:hAnsi="仿宋" w:eastAsia="仿宋" w:cs="仿宋"/>
              <w:color w:val="000000" w:themeColor="text1"/>
              <w:sz w:val="24"/>
              <w:szCs w:val="24"/>
              <w:highlight w:val="none"/>
              <w14:textFill>
                <w14:solidFill>
                  <w14:schemeClr w14:val="tx1"/>
                </w14:solidFill>
              </w14:textFill>
            </w:rPr>
            <w:fldChar w:fldCharType="begin"/>
          </w:r>
          <w:r>
            <w:rPr>
              <w:rFonts w:hint="eastAsia" w:ascii="仿宋" w:hAnsi="仿宋" w:eastAsia="仿宋" w:cs="仿宋"/>
              <w:sz w:val="24"/>
              <w:szCs w:val="24"/>
              <w:highlight w:val="none"/>
            </w:rPr>
            <w:instrText xml:space="preserve"> HYPERLINK \l _Toc15522 </w:instrText>
          </w:r>
          <w:r>
            <w:rPr>
              <w:rFonts w:hint="eastAsia" w:ascii="仿宋" w:hAnsi="仿宋" w:eastAsia="仿宋" w:cs="仿宋"/>
              <w:sz w:val="24"/>
              <w:szCs w:val="24"/>
              <w:highlight w:val="none"/>
            </w:rPr>
            <w:fldChar w:fldCharType="separate"/>
          </w:r>
          <w:r>
            <w:rPr>
              <w:rFonts w:hint="eastAsia" w:ascii="仿宋" w:hAnsi="仿宋" w:eastAsia="仿宋" w:cs="仿宋"/>
              <w:bCs/>
              <w:kern w:val="2"/>
              <w:sz w:val="24"/>
              <w:szCs w:val="24"/>
              <w:highlight w:val="none"/>
            </w:rPr>
            <w:t>四、定标</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_Toc15522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47</w:t>
          </w:r>
          <w:r>
            <w:rPr>
              <w:rFonts w:hint="eastAsia" w:ascii="仿宋" w:hAnsi="仿宋" w:eastAsia="仿宋" w:cs="仿宋"/>
              <w:sz w:val="24"/>
              <w:szCs w:val="24"/>
              <w:highlight w:val="none"/>
            </w:rPr>
            <w:fldChar w:fldCharType="end"/>
          </w:r>
          <w:r>
            <w:rPr>
              <w:rFonts w:hint="eastAsia" w:ascii="仿宋" w:hAnsi="仿宋" w:eastAsia="仿宋" w:cs="仿宋"/>
              <w:color w:val="000000" w:themeColor="text1"/>
              <w:sz w:val="24"/>
              <w:szCs w:val="24"/>
              <w:highlight w:val="none"/>
              <w14:textFill>
                <w14:solidFill>
                  <w14:schemeClr w14:val="tx1"/>
                </w14:solidFill>
              </w14:textFill>
            </w:rPr>
            <w:fldChar w:fldCharType="end"/>
          </w:r>
        </w:p>
        <w:p w14:paraId="6A6A124C">
          <w:pPr>
            <w:pStyle w:val="42"/>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r>
            <w:rPr>
              <w:rFonts w:hint="eastAsia" w:ascii="仿宋" w:hAnsi="仿宋" w:eastAsia="仿宋" w:cs="仿宋"/>
              <w:color w:val="000000" w:themeColor="text1"/>
              <w:sz w:val="24"/>
              <w:szCs w:val="24"/>
              <w:highlight w:val="none"/>
              <w14:textFill>
                <w14:solidFill>
                  <w14:schemeClr w14:val="tx1"/>
                </w14:solidFill>
              </w14:textFill>
            </w:rPr>
            <w:fldChar w:fldCharType="begin"/>
          </w:r>
          <w:r>
            <w:rPr>
              <w:rFonts w:hint="eastAsia" w:ascii="仿宋" w:hAnsi="仿宋" w:eastAsia="仿宋" w:cs="仿宋"/>
              <w:sz w:val="24"/>
              <w:szCs w:val="24"/>
              <w:highlight w:val="none"/>
            </w:rPr>
            <w:instrText xml:space="preserve"> HYPERLINK \l _Toc7666 </w:instrText>
          </w:r>
          <w:r>
            <w:rPr>
              <w:rFonts w:hint="eastAsia" w:ascii="仿宋" w:hAnsi="仿宋" w:eastAsia="仿宋" w:cs="仿宋"/>
              <w:sz w:val="24"/>
              <w:szCs w:val="24"/>
              <w:highlight w:val="none"/>
            </w:rPr>
            <w:fldChar w:fldCharType="separate"/>
          </w:r>
          <w:r>
            <w:rPr>
              <w:rFonts w:hint="eastAsia" w:ascii="仿宋" w:hAnsi="仿宋" w:eastAsia="仿宋" w:cs="仿宋"/>
              <w:bCs/>
              <w:kern w:val="2"/>
              <w:sz w:val="24"/>
              <w:szCs w:val="24"/>
              <w:highlight w:val="none"/>
            </w:rPr>
            <w:t>五、结果公示</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_Toc7666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48</w:t>
          </w:r>
          <w:r>
            <w:rPr>
              <w:rFonts w:hint="eastAsia" w:ascii="仿宋" w:hAnsi="仿宋" w:eastAsia="仿宋" w:cs="仿宋"/>
              <w:sz w:val="24"/>
              <w:szCs w:val="24"/>
              <w:highlight w:val="none"/>
            </w:rPr>
            <w:fldChar w:fldCharType="end"/>
          </w:r>
          <w:r>
            <w:rPr>
              <w:rFonts w:hint="eastAsia" w:ascii="仿宋" w:hAnsi="仿宋" w:eastAsia="仿宋" w:cs="仿宋"/>
              <w:color w:val="000000" w:themeColor="text1"/>
              <w:sz w:val="24"/>
              <w:szCs w:val="24"/>
              <w:highlight w:val="none"/>
              <w14:textFill>
                <w14:solidFill>
                  <w14:schemeClr w14:val="tx1"/>
                </w14:solidFill>
              </w14:textFill>
            </w:rPr>
            <w:fldChar w:fldCharType="end"/>
          </w:r>
        </w:p>
        <w:p w14:paraId="208F44EE">
          <w:pPr>
            <w:pStyle w:val="42"/>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r>
            <w:rPr>
              <w:rFonts w:hint="eastAsia" w:ascii="仿宋" w:hAnsi="仿宋" w:eastAsia="仿宋" w:cs="仿宋"/>
              <w:color w:val="000000" w:themeColor="text1"/>
              <w:sz w:val="24"/>
              <w:szCs w:val="24"/>
              <w:highlight w:val="none"/>
              <w14:textFill>
                <w14:solidFill>
                  <w14:schemeClr w14:val="tx1"/>
                </w14:solidFill>
              </w14:textFill>
            </w:rPr>
            <w:fldChar w:fldCharType="begin"/>
          </w:r>
          <w:r>
            <w:rPr>
              <w:rFonts w:hint="eastAsia" w:ascii="仿宋" w:hAnsi="仿宋" w:eastAsia="仿宋" w:cs="仿宋"/>
              <w:sz w:val="24"/>
              <w:szCs w:val="24"/>
              <w:highlight w:val="none"/>
            </w:rPr>
            <w:instrText xml:space="preserve"> HYPERLINK \l _Toc26618 </w:instrText>
          </w:r>
          <w:r>
            <w:rPr>
              <w:rFonts w:hint="eastAsia" w:ascii="仿宋" w:hAnsi="仿宋" w:eastAsia="仿宋" w:cs="仿宋"/>
              <w:sz w:val="24"/>
              <w:szCs w:val="24"/>
              <w:highlight w:val="none"/>
            </w:rPr>
            <w:fldChar w:fldCharType="separate"/>
          </w:r>
          <w:r>
            <w:rPr>
              <w:rFonts w:hint="eastAsia" w:ascii="仿宋" w:hAnsi="仿宋" w:eastAsia="仿宋" w:cs="仿宋"/>
              <w:bCs/>
              <w:kern w:val="2"/>
              <w:sz w:val="24"/>
              <w:szCs w:val="24"/>
              <w:highlight w:val="none"/>
            </w:rPr>
            <w:t>六、签发中标通知书</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_Toc26618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48</w:t>
          </w:r>
          <w:r>
            <w:rPr>
              <w:rFonts w:hint="eastAsia" w:ascii="仿宋" w:hAnsi="仿宋" w:eastAsia="仿宋" w:cs="仿宋"/>
              <w:sz w:val="24"/>
              <w:szCs w:val="24"/>
              <w:highlight w:val="none"/>
            </w:rPr>
            <w:fldChar w:fldCharType="end"/>
          </w:r>
          <w:r>
            <w:rPr>
              <w:rFonts w:hint="eastAsia" w:ascii="仿宋" w:hAnsi="仿宋" w:eastAsia="仿宋" w:cs="仿宋"/>
              <w:color w:val="000000" w:themeColor="text1"/>
              <w:sz w:val="24"/>
              <w:szCs w:val="24"/>
              <w:highlight w:val="none"/>
              <w14:textFill>
                <w14:solidFill>
                  <w14:schemeClr w14:val="tx1"/>
                </w14:solidFill>
              </w14:textFill>
            </w:rPr>
            <w:fldChar w:fldCharType="end"/>
          </w:r>
        </w:p>
        <w:p w14:paraId="3A9EFB63">
          <w:pPr>
            <w:pStyle w:val="42"/>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r>
            <w:rPr>
              <w:rFonts w:hint="eastAsia" w:ascii="仿宋" w:hAnsi="仿宋" w:eastAsia="仿宋" w:cs="仿宋"/>
              <w:color w:val="000000" w:themeColor="text1"/>
              <w:sz w:val="24"/>
              <w:szCs w:val="24"/>
              <w:highlight w:val="none"/>
              <w14:textFill>
                <w14:solidFill>
                  <w14:schemeClr w14:val="tx1"/>
                </w14:solidFill>
              </w14:textFill>
            </w:rPr>
            <w:fldChar w:fldCharType="begin"/>
          </w:r>
          <w:r>
            <w:rPr>
              <w:rFonts w:hint="eastAsia" w:ascii="仿宋" w:hAnsi="仿宋" w:eastAsia="仿宋" w:cs="仿宋"/>
              <w:sz w:val="24"/>
              <w:szCs w:val="24"/>
              <w:highlight w:val="none"/>
            </w:rPr>
            <w:instrText xml:space="preserve"> HYPERLINK \l _Toc28907 </w:instrText>
          </w:r>
          <w:r>
            <w:rPr>
              <w:rFonts w:hint="eastAsia" w:ascii="仿宋" w:hAnsi="仿宋" w:eastAsia="仿宋" w:cs="仿宋"/>
              <w:sz w:val="24"/>
              <w:szCs w:val="24"/>
              <w:highlight w:val="none"/>
            </w:rPr>
            <w:fldChar w:fldCharType="separate"/>
          </w:r>
          <w:r>
            <w:rPr>
              <w:rFonts w:hint="eastAsia" w:ascii="仿宋" w:hAnsi="仿宋" w:eastAsia="仿宋" w:cs="仿宋"/>
              <w:bCs/>
              <w:kern w:val="2"/>
              <w:sz w:val="24"/>
              <w:szCs w:val="24"/>
              <w:highlight w:val="none"/>
            </w:rPr>
            <w:t>七、签订合同</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_Toc28907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48</w:t>
          </w:r>
          <w:r>
            <w:rPr>
              <w:rFonts w:hint="eastAsia" w:ascii="仿宋" w:hAnsi="仿宋" w:eastAsia="仿宋" w:cs="仿宋"/>
              <w:sz w:val="24"/>
              <w:szCs w:val="24"/>
              <w:highlight w:val="none"/>
            </w:rPr>
            <w:fldChar w:fldCharType="end"/>
          </w:r>
          <w:r>
            <w:rPr>
              <w:rFonts w:hint="eastAsia" w:ascii="仿宋" w:hAnsi="仿宋" w:eastAsia="仿宋" w:cs="仿宋"/>
              <w:color w:val="000000" w:themeColor="text1"/>
              <w:sz w:val="24"/>
              <w:szCs w:val="24"/>
              <w:highlight w:val="none"/>
              <w14:textFill>
                <w14:solidFill>
                  <w14:schemeClr w14:val="tx1"/>
                </w14:solidFill>
              </w14:textFill>
            </w:rPr>
            <w:fldChar w:fldCharType="end"/>
          </w:r>
        </w:p>
        <w:p w14:paraId="23CF774C">
          <w:pPr>
            <w:pStyle w:val="34"/>
            <w:keepNext w:val="0"/>
            <w:keepLines w:val="0"/>
            <w:pageBreakBefore w:val="0"/>
            <w:widowControl w:val="0"/>
            <w:tabs>
              <w:tab w:val="right" w:leader="dot" w:pos="9746"/>
              <w:tab w:val="clear" w:pos="8834"/>
            </w:tabs>
            <w:kinsoku/>
            <w:wordWrap/>
            <w:overflowPunct/>
            <w:topLinePunct w:val="0"/>
            <w:autoSpaceDE/>
            <w:autoSpaceDN/>
            <w:bidi w:val="0"/>
            <w:adjustRightInd/>
            <w:snapToGrid/>
            <w:spacing w:before="0" w:after="0" w:line="360" w:lineRule="auto"/>
            <w:textAlignment w:val="auto"/>
            <w:rPr>
              <w:rFonts w:hint="eastAsia" w:ascii="仿宋" w:hAnsi="仿宋" w:eastAsia="仿宋" w:cs="仿宋"/>
              <w:sz w:val="24"/>
              <w:szCs w:val="24"/>
              <w:highlight w:val="none"/>
            </w:rPr>
          </w:pPr>
          <w:r>
            <w:rPr>
              <w:rFonts w:hint="eastAsia" w:ascii="仿宋" w:hAnsi="仿宋" w:eastAsia="仿宋" w:cs="仿宋"/>
              <w:color w:val="000000" w:themeColor="text1"/>
              <w:sz w:val="24"/>
              <w:szCs w:val="24"/>
              <w:highlight w:val="none"/>
              <w14:textFill>
                <w14:solidFill>
                  <w14:schemeClr w14:val="tx1"/>
                </w14:solidFill>
              </w14:textFill>
            </w:rPr>
            <w:fldChar w:fldCharType="begin"/>
          </w:r>
          <w:r>
            <w:rPr>
              <w:rFonts w:hint="eastAsia" w:ascii="仿宋" w:hAnsi="仿宋" w:eastAsia="仿宋" w:cs="仿宋"/>
              <w:sz w:val="24"/>
              <w:szCs w:val="24"/>
              <w:highlight w:val="none"/>
            </w:rPr>
            <w:instrText xml:space="preserve"> HYPERLINK \l _Toc20012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第四章  采购项目说明</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_Toc20012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49</w:t>
          </w:r>
          <w:r>
            <w:rPr>
              <w:rFonts w:hint="eastAsia" w:ascii="仿宋" w:hAnsi="仿宋" w:eastAsia="仿宋" w:cs="仿宋"/>
              <w:sz w:val="24"/>
              <w:szCs w:val="24"/>
              <w:highlight w:val="none"/>
            </w:rPr>
            <w:fldChar w:fldCharType="end"/>
          </w:r>
          <w:r>
            <w:rPr>
              <w:rFonts w:hint="eastAsia" w:ascii="仿宋" w:hAnsi="仿宋" w:eastAsia="仿宋" w:cs="仿宋"/>
              <w:color w:val="000000" w:themeColor="text1"/>
              <w:sz w:val="24"/>
              <w:szCs w:val="24"/>
              <w:highlight w:val="none"/>
              <w14:textFill>
                <w14:solidFill>
                  <w14:schemeClr w14:val="tx1"/>
                </w14:solidFill>
              </w14:textFill>
            </w:rPr>
            <w:fldChar w:fldCharType="end"/>
          </w:r>
        </w:p>
        <w:p w14:paraId="027A1D07">
          <w:pPr>
            <w:pStyle w:val="34"/>
            <w:keepNext w:val="0"/>
            <w:keepLines w:val="0"/>
            <w:pageBreakBefore w:val="0"/>
            <w:widowControl w:val="0"/>
            <w:tabs>
              <w:tab w:val="right" w:leader="dot" w:pos="9746"/>
              <w:tab w:val="clear" w:pos="8834"/>
            </w:tabs>
            <w:kinsoku/>
            <w:wordWrap/>
            <w:overflowPunct/>
            <w:topLinePunct w:val="0"/>
            <w:autoSpaceDE/>
            <w:autoSpaceDN/>
            <w:bidi w:val="0"/>
            <w:adjustRightInd/>
            <w:snapToGrid/>
            <w:spacing w:before="0" w:after="0" w:line="360" w:lineRule="auto"/>
            <w:textAlignment w:val="auto"/>
            <w:rPr>
              <w:rFonts w:hint="eastAsia" w:ascii="仿宋" w:hAnsi="仿宋" w:eastAsia="仿宋" w:cs="仿宋"/>
              <w:sz w:val="24"/>
              <w:szCs w:val="24"/>
              <w:highlight w:val="none"/>
            </w:rPr>
          </w:pPr>
          <w:r>
            <w:rPr>
              <w:rFonts w:hint="eastAsia" w:ascii="仿宋" w:hAnsi="仿宋" w:eastAsia="仿宋" w:cs="仿宋"/>
              <w:color w:val="000000" w:themeColor="text1"/>
              <w:sz w:val="24"/>
              <w:szCs w:val="24"/>
              <w:highlight w:val="none"/>
              <w14:textFill>
                <w14:solidFill>
                  <w14:schemeClr w14:val="tx1"/>
                </w14:solidFill>
              </w14:textFill>
            </w:rPr>
            <w:fldChar w:fldCharType="begin"/>
          </w:r>
          <w:r>
            <w:rPr>
              <w:rFonts w:hint="eastAsia" w:ascii="仿宋" w:hAnsi="仿宋" w:eastAsia="仿宋" w:cs="仿宋"/>
              <w:sz w:val="24"/>
              <w:szCs w:val="24"/>
              <w:highlight w:val="none"/>
            </w:rPr>
            <w:instrText xml:space="preserve"> HYPERLINK \l _Toc1695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第五章  投标文件格式</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_Toc1695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51</w:t>
          </w:r>
          <w:r>
            <w:rPr>
              <w:rFonts w:hint="eastAsia" w:ascii="仿宋" w:hAnsi="仿宋" w:eastAsia="仿宋" w:cs="仿宋"/>
              <w:sz w:val="24"/>
              <w:szCs w:val="24"/>
              <w:highlight w:val="none"/>
            </w:rPr>
            <w:fldChar w:fldCharType="end"/>
          </w:r>
          <w:r>
            <w:rPr>
              <w:rFonts w:hint="eastAsia" w:ascii="仿宋" w:hAnsi="仿宋" w:eastAsia="仿宋" w:cs="仿宋"/>
              <w:color w:val="000000" w:themeColor="text1"/>
              <w:sz w:val="24"/>
              <w:szCs w:val="24"/>
              <w:highlight w:val="none"/>
              <w14:textFill>
                <w14:solidFill>
                  <w14:schemeClr w14:val="tx1"/>
                </w14:solidFill>
              </w14:textFill>
            </w:rPr>
            <w:fldChar w:fldCharType="end"/>
          </w:r>
        </w:p>
        <w:p w14:paraId="4B2C94E0">
          <w:pPr>
            <w:pStyle w:val="34"/>
            <w:keepNext w:val="0"/>
            <w:keepLines w:val="0"/>
            <w:pageBreakBefore w:val="0"/>
            <w:widowControl w:val="0"/>
            <w:tabs>
              <w:tab w:val="right" w:leader="dot" w:pos="9746"/>
              <w:tab w:val="clear" w:pos="8834"/>
            </w:tabs>
            <w:kinsoku/>
            <w:wordWrap/>
            <w:overflowPunct/>
            <w:topLinePunct w:val="0"/>
            <w:autoSpaceDE/>
            <w:autoSpaceDN/>
            <w:bidi w:val="0"/>
            <w:adjustRightInd/>
            <w:snapToGrid/>
            <w:spacing w:before="0" w:after="0" w:line="360" w:lineRule="auto"/>
            <w:textAlignment w:val="auto"/>
            <w:rPr>
              <w:rFonts w:hint="eastAsia" w:ascii="仿宋" w:hAnsi="仿宋" w:eastAsia="仿宋" w:cs="仿宋"/>
              <w:sz w:val="24"/>
              <w:szCs w:val="24"/>
              <w:highlight w:val="none"/>
            </w:rPr>
          </w:pPr>
          <w:r>
            <w:rPr>
              <w:rFonts w:hint="eastAsia" w:ascii="仿宋" w:hAnsi="仿宋" w:eastAsia="仿宋" w:cs="仿宋"/>
              <w:color w:val="000000" w:themeColor="text1"/>
              <w:sz w:val="24"/>
              <w:szCs w:val="24"/>
              <w:highlight w:val="none"/>
              <w14:textFill>
                <w14:solidFill>
                  <w14:schemeClr w14:val="tx1"/>
                </w14:solidFill>
              </w14:textFill>
            </w:rPr>
            <w:fldChar w:fldCharType="begin"/>
          </w:r>
          <w:r>
            <w:rPr>
              <w:rFonts w:hint="eastAsia" w:ascii="仿宋" w:hAnsi="仿宋" w:eastAsia="仿宋" w:cs="仿宋"/>
              <w:sz w:val="24"/>
              <w:szCs w:val="24"/>
              <w:highlight w:val="none"/>
            </w:rPr>
            <w:instrText xml:space="preserve"> HYPERLINK \l _Toc851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第六章  合同（范本）</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_Toc851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69</w:t>
          </w:r>
          <w:r>
            <w:rPr>
              <w:rFonts w:hint="eastAsia" w:ascii="仿宋" w:hAnsi="仿宋" w:eastAsia="仿宋" w:cs="仿宋"/>
              <w:sz w:val="24"/>
              <w:szCs w:val="24"/>
              <w:highlight w:val="none"/>
            </w:rPr>
            <w:fldChar w:fldCharType="end"/>
          </w:r>
          <w:r>
            <w:rPr>
              <w:rFonts w:hint="eastAsia" w:ascii="仿宋" w:hAnsi="仿宋" w:eastAsia="仿宋" w:cs="仿宋"/>
              <w:color w:val="000000" w:themeColor="text1"/>
              <w:sz w:val="24"/>
              <w:szCs w:val="24"/>
              <w:highlight w:val="none"/>
              <w14:textFill>
                <w14:solidFill>
                  <w14:schemeClr w14:val="tx1"/>
                </w14:solidFill>
              </w14:textFill>
            </w:rPr>
            <w:fldChar w:fldCharType="end"/>
          </w:r>
        </w:p>
        <w:p w14:paraId="1588F6E0">
          <w:pPr>
            <w:pStyle w:val="34"/>
            <w:keepNext w:val="0"/>
            <w:keepLines w:val="0"/>
            <w:pageBreakBefore w:val="0"/>
            <w:widowControl w:val="0"/>
            <w:kinsoku/>
            <w:wordWrap/>
            <w:overflowPunct/>
            <w:topLinePunct w:val="0"/>
            <w:autoSpaceDE/>
            <w:autoSpaceDN/>
            <w:bidi w:val="0"/>
            <w:adjustRightInd/>
            <w:snapToGrid/>
            <w:spacing w:before="0" w:after="0" w:line="360" w:lineRule="auto"/>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fldChar w:fldCharType="end"/>
          </w:r>
        </w:p>
      </w:sdtContent>
    </w:sdt>
    <w:bookmarkEnd w:id="1"/>
    <w:p w14:paraId="0051B708">
      <w:pPr>
        <w:pageBreakBefore w:val="0"/>
        <w:kinsoku/>
        <w:overflowPunct/>
        <w:topLinePunct w:val="0"/>
        <w:bidi w:val="0"/>
        <w:adjustRightInd/>
        <w:snapToGrid/>
        <w:rPr>
          <w:rFonts w:hint="eastAsia" w:ascii="仿宋" w:hAnsi="仿宋" w:eastAsia="仿宋" w:cs="仿宋"/>
          <w:color w:val="000000" w:themeColor="text1"/>
          <w:kern w:val="0"/>
          <w:highlight w:val="none"/>
          <w14:textFill>
            <w14:solidFill>
              <w14:schemeClr w14:val="tx1"/>
            </w14:solidFill>
          </w14:textFill>
        </w:rPr>
      </w:pPr>
    </w:p>
    <w:p w14:paraId="0CCE2E49">
      <w:pPr>
        <w:pageBreakBefore w:val="0"/>
        <w:kinsoku/>
        <w:overflowPunct/>
        <w:topLinePunct w:val="0"/>
        <w:bidi w:val="0"/>
        <w:adjustRightInd/>
        <w:snapToGrid/>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br w:type="page"/>
      </w:r>
    </w:p>
    <w:p w14:paraId="759C3E47">
      <w:pPr>
        <w:pageBreakBefore w:val="0"/>
        <w:kinsoku/>
        <w:overflowPunct/>
        <w:topLinePunct w:val="0"/>
        <w:bidi w:val="0"/>
        <w:adjustRightInd/>
        <w:snapToGrid/>
        <w:rPr>
          <w:rFonts w:hint="eastAsia" w:ascii="仿宋" w:hAnsi="仿宋" w:eastAsia="仿宋" w:cs="仿宋"/>
          <w:color w:val="000000" w:themeColor="text1"/>
          <w:highlight w:val="none"/>
          <w14:textFill>
            <w14:solidFill>
              <w14:schemeClr w14:val="tx1"/>
            </w14:solidFill>
          </w14:textFill>
        </w:rPr>
        <w:sectPr>
          <w:headerReference r:id="rId3" w:type="default"/>
          <w:pgSz w:w="11906" w:h="16838"/>
          <w:pgMar w:top="1440" w:right="1080" w:bottom="1440" w:left="1080" w:header="851" w:footer="992" w:gutter="0"/>
          <w:pgNumType w:start="1"/>
          <w:cols w:space="720" w:num="1"/>
          <w:docGrid w:type="lines" w:linePitch="312" w:charSpace="0"/>
        </w:sectPr>
      </w:pPr>
    </w:p>
    <w:bookmarkEnd w:id="2"/>
    <w:bookmarkEnd w:id="3"/>
    <w:p w14:paraId="172C63F2">
      <w:pPr>
        <w:pStyle w:val="3"/>
        <w:pageBreakBefore w:val="0"/>
        <w:kinsoku/>
        <w:overflowPunct/>
        <w:topLinePunct w:val="0"/>
        <w:bidi w:val="0"/>
        <w:adjustRightInd/>
        <w:snapToGrid/>
        <w:jc w:val="center"/>
        <w:rPr>
          <w:rFonts w:hint="eastAsia" w:ascii="仿宋" w:hAnsi="仿宋" w:eastAsia="仿宋" w:cs="仿宋"/>
          <w:color w:val="000000" w:themeColor="text1"/>
          <w:highlight w:val="none"/>
          <w14:textFill>
            <w14:solidFill>
              <w14:schemeClr w14:val="tx1"/>
            </w14:solidFill>
          </w14:textFill>
        </w:rPr>
      </w:pPr>
      <w:bookmarkStart w:id="4" w:name="_Toc12451"/>
      <w:bookmarkStart w:id="5" w:name="_Toc66864040"/>
      <w:bookmarkStart w:id="6" w:name="_Toc266431116"/>
      <w:bookmarkStart w:id="7" w:name="_Toc253045125"/>
      <w:r>
        <w:rPr>
          <w:rFonts w:hint="eastAsia" w:ascii="仿宋" w:hAnsi="仿宋" w:eastAsia="仿宋" w:cs="仿宋"/>
          <w:color w:val="000000" w:themeColor="text1"/>
          <w:highlight w:val="none"/>
          <w14:textFill>
            <w14:solidFill>
              <w14:schemeClr w14:val="tx1"/>
            </w14:solidFill>
          </w14:textFill>
        </w:rPr>
        <w:t>第一章  招标公告</w:t>
      </w:r>
      <w:bookmarkEnd w:id="4"/>
      <w:bookmarkEnd w:id="5"/>
    </w:p>
    <w:p w14:paraId="74434586">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bCs/>
          <w:color w:val="000000" w:themeColor="text1"/>
          <w:spacing w:val="8"/>
          <w:kern w:val="0"/>
          <w:sz w:val="32"/>
          <w:szCs w:val="32"/>
          <w:highlight w:val="none"/>
          <w:lang w:eastAsia="zh-CN"/>
          <w14:textFill>
            <w14:solidFill>
              <w14:schemeClr w14:val="tx1"/>
            </w14:solidFill>
          </w14:textFill>
        </w:rPr>
      </w:pPr>
      <w:r>
        <w:rPr>
          <w:rFonts w:hint="eastAsia" w:ascii="仿宋" w:hAnsi="仿宋" w:eastAsia="仿宋" w:cs="仿宋"/>
          <w:b/>
          <w:bCs/>
          <w:color w:val="000000" w:themeColor="text1"/>
          <w:spacing w:val="8"/>
          <w:kern w:val="0"/>
          <w:sz w:val="32"/>
          <w:szCs w:val="32"/>
          <w:highlight w:val="none"/>
          <w:lang w:val="en-US" w:eastAsia="zh-CN"/>
          <w14:textFill>
            <w14:solidFill>
              <w14:schemeClr w14:val="tx1"/>
            </w14:solidFill>
          </w14:textFill>
        </w:rPr>
        <w:t>选定五金杂品及劳保用品供应单位</w:t>
      </w:r>
    </w:p>
    <w:p w14:paraId="7EB07088">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bCs/>
          <w:color w:val="000000" w:themeColor="text1"/>
          <w:spacing w:val="8"/>
          <w:kern w:val="0"/>
          <w:sz w:val="32"/>
          <w:szCs w:val="32"/>
          <w:highlight w:val="none"/>
          <w14:textFill>
            <w14:solidFill>
              <w14:schemeClr w14:val="tx1"/>
            </w14:solidFill>
          </w14:textFill>
        </w:rPr>
      </w:pPr>
      <w:r>
        <w:rPr>
          <w:rFonts w:hint="eastAsia" w:ascii="仿宋" w:hAnsi="仿宋" w:eastAsia="仿宋" w:cs="仿宋"/>
          <w:b/>
          <w:bCs/>
          <w:color w:val="000000" w:themeColor="text1"/>
          <w:spacing w:val="8"/>
          <w:kern w:val="0"/>
          <w:sz w:val="32"/>
          <w:szCs w:val="32"/>
          <w:highlight w:val="none"/>
          <w14:textFill>
            <w14:solidFill>
              <w14:schemeClr w14:val="tx1"/>
            </w14:solidFill>
          </w14:textFill>
        </w:rPr>
        <w:t>招标公告</w:t>
      </w:r>
    </w:p>
    <w:p w14:paraId="404A6304">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bCs/>
          <w:color w:val="000000" w:themeColor="text1"/>
          <w:spacing w:val="8"/>
          <w:kern w:val="0"/>
          <w:sz w:val="32"/>
          <w:szCs w:val="32"/>
          <w:highlight w:val="none"/>
          <w14:textFill>
            <w14:solidFill>
              <w14:schemeClr w14:val="tx1"/>
            </w14:solidFill>
          </w14:textFill>
        </w:rPr>
      </w:pPr>
      <w:r>
        <w:rPr>
          <w:rFonts w:hint="eastAsia" w:ascii="仿宋" w:hAnsi="仿宋" w:eastAsia="仿宋" w:cs="仿宋"/>
          <w:b/>
          <w:bCs/>
          <w:color w:val="000000" w:themeColor="text1"/>
          <w:spacing w:val="8"/>
          <w:kern w:val="0"/>
          <w:sz w:val="32"/>
          <w:szCs w:val="32"/>
          <w:highlight w:val="none"/>
          <w14:textFill>
            <w14:solidFill>
              <w14:schemeClr w14:val="tx1"/>
            </w14:solidFill>
          </w14:textFill>
        </w:rPr>
        <w:t>（招标编号：PURM202605250003）</w:t>
      </w:r>
    </w:p>
    <w:p w14:paraId="0FCA15B4">
      <w:pPr>
        <w:pageBreakBefore w:val="0"/>
        <w:widowControl/>
        <w:kinsoku/>
        <w:overflowPunct/>
        <w:topLinePunct w:val="0"/>
        <w:bidi w:val="0"/>
        <w:adjustRightInd/>
        <w:snapToGrid/>
        <w:spacing w:line="360" w:lineRule="auto"/>
        <w:ind w:firstLine="594" w:firstLineChars="200"/>
        <w:jc w:val="left"/>
        <w:rPr>
          <w:rFonts w:hint="eastAsia" w:ascii="仿宋" w:hAnsi="仿宋" w:eastAsia="仿宋" w:cs="仿宋"/>
          <w:b/>
          <w:color w:val="000000" w:themeColor="text1"/>
          <w:spacing w:val="8"/>
          <w:kern w:val="0"/>
          <w:sz w:val="28"/>
          <w:szCs w:val="28"/>
          <w:highlight w:val="none"/>
          <w:lang w:val="en-US" w:eastAsia="zh-CN"/>
          <w14:textFill>
            <w14:solidFill>
              <w14:schemeClr w14:val="tx1"/>
            </w14:solidFill>
          </w14:textFill>
        </w:rPr>
      </w:pPr>
      <w:r>
        <w:rPr>
          <w:rFonts w:hint="eastAsia" w:ascii="仿宋" w:hAnsi="仿宋" w:eastAsia="仿宋" w:cs="仿宋"/>
          <w:b/>
          <w:color w:val="000000" w:themeColor="text1"/>
          <w:spacing w:val="8"/>
          <w:kern w:val="0"/>
          <w:sz w:val="28"/>
          <w:szCs w:val="28"/>
          <w:highlight w:val="none"/>
          <w14:textFill>
            <w14:solidFill>
              <w14:schemeClr w14:val="tx1"/>
            </w14:solidFill>
          </w14:textFill>
        </w:rPr>
        <w:t xml:space="preserve">一、招标条件 </w:t>
      </w:r>
      <w:r>
        <w:rPr>
          <w:rFonts w:hint="eastAsia" w:ascii="仿宋" w:hAnsi="仿宋" w:eastAsia="仿宋" w:cs="仿宋"/>
          <w:b/>
          <w:color w:val="000000" w:themeColor="text1"/>
          <w:spacing w:val="8"/>
          <w:kern w:val="0"/>
          <w:sz w:val="28"/>
          <w:szCs w:val="28"/>
          <w:highlight w:val="none"/>
          <w:lang w:val="en-US" w:eastAsia="zh-CN"/>
          <w14:textFill>
            <w14:solidFill>
              <w14:schemeClr w14:val="tx1"/>
            </w14:solidFill>
          </w14:textFill>
        </w:rPr>
        <w:tab/>
      </w:r>
    </w:p>
    <w:p w14:paraId="0E571432">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本招标项目</w:t>
      </w:r>
      <w:r>
        <w:rPr>
          <w:rFonts w:hint="eastAsia" w:ascii="仿宋" w:hAnsi="仿宋" w:eastAsia="仿宋" w:cs="仿宋"/>
          <w:bCs/>
          <w:color w:val="000000" w:themeColor="text1"/>
          <w:spacing w:val="8"/>
          <w:kern w:val="0"/>
          <w:sz w:val="28"/>
          <w:szCs w:val="28"/>
          <w:highlight w:val="none"/>
          <w:lang w:eastAsia="zh-CN"/>
          <w14:textFill>
            <w14:solidFill>
              <w14:schemeClr w14:val="tx1"/>
            </w14:solidFill>
          </w14:textFill>
        </w:rPr>
        <w:t>选定五金杂品及劳保用品供应单位</w:t>
      </w:r>
      <w:r>
        <w:rPr>
          <w:rFonts w:hint="eastAsia" w:ascii="仿宋" w:hAnsi="仿宋" w:eastAsia="仿宋" w:cs="仿宋"/>
          <w:bCs/>
          <w:color w:val="000000" w:themeColor="text1"/>
          <w:spacing w:val="8"/>
          <w:kern w:val="0"/>
          <w:sz w:val="28"/>
          <w:szCs w:val="28"/>
          <w:highlight w:val="none"/>
          <w14:textFill>
            <w14:solidFill>
              <w14:schemeClr w14:val="tx1"/>
            </w14:solidFill>
          </w14:textFill>
        </w:rPr>
        <w:t>，招标申请已经相关部门批准，招标人为</w:t>
      </w:r>
      <w:r>
        <w:rPr>
          <w:rFonts w:hint="eastAsia" w:ascii="仿宋" w:hAnsi="仿宋" w:eastAsia="仿宋" w:cs="仿宋"/>
          <w:bCs/>
          <w:color w:val="000000" w:themeColor="text1"/>
          <w:spacing w:val="8"/>
          <w:kern w:val="0"/>
          <w:sz w:val="28"/>
          <w:szCs w:val="28"/>
          <w:highlight w:val="none"/>
          <w:lang w:eastAsia="zh-CN"/>
          <w14:textFill>
            <w14:solidFill>
              <w14:schemeClr w14:val="tx1"/>
            </w14:solidFill>
          </w14:textFill>
        </w:rPr>
        <w:t>威海市环翠园林工程有限公司</w:t>
      </w:r>
      <w:r>
        <w:rPr>
          <w:rFonts w:hint="eastAsia" w:ascii="仿宋" w:hAnsi="仿宋" w:eastAsia="仿宋" w:cs="仿宋"/>
          <w:bCs/>
          <w:color w:val="000000" w:themeColor="text1"/>
          <w:spacing w:val="8"/>
          <w:kern w:val="0"/>
          <w:sz w:val="28"/>
          <w:szCs w:val="28"/>
          <w:highlight w:val="none"/>
          <w14:textFill>
            <w14:solidFill>
              <w14:schemeClr w14:val="tx1"/>
            </w14:solidFill>
          </w14:textFill>
        </w:rPr>
        <w:t>，项目资金来源为自筹，出资比例为100%。项目已具备招标条件，现对该项目进行公开招标。</w:t>
      </w:r>
    </w:p>
    <w:p w14:paraId="790A13CD">
      <w:pPr>
        <w:pageBreakBefore w:val="0"/>
        <w:widowControl/>
        <w:kinsoku/>
        <w:overflowPunct/>
        <w:topLinePunct w:val="0"/>
        <w:bidi w:val="0"/>
        <w:adjustRightInd/>
        <w:snapToGrid/>
        <w:spacing w:line="360" w:lineRule="auto"/>
        <w:ind w:firstLine="594" w:firstLineChars="200"/>
        <w:jc w:val="left"/>
        <w:rPr>
          <w:rFonts w:hint="eastAsia" w:ascii="仿宋" w:hAnsi="仿宋" w:eastAsia="仿宋" w:cs="仿宋"/>
          <w:b/>
          <w:color w:val="000000" w:themeColor="text1"/>
          <w:spacing w:val="8"/>
          <w:kern w:val="0"/>
          <w:sz w:val="28"/>
          <w:szCs w:val="28"/>
          <w:highlight w:val="none"/>
          <w14:textFill>
            <w14:solidFill>
              <w14:schemeClr w14:val="tx1"/>
            </w14:solidFill>
          </w14:textFill>
        </w:rPr>
      </w:pPr>
      <w:r>
        <w:rPr>
          <w:rFonts w:hint="eastAsia" w:ascii="仿宋" w:hAnsi="仿宋" w:eastAsia="仿宋" w:cs="仿宋"/>
          <w:b/>
          <w:color w:val="000000" w:themeColor="text1"/>
          <w:spacing w:val="8"/>
          <w:kern w:val="0"/>
          <w:sz w:val="28"/>
          <w:szCs w:val="28"/>
          <w:highlight w:val="none"/>
          <w14:textFill>
            <w14:solidFill>
              <w14:schemeClr w14:val="tx1"/>
            </w14:solidFill>
          </w14:textFill>
        </w:rPr>
        <w:t>二、招标内容</w:t>
      </w:r>
    </w:p>
    <w:p w14:paraId="2254ED5E">
      <w:pPr>
        <w:keepNext w:val="0"/>
        <w:keepLines w:val="0"/>
        <w:pageBreakBefore w:val="0"/>
        <w:widowControl/>
        <w:kinsoku/>
        <w:wordWrap/>
        <w:overflowPunct/>
        <w:topLinePunct w:val="0"/>
        <w:autoSpaceDE/>
        <w:autoSpaceDN/>
        <w:bidi w:val="0"/>
        <w:adjustRightInd/>
        <w:snapToGrid/>
        <w:spacing w:line="360" w:lineRule="auto"/>
        <w:ind w:firstLine="592" w:firstLineChars="200"/>
        <w:jc w:val="left"/>
        <w:textAlignment w:val="auto"/>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1.项目名称：</w:t>
      </w:r>
      <w:r>
        <w:rPr>
          <w:rFonts w:hint="eastAsia" w:ascii="仿宋" w:hAnsi="仿宋" w:eastAsia="仿宋" w:cs="仿宋"/>
          <w:bCs/>
          <w:color w:val="000000" w:themeColor="text1"/>
          <w:spacing w:val="8"/>
          <w:kern w:val="0"/>
          <w:sz w:val="28"/>
          <w:szCs w:val="28"/>
          <w:highlight w:val="none"/>
          <w:lang w:eastAsia="zh-CN"/>
          <w14:textFill>
            <w14:solidFill>
              <w14:schemeClr w14:val="tx1"/>
            </w14:solidFill>
          </w14:textFill>
        </w:rPr>
        <w:t>选定五金杂品及劳保用品供应单位</w:t>
      </w:r>
      <w:r>
        <w:rPr>
          <w:rFonts w:hint="eastAsia" w:ascii="仿宋" w:hAnsi="仿宋" w:eastAsia="仿宋" w:cs="仿宋"/>
          <w:bCs/>
          <w:color w:val="000000" w:themeColor="text1"/>
          <w:spacing w:val="8"/>
          <w:kern w:val="0"/>
          <w:sz w:val="28"/>
          <w:szCs w:val="28"/>
          <w:highlight w:val="none"/>
          <w14:textFill>
            <w14:solidFill>
              <w14:schemeClr w14:val="tx1"/>
            </w14:solidFill>
          </w14:textFill>
        </w:rPr>
        <w:t>。</w:t>
      </w:r>
    </w:p>
    <w:p w14:paraId="2C35D3CF">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bCs/>
          <w:color w:val="000000" w:themeColor="text1"/>
          <w:spacing w:val="8"/>
          <w:kern w:val="0"/>
          <w:sz w:val="28"/>
          <w:szCs w:val="28"/>
          <w:highlight w:val="none"/>
          <w:lang w:eastAsia="zh-CN"/>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2.项目概况：</w:t>
      </w:r>
      <w:r>
        <w:rPr>
          <w:rFonts w:hint="eastAsia" w:ascii="仿宋" w:hAnsi="仿宋" w:eastAsia="仿宋" w:cs="仿宋"/>
          <w:bCs/>
          <w:color w:val="000000" w:themeColor="text1"/>
          <w:spacing w:val="8"/>
          <w:kern w:val="0"/>
          <w:sz w:val="28"/>
          <w:szCs w:val="28"/>
          <w:highlight w:val="none"/>
          <w:lang w:eastAsia="zh-CN"/>
          <w14:textFill>
            <w14:solidFill>
              <w14:schemeClr w14:val="tx1"/>
            </w14:solidFill>
          </w14:textFill>
        </w:rPr>
        <w:t>威海市环翠园林工程有限公司通过公开招标的方式，选定</w:t>
      </w:r>
      <w:r>
        <w:rPr>
          <w:rFonts w:hint="eastAsia" w:ascii="仿宋" w:hAnsi="仿宋" w:eastAsia="仿宋" w:cs="仿宋"/>
          <w:bCs/>
          <w:color w:val="000000" w:themeColor="text1"/>
          <w:spacing w:val="8"/>
          <w:kern w:val="0"/>
          <w:sz w:val="28"/>
          <w:szCs w:val="28"/>
          <w:highlight w:val="none"/>
          <w:lang w:val="en-US" w:eastAsia="zh-CN"/>
          <w14:textFill>
            <w14:solidFill>
              <w14:schemeClr w14:val="tx1"/>
            </w14:solidFill>
          </w14:textFill>
        </w:rPr>
        <w:t>三家</w:t>
      </w:r>
      <w:r>
        <w:rPr>
          <w:rFonts w:hint="eastAsia" w:ascii="仿宋" w:hAnsi="仿宋" w:eastAsia="仿宋" w:cs="仿宋"/>
          <w:bCs/>
          <w:color w:val="000000" w:themeColor="text1"/>
          <w:spacing w:val="8"/>
          <w:kern w:val="0"/>
          <w:sz w:val="28"/>
          <w:szCs w:val="28"/>
          <w:highlight w:val="none"/>
          <w:lang w:eastAsia="zh-CN"/>
          <w14:textFill>
            <w14:solidFill>
              <w14:schemeClr w14:val="tx1"/>
            </w14:solidFill>
          </w14:textFill>
        </w:rPr>
        <w:t>五金杂品及劳保用品</w:t>
      </w:r>
      <w:r>
        <w:rPr>
          <w:rFonts w:hint="eastAsia" w:ascii="仿宋" w:hAnsi="仿宋" w:eastAsia="仿宋" w:cs="仿宋"/>
          <w:bCs/>
          <w:color w:val="000000" w:themeColor="text1"/>
          <w:spacing w:val="8"/>
          <w:kern w:val="0"/>
          <w:sz w:val="28"/>
          <w:szCs w:val="28"/>
          <w:highlight w:val="none"/>
          <w:lang w:val="en-US" w:eastAsia="zh-CN"/>
          <w14:textFill>
            <w14:solidFill>
              <w14:schemeClr w14:val="tx1"/>
            </w14:solidFill>
          </w14:textFill>
        </w:rPr>
        <w:t>供应单位</w:t>
      </w:r>
      <w:r>
        <w:rPr>
          <w:rFonts w:hint="eastAsia" w:ascii="仿宋" w:hAnsi="仿宋" w:eastAsia="仿宋" w:cs="仿宋"/>
          <w:bCs/>
          <w:color w:val="000000" w:themeColor="text1"/>
          <w:spacing w:val="8"/>
          <w:kern w:val="0"/>
          <w:sz w:val="28"/>
          <w:szCs w:val="28"/>
          <w:highlight w:val="none"/>
          <w:lang w:eastAsia="zh-CN"/>
          <w14:textFill>
            <w14:solidFill>
              <w14:schemeClr w14:val="tx1"/>
            </w14:solidFill>
          </w14:textFill>
        </w:rPr>
        <w:t>。</w:t>
      </w:r>
    </w:p>
    <w:p w14:paraId="6A1D5BFA">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3.服务期限：</w:t>
      </w:r>
      <w:r>
        <w:rPr>
          <w:rFonts w:hint="eastAsia" w:ascii="仿宋" w:hAnsi="仿宋" w:eastAsia="仿宋" w:cs="仿宋"/>
          <w:bCs/>
          <w:color w:val="000000" w:themeColor="text1"/>
          <w:spacing w:val="8"/>
          <w:kern w:val="0"/>
          <w:sz w:val="28"/>
          <w:szCs w:val="28"/>
          <w:highlight w:val="none"/>
          <w:lang w:val="en-US" w:eastAsia="zh-CN"/>
          <w14:textFill>
            <w14:solidFill>
              <w14:schemeClr w14:val="tx1"/>
            </w14:solidFill>
          </w14:textFill>
        </w:rPr>
        <w:t>自合同签订之日起2年</w:t>
      </w:r>
      <w:r>
        <w:rPr>
          <w:rFonts w:hint="eastAsia" w:ascii="仿宋" w:hAnsi="仿宋" w:eastAsia="仿宋" w:cs="仿宋"/>
          <w:bCs/>
          <w:color w:val="000000" w:themeColor="text1"/>
          <w:spacing w:val="8"/>
          <w:kern w:val="0"/>
          <w:sz w:val="28"/>
          <w:szCs w:val="28"/>
          <w:highlight w:val="none"/>
          <w14:textFill>
            <w14:solidFill>
              <w14:schemeClr w14:val="tx1"/>
            </w14:solidFill>
          </w14:textFill>
        </w:rPr>
        <w:t>。</w:t>
      </w:r>
    </w:p>
    <w:p w14:paraId="283DAE39">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4.质量标准：</w:t>
      </w:r>
      <w:r>
        <w:rPr>
          <w:rFonts w:hint="eastAsia" w:ascii="仿宋" w:hAnsi="仿宋" w:eastAsia="仿宋" w:cs="仿宋"/>
          <w:bCs/>
          <w:color w:val="000000" w:themeColor="text1"/>
          <w:spacing w:val="8"/>
          <w:kern w:val="0"/>
          <w:sz w:val="28"/>
          <w:szCs w:val="28"/>
          <w:highlight w:val="none"/>
          <w:lang w:eastAsia="zh-CN"/>
          <w14:textFill>
            <w14:solidFill>
              <w14:schemeClr w14:val="tx1"/>
            </w14:solidFill>
          </w14:textFill>
        </w:rPr>
        <w:t>满足招标人要求且达到国家验收规范合格标准。</w:t>
      </w:r>
    </w:p>
    <w:p w14:paraId="6F1EB5B6">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bCs/>
          <w:color w:val="000000" w:themeColor="text1"/>
          <w:spacing w:val="8"/>
          <w:kern w:val="0"/>
          <w:sz w:val="28"/>
          <w:szCs w:val="28"/>
          <w:highlight w:val="none"/>
          <w:lang w:val="en-US" w:eastAsia="zh-CN"/>
          <w14:textFill>
            <w14:solidFill>
              <w14:schemeClr w14:val="tx1"/>
            </w14:solidFill>
          </w14:textFill>
        </w:rPr>
      </w:pPr>
      <w:r>
        <w:rPr>
          <w:rFonts w:hint="eastAsia" w:ascii="仿宋" w:hAnsi="仿宋" w:eastAsia="仿宋" w:cs="仿宋"/>
          <w:bCs/>
          <w:color w:val="000000" w:themeColor="text1"/>
          <w:spacing w:val="8"/>
          <w:kern w:val="0"/>
          <w:sz w:val="28"/>
          <w:szCs w:val="28"/>
          <w:highlight w:val="none"/>
          <w:lang w:val="en-US" w:eastAsia="zh-CN"/>
          <w14:textFill>
            <w14:solidFill>
              <w14:schemeClr w14:val="tx1"/>
            </w14:solidFill>
          </w14:textFill>
        </w:rPr>
        <w:t>5.供货地点：招标人指定地点。</w:t>
      </w:r>
    </w:p>
    <w:p w14:paraId="540833FB">
      <w:pPr>
        <w:pageBreakBefore w:val="0"/>
        <w:widowControl/>
        <w:kinsoku/>
        <w:overflowPunct/>
        <w:topLinePunct w:val="0"/>
        <w:bidi w:val="0"/>
        <w:adjustRightInd/>
        <w:snapToGrid/>
        <w:spacing w:line="360" w:lineRule="auto"/>
        <w:ind w:firstLine="594" w:firstLineChars="200"/>
        <w:jc w:val="left"/>
        <w:rPr>
          <w:rFonts w:hint="eastAsia" w:ascii="仿宋" w:hAnsi="仿宋" w:eastAsia="仿宋" w:cs="仿宋"/>
          <w:b/>
          <w:color w:val="000000" w:themeColor="text1"/>
          <w:spacing w:val="8"/>
          <w:kern w:val="0"/>
          <w:sz w:val="28"/>
          <w:szCs w:val="28"/>
          <w:highlight w:val="none"/>
          <w14:textFill>
            <w14:solidFill>
              <w14:schemeClr w14:val="tx1"/>
            </w14:solidFill>
          </w14:textFill>
        </w:rPr>
      </w:pPr>
      <w:r>
        <w:rPr>
          <w:rFonts w:hint="eastAsia" w:ascii="仿宋" w:hAnsi="仿宋" w:eastAsia="仿宋" w:cs="仿宋"/>
          <w:b/>
          <w:color w:val="000000" w:themeColor="text1"/>
          <w:spacing w:val="8"/>
          <w:kern w:val="0"/>
          <w:sz w:val="28"/>
          <w:szCs w:val="28"/>
          <w:highlight w:val="none"/>
          <w14:textFill>
            <w14:solidFill>
              <w14:schemeClr w14:val="tx1"/>
            </w14:solidFill>
          </w14:textFill>
        </w:rPr>
        <w:t>三、投标人资格要求</w:t>
      </w:r>
    </w:p>
    <w:p w14:paraId="5F653A18">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bCs/>
          <w:color w:val="000000" w:themeColor="text1"/>
          <w:spacing w:val="8"/>
          <w:kern w:val="0"/>
          <w:sz w:val="28"/>
          <w:szCs w:val="28"/>
          <w:highlight w:val="none"/>
          <w:lang w:val="en-US" w:eastAsia="zh-CN"/>
          <w14:textFill>
            <w14:solidFill>
              <w14:schemeClr w14:val="tx1"/>
            </w14:solidFill>
          </w14:textFill>
        </w:rPr>
      </w:pPr>
      <w:r>
        <w:rPr>
          <w:rFonts w:hint="eastAsia" w:ascii="仿宋" w:hAnsi="仿宋" w:eastAsia="仿宋" w:cs="仿宋"/>
          <w:bCs/>
          <w:color w:val="000000" w:themeColor="text1"/>
          <w:spacing w:val="8"/>
          <w:kern w:val="0"/>
          <w:sz w:val="28"/>
          <w:szCs w:val="28"/>
          <w:highlight w:val="none"/>
          <w:lang w:val="en-US" w:eastAsia="zh-CN"/>
          <w14:textFill>
            <w14:solidFill>
              <w14:schemeClr w14:val="tx1"/>
            </w14:solidFill>
          </w14:textFill>
        </w:rPr>
        <w:t>1.具有独立承担民事责任的能力。</w:t>
      </w:r>
    </w:p>
    <w:p w14:paraId="4ACCA43B">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bCs/>
          <w:color w:val="000000" w:themeColor="text1"/>
          <w:spacing w:val="8"/>
          <w:kern w:val="0"/>
          <w:sz w:val="28"/>
          <w:szCs w:val="28"/>
          <w:highlight w:val="none"/>
          <w:lang w:val="en-US" w:eastAsia="zh-CN"/>
          <w14:textFill>
            <w14:solidFill>
              <w14:schemeClr w14:val="tx1"/>
            </w14:solidFill>
          </w14:textFill>
        </w:rPr>
      </w:pPr>
      <w:r>
        <w:rPr>
          <w:rFonts w:hint="eastAsia" w:ascii="仿宋" w:hAnsi="仿宋" w:eastAsia="仿宋" w:cs="仿宋"/>
          <w:bCs/>
          <w:color w:val="000000" w:themeColor="text1"/>
          <w:spacing w:val="8"/>
          <w:kern w:val="0"/>
          <w:sz w:val="28"/>
          <w:szCs w:val="28"/>
          <w:highlight w:val="none"/>
          <w:lang w:val="en-US" w:eastAsia="zh-CN"/>
          <w14:textFill>
            <w14:solidFill>
              <w14:schemeClr w14:val="tx1"/>
            </w14:solidFill>
          </w14:textFill>
        </w:rPr>
        <w:t>2.具有良好的商业信誉和健全的财务会计制度；</w:t>
      </w:r>
    </w:p>
    <w:p w14:paraId="75FAD07B">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bCs/>
          <w:color w:val="000000" w:themeColor="text1"/>
          <w:spacing w:val="8"/>
          <w:kern w:val="0"/>
          <w:sz w:val="28"/>
          <w:szCs w:val="28"/>
          <w:highlight w:val="none"/>
          <w:lang w:val="en-US" w:eastAsia="zh-CN"/>
          <w14:textFill>
            <w14:solidFill>
              <w14:schemeClr w14:val="tx1"/>
            </w14:solidFill>
          </w14:textFill>
        </w:rPr>
      </w:pPr>
      <w:r>
        <w:rPr>
          <w:rFonts w:hint="eastAsia" w:ascii="仿宋" w:hAnsi="仿宋" w:eastAsia="仿宋" w:cs="仿宋"/>
          <w:bCs/>
          <w:color w:val="000000" w:themeColor="text1"/>
          <w:spacing w:val="8"/>
          <w:kern w:val="0"/>
          <w:sz w:val="28"/>
          <w:szCs w:val="28"/>
          <w:highlight w:val="none"/>
          <w:lang w:val="en-US" w:eastAsia="zh-CN"/>
          <w14:textFill>
            <w14:solidFill>
              <w14:schemeClr w14:val="tx1"/>
            </w14:solidFill>
          </w14:textFill>
        </w:rPr>
        <w:t>3.具有履行合同所必需的设备和专业技术能力；</w:t>
      </w:r>
    </w:p>
    <w:p w14:paraId="1A7672E4">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bCs/>
          <w:color w:val="000000" w:themeColor="text1"/>
          <w:spacing w:val="8"/>
          <w:kern w:val="0"/>
          <w:sz w:val="28"/>
          <w:szCs w:val="28"/>
          <w:highlight w:val="none"/>
          <w:lang w:val="en-US" w:eastAsia="zh-CN"/>
          <w14:textFill>
            <w14:solidFill>
              <w14:schemeClr w14:val="tx1"/>
            </w14:solidFill>
          </w14:textFill>
        </w:rPr>
      </w:pPr>
      <w:r>
        <w:rPr>
          <w:rFonts w:hint="eastAsia" w:ascii="仿宋" w:hAnsi="仿宋" w:eastAsia="仿宋" w:cs="仿宋"/>
          <w:bCs/>
          <w:color w:val="000000" w:themeColor="text1"/>
          <w:spacing w:val="8"/>
          <w:kern w:val="0"/>
          <w:sz w:val="28"/>
          <w:szCs w:val="28"/>
          <w:highlight w:val="none"/>
          <w:lang w:val="en-US" w:eastAsia="zh-CN"/>
          <w14:textFill>
            <w14:solidFill>
              <w14:schemeClr w14:val="tx1"/>
            </w14:solidFill>
          </w14:textFill>
        </w:rPr>
        <w:t>4.具有依法缴纳税收和社会保障资金的良好记录；</w:t>
      </w:r>
    </w:p>
    <w:p w14:paraId="5460666C">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bCs/>
          <w:color w:val="000000" w:themeColor="text1"/>
          <w:spacing w:val="8"/>
          <w:kern w:val="0"/>
          <w:sz w:val="28"/>
          <w:szCs w:val="28"/>
          <w:highlight w:val="none"/>
          <w:lang w:val="en-US" w:eastAsia="zh-CN"/>
          <w14:textFill>
            <w14:solidFill>
              <w14:schemeClr w14:val="tx1"/>
            </w14:solidFill>
          </w14:textFill>
        </w:rPr>
      </w:pPr>
      <w:r>
        <w:rPr>
          <w:rFonts w:hint="eastAsia" w:ascii="仿宋" w:hAnsi="仿宋" w:eastAsia="仿宋" w:cs="仿宋"/>
          <w:bCs/>
          <w:color w:val="000000" w:themeColor="text1"/>
          <w:spacing w:val="8"/>
          <w:kern w:val="0"/>
          <w:sz w:val="28"/>
          <w:szCs w:val="28"/>
          <w:highlight w:val="none"/>
          <w:lang w:val="en-US" w:eastAsia="zh-CN"/>
          <w14:textFill>
            <w14:solidFill>
              <w14:schemeClr w14:val="tx1"/>
            </w14:solidFill>
          </w14:textFill>
        </w:rPr>
        <w:t>5.参加本次采购活动前三年内，在经营活动中没有重大违法记录；</w:t>
      </w:r>
    </w:p>
    <w:p w14:paraId="0FB72B62">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bCs/>
          <w:color w:val="000000" w:themeColor="text1"/>
          <w:spacing w:val="8"/>
          <w:kern w:val="0"/>
          <w:sz w:val="28"/>
          <w:szCs w:val="28"/>
          <w:highlight w:val="none"/>
          <w:lang w:val="en-US" w:eastAsia="zh-CN"/>
          <w14:textFill>
            <w14:solidFill>
              <w14:schemeClr w14:val="tx1"/>
            </w14:solidFill>
          </w14:textFill>
        </w:rPr>
      </w:pPr>
      <w:r>
        <w:rPr>
          <w:rFonts w:hint="eastAsia" w:ascii="仿宋" w:hAnsi="仿宋" w:eastAsia="仿宋" w:cs="仿宋"/>
          <w:bCs/>
          <w:color w:val="000000" w:themeColor="text1"/>
          <w:spacing w:val="8"/>
          <w:kern w:val="0"/>
          <w:sz w:val="28"/>
          <w:szCs w:val="28"/>
          <w:highlight w:val="none"/>
          <w:lang w:val="en-US" w:eastAsia="zh-CN"/>
          <w14:textFill>
            <w14:solidFill>
              <w14:schemeClr w14:val="tx1"/>
            </w14:solidFill>
          </w14:textFill>
        </w:rPr>
        <w:t>6.投标人及其法定代表人、委托代理人未被最高法院列入失信被执行人；</w:t>
      </w:r>
    </w:p>
    <w:p w14:paraId="684E4A31">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bCs/>
          <w:color w:val="000000" w:themeColor="text1"/>
          <w:spacing w:val="8"/>
          <w:kern w:val="0"/>
          <w:sz w:val="28"/>
          <w:szCs w:val="28"/>
          <w:highlight w:val="none"/>
          <w:lang w:val="en-US" w:eastAsia="zh-CN"/>
          <w14:textFill>
            <w14:solidFill>
              <w14:schemeClr w14:val="tx1"/>
            </w14:solidFill>
          </w14:textFill>
        </w:rPr>
      </w:pPr>
      <w:r>
        <w:rPr>
          <w:rFonts w:hint="eastAsia" w:ascii="仿宋" w:hAnsi="仿宋" w:eastAsia="仿宋" w:cs="仿宋"/>
          <w:bCs/>
          <w:color w:val="000000" w:themeColor="text1"/>
          <w:spacing w:val="8"/>
          <w:kern w:val="0"/>
          <w:sz w:val="28"/>
          <w:szCs w:val="28"/>
          <w:highlight w:val="none"/>
          <w:lang w:val="en-US" w:eastAsia="zh-CN"/>
          <w14:textFill>
            <w14:solidFill>
              <w14:schemeClr w14:val="tx1"/>
            </w14:solidFill>
          </w14:textFill>
        </w:rPr>
        <w:t>7.投标人近一年在“信用中国”或“信用中国（山东）”无严重失信记录；</w:t>
      </w:r>
    </w:p>
    <w:p w14:paraId="52213214">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bCs/>
          <w:color w:val="000000" w:themeColor="text1"/>
          <w:spacing w:val="8"/>
          <w:kern w:val="0"/>
          <w:sz w:val="28"/>
          <w:szCs w:val="28"/>
          <w:highlight w:val="none"/>
          <w:lang w:val="en-US" w:eastAsia="zh-CN"/>
          <w14:textFill>
            <w14:solidFill>
              <w14:schemeClr w14:val="tx1"/>
            </w14:solidFill>
          </w14:textFill>
        </w:rPr>
      </w:pPr>
      <w:r>
        <w:rPr>
          <w:rFonts w:hint="eastAsia" w:ascii="仿宋" w:hAnsi="仿宋" w:eastAsia="仿宋" w:cs="仿宋"/>
          <w:bCs/>
          <w:color w:val="000000" w:themeColor="text1"/>
          <w:spacing w:val="8"/>
          <w:kern w:val="0"/>
          <w:sz w:val="28"/>
          <w:szCs w:val="28"/>
          <w:highlight w:val="none"/>
          <w:lang w:val="en-US" w:eastAsia="zh-CN"/>
          <w14:textFill>
            <w14:solidFill>
              <w14:schemeClr w14:val="tx1"/>
            </w14:solidFill>
          </w14:textFill>
        </w:rPr>
        <w:t>8.投标人及其法定代表人、委托代理人近三年内无行贿犯罪行为记录（若投标人成立时间不足三年，则承诺自成立时间至今，无行贿犯罪行为记录）；</w:t>
      </w:r>
    </w:p>
    <w:p w14:paraId="7DA350BE">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bCs/>
          <w:color w:val="000000" w:themeColor="text1"/>
          <w:spacing w:val="8"/>
          <w:kern w:val="0"/>
          <w:sz w:val="28"/>
          <w:szCs w:val="28"/>
          <w:highlight w:val="none"/>
          <w:lang w:val="en-US" w:eastAsia="zh-CN"/>
          <w14:textFill>
            <w14:solidFill>
              <w14:schemeClr w14:val="tx1"/>
            </w14:solidFill>
          </w14:textFill>
        </w:rPr>
      </w:pPr>
      <w:r>
        <w:rPr>
          <w:rFonts w:hint="eastAsia" w:ascii="仿宋" w:hAnsi="仿宋" w:eastAsia="仿宋" w:cs="仿宋"/>
          <w:bCs/>
          <w:color w:val="000000" w:themeColor="text1"/>
          <w:spacing w:val="8"/>
          <w:kern w:val="0"/>
          <w:sz w:val="28"/>
          <w:szCs w:val="28"/>
          <w:highlight w:val="none"/>
          <w:lang w:val="en-US" w:eastAsia="zh-CN"/>
          <w14:textFill>
            <w14:solidFill>
              <w14:schemeClr w14:val="tx1"/>
            </w14:solidFill>
          </w14:textFill>
        </w:rPr>
        <w:t>9.法律、法规规定的其他条件；</w:t>
      </w:r>
    </w:p>
    <w:p w14:paraId="374E04A8">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bCs/>
          <w:color w:val="000000" w:themeColor="text1"/>
          <w:spacing w:val="8"/>
          <w:kern w:val="0"/>
          <w:sz w:val="28"/>
          <w:szCs w:val="28"/>
          <w:highlight w:val="none"/>
          <w:lang w:val="en-US" w:eastAsia="zh-CN"/>
          <w14:textFill>
            <w14:solidFill>
              <w14:schemeClr w14:val="tx1"/>
            </w14:solidFill>
          </w14:textFill>
        </w:rPr>
      </w:pPr>
      <w:r>
        <w:rPr>
          <w:rFonts w:hint="eastAsia" w:ascii="仿宋" w:hAnsi="仿宋" w:eastAsia="仿宋" w:cs="仿宋"/>
          <w:bCs/>
          <w:color w:val="000000" w:themeColor="text1"/>
          <w:spacing w:val="8"/>
          <w:kern w:val="0"/>
          <w:sz w:val="28"/>
          <w:szCs w:val="28"/>
          <w:highlight w:val="none"/>
          <w:lang w:val="en-US" w:eastAsia="zh-CN"/>
          <w14:textFill>
            <w14:solidFill>
              <w14:schemeClr w14:val="tx1"/>
            </w14:solidFill>
          </w14:textFill>
        </w:rPr>
        <w:t>10.本次招标不接受联合体投标。</w:t>
      </w:r>
    </w:p>
    <w:p w14:paraId="15E0B66D">
      <w:pPr>
        <w:pageBreakBefore w:val="0"/>
        <w:widowControl/>
        <w:kinsoku/>
        <w:overflowPunct/>
        <w:topLinePunct w:val="0"/>
        <w:bidi w:val="0"/>
        <w:adjustRightInd/>
        <w:snapToGrid/>
        <w:spacing w:line="360" w:lineRule="auto"/>
        <w:ind w:firstLine="594" w:firstLineChars="200"/>
        <w:jc w:val="left"/>
        <w:rPr>
          <w:rFonts w:hint="eastAsia" w:ascii="仿宋" w:hAnsi="仿宋" w:eastAsia="仿宋" w:cs="仿宋"/>
          <w:b/>
          <w:color w:val="000000" w:themeColor="text1"/>
          <w:spacing w:val="8"/>
          <w:kern w:val="0"/>
          <w:sz w:val="28"/>
          <w:szCs w:val="28"/>
          <w:highlight w:val="none"/>
          <w14:textFill>
            <w14:solidFill>
              <w14:schemeClr w14:val="tx1"/>
            </w14:solidFill>
          </w14:textFill>
        </w:rPr>
      </w:pPr>
      <w:r>
        <w:rPr>
          <w:rFonts w:hint="eastAsia" w:ascii="仿宋" w:hAnsi="仿宋" w:eastAsia="仿宋" w:cs="仿宋"/>
          <w:b/>
          <w:color w:val="000000" w:themeColor="text1"/>
          <w:spacing w:val="8"/>
          <w:kern w:val="0"/>
          <w:sz w:val="28"/>
          <w:szCs w:val="28"/>
          <w:highlight w:val="none"/>
          <w14:textFill>
            <w14:solidFill>
              <w14:schemeClr w14:val="tx1"/>
            </w14:solidFill>
          </w14:textFill>
        </w:rPr>
        <w:t>四、获取文件时间及地点</w:t>
      </w:r>
    </w:p>
    <w:p w14:paraId="3BA283C3">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1.获取时间：</w:t>
      </w:r>
      <w:r>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t>2026年</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6</w:t>
      </w:r>
      <w:r>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t>月</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4</w:t>
      </w:r>
      <w:r>
        <w:rPr>
          <w:rFonts w:hint="eastAsia" w:ascii="仿宋" w:hAnsi="仿宋" w:eastAsia="仿宋" w:cs="仿宋"/>
          <w:color w:val="000000" w:themeColor="text1"/>
          <w:spacing w:val="8"/>
          <w:kern w:val="0"/>
          <w:sz w:val="28"/>
          <w:szCs w:val="28"/>
          <w:highlight w:val="none"/>
          <w14:textFill>
            <w14:solidFill>
              <w14:schemeClr w14:val="tx1"/>
            </w14:solidFill>
          </w14:textFill>
        </w:rPr>
        <w:t>日</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17</w:t>
      </w:r>
      <w:r>
        <w:rPr>
          <w:rFonts w:hint="eastAsia" w:ascii="仿宋" w:hAnsi="仿宋" w:eastAsia="仿宋" w:cs="仿宋"/>
          <w:color w:val="000000" w:themeColor="text1"/>
          <w:spacing w:val="8"/>
          <w:kern w:val="0"/>
          <w:sz w:val="28"/>
          <w:szCs w:val="28"/>
          <w:highlight w:val="none"/>
          <w14:textFill>
            <w14:solidFill>
              <w14:schemeClr w14:val="tx1"/>
            </w14:solidFill>
          </w14:textFill>
        </w:rPr>
        <w:t>时</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30</w:t>
      </w:r>
      <w:r>
        <w:rPr>
          <w:rFonts w:hint="eastAsia" w:ascii="仿宋" w:hAnsi="仿宋" w:eastAsia="仿宋" w:cs="仿宋"/>
          <w:color w:val="000000" w:themeColor="text1"/>
          <w:spacing w:val="8"/>
          <w:kern w:val="0"/>
          <w:sz w:val="28"/>
          <w:szCs w:val="28"/>
          <w:highlight w:val="none"/>
          <w14:textFill>
            <w14:solidFill>
              <w14:schemeClr w14:val="tx1"/>
            </w14:solidFill>
          </w14:textFill>
        </w:rPr>
        <w:t>分至</w:t>
      </w:r>
      <w:r>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t>2026年</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6</w:t>
      </w:r>
      <w:r>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t>月</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11</w:t>
      </w:r>
      <w:r>
        <w:rPr>
          <w:rFonts w:hint="eastAsia" w:ascii="仿宋" w:hAnsi="仿宋" w:eastAsia="仿宋" w:cs="仿宋"/>
          <w:color w:val="000000" w:themeColor="text1"/>
          <w:spacing w:val="8"/>
          <w:kern w:val="0"/>
          <w:sz w:val="28"/>
          <w:szCs w:val="28"/>
          <w:highlight w:val="none"/>
          <w14:textFill>
            <w14:solidFill>
              <w14:schemeClr w14:val="tx1"/>
            </w14:solidFill>
          </w14:textFill>
        </w:rPr>
        <w:t>日</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17</w:t>
      </w:r>
      <w:r>
        <w:rPr>
          <w:rFonts w:hint="eastAsia" w:ascii="仿宋" w:hAnsi="仿宋" w:eastAsia="仿宋" w:cs="仿宋"/>
          <w:color w:val="000000" w:themeColor="text1"/>
          <w:spacing w:val="8"/>
          <w:kern w:val="0"/>
          <w:sz w:val="28"/>
          <w:szCs w:val="28"/>
          <w:highlight w:val="none"/>
          <w14:textFill>
            <w14:solidFill>
              <w14:schemeClr w14:val="tx1"/>
            </w14:solidFill>
          </w14:textFill>
        </w:rPr>
        <w:t>时</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30</w:t>
      </w:r>
      <w:r>
        <w:rPr>
          <w:rFonts w:hint="eastAsia" w:ascii="仿宋" w:hAnsi="仿宋" w:eastAsia="仿宋" w:cs="仿宋"/>
          <w:color w:val="000000" w:themeColor="text1"/>
          <w:spacing w:val="8"/>
          <w:kern w:val="0"/>
          <w:sz w:val="28"/>
          <w:szCs w:val="28"/>
          <w:highlight w:val="none"/>
          <w14:textFill>
            <w14:solidFill>
              <w14:schemeClr w14:val="tx1"/>
            </w14:solidFill>
          </w14:textFill>
        </w:rPr>
        <w:t>分（北京时间）。</w:t>
      </w:r>
    </w:p>
    <w:p w14:paraId="7A451D1F">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2.</w:t>
      </w:r>
      <w:r>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t>获取地点：</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登录“威海市公共资源交易网”首页右侧“交易服务</w:t>
      </w:r>
      <w:bookmarkStart w:id="8" w:name="OLE_LINK10"/>
      <w:bookmarkStart w:id="9" w:name="OLE_LINK9"/>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一网通办系统</w:t>
      </w:r>
      <w:bookmarkEnd w:id="8"/>
      <w:bookmarkEnd w:id="9"/>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-（新版）一网通办系统”进行“平台切换”，点击“国企采购”进入国企阳光采购平台获取文件(网址：http://ggzyjy.weihai.cn/)。逾期无法从威海市国有企业阳光采购服务平台中获取文件，</w:t>
      </w:r>
      <w:r>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t>未在规定时间内从系统中获取招标文件的投标人将无法提交电子投标文件。交易服务一网通办系统技术支持电话：4009980000（受理问题：系统登录、CA锁绑定、平台切换），一网通办技术支持QQ群：1143439694；CA锁办理咨询电话：0631-5172975；国企采购技术支持电话：17863029936，国企技术支持QQ群（投标人）：1046971257。</w:t>
      </w:r>
    </w:p>
    <w:p w14:paraId="1CB452B2">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pPr>
      <w:r>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t>注：未注册用户请先免费注册。在“威海市国有企业阳光采购电子化服务平台”（“威海市公共资源交易网”右侧“交易服务一网通办系统”按钮）登录端口注册登记，并办理“安全证书（CA）”和“电子签章”进行获取文件。“安全证书（CA）”和“电子签章”办理请按照“威海市公共资源交易网”右侧“CA办理”中“CA证书办理介绍”进行办理。</w:t>
      </w:r>
    </w:p>
    <w:p w14:paraId="495795CA">
      <w:pPr>
        <w:pageBreakBefore w:val="0"/>
        <w:widowControl/>
        <w:shd w:val="clear" w:color="auto" w:fill="FFFFFF"/>
        <w:kinsoku/>
        <w:overflowPunct/>
        <w:topLinePunct w:val="0"/>
        <w:bidi w:val="0"/>
        <w:adjustRightInd/>
        <w:snapToGrid/>
        <w:spacing w:line="360" w:lineRule="auto"/>
        <w:ind w:firstLine="539"/>
        <w:rPr>
          <w:rFonts w:hint="eastAsia" w:ascii="仿宋" w:hAnsi="仿宋" w:eastAsia="仿宋" w:cs="仿宋"/>
          <w:b/>
          <w:color w:val="000000" w:themeColor="text1"/>
          <w:spacing w:val="8"/>
          <w:kern w:val="0"/>
          <w:sz w:val="28"/>
          <w:szCs w:val="28"/>
          <w:highlight w:val="none"/>
          <w14:textFill>
            <w14:solidFill>
              <w14:schemeClr w14:val="tx1"/>
            </w14:solidFill>
          </w14:textFill>
        </w:rPr>
      </w:pPr>
      <w:r>
        <w:rPr>
          <w:rFonts w:hint="eastAsia" w:ascii="仿宋" w:hAnsi="仿宋" w:eastAsia="仿宋" w:cs="仿宋"/>
          <w:b/>
          <w:color w:val="000000" w:themeColor="text1"/>
          <w:spacing w:val="8"/>
          <w:kern w:val="0"/>
          <w:sz w:val="28"/>
          <w:szCs w:val="28"/>
          <w:highlight w:val="none"/>
          <w14:textFill>
            <w14:solidFill>
              <w14:schemeClr w14:val="tx1"/>
            </w14:solidFill>
          </w14:textFill>
        </w:rPr>
        <w:t>五、投标文件提交</w:t>
      </w:r>
    </w:p>
    <w:p w14:paraId="099D1965">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提交投标文件截止时间：202</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6</w:t>
      </w:r>
      <w:r>
        <w:rPr>
          <w:rFonts w:hint="eastAsia" w:ascii="仿宋" w:hAnsi="仿宋" w:eastAsia="仿宋" w:cs="仿宋"/>
          <w:color w:val="000000" w:themeColor="text1"/>
          <w:spacing w:val="8"/>
          <w:kern w:val="0"/>
          <w:sz w:val="28"/>
          <w:szCs w:val="28"/>
          <w:highlight w:val="none"/>
          <w14:textFill>
            <w14:solidFill>
              <w14:schemeClr w14:val="tx1"/>
            </w14:solidFill>
          </w14:textFill>
        </w:rPr>
        <w:t>年</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6</w:t>
      </w:r>
      <w:r>
        <w:rPr>
          <w:rFonts w:hint="eastAsia" w:ascii="仿宋" w:hAnsi="仿宋" w:eastAsia="仿宋" w:cs="仿宋"/>
          <w:color w:val="000000" w:themeColor="text1"/>
          <w:spacing w:val="8"/>
          <w:kern w:val="0"/>
          <w:sz w:val="28"/>
          <w:szCs w:val="28"/>
          <w:highlight w:val="none"/>
          <w14:textFill>
            <w14:solidFill>
              <w14:schemeClr w14:val="tx1"/>
            </w14:solidFill>
          </w14:textFill>
        </w:rPr>
        <w:t>月</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17</w:t>
      </w:r>
      <w:r>
        <w:rPr>
          <w:rFonts w:hint="eastAsia" w:ascii="仿宋" w:hAnsi="仿宋" w:eastAsia="仿宋" w:cs="仿宋"/>
          <w:color w:val="000000" w:themeColor="text1"/>
          <w:spacing w:val="8"/>
          <w:kern w:val="0"/>
          <w:sz w:val="28"/>
          <w:szCs w:val="28"/>
          <w:highlight w:val="none"/>
          <w14:textFill>
            <w14:solidFill>
              <w14:schemeClr w14:val="tx1"/>
            </w14:solidFill>
          </w14:textFill>
        </w:rPr>
        <w:t>日</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9</w:t>
      </w:r>
      <w:r>
        <w:rPr>
          <w:rFonts w:hint="eastAsia" w:ascii="仿宋" w:hAnsi="仿宋" w:eastAsia="仿宋" w:cs="仿宋"/>
          <w:color w:val="000000" w:themeColor="text1"/>
          <w:spacing w:val="8"/>
          <w:kern w:val="0"/>
          <w:sz w:val="28"/>
          <w:szCs w:val="28"/>
          <w:highlight w:val="none"/>
          <w14:textFill>
            <w14:solidFill>
              <w14:schemeClr w14:val="tx1"/>
            </w14:solidFill>
          </w14:textFill>
        </w:rPr>
        <w:t>时</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00</w:t>
      </w:r>
      <w:r>
        <w:rPr>
          <w:rFonts w:hint="eastAsia" w:ascii="仿宋" w:hAnsi="仿宋" w:eastAsia="仿宋" w:cs="仿宋"/>
          <w:color w:val="000000" w:themeColor="text1"/>
          <w:spacing w:val="8"/>
          <w:kern w:val="0"/>
          <w:sz w:val="28"/>
          <w:szCs w:val="28"/>
          <w:highlight w:val="none"/>
          <w14:textFill>
            <w14:solidFill>
              <w14:schemeClr w14:val="tx1"/>
            </w14:solidFill>
          </w14:textFill>
        </w:rPr>
        <w:t>分；</w:t>
      </w:r>
    </w:p>
    <w:p w14:paraId="01B920B5">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地点：</w:t>
      </w:r>
      <w:r>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t>登录“威海市公共资源交易网”首页右侧“交易服务一网通办系统-（新版）一网通办系统”进行“平台切换”点击“国企采购”进入国企阳光采购平台进行提交。</w:t>
      </w:r>
      <w:r>
        <w:rPr>
          <w:rFonts w:hint="eastAsia" w:ascii="仿宋" w:hAnsi="仿宋" w:eastAsia="仿宋" w:cs="仿宋"/>
          <w:color w:val="000000" w:themeColor="text1"/>
          <w:spacing w:val="8"/>
          <w:kern w:val="0"/>
          <w:sz w:val="28"/>
          <w:szCs w:val="28"/>
          <w:highlight w:val="none"/>
          <w14:textFill>
            <w14:solidFill>
              <w14:schemeClr w14:val="tx1"/>
            </w14:solidFill>
          </w14:textFill>
        </w:rPr>
        <w:t>已在威海市国有企业阳光采购电子化服务平台获取文件的投标人在规定时间内提交电子投标文件。</w:t>
      </w:r>
    </w:p>
    <w:p w14:paraId="4F0C00F0">
      <w:pPr>
        <w:pageBreakBefore w:val="0"/>
        <w:widowControl/>
        <w:kinsoku/>
        <w:overflowPunct/>
        <w:topLinePunct w:val="0"/>
        <w:bidi w:val="0"/>
        <w:adjustRightInd/>
        <w:snapToGrid/>
        <w:spacing w:line="360" w:lineRule="auto"/>
        <w:ind w:firstLine="594" w:firstLineChars="200"/>
        <w:jc w:val="left"/>
        <w:rPr>
          <w:rFonts w:hint="eastAsia" w:ascii="仿宋" w:hAnsi="仿宋" w:eastAsia="仿宋" w:cs="仿宋"/>
          <w:b/>
          <w:color w:val="000000" w:themeColor="text1"/>
          <w:spacing w:val="8"/>
          <w:kern w:val="0"/>
          <w:sz w:val="28"/>
          <w:szCs w:val="28"/>
          <w:highlight w:val="none"/>
          <w14:textFill>
            <w14:solidFill>
              <w14:schemeClr w14:val="tx1"/>
            </w14:solidFill>
          </w14:textFill>
        </w:rPr>
      </w:pPr>
      <w:r>
        <w:rPr>
          <w:rFonts w:hint="eastAsia" w:ascii="仿宋" w:hAnsi="仿宋" w:eastAsia="仿宋" w:cs="仿宋"/>
          <w:b/>
          <w:color w:val="000000" w:themeColor="text1"/>
          <w:spacing w:val="8"/>
          <w:kern w:val="0"/>
          <w:sz w:val="28"/>
          <w:szCs w:val="28"/>
          <w:highlight w:val="none"/>
          <w14:textFill>
            <w14:solidFill>
              <w14:schemeClr w14:val="tx1"/>
            </w14:solidFill>
          </w14:textFill>
        </w:rPr>
        <w:t>六、开启时间及地点</w:t>
      </w:r>
    </w:p>
    <w:p w14:paraId="4075F394">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时间：202</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6</w:t>
      </w:r>
      <w:r>
        <w:rPr>
          <w:rFonts w:hint="eastAsia" w:ascii="仿宋" w:hAnsi="仿宋" w:eastAsia="仿宋" w:cs="仿宋"/>
          <w:color w:val="000000" w:themeColor="text1"/>
          <w:spacing w:val="8"/>
          <w:kern w:val="0"/>
          <w:sz w:val="28"/>
          <w:szCs w:val="28"/>
          <w:highlight w:val="none"/>
          <w14:textFill>
            <w14:solidFill>
              <w14:schemeClr w14:val="tx1"/>
            </w14:solidFill>
          </w14:textFill>
        </w:rPr>
        <w:t>年</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6</w:t>
      </w:r>
      <w:r>
        <w:rPr>
          <w:rFonts w:hint="eastAsia" w:ascii="仿宋" w:hAnsi="仿宋" w:eastAsia="仿宋" w:cs="仿宋"/>
          <w:color w:val="000000" w:themeColor="text1"/>
          <w:spacing w:val="8"/>
          <w:kern w:val="0"/>
          <w:sz w:val="28"/>
          <w:szCs w:val="28"/>
          <w:highlight w:val="none"/>
          <w14:textFill>
            <w14:solidFill>
              <w14:schemeClr w14:val="tx1"/>
            </w14:solidFill>
          </w14:textFill>
        </w:rPr>
        <w:t>月</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17</w:t>
      </w:r>
      <w:r>
        <w:rPr>
          <w:rFonts w:hint="eastAsia" w:ascii="仿宋" w:hAnsi="仿宋" w:eastAsia="仿宋" w:cs="仿宋"/>
          <w:color w:val="000000" w:themeColor="text1"/>
          <w:spacing w:val="8"/>
          <w:kern w:val="0"/>
          <w:sz w:val="28"/>
          <w:szCs w:val="28"/>
          <w:highlight w:val="none"/>
          <w14:textFill>
            <w14:solidFill>
              <w14:schemeClr w14:val="tx1"/>
            </w14:solidFill>
          </w14:textFill>
        </w:rPr>
        <w:t>日</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9</w:t>
      </w:r>
      <w:r>
        <w:rPr>
          <w:rFonts w:hint="eastAsia" w:ascii="仿宋" w:hAnsi="仿宋" w:eastAsia="仿宋" w:cs="仿宋"/>
          <w:color w:val="000000" w:themeColor="text1"/>
          <w:spacing w:val="8"/>
          <w:kern w:val="0"/>
          <w:sz w:val="28"/>
          <w:szCs w:val="28"/>
          <w:highlight w:val="none"/>
          <w14:textFill>
            <w14:solidFill>
              <w14:schemeClr w14:val="tx1"/>
            </w14:solidFill>
          </w14:textFill>
        </w:rPr>
        <w:t>时</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00</w:t>
      </w:r>
      <w:r>
        <w:rPr>
          <w:rFonts w:hint="eastAsia" w:ascii="仿宋" w:hAnsi="仿宋" w:eastAsia="仿宋" w:cs="仿宋"/>
          <w:color w:val="000000" w:themeColor="text1"/>
          <w:spacing w:val="8"/>
          <w:kern w:val="0"/>
          <w:sz w:val="28"/>
          <w:szCs w:val="28"/>
          <w:highlight w:val="none"/>
          <w14:textFill>
            <w14:solidFill>
              <w14:schemeClr w14:val="tx1"/>
            </w14:solidFill>
          </w14:textFill>
        </w:rPr>
        <w:t>分（北京时间）；</w:t>
      </w:r>
    </w:p>
    <w:p w14:paraId="604E5278">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地点：</w:t>
      </w:r>
      <w:bookmarkStart w:id="10" w:name="OLE_LINK3"/>
      <w:r>
        <w:rPr>
          <w:rFonts w:hint="eastAsia" w:ascii="仿宋" w:hAnsi="仿宋" w:eastAsia="仿宋" w:cs="仿宋"/>
          <w:color w:val="000000" w:themeColor="text1"/>
          <w:spacing w:val="8"/>
          <w:kern w:val="0"/>
          <w:sz w:val="28"/>
          <w:szCs w:val="28"/>
          <w:highlight w:val="none"/>
          <w14:textFill>
            <w14:solidFill>
              <w14:schemeClr w14:val="tx1"/>
            </w14:solidFill>
          </w14:textFill>
        </w:rPr>
        <w:t>威海市公共资源交易中心交易</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六</w:t>
      </w:r>
      <w:r>
        <w:rPr>
          <w:rFonts w:hint="eastAsia" w:ascii="仿宋" w:hAnsi="仿宋" w:eastAsia="仿宋" w:cs="仿宋"/>
          <w:color w:val="000000" w:themeColor="text1"/>
          <w:spacing w:val="8"/>
          <w:kern w:val="0"/>
          <w:sz w:val="28"/>
          <w:szCs w:val="28"/>
          <w:highlight w:val="none"/>
          <w14:textFill>
            <w14:solidFill>
              <w14:schemeClr w14:val="tx1"/>
            </w14:solidFill>
          </w14:textFill>
        </w:rPr>
        <w:t>厅（威海市环翠区塔山中路317号四楼）</w:t>
      </w:r>
      <w:bookmarkEnd w:id="10"/>
      <w:r>
        <w:rPr>
          <w:rFonts w:hint="eastAsia" w:ascii="仿宋" w:hAnsi="仿宋" w:eastAsia="仿宋" w:cs="仿宋"/>
          <w:color w:val="000000" w:themeColor="text1"/>
          <w:spacing w:val="8"/>
          <w:kern w:val="0"/>
          <w:sz w:val="28"/>
          <w:szCs w:val="28"/>
          <w:highlight w:val="none"/>
          <w14:textFill>
            <w14:solidFill>
              <w14:schemeClr w14:val="tx1"/>
            </w14:solidFill>
          </w14:textFill>
        </w:rPr>
        <w:t>。</w:t>
      </w:r>
    </w:p>
    <w:p w14:paraId="5C4A8A10">
      <w:pPr>
        <w:pageBreakBefore w:val="0"/>
        <w:widowControl/>
        <w:kinsoku/>
        <w:overflowPunct/>
        <w:topLinePunct w:val="0"/>
        <w:bidi w:val="0"/>
        <w:adjustRightInd/>
        <w:snapToGrid/>
        <w:spacing w:line="360" w:lineRule="auto"/>
        <w:ind w:firstLine="594" w:firstLineChars="200"/>
        <w:jc w:val="left"/>
        <w:rPr>
          <w:rFonts w:hint="eastAsia" w:ascii="仿宋" w:hAnsi="仿宋" w:eastAsia="仿宋" w:cs="仿宋"/>
          <w:b/>
          <w:color w:val="000000" w:themeColor="text1"/>
          <w:spacing w:val="8"/>
          <w:kern w:val="0"/>
          <w:sz w:val="28"/>
          <w:szCs w:val="28"/>
          <w:highlight w:val="none"/>
          <w14:textFill>
            <w14:solidFill>
              <w14:schemeClr w14:val="tx1"/>
            </w14:solidFill>
          </w14:textFill>
        </w:rPr>
      </w:pPr>
      <w:r>
        <w:rPr>
          <w:rFonts w:hint="eastAsia" w:ascii="仿宋" w:hAnsi="仿宋" w:eastAsia="仿宋" w:cs="仿宋"/>
          <w:b/>
          <w:color w:val="000000" w:themeColor="text1"/>
          <w:spacing w:val="8"/>
          <w:kern w:val="0"/>
          <w:sz w:val="28"/>
          <w:szCs w:val="28"/>
          <w:highlight w:val="none"/>
          <w14:textFill>
            <w14:solidFill>
              <w14:schemeClr w14:val="tx1"/>
            </w14:solidFill>
          </w14:textFill>
        </w:rPr>
        <w:t xml:space="preserve">七、发布公告的媒介 </w:t>
      </w:r>
    </w:p>
    <w:p w14:paraId="6B2C504D">
      <w:pPr>
        <w:keepNext w:val="0"/>
        <w:keepLines w:val="0"/>
        <w:pageBreakBefore w:val="0"/>
        <w:widowControl/>
        <w:kinsoku/>
        <w:wordWrap w:val="0"/>
        <w:overflowPunct/>
        <w:topLinePunct w:val="0"/>
        <w:autoSpaceDE/>
        <w:autoSpaceDN/>
        <w:bidi w:val="0"/>
        <w:adjustRightInd/>
        <w:snapToGrid/>
        <w:spacing w:line="360" w:lineRule="auto"/>
        <w:ind w:firstLine="592" w:firstLineChars="200"/>
        <w:jc w:val="left"/>
        <w:textAlignment w:val="auto"/>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本次公告在威海市公共资源交易网（http</w:t>
      </w:r>
      <w:r>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t>：</w:t>
      </w:r>
      <w:r>
        <w:rPr>
          <w:rFonts w:hint="eastAsia" w:ascii="仿宋" w:hAnsi="仿宋" w:eastAsia="仿宋" w:cs="仿宋"/>
          <w:color w:val="000000" w:themeColor="text1"/>
          <w:spacing w:val="8"/>
          <w:kern w:val="0"/>
          <w:sz w:val="28"/>
          <w:szCs w:val="28"/>
          <w:highlight w:val="none"/>
          <w14:textFill>
            <w14:solidFill>
              <w14:schemeClr w14:val="tx1"/>
            </w14:solidFill>
          </w14:textFill>
        </w:rPr>
        <w:t>//ggzyjy.weihai.cn/）、中国招标投标公共服务平台（http</w:t>
      </w:r>
      <w:r>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t>：</w:t>
      </w:r>
      <w:r>
        <w:rPr>
          <w:rFonts w:hint="eastAsia" w:ascii="仿宋" w:hAnsi="仿宋" w:eastAsia="仿宋" w:cs="仿宋"/>
          <w:color w:val="000000" w:themeColor="text1"/>
          <w:spacing w:val="8"/>
          <w:kern w:val="0"/>
          <w:sz w:val="28"/>
          <w:szCs w:val="28"/>
          <w:highlight w:val="none"/>
          <w14:textFill>
            <w14:solidFill>
              <w14:schemeClr w14:val="tx1"/>
            </w14:solidFill>
          </w14:textFill>
        </w:rPr>
        <w:t>//www.cebpubservice.com/）、</w:t>
      </w:r>
      <w:r>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t>威海市环通产业投资集团有限公司</w:t>
      </w:r>
      <w:r>
        <w:rPr>
          <w:rFonts w:hint="eastAsia" w:ascii="仿宋" w:hAnsi="仿宋" w:eastAsia="仿宋" w:cs="仿宋"/>
          <w:color w:val="000000" w:themeColor="text1"/>
          <w:spacing w:val="8"/>
          <w:kern w:val="0"/>
          <w:sz w:val="28"/>
          <w:szCs w:val="28"/>
          <w:highlight w:val="none"/>
          <w14:textFill>
            <w14:solidFill>
              <w14:schemeClr w14:val="tx1"/>
            </w14:solidFill>
          </w14:textFill>
        </w:rPr>
        <w:t>官网（http</w:t>
      </w:r>
      <w:r>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t>：</w:t>
      </w:r>
      <w:r>
        <w:rPr>
          <w:rFonts w:hint="eastAsia" w:ascii="仿宋" w:hAnsi="仿宋" w:eastAsia="仿宋" w:cs="仿宋"/>
          <w:color w:val="000000" w:themeColor="text1"/>
          <w:spacing w:val="8"/>
          <w:kern w:val="0"/>
          <w:sz w:val="28"/>
          <w:szCs w:val="28"/>
          <w:highlight w:val="none"/>
          <w14:textFill>
            <w14:solidFill>
              <w14:schemeClr w14:val="tx1"/>
            </w14:solidFill>
          </w14:textFill>
        </w:rPr>
        <w:t>//hcct.weihaihuancui.cn/Index.html）上发布。</w:t>
      </w:r>
    </w:p>
    <w:p w14:paraId="5429F0AF">
      <w:pPr>
        <w:pageBreakBefore w:val="0"/>
        <w:widowControl/>
        <w:kinsoku/>
        <w:overflowPunct/>
        <w:topLinePunct w:val="0"/>
        <w:bidi w:val="0"/>
        <w:adjustRightInd/>
        <w:snapToGrid/>
        <w:spacing w:line="360" w:lineRule="auto"/>
        <w:ind w:firstLine="594" w:firstLineChars="200"/>
        <w:jc w:val="left"/>
        <w:rPr>
          <w:rFonts w:hint="eastAsia" w:ascii="仿宋" w:hAnsi="仿宋" w:eastAsia="仿宋" w:cs="仿宋"/>
          <w:b/>
          <w:color w:val="000000" w:themeColor="text1"/>
          <w:spacing w:val="8"/>
          <w:kern w:val="0"/>
          <w:sz w:val="28"/>
          <w:szCs w:val="28"/>
          <w:highlight w:val="none"/>
          <w14:textFill>
            <w14:solidFill>
              <w14:schemeClr w14:val="tx1"/>
            </w14:solidFill>
          </w14:textFill>
        </w:rPr>
      </w:pPr>
      <w:r>
        <w:rPr>
          <w:rFonts w:hint="eastAsia" w:ascii="仿宋" w:hAnsi="仿宋" w:eastAsia="仿宋" w:cs="仿宋"/>
          <w:b/>
          <w:color w:val="000000" w:themeColor="text1"/>
          <w:spacing w:val="8"/>
          <w:kern w:val="0"/>
          <w:sz w:val="28"/>
          <w:szCs w:val="28"/>
          <w:highlight w:val="none"/>
          <w14:textFill>
            <w14:solidFill>
              <w14:schemeClr w14:val="tx1"/>
            </w14:solidFill>
          </w14:textFill>
        </w:rPr>
        <w:t>八、其它补充事宜</w:t>
      </w:r>
    </w:p>
    <w:p w14:paraId="31365199">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1.本项目实行全流程电子化，提交投标文件截止时间前，随时关注威海市公共资源交易网（变更公告栏）内变更提醒。</w:t>
      </w:r>
      <w:bookmarkStart w:id="99" w:name="_GoBack"/>
      <w:bookmarkEnd w:id="99"/>
    </w:p>
    <w:p w14:paraId="63AEA656">
      <w:pPr>
        <w:pageBreakBefore w:val="0"/>
        <w:widowControl/>
        <w:shd w:val="clear" w:color="auto" w:fill="FFFFFF"/>
        <w:kinsoku/>
        <w:overflowPunct/>
        <w:topLinePunct w:val="0"/>
        <w:bidi w:val="0"/>
        <w:adjustRightInd/>
        <w:snapToGrid/>
        <w:spacing w:line="360" w:lineRule="auto"/>
        <w:ind w:firstLine="592" w:firstLineChars="200"/>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2.投标人自行准备电脑，提前在个人电脑上进行测试确保音频、视频功能、CA签章功能可正常使用。远程开标，不接受投标人到现场参加开标活动；投标人提前熟悉交易系统（国企采购供货商</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用户</w:t>
      </w:r>
      <w:r>
        <w:rPr>
          <w:rFonts w:hint="eastAsia" w:ascii="仿宋" w:hAnsi="仿宋" w:eastAsia="仿宋" w:cs="仿宋"/>
          <w:color w:val="000000" w:themeColor="text1"/>
          <w:spacing w:val="8"/>
          <w:kern w:val="0"/>
          <w:sz w:val="28"/>
          <w:szCs w:val="28"/>
          <w:highlight w:val="none"/>
          <w14:textFill>
            <w14:solidFill>
              <w14:schemeClr w14:val="tx1"/>
            </w14:solidFill>
          </w14:textFill>
        </w:rPr>
        <w:t>手册网址：</w:t>
      </w:r>
      <w:r>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t>https://ggzyjy.weihai.cn/bszn/005005/20260109/eb4ba418-4b35-4f05-aa69-44fd7d8a7ffb.html</w:t>
      </w:r>
      <w:r>
        <w:rPr>
          <w:rFonts w:hint="eastAsia" w:ascii="仿宋" w:hAnsi="仿宋" w:eastAsia="仿宋" w:cs="仿宋"/>
          <w:color w:val="000000" w:themeColor="text1"/>
          <w:spacing w:val="8"/>
          <w:kern w:val="0"/>
          <w:sz w:val="28"/>
          <w:szCs w:val="28"/>
          <w:highlight w:val="none"/>
          <w14:textFill>
            <w14:solidFill>
              <w14:schemeClr w14:val="tx1"/>
            </w14:solidFill>
          </w14:textFill>
        </w:rPr>
        <w:t>），通过交易系统线上参加开标活动，不熟悉系统操作产生的风险由投标人承担。</w:t>
      </w:r>
    </w:p>
    <w:p w14:paraId="10EDEAF1">
      <w:pPr>
        <w:pageBreakBefore w:val="0"/>
        <w:widowControl/>
        <w:kinsoku/>
        <w:overflowPunct/>
        <w:topLinePunct w:val="0"/>
        <w:bidi w:val="0"/>
        <w:adjustRightInd/>
        <w:snapToGrid/>
        <w:spacing w:line="360" w:lineRule="auto"/>
        <w:ind w:firstLine="594" w:firstLineChars="200"/>
        <w:jc w:val="left"/>
        <w:rPr>
          <w:rFonts w:hint="eastAsia" w:ascii="仿宋" w:hAnsi="仿宋" w:eastAsia="仿宋" w:cs="仿宋"/>
          <w:b/>
          <w:color w:val="000000" w:themeColor="text1"/>
          <w:spacing w:val="8"/>
          <w:kern w:val="0"/>
          <w:sz w:val="28"/>
          <w:szCs w:val="28"/>
          <w:highlight w:val="none"/>
          <w14:textFill>
            <w14:solidFill>
              <w14:schemeClr w14:val="tx1"/>
            </w14:solidFill>
          </w14:textFill>
        </w:rPr>
      </w:pPr>
      <w:r>
        <w:rPr>
          <w:rFonts w:hint="eastAsia" w:ascii="仿宋" w:hAnsi="仿宋" w:eastAsia="仿宋" w:cs="仿宋"/>
          <w:b/>
          <w:color w:val="000000" w:themeColor="text1"/>
          <w:spacing w:val="8"/>
          <w:kern w:val="0"/>
          <w:sz w:val="28"/>
          <w:szCs w:val="28"/>
          <w:highlight w:val="none"/>
          <w14:textFill>
            <w14:solidFill>
              <w14:schemeClr w14:val="tx1"/>
            </w14:solidFill>
          </w14:textFill>
        </w:rPr>
        <w:t>九、</w:t>
      </w:r>
      <w:r>
        <w:rPr>
          <w:rFonts w:hint="eastAsia" w:ascii="仿宋" w:hAnsi="仿宋" w:eastAsia="仿宋" w:cs="仿宋"/>
          <w:b/>
          <w:color w:val="000000" w:themeColor="text1"/>
          <w:spacing w:val="8"/>
          <w:kern w:val="0"/>
          <w:sz w:val="28"/>
          <w:szCs w:val="28"/>
          <w:highlight w:val="none"/>
          <w:lang w:val="en-US" w:eastAsia="zh-CN"/>
          <w14:textFill>
            <w14:solidFill>
              <w14:schemeClr w14:val="tx1"/>
            </w14:solidFill>
          </w14:textFill>
        </w:rPr>
        <w:t>对本次招标提出询问，按以下方式联系</w:t>
      </w:r>
    </w:p>
    <w:p w14:paraId="31FC4D26">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1.招标人：</w:t>
      </w:r>
      <w:r>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t>威海市环翠园林工程有限公司</w:t>
      </w:r>
    </w:p>
    <w:p w14:paraId="113A852C">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地址：</w:t>
      </w:r>
      <w:r>
        <w:rPr>
          <w:rFonts w:hint="eastAsia" w:ascii="仿宋" w:hAnsi="仿宋" w:eastAsia="仿宋" w:cs="仿宋"/>
          <w:color w:val="333333"/>
          <w:sz w:val="28"/>
          <w:szCs w:val="28"/>
          <w:highlight w:val="none"/>
          <w:shd w:val="clear" w:color="auto" w:fill="FFFFFF"/>
          <w:lang w:eastAsia="zh-CN"/>
        </w:rPr>
        <w:t>威海市环翠区望岛工业园</w:t>
      </w:r>
    </w:p>
    <w:p w14:paraId="4BDF0272">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联系人：江雅丽</w:t>
      </w:r>
    </w:p>
    <w:p w14:paraId="47EBFE85">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联系电话：0631-</w:t>
      </w:r>
      <w:r>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t>5327707</w:t>
      </w:r>
    </w:p>
    <w:p w14:paraId="6F5F7566">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2.招标代理机构：</w:t>
      </w:r>
      <w:r>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t>山东同力建设项目管理有限公司</w:t>
      </w:r>
    </w:p>
    <w:p w14:paraId="19D56764">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地址：</w:t>
      </w:r>
      <w:r>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t>威海市奈古山路古山五巷16号鼎顺商务五楼</w:t>
      </w:r>
    </w:p>
    <w:p w14:paraId="233820B8">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联系人：</w:t>
      </w:r>
      <w:r>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t>徐华良、王敏</w:t>
      </w:r>
    </w:p>
    <w:p w14:paraId="29FA116E">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联系电话：</w:t>
      </w:r>
      <w:r>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t>0631-5812098</w:t>
      </w:r>
    </w:p>
    <w:p w14:paraId="6908AC98">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电子邮箱：</w:t>
      </w:r>
      <w:r>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t>tljs2018@126.com</w:t>
      </w:r>
    </w:p>
    <w:p w14:paraId="213F73A6">
      <w:pPr>
        <w:pageBreakBefore w:val="0"/>
        <w:kinsoku/>
        <w:overflowPunct/>
        <w:topLinePunct w:val="0"/>
        <w:bidi w:val="0"/>
        <w:adjustRightInd/>
        <w:snapToGrid/>
        <w:spacing w:line="360" w:lineRule="auto"/>
        <w:rPr>
          <w:rFonts w:hint="eastAsia" w:ascii="仿宋" w:hAnsi="仿宋" w:eastAsia="仿宋" w:cs="仿宋"/>
          <w:color w:val="000000" w:themeColor="text1"/>
          <w:highlight w:val="none"/>
          <w14:textFill>
            <w14:solidFill>
              <w14:schemeClr w14:val="tx1"/>
            </w14:solidFill>
          </w14:textFill>
        </w:rPr>
      </w:pPr>
    </w:p>
    <w:p w14:paraId="1EDE5540">
      <w:pPr>
        <w:pageBreakBefore w:val="0"/>
        <w:widowControl/>
        <w:kinsoku/>
        <w:overflowPunct/>
        <w:topLinePunct w:val="0"/>
        <w:bidi w:val="0"/>
        <w:adjustRightInd/>
        <w:snapToGrid/>
        <w:spacing w:line="360" w:lineRule="auto"/>
        <w:ind w:firstLine="592" w:firstLineChars="200"/>
        <w:jc w:val="right"/>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发布人：</w:t>
      </w:r>
      <w:r>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t>山东同力建设项目管理有限公司</w:t>
      </w:r>
    </w:p>
    <w:p w14:paraId="7CEE5DEC">
      <w:pPr>
        <w:pageBreakBefore w:val="0"/>
        <w:widowControl/>
        <w:kinsoku/>
        <w:wordWrap w:val="0"/>
        <w:overflowPunct/>
        <w:topLinePunct w:val="0"/>
        <w:bidi w:val="0"/>
        <w:adjustRightInd/>
        <w:snapToGrid/>
        <w:spacing w:line="360" w:lineRule="auto"/>
        <w:ind w:firstLine="592" w:firstLineChars="200"/>
        <w:jc w:val="righ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发布时间：</w:t>
      </w:r>
      <w:r>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t>2026年</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6</w:t>
      </w:r>
      <w:r>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t>月</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4</w:t>
      </w:r>
      <w:r>
        <w:rPr>
          <w:rFonts w:hint="eastAsia" w:ascii="仿宋" w:hAnsi="仿宋" w:eastAsia="仿宋" w:cs="仿宋"/>
          <w:color w:val="000000" w:themeColor="text1"/>
          <w:spacing w:val="8"/>
          <w:kern w:val="0"/>
          <w:sz w:val="28"/>
          <w:szCs w:val="28"/>
          <w:highlight w:val="none"/>
          <w14:textFill>
            <w14:solidFill>
              <w14:schemeClr w14:val="tx1"/>
            </w14:solidFill>
          </w14:textFill>
        </w:rPr>
        <w:t>日</w:t>
      </w:r>
    </w:p>
    <w:p w14:paraId="5A78BA71">
      <w:pPr>
        <w:pageBreakBefore w:val="0"/>
        <w:kinsoku/>
        <w:overflowPunct/>
        <w:topLinePunct w:val="0"/>
        <w:bidi w:val="0"/>
        <w:adjustRightInd/>
        <w:snapToGrid/>
        <w:rPr>
          <w:rFonts w:hint="eastAsia" w:ascii="仿宋" w:hAnsi="仿宋" w:eastAsia="仿宋" w:cs="仿宋"/>
          <w:color w:val="000000" w:themeColor="text1"/>
          <w:highlight w:val="none"/>
          <w14:textFill>
            <w14:solidFill>
              <w14:schemeClr w14:val="tx1"/>
            </w14:solidFill>
          </w14:textFill>
        </w:rPr>
        <w:sectPr>
          <w:headerReference r:id="rId6" w:type="first"/>
          <w:headerReference r:id="rId4" w:type="default"/>
          <w:footerReference r:id="rId7" w:type="default"/>
          <w:headerReference r:id="rId5" w:type="even"/>
          <w:pgSz w:w="11906" w:h="16838"/>
          <w:pgMar w:top="1440" w:right="1077" w:bottom="1440" w:left="1077" w:header="851" w:footer="992" w:gutter="0"/>
          <w:pgNumType w:start="1"/>
          <w:cols w:space="720" w:num="1"/>
          <w:docGrid w:type="lines" w:linePitch="312" w:charSpace="0"/>
        </w:sectPr>
      </w:pPr>
    </w:p>
    <w:bookmarkEnd w:id="6"/>
    <w:bookmarkEnd w:id="7"/>
    <w:p w14:paraId="3C0A51B8">
      <w:pPr>
        <w:pStyle w:val="3"/>
        <w:pageBreakBefore w:val="0"/>
        <w:kinsoku/>
        <w:overflowPunct/>
        <w:topLinePunct w:val="0"/>
        <w:bidi w:val="0"/>
        <w:adjustRightInd/>
        <w:snapToGrid/>
        <w:jc w:val="center"/>
        <w:rPr>
          <w:rFonts w:hint="eastAsia" w:ascii="仿宋" w:hAnsi="仿宋" w:eastAsia="仿宋" w:cs="仿宋"/>
          <w:color w:val="000000" w:themeColor="text1"/>
          <w:highlight w:val="none"/>
          <w14:textFill>
            <w14:solidFill>
              <w14:schemeClr w14:val="tx1"/>
            </w14:solidFill>
          </w14:textFill>
        </w:rPr>
      </w:pPr>
      <w:bookmarkStart w:id="11" w:name="_Toc66864041"/>
      <w:bookmarkStart w:id="12" w:name="_Toc20341"/>
      <w:bookmarkStart w:id="13" w:name="_Toc382129913"/>
      <w:bookmarkStart w:id="14" w:name="_Toc266431126"/>
      <w:bookmarkStart w:id="15" w:name="_Toc413596395"/>
      <w:r>
        <w:rPr>
          <w:rFonts w:hint="eastAsia" w:ascii="仿宋" w:hAnsi="仿宋" w:eastAsia="仿宋" w:cs="仿宋"/>
          <w:color w:val="000000" w:themeColor="text1"/>
          <w:highlight w:val="none"/>
          <w14:textFill>
            <w14:solidFill>
              <w14:schemeClr w14:val="tx1"/>
            </w14:solidFill>
          </w14:textFill>
        </w:rPr>
        <w:t>第二章  投标须知</w:t>
      </w:r>
      <w:bookmarkEnd w:id="11"/>
      <w:bookmarkEnd w:id="12"/>
    </w:p>
    <w:p w14:paraId="3D80C05B">
      <w:pPr>
        <w:pageBreakBefore w:val="0"/>
        <w:kinsoku/>
        <w:overflowPunct/>
        <w:topLinePunct w:val="0"/>
        <w:bidi w:val="0"/>
        <w:adjustRightInd/>
        <w:snapToGrid/>
        <w:jc w:val="center"/>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14:textFill>
            <w14:solidFill>
              <w14:schemeClr w14:val="tx1"/>
            </w14:solidFill>
          </w14:textFill>
        </w:rPr>
        <w:t>投标须知前附表</w:t>
      </w:r>
    </w:p>
    <w:tbl>
      <w:tblPr>
        <w:tblStyle w:val="52"/>
        <w:tblW w:w="991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1"/>
        <w:gridCol w:w="2181"/>
        <w:gridCol w:w="6881"/>
      </w:tblGrid>
      <w:tr w14:paraId="3ED454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51" w:type="dxa"/>
            <w:tcBorders>
              <w:top w:val="single" w:color="auto" w:sz="4" w:space="0"/>
              <w:bottom w:val="single" w:color="auto" w:sz="4" w:space="0"/>
              <w:right w:val="single" w:color="auto" w:sz="4" w:space="0"/>
            </w:tcBorders>
            <w:vAlign w:val="center"/>
          </w:tcPr>
          <w:p w14:paraId="2F734697">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序号</w:t>
            </w:r>
          </w:p>
        </w:tc>
        <w:tc>
          <w:tcPr>
            <w:tcW w:w="2181" w:type="dxa"/>
            <w:tcBorders>
              <w:top w:val="single" w:color="auto" w:sz="4" w:space="0"/>
              <w:left w:val="single" w:color="auto" w:sz="4" w:space="0"/>
              <w:bottom w:val="single" w:color="auto" w:sz="4" w:space="0"/>
              <w:right w:val="single" w:color="auto" w:sz="4" w:space="0"/>
            </w:tcBorders>
            <w:vAlign w:val="center"/>
          </w:tcPr>
          <w:p w14:paraId="29DBB46B">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项    目</w:t>
            </w:r>
          </w:p>
        </w:tc>
        <w:tc>
          <w:tcPr>
            <w:tcW w:w="6881" w:type="dxa"/>
            <w:tcBorders>
              <w:top w:val="single" w:color="auto" w:sz="4" w:space="0"/>
              <w:left w:val="single" w:color="auto" w:sz="4" w:space="0"/>
              <w:bottom w:val="single" w:color="auto" w:sz="4" w:space="0"/>
            </w:tcBorders>
            <w:vAlign w:val="center"/>
          </w:tcPr>
          <w:p w14:paraId="09F6280E">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内    容</w:t>
            </w:r>
          </w:p>
        </w:tc>
      </w:tr>
      <w:tr w14:paraId="5B9E2F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51" w:type="dxa"/>
            <w:tcBorders>
              <w:top w:val="single" w:color="auto" w:sz="4" w:space="0"/>
              <w:bottom w:val="single" w:color="auto" w:sz="4" w:space="0"/>
              <w:right w:val="single" w:color="auto" w:sz="4" w:space="0"/>
            </w:tcBorders>
            <w:vAlign w:val="center"/>
          </w:tcPr>
          <w:p w14:paraId="78ED2415">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w:t>
            </w:r>
          </w:p>
        </w:tc>
        <w:tc>
          <w:tcPr>
            <w:tcW w:w="2181" w:type="dxa"/>
            <w:tcBorders>
              <w:top w:val="single" w:color="auto" w:sz="4" w:space="0"/>
              <w:left w:val="single" w:color="auto" w:sz="4" w:space="0"/>
              <w:bottom w:val="single" w:color="auto" w:sz="4" w:space="0"/>
              <w:right w:val="single" w:color="auto" w:sz="4" w:space="0"/>
            </w:tcBorders>
            <w:vAlign w:val="center"/>
          </w:tcPr>
          <w:p w14:paraId="7CC27D5A">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项目名称</w:t>
            </w:r>
          </w:p>
        </w:tc>
        <w:tc>
          <w:tcPr>
            <w:tcW w:w="6881" w:type="dxa"/>
            <w:tcBorders>
              <w:top w:val="single" w:color="auto" w:sz="4" w:space="0"/>
              <w:left w:val="single" w:color="auto" w:sz="4" w:space="0"/>
              <w:bottom w:val="single" w:color="auto" w:sz="4" w:space="0"/>
            </w:tcBorders>
            <w:vAlign w:val="center"/>
          </w:tcPr>
          <w:p w14:paraId="562B3D20">
            <w:pPr>
              <w:keepNext w:val="0"/>
              <w:keepLines w:val="0"/>
              <w:pageBreakBefore w:val="0"/>
              <w:widowControl w:val="0"/>
              <w:kinsoku/>
              <w:wordWrap w:val="0"/>
              <w:overflowPunct/>
              <w:topLinePunct w:val="0"/>
              <w:autoSpaceDE/>
              <w:autoSpaceDN/>
              <w:bidi w:val="0"/>
              <w:adjustRightInd/>
              <w:snapToGrid/>
              <w:spacing w:line="240" w:lineRule="auto"/>
              <w:rPr>
                <w:rFonts w:hint="eastAsia" w:ascii="仿宋" w:hAnsi="仿宋" w:eastAsia="仿宋" w:cs="仿宋"/>
                <w:color w:val="000000" w:themeColor="text1"/>
                <w:sz w:val="28"/>
                <w:szCs w:val="28"/>
                <w:highlight w:val="none"/>
                <w:lang w:eastAsia="zh-CN"/>
                <w14:textFill>
                  <w14:solidFill>
                    <w14:schemeClr w14:val="tx1"/>
                  </w14:solidFill>
                </w14:textFill>
              </w:rPr>
            </w:pPr>
            <w:r>
              <w:rPr>
                <w:rFonts w:hint="eastAsia" w:ascii="仿宋" w:hAnsi="仿宋" w:eastAsia="仿宋" w:cs="仿宋"/>
                <w:color w:val="000000" w:themeColor="text1"/>
                <w:sz w:val="28"/>
                <w:szCs w:val="28"/>
                <w:highlight w:val="none"/>
                <w:lang w:eastAsia="zh-CN"/>
                <w14:textFill>
                  <w14:solidFill>
                    <w14:schemeClr w14:val="tx1"/>
                  </w14:solidFill>
                </w14:textFill>
              </w:rPr>
              <w:t>选定五金杂品及劳保用品供应单位</w:t>
            </w:r>
          </w:p>
        </w:tc>
      </w:tr>
      <w:tr w14:paraId="266ED3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851" w:type="dxa"/>
            <w:tcBorders>
              <w:top w:val="single" w:color="auto" w:sz="4" w:space="0"/>
              <w:bottom w:val="single" w:color="auto" w:sz="4" w:space="0"/>
              <w:right w:val="single" w:color="auto" w:sz="4" w:space="0"/>
            </w:tcBorders>
            <w:vAlign w:val="center"/>
          </w:tcPr>
          <w:p w14:paraId="05B061EC">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w:t>
            </w:r>
          </w:p>
        </w:tc>
        <w:tc>
          <w:tcPr>
            <w:tcW w:w="2181" w:type="dxa"/>
            <w:tcBorders>
              <w:top w:val="single" w:color="auto" w:sz="4" w:space="0"/>
              <w:left w:val="single" w:color="auto" w:sz="4" w:space="0"/>
              <w:bottom w:val="single" w:color="auto" w:sz="4" w:space="0"/>
              <w:right w:val="single" w:color="auto" w:sz="4" w:space="0"/>
            </w:tcBorders>
            <w:vAlign w:val="center"/>
          </w:tcPr>
          <w:p w14:paraId="62AFB9CF">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招标编号</w:t>
            </w:r>
          </w:p>
        </w:tc>
        <w:tc>
          <w:tcPr>
            <w:tcW w:w="6881" w:type="dxa"/>
            <w:tcBorders>
              <w:top w:val="single" w:color="auto" w:sz="4" w:space="0"/>
              <w:left w:val="single" w:color="auto" w:sz="4" w:space="0"/>
              <w:bottom w:val="single" w:color="auto" w:sz="4" w:space="0"/>
            </w:tcBorders>
            <w:vAlign w:val="center"/>
          </w:tcPr>
          <w:p w14:paraId="7018DAF4">
            <w:pPr>
              <w:keepNext w:val="0"/>
              <w:keepLines w:val="0"/>
              <w:pageBreakBefore w:val="0"/>
              <w:widowControl w:val="0"/>
              <w:kinsoku/>
              <w:wordWrap w:val="0"/>
              <w:overflowPunct/>
              <w:topLinePunct w:val="0"/>
              <w:autoSpaceDE/>
              <w:autoSpaceDN/>
              <w:bidi w:val="0"/>
              <w:adjustRightInd/>
              <w:snapToGrid/>
              <w:spacing w:line="240" w:lineRule="auto"/>
              <w:rPr>
                <w:rFonts w:hint="default" w:ascii="仿宋" w:hAnsi="仿宋" w:eastAsia="仿宋" w:cs="仿宋"/>
                <w:color w:val="000000" w:themeColor="text1"/>
                <w:sz w:val="28"/>
                <w:szCs w:val="28"/>
                <w:highlight w:val="none"/>
                <w:lang w:val="en-US" w:eastAsia="zh-CN"/>
                <w14:textFill>
                  <w14:solidFill>
                    <w14:schemeClr w14:val="tx1"/>
                  </w14:solidFill>
                </w14:textFill>
              </w:rPr>
            </w:pPr>
            <w:r>
              <w:rPr>
                <w:rFonts w:hint="default" w:ascii="仿宋" w:hAnsi="仿宋" w:eastAsia="仿宋" w:cs="仿宋"/>
                <w:color w:val="000000" w:themeColor="text1"/>
                <w:sz w:val="28"/>
                <w:szCs w:val="28"/>
                <w:highlight w:val="none"/>
                <w:lang w:val="en-US" w:eastAsia="zh-CN"/>
                <w14:textFill>
                  <w14:solidFill>
                    <w14:schemeClr w14:val="tx1"/>
                  </w14:solidFill>
                </w14:textFill>
              </w:rPr>
              <w:t>PURM202605250003</w:t>
            </w:r>
          </w:p>
        </w:tc>
      </w:tr>
      <w:tr w14:paraId="002BAC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51" w:type="dxa"/>
            <w:tcBorders>
              <w:top w:val="single" w:color="auto" w:sz="4" w:space="0"/>
              <w:bottom w:val="single" w:color="auto" w:sz="4" w:space="0"/>
              <w:right w:val="single" w:color="auto" w:sz="4" w:space="0"/>
            </w:tcBorders>
            <w:vAlign w:val="center"/>
          </w:tcPr>
          <w:p w14:paraId="7E90FF6B">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w:t>
            </w:r>
          </w:p>
        </w:tc>
        <w:tc>
          <w:tcPr>
            <w:tcW w:w="2181" w:type="dxa"/>
            <w:tcBorders>
              <w:top w:val="single" w:color="auto" w:sz="4" w:space="0"/>
              <w:left w:val="single" w:color="auto" w:sz="4" w:space="0"/>
              <w:bottom w:val="single" w:color="auto" w:sz="4" w:space="0"/>
              <w:right w:val="single" w:color="auto" w:sz="4" w:space="0"/>
            </w:tcBorders>
            <w:vAlign w:val="center"/>
          </w:tcPr>
          <w:p w14:paraId="227F0276">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招标人</w:t>
            </w:r>
          </w:p>
        </w:tc>
        <w:tc>
          <w:tcPr>
            <w:tcW w:w="6881" w:type="dxa"/>
            <w:tcBorders>
              <w:top w:val="single" w:color="auto" w:sz="4" w:space="0"/>
              <w:left w:val="single" w:color="auto" w:sz="4" w:space="0"/>
              <w:bottom w:val="single" w:color="auto" w:sz="4" w:space="0"/>
            </w:tcBorders>
            <w:vAlign w:val="center"/>
          </w:tcPr>
          <w:p w14:paraId="4EFFAED4">
            <w:pPr>
              <w:keepNext w:val="0"/>
              <w:keepLines w:val="0"/>
              <w:pageBreakBefore w:val="0"/>
              <w:widowControl w:val="0"/>
              <w:kinsoku/>
              <w:wordWrap w:val="0"/>
              <w:overflowPunct/>
              <w:topLinePunct w:val="0"/>
              <w:autoSpaceDE/>
              <w:autoSpaceDN/>
              <w:bidi w:val="0"/>
              <w:adjustRightInd/>
              <w:snapToGrid/>
              <w:spacing w:line="240" w:lineRule="auto"/>
              <w:rPr>
                <w:rFonts w:hint="eastAsia" w:ascii="仿宋" w:hAnsi="仿宋" w:eastAsia="仿宋" w:cs="仿宋"/>
                <w:color w:val="000000" w:themeColor="text1"/>
                <w:sz w:val="28"/>
                <w:szCs w:val="28"/>
                <w:highlight w:val="none"/>
                <w:lang w:eastAsia="zh-CN"/>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招标人：</w:t>
            </w:r>
            <w:r>
              <w:rPr>
                <w:rFonts w:hint="eastAsia" w:ascii="仿宋" w:hAnsi="仿宋" w:eastAsia="仿宋" w:cs="仿宋"/>
                <w:color w:val="333333"/>
                <w:sz w:val="28"/>
                <w:szCs w:val="28"/>
                <w:highlight w:val="none"/>
                <w:shd w:val="clear" w:color="auto" w:fill="FFFFFF"/>
                <w:lang w:eastAsia="zh-CN"/>
              </w:rPr>
              <w:t>威海市环翠园林工程有限公司</w:t>
            </w:r>
          </w:p>
          <w:p w14:paraId="2253A13D">
            <w:pPr>
              <w:keepNext w:val="0"/>
              <w:keepLines w:val="0"/>
              <w:pageBreakBefore w:val="0"/>
              <w:widowControl w:val="0"/>
              <w:kinsoku/>
              <w:wordWrap w:val="0"/>
              <w:overflowPunct/>
              <w:topLinePunct w:val="0"/>
              <w:autoSpaceDE/>
              <w:autoSpaceDN/>
              <w:bidi w:val="0"/>
              <w:adjustRightInd/>
              <w:snapToGrid/>
              <w:spacing w:line="240" w:lineRule="auto"/>
              <w:rPr>
                <w:rFonts w:hint="eastAsia" w:ascii="仿宋" w:hAnsi="仿宋" w:eastAsia="仿宋" w:cs="仿宋"/>
                <w:color w:val="000000" w:themeColor="text1"/>
                <w:sz w:val="28"/>
                <w:szCs w:val="28"/>
                <w:highlight w:val="none"/>
                <w:lang w:eastAsia="zh-CN"/>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地址：</w:t>
            </w:r>
            <w:r>
              <w:rPr>
                <w:rFonts w:hint="eastAsia" w:ascii="仿宋" w:hAnsi="仿宋" w:eastAsia="仿宋" w:cs="仿宋"/>
                <w:color w:val="333333"/>
                <w:sz w:val="28"/>
                <w:szCs w:val="28"/>
                <w:highlight w:val="none"/>
                <w:shd w:val="clear" w:color="auto" w:fill="FFFFFF"/>
                <w:lang w:eastAsia="zh-CN"/>
              </w:rPr>
              <w:t>威海市环翠区望岛工业园</w:t>
            </w:r>
          </w:p>
          <w:p w14:paraId="44D2F2CE">
            <w:pPr>
              <w:keepNext w:val="0"/>
              <w:keepLines w:val="0"/>
              <w:pageBreakBefore w:val="0"/>
              <w:widowControl w:val="0"/>
              <w:kinsoku/>
              <w:wordWrap w:val="0"/>
              <w:overflowPunct/>
              <w:topLinePunct w:val="0"/>
              <w:autoSpaceDE/>
              <w:autoSpaceDN/>
              <w:bidi w:val="0"/>
              <w:adjustRightInd/>
              <w:snapToGrid/>
              <w:spacing w:line="240" w:lineRule="auto"/>
              <w:rPr>
                <w:rFonts w:hint="eastAsia" w:ascii="仿宋" w:hAnsi="仿宋" w:eastAsia="仿宋" w:cs="仿宋"/>
                <w:color w:val="000000" w:themeColor="text1"/>
                <w:sz w:val="28"/>
                <w:szCs w:val="28"/>
                <w:highlight w:val="none"/>
                <w:lang w:eastAsia="zh-CN"/>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联系人：</w:t>
            </w:r>
            <w:r>
              <w:rPr>
                <w:rFonts w:hint="eastAsia" w:ascii="仿宋" w:hAnsi="仿宋" w:eastAsia="仿宋" w:cs="仿宋"/>
                <w:color w:val="000000" w:themeColor="text1"/>
                <w:sz w:val="28"/>
                <w:szCs w:val="28"/>
                <w:highlight w:val="none"/>
                <w:lang w:eastAsia="zh-CN"/>
                <w14:textFill>
                  <w14:solidFill>
                    <w14:schemeClr w14:val="tx1"/>
                  </w14:solidFill>
                </w14:textFill>
              </w:rPr>
              <w:t>江雅丽</w:t>
            </w:r>
          </w:p>
          <w:p w14:paraId="37EB6718">
            <w:pPr>
              <w:keepNext w:val="0"/>
              <w:keepLines w:val="0"/>
              <w:pageBreakBefore w:val="0"/>
              <w:widowControl w:val="0"/>
              <w:kinsoku/>
              <w:wordWrap w:val="0"/>
              <w:overflowPunct/>
              <w:topLinePunct w:val="0"/>
              <w:autoSpaceDE/>
              <w:autoSpaceDN/>
              <w:bidi w:val="0"/>
              <w:adjustRightInd/>
              <w:snapToGrid/>
              <w:spacing w:line="240" w:lineRule="auto"/>
              <w:rPr>
                <w:rFonts w:hint="eastAsia" w:ascii="仿宋" w:hAnsi="仿宋" w:eastAsia="仿宋" w:cs="仿宋"/>
                <w:color w:val="000000" w:themeColor="text1"/>
                <w:sz w:val="28"/>
                <w:szCs w:val="28"/>
                <w:highlight w:val="none"/>
                <w:lang w:eastAsia="zh-CN"/>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联系电话：0631-</w:t>
            </w:r>
            <w:r>
              <w:rPr>
                <w:rFonts w:hint="eastAsia" w:ascii="仿宋" w:hAnsi="仿宋" w:eastAsia="仿宋" w:cs="仿宋"/>
                <w:color w:val="000000" w:themeColor="text1"/>
                <w:sz w:val="28"/>
                <w:szCs w:val="28"/>
                <w:highlight w:val="none"/>
                <w:lang w:eastAsia="zh-CN"/>
                <w14:textFill>
                  <w14:solidFill>
                    <w14:schemeClr w14:val="tx1"/>
                  </w14:solidFill>
                </w14:textFill>
              </w:rPr>
              <w:t>5327707</w:t>
            </w:r>
          </w:p>
        </w:tc>
      </w:tr>
      <w:tr w14:paraId="1AF603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51" w:type="dxa"/>
            <w:tcBorders>
              <w:top w:val="single" w:color="auto" w:sz="4" w:space="0"/>
              <w:bottom w:val="single" w:color="auto" w:sz="4" w:space="0"/>
              <w:right w:val="single" w:color="auto" w:sz="4" w:space="0"/>
            </w:tcBorders>
            <w:vAlign w:val="center"/>
          </w:tcPr>
          <w:p w14:paraId="54E8B748">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w:t>
            </w:r>
          </w:p>
        </w:tc>
        <w:tc>
          <w:tcPr>
            <w:tcW w:w="2181" w:type="dxa"/>
            <w:tcBorders>
              <w:top w:val="single" w:color="auto" w:sz="4" w:space="0"/>
              <w:left w:val="single" w:color="auto" w:sz="4" w:space="0"/>
              <w:bottom w:val="single" w:color="auto" w:sz="4" w:space="0"/>
              <w:right w:val="single" w:color="auto" w:sz="4" w:space="0"/>
            </w:tcBorders>
            <w:vAlign w:val="center"/>
          </w:tcPr>
          <w:p w14:paraId="0D60D2BA">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招标代理机构</w:t>
            </w:r>
          </w:p>
        </w:tc>
        <w:tc>
          <w:tcPr>
            <w:tcW w:w="6881" w:type="dxa"/>
            <w:tcBorders>
              <w:top w:val="single" w:color="auto" w:sz="4" w:space="0"/>
              <w:left w:val="single" w:color="auto" w:sz="4" w:space="0"/>
              <w:bottom w:val="single" w:color="auto" w:sz="4" w:space="0"/>
            </w:tcBorders>
            <w:vAlign w:val="center"/>
          </w:tcPr>
          <w:p w14:paraId="091723B9">
            <w:pPr>
              <w:keepNext w:val="0"/>
              <w:keepLines w:val="0"/>
              <w:pageBreakBefore w:val="0"/>
              <w:widowControl w:val="0"/>
              <w:kinsoku/>
              <w:wordWrap w:val="0"/>
              <w:overflowPunct/>
              <w:topLinePunct w:val="0"/>
              <w:autoSpaceDE/>
              <w:autoSpaceDN/>
              <w:bidi w:val="0"/>
              <w:adjustRightInd/>
              <w:snapToGrid/>
              <w:spacing w:line="240" w:lineRule="auto"/>
              <w:rPr>
                <w:rFonts w:hint="eastAsia" w:ascii="仿宋" w:hAnsi="仿宋" w:eastAsia="仿宋" w:cs="仿宋"/>
                <w:color w:val="000000" w:themeColor="text1"/>
                <w:sz w:val="28"/>
                <w:szCs w:val="28"/>
                <w:highlight w:val="none"/>
                <w:lang w:eastAsia="zh-CN"/>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代理机构：</w:t>
            </w:r>
            <w:r>
              <w:rPr>
                <w:rFonts w:hint="eastAsia" w:ascii="仿宋" w:hAnsi="仿宋" w:eastAsia="仿宋" w:cs="仿宋"/>
                <w:color w:val="000000" w:themeColor="text1"/>
                <w:sz w:val="28"/>
                <w:szCs w:val="28"/>
                <w:highlight w:val="none"/>
                <w:lang w:eastAsia="zh-CN"/>
                <w14:textFill>
                  <w14:solidFill>
                    <w14:schemeClr w14:val="tx1"/>
                  </w14:solidFill>
                </w14:textFill>
              </w:rPr>
              <w:t>山东同力建设项目管理有限公司</w:t>
            </w:r>
          </w:p>
          <w:p w14:paraId="615013E9">
            <w:pPr>
              <w:keepNext w:val="0"/>
              <w:keepLines w:val="0"/>
              <w:pageBreakBefore w:val="0"/>
              <w:widowControl w:val="0"/>
              <w:kinsoku/>
              <w:wordWrap w:val="0"/>
              <w:overflowPunct/>
              <w:topLinePunct w:val="0"/>
              <w:autoSpaceDE/>
              <w:autoSpaceDN/>
              <w:bidi w:val="0"/>
              <w:adjustRightInd/>
              <w:snapToGrid/>
              <w:spacing w:line="240" w:lineRule="auto"/>
              <w:rPr>
                <w:rFonts w:hint="eastAsia" w:ascii="仿宋" w:hAnsi="仿宋" w:eastAsia="仿宋" w:cs="仿宋"/>
                <w:color w:val="000000" w:themeColor="text1"/>
                <w:sz w:val="28"/>
                <w:szCs w:val="28"/>
                <w:highlight w:val="none"/>
                <w:lang w:eastAsia="zh-CN"/>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地址：</w:t>
            </w:r>
            <w:r>
              <w:rPr>
                <w:rFonts w:hint="eastAsia" w:ascii="仿宋" w:hAnsi="仿宋" w:eastAsia="仿宋" w:cs="仿宋"/>
                <w:color w:val="000000" w:themeColor="text1"/>
                <w:sz w:val="28"/>
                <w:szCs w:val="28"/>
                <w:highlight w:val="none"/>
                <w:lang w:eastAsia="zh-CN"/>
                <w14:textFill>
                  <w14:solidFill>
                    <w14:schemeClr w14:val="tx1"/>
                  </w14:solidFill>
                </w14:textFill>
              </w:rPr>
              <w:t>威海市奈古山路古山五巷16号鼎顺商务五楼</w:t>
            </w:r>
          </w:p>
          <w:p w14:paraId="77B4AB7C">
            <w:pPr>
              <w:keepNext w:val="0"/>
              <w:keepLines w:val="0"/>
              <w:pageBreakBefore w:val="0"/>
              <w:widowControl w:val="0"/>
              <w:kinsoku/>
              <w:wordWrap w:val="0"/>
              <w:overflowPunct/>
              <w:topLinePunct w:val="0"/>
              <w:autoSpaceDE/>
              <w:autoSpaceDN/>
              <w:bidi w:val="0"/>
              <w:adjustRightInd/>
              <w:snapToGrid/>
              <w:spacing w:line="240" w:lineRule="auto"/>
              <w:rPr>
                <w:rFonts w:hint="eastAsia" w:ascii="仿宋" w:hAnsi="仿宋" w:eastAsia="仿宋" w:cs="仿宋"/>
                <w:color w:val="000000" w:themeColor="text1"/>
                <w:sz w:val="28"/>
                <w:szCs w:val="28"/>
                <w:highlight w:val="none"/>
                <w:lang w:eastAsia="zh-CN"/>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联系人：</w:t>
            </w:r>
            <w:r>
              <w:rPr>
                <w:rFonts w:hint="eastAsia" w:ascii="仿宋" w:hAnsi="仿宋" w:eastAsia="仿宋" w:cs="仿宋"/>
                <w:color w:val="000000" w:themeColor="text1"/>
                <w:sz w:val="28"/>
                <w:szCs w:val="28"/>
                <w:highlight w:val="none"/>
                <w:lang w:eastAsia="zh-CN"/>
                <w14:textFill>
                  <w14:solidFill>
                    <w14:schemeClr w14:val="tx1"/>
                  </w14:solidFill>
                </w14:textFill>
              </w:rPr>
              <w:t>徐华良、王敏</w:t>
            </w:r>
          </w:p>
          <w:p w14:paraId="7CCA40B1">
            <w:pPr>
              <w:keepNext w:val="0"/>
              <w:keepLines w:val="0"/>
              <w:pageBreakBefore w:val="0"/>
              <w:widowControl w:val="0"/>
              <w:kinsoku/>
              <w:wordWrap w:val="0"/>
              <w:overflowPunct/>
              <w:topLinePunct w:val="0"/>
              <w:autoSpaceDE/>
              <w:autoSpaceDN/>
              <w:bidi w:val="0"/>
              <w:adjustRightInd/>
              <w:snapToGrid/>
              <w:spacing w:line="240" w:lineRule="auto"/>
              <w:rPr>
                <w:rFonts w:hint="eastAsia" w:ascii="仿宋" w:hAnsi="仿宋" w:eastAsia="仿宋" w:cs="仿宋"/>
                <w:color w:val="000000" w:themeColor="text1"/>
                <w:sz w:val="28"/>
                <w:szCs w:val="28"/>
                <w:highlight w:val="none"/>
                <w:lang w:eastAsia="zh-CN"/>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联系电话：</w:t>
            </w:r>
            <w:r>
              <w:rPr>
                <w:rFonts w:hint="eastAsia" w:ascii="仿宋" w:hAnsi="仿宋" w:eastAsia="仿宋" w:cs="仿宋"/>
                <w:color w:val="000000" w:themeColor="text1"/>
                <w:sz w:val="28"/>
                <w:szCs w:val="28"/>
                <w:highlight w:val="none"/>
                <w:lang w:eastAsia="zh-CN"/>
                <w14:textFill>
                  <w14:solidFill>
                    <w14:schemeClr w14:val="tx1"/>
                  </w14:solidFill>
                </w14:textFill>
              </w:rPr>
              <w:t>0631-5812098</w:t>
            </w:r>
          </w:p>
        </w:tc>
      </w:tr>
      <w:tr w14:paraId="4AB68C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851" w:type="dxa"/>
            <w:tcBorders>
              <w:top w:val="single" w:color="auto" w:sz="4" w:space="0"/>
              <w:bottom w:val="single" w:color="auto" w:sz="4" w:space="0"/>
              <w:right w:val="single" w:color="auto" w:sz="4" w:space="0"/>
            </w:tcBorders>
            <w:vAlign w:val="center"/>
          </w:tcPr>
          <w:p w14:paraId="4819809A">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w:t>
            </w:r>
          </w:p>
        </w:tc>
        <w:tc>
          <w:tcPr>
            <w:tcW w:w="2181" w:type="dxa"/>
            <w:tcBorders>
              <w:top w:val="single" w:color="auto" w:sz="4" w:space="0"/>
              <w:left w:val="single" w:color="auto" w:sz="4" w:space="0"/>
              <w:bottom w:val="single" w:color="auto" w:sz="4" w:space="0"/>
              <w:right w:val="single" w:color="auto" w:sz="4" w:space="0"/>
            </w:tcBorders>
            <w:vAlign w:val="center"/>
          </w:tcPr>
          <w:p w14:paraId="76C59D9E">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项目情况</w:t>
            </w:r>
          </w:p>
        </w:tc>
        <w:tc>
          <w:tcPr>
            <w:tcW w:w="6881" w:type="dxa"/>
            <w:tcBorders>
              <w:top w:val="single" w:color="auto" w:sz="4" w:space="0"/>
              <w:left w:val="single" w:color="auto" w:sz="4" w:space="0"/>
              <w:bottom w:val="single" w:color="auto" w:sz="4" w:space="0"/>
            </w:tcBorders>
            <w:vAlign w:val="center"/>
          </w:tcPr>
          <w:p w14:paraId="7BE004EE">
            <w:pPr>
              <w:keepNext w:val="0"/>
              <w:keepLines w:val="0"/>
              <w:pageBreakBefore w:val="0"/>
              <w:widowControl w:val="0"/>
              <w:kinsoku/>
              <w:wordWrap w:val="0"/>
              <w:overflowPunct/>
              <w:topLinePunct w:val="0"/>
              <w:autoSpaceDE/>
              <w:autoSpaceDN/>
              <w:bidi w:val="0"/>
              <w:adjustRightInd/>
              <w:snapToGrid/>
              <w:spacing w:line="240" w:lineRule="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详见“第一章招标公告”</w:t>
            </w:r>
          </w:p>
        </w:tc>
      </w:tr>
      <w:tr w14:paraId="50E1E9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1" w:hRule="atLeast"/>
          <w:jc w:val="center"/>
        </w:trPr>
        <w:tc>
          <w:tcPr>
            <w:tcW w:w="851" w:type="dxa"/>
            <w:tcBorders>
              <w:top w:val="single" w:color="auto" w:sz="4" w:space="0"/>
              <w:bottom w:val="single" w:color="auto" w:sz="4" w:space="0"/>
              <w:right w:val="single" w:color="auto" w:sz="4" w:space="0"/>
            </w:tcBorders>
            <w:vAlign w:val="center"/>
          </w:tcPr>
          <w:p w14:paraId="5EBE57BF">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w:t>
            </w:r>
          </w:p>
        </w:tc>
        <w:tc>
          <w:tcPr>
            <w:tcW w:w="2181" w:type="dxa"/>
            <w:tcBorders>
              <w:top w:val="single" w:color="auto" w:sz="4" w:space="0"/>
              <w:left w:val="single" w:color="auto" w:sz="4" w:space="0"/>
              <w:bottom w:val="single" w:color="auto" w:sz="4" w:space="0"/>
              <w:right w:val="single" w:color="auto" w:sz="4" w:space="0"/>
            </w:tcBorders>
            <w:vAlign w:val="center"/>
          </w:tcPr>
          <w:p w14:paraId="1E3537A7">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资金来源及比例</w:t>
            </w:r>
          </w:p>
        </w:tc>
        <w:tc>
          <w:tcPr>
            <w:tcW w:w="6881" w:type="dxa"/>
            <w:tcBorders>
              <w:top w:val="single" w:color="auto" w:sz="4" w:space="0"/>
              <w:left w:val="single" w:color="auto" w:sz="4" w:space="0"/>
              <w:bottom w:val="single" w:color="auto" w:sz="4" w:space="0"/>
            </w:tcBorders>
            <w:vAlign w:val="center"/>
          </w:tcPr>
          <w:p w14:paraId="7619124B">
            <w:pPr>
              <w:keepNext w:val="0"/>
              <w:keepLines w:val="0"/>
              <w:pageBreakBefore w:val="0"/>
              <w:widowControl w:val="0"/>
              <w:kinsoku/>
              <w:wordWrap w:val="0"/>
              <w:overflowPunct/>
              <w:topLinePunct w:val="0"/>
              <w:autoSpaceDE/>
              <w:autoSpaceDN/>
              <w:bidi w:val="0"/>
              <w:adjustRightInd/>
              <w:snapToGrid/>
              <w:spacing w:line="240" w:lineRule="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自筹资金100%</w:t>
            </w:r>
          </w:p>
        </w:tc>
      </w:tr>
      <w:tr w14:paraId="00875A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6" w:hRule="atLeast"/>
          <w:jc w:val="center"/>
        </w:trPr>
        <w:tc>
          <w:tcPr>
            <w:tcW w:w="851" w:type="dxa"/>
            <w:tcBorders>
              <w:top w:val="single" w:color="auto" w:sz="4" w:space="0"/>
              <w:bottom w:val="single" w:color="auto" w:sz="4" w:space="0"/>
              <w:right w:val="single" w:color="auto" w:sz="4" w:space="0"/>
            </w:tcBorders>
            <w:vAlign w:val="center"/>
          </w:tcPr>
          <w:p w14:paraId="02E75DAF">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w:t>
            </w:r>
          </w:p>
        </w:tc>
        <w:tc>
          <w:tcPr>
            <w:tcW w:w="2181" w:type="dxa"/>
            <w:tcBorders>
              <w:top w:val="single" w:color="auto" w:sz="4" w:space="0"/>
              <w:left w:val="single" w:color="auto" w:sz="4" w:space="0"/>
              <w:bottom w:val="single" w:color="auto" w:sz="4" w:space="0"/>
              <w:right w:val="single" w:color="auto" w:sz="4" w:space="0"/>
            </w:tcBorders>
            <w:vAlign w:val="center"/>
          </w:tcPr>
          <w:p w14:paraId="17BA9B23">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落实情况</w:t>
            </w:r>
          </w:p>
        </w:tc>
        <w:tc>
          <w:tcPr>
            <w:tcW w:w="6881" w:type="dxa"/>
            <w:tcBorders>
              <w:top w:val="single" w:color="auto" w:sz="4" w:space="0"/>
              <w:left w:val="single" w:color="auto" w:sz="4" w:space="0"/>
              <w:bottom w:val="single" w:color="auto" w:sz="4" w:space="0"/>
            </w:tcBorders>
            <w:vAlign w:val="center"/>
          </w:tcPr>
          <w:p w14:paraId="2754FFF0">
            <w:pPr>
              <w:keepNext w:val="0"/>
              <w:keepLines w:val="0"/>
              <w:pageBreakBefore w:val="0"/>
              <w:widowControl w:val="0"/>
              <w:kinsoku/>
              <w:wordWrap w:val="0"/>
              <w:overflowPunct/>
              <w:topLinePunct w:val="0"/>
              <w:autoSpaceDE/>
              <w:autoSpaceDN/>
              <w:bidi w:val="0"/>
              <w:adjustRightInd/>
              <w:snapToGrid/>
              <w:spacing w:line="240" w:lineRule="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已落实</w:t>
            </w:r>
          </w:p>
        </w:tc>
      </w:tr>
      <w:tr w14:paraId="022EC39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51E0BC6A">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8</w:t>
            </w:r>
          </w:p>
        </w:tc>
        <w:tc>
          <w:tcPr>
            <w:tcW w:w="2181" w:type="dxa"/>
            <w:tcBorders>
              <w:top w:val="single" w:color="auto" w:sz="4" w:space="0"/>
              <w:left w:val="single" w:color="auto" w:sz="4" w:space="0"/>
              <w:bottom w:val="single" w:color="auto" w:sz="4" w:space="0"/>
              <w:right w:val="single" w:color="auto" w:sz="4" w:space="0"/>
            </w:tcBorders>
            <w:vAlign w:val="center"/>
          </w:tcPr>
          <w:p w14:paraId="3569E3A3">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电子投标</w:t>
            </w:r>
          </w:p>
          <w:p w14:paraId="4EEE4642">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特别提示</w:t>
            </w:r>
          </w:p>
        </w:tc>
        <w:tc>
          <w:tcPr>
            <w:tcW w:w="6881" w:type="dxa"/>
            <w:tcBorders>
              <w:top w:val="single" w:color="auto" w:sz="4" w:space="0"/>
              <w:left w:val="single" w:color="auto" w:sz="4" w:space="0"/>
              <w:bottom w:val="single" w:color="auto" w:sz="4" w:space="0"/>
            </w:tcBorders>
            <w:vAlign w:val="center"/>
          </w:tcPr>
          <w:p w14:paraId="1889D593">
            <w:pPr>
              <w:keepNext w:val="0"/>
              <w:keepLines w:val="0"/>
              <w:pageBreakBefore w:val="0"/>
              <w:widowControl w:val="0"/>
              <w:kinsoku/>
              <w:wordWrap w:val="0"/>
              <w:overflowPunct/>
              <w:topLinePunct w:val="0"/>
              <w:autoSpaceDE/>
              <w:autoSpaceDN/>
              <w:bidi w:val="0"/>
              <w:adjustRightInd/>
              <w:snapToGrid/>
              <w:spacing w:line="240" w:lineRule="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登录“威海市公共资源交易网”首页右侧“交易服务一网通办系统”进行平台切换点击“国企采购”进入国有企业阳光采购电子化服务平台进行注册，取得用户名和密码（已经完成注册的投标人无须重复注册）；首次注册的投标人应及时办理安全证书（CA锁）及电子签章。</w:t>
            </w:r>
          </w:p>
          <w:p w14:paraId="4993A32C">
            <w:pPr>
              <w:keepNext w:val="0"/>
              <w:keepLines w:val="0"/>
              <w:pageBreakBefore w:val="0"/>
              <w:widowControl w:val="0"/>
              <w:kinsoku/>
              <w:wordWrap w:val="0"/>
              <w:overflowPunct/>
              <w:topLinePunct w:val="0"/>
              <w:autoSpaceDE/>
              <w:autoSpaceDN/>
              <w:bidi w:val="0"/>
              <w:adjustRightInd/>
              <w:snapToGrid/>
              <w:spacing w:line="240" w:lineRule="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w:t>
            </w:r>
            <w:r>
              <w:rPr>
                <w:rFonts w:hint="eastAsia" w:ascii="仿宋" w:hAnsi="仿宋" w:eastAsia="仿宋" w:cs="仿宋"/>
                <w:b/>
                <w:color w:val="000000" w:themeColor="text1"/>
                <w:sz w:val="28"/>
                <w:szCs w:val="28"/>
                <w:highlight w:val="none"/>
                <w14:textFill>
                  <w14:solidFill>
                    <w14:schemeClr w14:val="tx1"/>
                  </w14:solidFill>
                </w14:textFill>
              </w:rPr>
              <w:t>本项目必须网上提交投标文件</w:t>
            </w:r>
            <w:r>
              <w:rPr>
                <w:rFonts w:hint="eastAsia" w:ascii="仿宋" w:hAnsi="仿宋" w:eastAsia="仿宋" w:cs="仿宋"/>
                <w:color w:val="000000" w:themeColor="text1"/>
                <w:sz w:val="28"/>
                <w:szCs w:val="28"/>
                <w:highlight w:val="none"/>
                <w14:textFill>
                  <w14:solidFill>
                    <w14:schemeClr w14:val="tx1"/>
                  </w14:solidFill>
                </w14:textFill>
              </w:rPr>
              <w:t>，参与本项目投标人应利用办理好的CA锁登录威海市国有企业阳光采购电子化服务平台进行招标文件的获取、文件下载和网上提交投标文件，且安全证书（CA锁）在有效期内。</w:t>
            </w:r>
          </w:p>
          <w:p w14:paraId="64FCB61C">
            <w:pPr>
              <w:keepNext w:val="0"/>
              <w:keepLines w:val="0"/>
              <w:pageBreakBefore w:val="0"/>
              <w:widowControl w:val="0"/>
              <w:kinsoku/>
              <w:wordWrap w:val="0"/>
              <w:overflowPunct/>
              <w:topLinePunct w:val="0"/>
              <w:autoSpaceDE/>
              <w:autoSpaceDN/>
              <w:bidi w:val="0"/>
              <w:adjustRightInd/>
              <w:snapToGrid/>
              <w:spacing w:line="240" w:lineRule="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w:t>
            </w: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电子响应文件的制作及提交等有关操作见本文件及威海市公共资源交易网）办事指南栏目-国企采购专区-《新版威海市国有企业阳光采购服务平台操作演示视频（供应商）》，网址: </w:t>
            </w:r>
            <w:r>
              <w:rPr>
                <w:rFonts w:hint="eastAsia" w:ascii="仿宋" w:hAnsi="仿宋" w:eastAsia="仿宋" w:cs="仿宋"/>
                <w:color w:val="000000" w:themeColor="text1"/>
                <w:sz w:val="28"/>
                <w:szCs w:val="28"/>
                <w:highlight w:val="none"/>
                <w:lang w:val="en-US" w:eastAsia="zh-CN"/>
                <w14:textFill>
                  <w14:solidFill>
                    <w14:schemeClr w14:val="tx1"/>
                  </w14:solidFill>
                </w14:textFill>
              </w:rPr>
              <w:fldChar w:fldCharType="begin"/>
            </w:r>
            <w:r>
              <w:rPr>
                <w:rFonts w:hint="eastAsia" w:ascii="仿宋" w:hAnsi="仿宋" w:eastAsia="仿宋" w:cs="仿宋"/>
                <w:color w:val="000000" w:themeColor="text1"/>
                <w:sz w:val="28"/>
                <w:szCs w:val="28"/>
                <w:highlight w:val="none"/>
                <w:lang w:val="en-US" w:eastAsia="zh-CN"/>
                <w14:textFill>
                  <w14:solidFill>
                    <w14:schemeClr w14:val="tx1"/>
                  </w14:solidFill>
                </w14:textFill>
              </w:rPr>
              <w:instrText xml:space="preserve"> HYPERLINK "https://ggzyjy.weihai.cn/bszn/005005/20260109/315a049e-0d75-4f85-8634-00d90a843936.html" </w:instrText>
            </w:r>
            <w:r>
              <w:rPr>
                <w:rFonts w:hint="eastAsia" w:ascii="仿宋" w:hAnsi="仿宋" w:eastAsia="仿宋" w:cs="仿宋"/>
                <w:color w:val="000000" w:themeColor="text1"/>
                <w:sz w:val="28"/>
                <w:szCs w:val="28"/>
                <w:highlight w:val="none"/>
                <w:lang w:val="en-US" w:eastAsia="zh-CN"/>
                <w14:textFill>
                  <w14:solidFill>
                    <w14:schemeClr w14:val="tx1"/>
                  </w14:solidFill>
                </w14:textFill>
              </w:rPr>
              <w:fldChar w:fldCharType="separate"/>
            </w:r>
            <w:r>
              <w:rPr>
                <w:rFonts w:hint="eastAsia" w:ascii="仿宋" w:hAnsi="仿宋" w:eastAsia="仿宋" w:cs="仿宋"/>
                <w:color w:val="000000" w:themeColor="text1"/>
                <w:sz w:val="28"/>
                <w:szCs w:val="28"/>
                <w:highlight w:val="none"/>
                <w:lang w:val="en-US" w:eastAsia="zh-CN"/>
                <w14:textFill>
                  <w14:solidFill>
                    <w14:schemeClr w14:val="tx1"/>
                  </w14:solidFill>
                </w14:textFill>
              </w:rPr>
              <w:t>https://ggzyjy.weihai.cn/bszn/005005/20260109/315a049e-0d75-4f85-8634-00d90a843936.html</w:t>
            </w:r>
            <w:r>
              <w:rPr>
                <w:rFonts w:hint="eastAsia" w:ascii="仿宋" w:hAnsi="仿宋" w:eastAsia="仿宋" w:cs="仿宋"/>
                <w:color w:val="000000" w:themeColor="text1"/>
                <w:sz w:val="28"/>
                <w:szCs w:val="28"/>
                <w:highlight w:val="none"/>
                <w:lang w:val="en-US" w:eastAsia="zh-CN"/>
                <w14:textFill>
                  <w14:solidFill>
                    <w14:schemeClr w14:val="tx1"/>
                  </w14:solidFill>
                </w14:textFill>
              </w:rPr>
              <w:fldChar w:fldCharType="end"/>
            </w:r>
            <w:r>
              <w:rPr>
                <w:rFonts w:hint="eastAsia" w:ascii="仿宋" w:hAnsi="仿宋" w:eastAsia="仿宋" w:cs="仿宋"/>
                <w:color w:val="000000" w:themeColor="text1"/>
                <w:sz w:val="28"/>
                <w:szCs w:val="28"/>
                <w:highlight w:val="none"/>
                <w:lang w:val="en-US" w:eastAsia="zh-CN"/>
                <w14:textFill>
                  <w14:solidFill>
                    <w14:schemeClr w14:val="tx1"/>
                  </w14:solidFill>
                </w14:textFill>
              </w:rPr>
              <w:t>。响应文件制作及系统使用咨询电话：17863029936；QQ服务群：1046971257。</w:t>
            </w:r>
            <w:r>
              <w:rPr>
                <w:rFonts w:hint="eastAsia" w:ascii="仿宋" w:hAnsi="仿宋" w:eastAsia="仿宋" w:cs="仿宋"/>
                <w:color w:val="000000" w:themeColor="text1"/>
                <w:sz w:val="28"/>
                <w:szCs w:val="28"/>
                <w:highlight w:val="none"/>
                <w14:textFill>
                  <w14:solidFill>
                    <w14:schemeClr w14:val="tx1"/>
                  </w14:solidFill>
                </w14:textFill>
              </w:rPr>
              <w:t>交易服务一网通办系统技术支持电话：4009980000（系统登录、CA锁绑定、平台切换），一网通办技术支持QQ群：1143439694；CA锁办理咨询电话：0631-5170227；</w:t>
            </w:r>
          </w:p>
          <w:p w14:paraId="7CA01FF6">
            <w:pPr>
              <w:keepNext w:val="0"/>
              <w:keepLines w:val="0"/>
              <w:pageBreakBefore w:val="0"/>
              <w:widowControl w:val="0"/>
              <w:kinsoku/>
              <w:wordWrap w:val="0"/>
              <w:overflowPunct/>
              <w:topLinePunct w:val="0"/>
              <w:autoSpaceDE/>
              <w:autoSpaceDN/>
              <w:bidi w:val="0"/>
              <w:adjustRightInd/>
              <w:snapToGrid/>
              <w:spacing w:line="240" w:lineRule="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w:t>
            </w:r>
            <w:r>
              <w:rPr>
                <w:rFonts w:hint="eastAsia" w:ascii="仿宋" w:hAnsi="仿宋" w:eastAsia="仿宋" w:cs="仿宋"/>
                <w:color w:val="000000" w:themeColor="text1"/>
                <w:sz w:val="28"/>
                <w:szCs w:val="28"/>
                <w:highlight w:val="none"/>
                <w:lang w:val="en-US" w:eastAsia="zh-CN"/>
                <w14:textFill>
                  <w14:solidFill>
                    <w14:schemeClr w14:val="tx1"/>
                  </w14:solidFill>
                </w14:textFill>
              </w:rPr>
              <w:t>网上提交响应文件时，登录交易平台的电脑须满足环境要求（详见新版威海市国有企业阳光采购服务平台供应商用户手册https://ggzyjy.weihai.cn/bszn/005005/20260109/eb4ba418-4b35-4f05-aa69-44fd7d8a7ffb.html）。</w:t>
            </w:r>
          </w:p>
          <w:p w14:paraId="500C9BBA">
            <w:pPr>
              <w:keepNext w:val="0"/>
              <w:keepLines w:val="0"/>
              <w:pageBreakBefore w:val="0"/>
              <w:widowControl w:val="0"/>
              <w:kinsoku/>
              <w:wordWrap w:val="0"/>
              <w:overflowPunct/>
              <w:topLinePunct w:val="0"/>
              <w:autoSpaceDE/>
              <w:autoSpaceDN/>
              <w:bidi w:val="0"/>
              <w:adjustRightInd/>
              <w:snapToGrid/>
              <w:spacing w:line="240" w:lineRule="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投标人提交的电子投标文件应参照本招标文件《第五章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51BFC493">
            <w:pPr>
              <w:keepNext w:val="0"/>
              <w:keepLines w:val="0"/>
              <w:pageBreakBefore w:val="0"/>
              <w:widowControl w:val="0"/>
              <w:kinsoku/>
              <w:wordWrap w:val="0"/>
              <w:overflowPunct/>
              <w:topLinePunct w:val="0"/>
              <w:autoSpaceDE/>
              <w:autoSpaceDN/>
              <w:bidi w:val="0"/>
              <w:adjustRightInd/>
              <w:snapToGrid/>
              <w:spacing w:line="240" w:lineRule="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09BDA7F1">
            <w:pPr>
              <w:keepNext w:val="0"/>
              <w:keepLines w:val="0"/>
              <w:pageBreakBefore w:val="0"/>
              <w:widowControl w:val="0"/>
              <w:kinsoku/>
              <w:wordWrap w:val="0"/>
              <w:overflowPunct/>
              <w:topLinePunct w:val="0"/>
              <w:autoSpaceDE/>
              <w:autoSpaceDN/>
              <w:bidi w:val="0"/>
              <w:adjustRightInd/>
              <w:snapToGrid/>
              <w:spacing w:line="240" w:lineRule="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7.投标人投标文件中的相关扫描件应保证清晰度，无法辨认的评审时受到影响的，由投标人承担相应责任。</w:t>
            </w:r>
          </w:p>
          <w:p w14:paraId="282C06D0">
            <w:pPr>
              <w:keepNext w:val="0"/>
              <w:keepLines w:val="0"/>
              <w:pageBreakBefore w:val="0"/>
              <w:widowControl w:val="0"/>
              <w:kinsoku/>
              <w:wordWrap w:val="0"/>
              <w:overflowPunct/>
              <w:topLinePunct w:val="0"/>
              <w:autoSpaceDE/>
              <w:autoSpaceDN/>
              <w:bidi w:val="0"/>
              <w:adjustRightInd/>
              <w:snapToGrid/>
              <w:spacing w:line="240" w:lineRule="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8.投标人应充分考虑到网上提交投标文件会发生的故障和风险。对发生的任何故障和风险造成投标人报价内容不一致或利益受损或投标失败的，招标人及招标代理机构不承担任何责任。</w:t>
            </w:r>
          </w:p>
        </w:tc>
      </w:tr>
      <w:tr w14:paraId="395364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35" w:hRule="atLeast"/>
          <w:jc w:val="center"/>
        </w:trPr>
        <w:tc>
          <w:tcPr>
            <w:tcW w:w="851" w:type="dxa"/>
            <w:tcBorders>
              <w:top w:val="single" w:color="auto" w:sz="4" w:space="0"/>
              <w:bottom w:val="single" w:color="auto" w:sz="4" w:space="0"/>
              <w:right w:val="single" w:color="auto" w:sz="4" w:space="0"/>
            </w:tcBorders>
            <w:vAlign w:val="center"/>
          </w:tcPr>
          <w:p w14:paraId="7C4C63F6">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9</w:t>
            </w:r>
          </w:p>
        </w:tc>
        <w:tc>
          <w:tcPr>
            <w:tcW w:w="2181" w:type="dxa"/>
            <w:tcBorders>
              <w:top w:val="single" w:color="auto" w:sz="4" w:space="0"/>
              <w:left w:val="single" w:color="auto" w:sz="4" w:space="0"/>
              <w:bottom w:val="single" w:color="auto" w:sz="4" w:space="0"/>
              <w:right w:val="single" w:color="auto" w:sz="4" w:space="0"/>
            </w:tcBorders>
            <w:vAlign w:val="center"/>
          </w:tcPr>
          <w:p w14:paraId="5FE94047">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资质证明文件</w:t>
            </w:r>
          </w:p>
          <w:p w14:paraId="27EB29A7">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原件</w:t>
            </w:r>
          </w:p>
        </w:tc>
        <w:tc>
          <w:tcPr>
            <w:tcW w:w="6881" w:type="dxa"/>
            <w:tcBorders>
              <w:top w:val="single" w:color="auto" w:sz="4" w:space="0"/>
              <w:left w:val="single" w:color="auto" w:sz="4" w:space="0"/>
              <w:bottom w:val="single" w:color="auto" w:sz="4" w:space="0"/>
            </w:tcBorders>
            <w:vAlign w:val="center"/>
          </w:tcPr>
          <w:p w14:paraId="48C4BA20">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无需提供资质证明文件原件</w:t>
            </w:r>
          </w:p>
        </w:tc>
      </w:tr>
      <w:tr w14:paraId="0A7139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641B7BE6">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10</w:t>
            </w:r>
          </w:p>
        </w:tc>
        <w:tc>
          <w:tcPr>
            <w:tcW w:w="2181" w:type="dxa"/>
            <w:tcBorders>
              <w:top w:val="single" w:color="auto" w:sz="4" w:space="0"/>
              <w:left w:val="single" w:color="auto" w:sz="4" w:space="0"/>
              <w:bottom w:val="single" w:color="auto" w:sz="4" w:space="0"/>
              <w:right w:val="single" w:color="auto" w:sz="4" w:space="0"/>
            </w:tcBorders>
            <w:vAlign w:val="center"/>
          </w:tcPr>
          <w:p w14:paraId="5BCDBB67">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投标文件份数</w:t>
            </w:r>
          </w:p>
        </w:tc>
        <w:tc>
          <w:tcPr>
            <w:tcW w:w="6881" w:type="dxa"/>
            <w:tcBorders>
              <w:top w:val="single" w:color="auto" w:sz="4" w:space="0"/>
              <w:left w:val="single" w:color="auto" w:sz="4" w:space="0"/>
              <w:bottom w:val="single" w:color="auto" w:sz="4" w:space="0"/>
            </w:tcBorders>
            <w:vAlign w:val="center"/>
          </w:tcPr>
          <w:p w14:paraId="4E406F4B">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网上按时提交电子投标文件</w:t>
            </w:r>
          </w:p>
        </w:tc>
      </w:tr>
      <w:tr w14:paraId="3A6CD4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3ED6EC4D">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11</w:t>
            </w:r>
          </w:p>
        </w:tc>
        <w:tc>
          <w:tcPr>
            <w:tcW w:w="2181" w:type="dxa"/>
            <w:tcBorders>
              <w:top w:val="single" w:color="auto" w:sz="4" w:space="0"/>
              <w:left w:val="single" w:color="auto" w:sz="4" w:space="0"/>
              <w:bottom w:val="single" w:color="auto" w:sz="4" w:space="0"/>
              <w:right w:val="single" w:color="auto" w:sz="4" w:space="0"/>
            </w:tcBorders>
            <w:vAlign w:val="center"/>
          </w:tcPr>
          <w:p w14:paraId="3DF38591">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实物样品</w:t>
            </w:r>
          </w:p>
        </w:tc>
        <w:tc>
          <w:tcPr>
            <w:tcW w:w="6881" w:type="dxa"/>
            <w:tcBorders>
              <w:top w:val="single" w:color="auto" w:sz="4" w:space="0"/>
              <w:left w:val="single" w:color="auto" w:sz="4" w:space="0"/>
              <w:bottom w:val="single" w:color="auto" w:sz="4" w:space="0"/>
            </w:tcBorders>
            <w:vAlign w:val="center"/>
          </w:tcPr>
          <w:p w14:paraId="66AD3649">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无</w:t>
            </w:r>
          </w:p>
        </w:tc>
      </w:tr>
      <w:tr w14:paraId="3CCEC0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14762DE2">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12</w:t>
            </w:r>
          </w:p>
        </w:tc>
        <w:tc>
          <w:tcPr>
            <w:tcW w:w="2181" w:type="dxa"/>
            <w:tcBorders>
              <w:top w:val="single" w:color="auto" w:sz="4" w:space="0"/>
              <w:left w:val="single" w:color="auto" w:sz="4" w:space="0"/>
              <w:bottom w:val="single" w:color="auto" w:sz="4" w:space="0"/>
              <w:right w:val="single" w:color="auto" w:sz="4" w:space="0"/>
            </w:tcBorders>
            <w:vAlign w:val="center"/>
          </w:tcPr>
          <w:p w14:paraId="530EBA13">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现场踏勘</w:t>
            </w:r>
          </w:p>
        </w:tc>
        <w:tc>
          <w:tcPr>
            <w:tcW w:w="6881" w:type="dxa"/>
            <w:tcBorders>
              <w:top w:val="single" w:color="auto" w:sz="4" w:space="0"/>
              <w:left w:val="single" w:color="auto" w:sz="4" w:space="0"/>
              <w:bottom w:val="single" w:color="auto" w:sz="4" w:space="0"/>
            </w:tcBorders>
            <w:vAlign w:val="center"/>
          </w:tcPr>
          <w:p w14:paraId="607208A6">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不组织</w:t>
            </w:r>
          </w:p>
        </w:tc>
      </w:tr>
      <w:tr w14:paraId="30B381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71BC3864">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13</w:t>
            </w:r>
          </w:p>
        </w:tc>
        <w:tc>
          <w:tcPr>
            <w:tcW w:w="2181" w:type="dxa"/>
            <w:tcBorders>
              <w:top w:val="single" w:color="auto" w:sz="4" w:space="0"/>
              <w:left w:val="single" w:color="auto" w:sz="4" w:space="0"/>
              <w:bottom w:val="single" w:color="auto" w:sz="4" w:space="0"/>
              <w:right w:val="single" w:color="auto" w:sz="4" w:space="0"/>
            </w:tcBorders>
            <w:vAlign w:val="center"/>
          </w:tcPr>
          <w:p w14:paraId="57975DC6">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投标预备会</w:t>
            </w:r>
          </w:p>
        </w:tc>
        <w:tc>
          <w:tcPr>
            <w:tcW w:w="6881" w:type="dxa"/>
            <w:tcBorders>
              <w:top w:val="single" w:color="auto" w:sz="4" w:space="0"/>
              <w:left w:val="single" w:color="auto" w:sz="4" w:space="0"/>
              <w:bottom w:val="single" w:color="auto" w:sz="4" w:space="0"/>
            </w:tcBorders>
            <w:vAlign w:val="center"/>
          </w:tcPr>
          <w:p w14:paraId="45D86EFB">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不召开</w:t>
            </w:r>
          </w:p>
        </w:tc>
      </w:tr>
      <w:tr w14:paraId="5C5B07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851" w:type="dxa"/>
            <w:tcBorders>
              <w:top w:val="single" w:color="auto" w:sz="4" w:space="0"/>
              <w:bottom w:val="single" w:color="auto" w:sz="4" w:space="0"/>
              <w:right w:val="single" w:color="auto" w:sz="4" w:space="0"/>
            </w:tcBorders>
            <w:vAlign w:val="center"/>
          </w:tcPr>
          <w:p w14:paraId="03A491A4">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14</w:t>
            </w:r>
          </w:p>
        </w:tc>
        <w:tc>
          <w:tcPr>
            <w:tcW w:w="2181" w:type="dxa"/>
            <w:tcBorders>
              <w:top w:val="single" w:color="auto" w:sz="4" w:space="0"/>
              <w:left w:val="single" w:color="auto" w:sz="4" w:space="0"/>
              <w:bottom w:val="single" w:color="auto" w:sz="4" w:space="0"/>
              <w:right w:val="single" w:color="auto" w:sz="4" w:space="0"/>
            </w:tcBorders>
            <w:vAlign w:val="center"/>
          </w:tcPr>
          <w:p w14:paraId="3CC0C2B0">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投标有效期</w:t>
            </w:r>
          </w:p>
        </w:tc>
        <w:tc>
          <w:tcPr>
            <w:tcW w:w="6881" w:type="dxa"/>
            <w:tcBorders>
              <w:top w:val="single" w:color="auto" w:sz="4" w:space="0"/>
              <w:left w:val="single" w:color="auto" w:sz="4" w:space="0"/>
              <w:bottom w:val="single" w:color="auto" w:sz="4" w:space="0"/>
            </w:tcBorders>
            <w:vAlign w:val="center"/>
          </w:tcPr>
          <w:p w14:paraId="5712D251">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开标之日起90天</w:t>
            </w:r>
          </w:p>
        </w:tc>
      </w:tr>
      <w:tr w14:paraId="481D16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851" w:type="dxa"/>
            <w:tcBorders>
              <w:top w:val="single" w:color="auto" w:sz="4" w:space="0"/>
              <w:bottom w:val="single" w:color="auto" w:sz="4" w:space="0"/>
              <w:right w:val="single" w:color="auto" w:sz="4" w:space="0"/>
            </w:tcBorders>
            <w:vAlign w:val="center"/>
          </w:tcPr>
          <w:p w14:paraId="6621C041">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15</w:t>
            </w:r>
          </w:p>
        </w:tc>
        <w:tc>
          <w:tcPr>
            <w:tcW w:w="2181" w:type="dxa"/>
            <w:tcBorders>
              <w:top w:val="single" w:color="auto" w:sz="4" w:space="0"/>
              <w:left w:val="single" w:color="auto" w:sz="4" w:space="0"/>
              <w:bottom w:val="single" w:color="auto" w:sz="4" w:space="0"/>
              <w:right w:val="single" w:color="auto" w:sz="4" w:space="0"/>
            </w:tcBorders>
            <w:vAlign w:val="center"/>
          </w:tcPr>
          <w:p w14:paraId="647F6515">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投标文件提交时间及地点</w:t>
            </w:r>
          </w:p>
        </w:tc>
        <w:tc>
          <w:tcPr>
            <w:tcW w:w="6881" w:type="dxa"/>
            <w:tcBorders>
              <w:top w:val="single" w:color="auto" w:sz="4" w:space="0"/>
              <w:left w:val="single" w:color="auto" w:sz="4" w:space="0"/>
              <w:bottom w:val="single" w:color="auto" w:sz="4" w:space="0"/>
            </w:tcBorders>
            <w:vAlign w:val="center"/>
          </w:tcPr>
          <w:p w14:paraId="105EFF8F">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电子投标文件提交时间：</w:t>
            </w:r>
            <w:r>
              <w:rPr>
                <w:rFonts w:hint="eastAsia" w:ascii="仿宋" w:hAnsi="仿宋" w:eastAsia="仿宋" w:cs="仿宋"/>
                <w:color w:val="000000" w:themeColor="text1"/>
                <w:sz w:val="28"/>
                <w:szCs w:val="28"/>
                <w:highlight w:val="none"/>
                <w:lang w:eastAsia="zh-CN"/>
                <w14:textFill>
                  <w14:solidFill>
                    <w14:schemeClr w14:val="tx1"/>
                  </w14:solidFill>
                </w14:textFill>
              </w:rPr>
              <w:t>2026年</w:t>
            </w:r>
            <w:r>
              <w:rPr>
                <w:rFonts w:hint="eastAsia" w:ascii="仿宋" w:hAnsi="仿宋" w:eastAsia="仿宋" w:cs="仿宋"/>
                <w:color w:val="000000" w:themeColor="text1"/>
                <w:sz w:val="28"/>
                <w:szCs w:val="28"/>
                <w:highlight w:val="none"/>
                <w:lang w:val="en-US" w:eastAsia="zh-CN"/>
                <w14:textFill>
                  <w14:solidFill>
                    <w14:schemeClr w14:val="tx1"/>
                  </w14:solidFill>
                </w14:textFill>
              </w:rPr>
              <w:t>6</w:t>
            </w:r>
            <w:r>
              <w:rPr>
                <w:rFonts w:hint="eastAsia" w:ascii="仿宋" w:hAnsi="仿宋" w:eastAsia="仿宋" w:cs="仿宋"/>
                <w:color w:val="000000" w:themeColor="text1"/>
                <w:sz w:val="28"/>
                <w:szCs w:val="28"/>
                <w:highlight w:val="none"/>
                <w:lang w:eastAsia="zh-CN"/>
                <w14:textFill>
                  <w14:solidFill>
                    <w14:schemeClr w14:val="tx1"/>
                  </w14:solidFill>
                </w14:textFill>
              </w:rPr>
              <w:t>月</w:t>
            </w:r>
            <w:r>
              <w:rPr>
                <w:rFonts w:hint="eastAsia" w:ascii="仿宋" w:hAnsi="仿宋" w:eastAsia="仿宋" w:cs="仿宋"/>
                <w:color w:val="000000" w:themeColor="text1"/>
                <w:sz w:val="28"/>
                <w:szCs w:val="28"/>
                <w:highlight w:val="none"/>
                <w:lang w:val="en-US" w:eastAsia="zh-CN"/>
                <w14:textFill>
                  <w14:solidFill>
                    <w14:schemeClr w14:val="tx1"/>
                  </w14:solidFill>
                </w14:textFill>
              </w:rPr>
              <w:t>4</w:t>
            </w:r>
            <w:r>
              <w:rPr>
                <w:rFonts w:hint="eastAsia" w:ascii="仿宋" w:hAnsi="仿宋" w:eastAsia="仿宋" w:cs="仿宋"/>
                <w:color w:val="000000" w:themeColor="text1"/>
                <w:sz w:val="28"/>
                <w:szCs w:val="28"/>
                <w:highlight w:val="none"/>
                <w14:textFill>
                  <w14:solidFill>
                    <w14:schemeClr w14:val="tx1"/>
                  </w14:solidFill>
                </w14:textFill>
              </w:rPr>
              <w:t>日</w:t>
            </w:r>
            <w:r>
              <w:rPr>
                <w:rFonts w:hint="eastAsia" w:ascii="仿宋" w:hAnsi="仿宋" w:eastAsia="仿宋" w:cs="仿宋"/>
                <w:color w:val="000000" w:themeColor="text1"/>
                <w:sz w:val="28"/>
                <w:szCs w:val="28"/>
                <w:highlight w:val="none"/>
                <w:lang w:val="en-US" w:eastAsia="zh-CN"/>
                <w14:textFill>
                  <w14:solidFill>
                    <w14:schemeClr w14:val="tx1"/>
                  </w14:solidFill>
                </w14:textFill>
              </w:rPr>
              <w:t>17</w:t>
            </w:r>
            <w:r>
              <w:rPr>
                <w:rFonts w:hint="eastAsia" w:ascii="仿宋" w:hAnsi="仿宋" w:eastAsia="仿宋" w:cs="仿宋"/>
                <w:color w:val="000000" w:themeColor="text1"/>
                <w:sz w:val="28"/>
                <w:szCs w:val="28"/>
                <w:highlight w:val="none"/>
                <w14:textFill>
                  <w14:solidFill>
                    <w14:schemeClr w14:val="tx1"/>
                  </w14:solidFill>
                </w14:textFill>
              </w:rPr>
              <w:t>时</w:t>
            </w:r>
            <w:r>
              <w:rPr>
                <w:rFonts w:hint="eastAsia" w:ascii="仿宋" w:hAnsi="仿宋" w:eastAsia="仿宋" w:cs="仿宋"/>
                <w:color w:val="000000" w:themeColor="text1"/>
                <w:sz w:val="28"/>
                <w:szCs w:val="28"/>
                <w:highlight w:val="none"/>
                <w:lang w:val="en-US" w:eastAsia="zh-CN"/>
                <w14:textFill>
                  <w14:solidFill>
                    <w14:schemeClr w14:val="tx1"/>
                  </w14:solidFill>
                </w14:textFill>
              </w:rPr>
              <w:t>30</w:t>
            </w:r>
            <w:r>
              <w:rPr>
                <w:rFonts w:hint="eastAsia" w:ascii="仿宋" w:hAnsi="仿宋" w:eastAsia="仿宋" w:cs="仿宋"/>
                <w:color w:val="000000" w:themeColor="text1"/>
                <w:sz w:val="28"/>
                <w:szCs w:val="28"/>
                <w:highlight w:val="none"/>
                <w14:textFill>
                  <w14:solidFill>
                    <w14:schemeClr w14:val="tx1"/>
                  </w14:solidFill>
                </w14:textFill>
              </w:rPr>
              <w:t>分至202</w:t>
            </w:r>
            <w:r>
              <w:rPr>
                <w:rFonts w:hint="eastAsia" w:ascii="仿宋" w:hAnsi="仿宋" w:eastAsia="仿宋" w:cs="仿宋"/>
                <w:color w:val="000000" w:themeColor="text1"/>
                <w:sz w:val="28"/>
                <w:szCs w:val="28"/>
                <w:highlight w:val="none"/>
                <w:lang w:val="en-US" w:eastAsia="zh-CN"/>
                <w14:textFill>
                  <w14:solidFill>
                    <w14:schemeClr w14:val="tx1"/>
                  </w14:solidFill>
                </w14:textFill>
              </w:rPr>
              <w:t>6</w:t>
            </w:r>
            <w:r>
              <w:rPr>
                <w:rFonts w:hint="eastAsia" w:ascii="仿宋" w:hAnsi="仿宋" w:eastAsia="仿宋" w:cs="仿宋"/>
                <w:color w:val="000000" w:themeColor="text1"/>
                <w:sz w:val="28"/>
                <w:szCs w:val="28"/>
                <w:highlight w:val="none"/>
                <w14:textFill>
                  <w14:solidFill>
                    <w14:schemeClr w14:val="tx1"/>
                  </w14:solidFill>
                </w14:textFill>
              </w:rPr>
              <w:t>年</w:t>
            </w:r>
            <w:r>
              <w:rPr>
                <w:rFonts w:hint="eastAsia" w:ascii="仿宋" w:hAnsi="仿宋" w:eastAsia="仿宋" w:cs="仿宋"/>
                <w:color w:val="000000" w:themeColor="text1"/>
                <w:sz w:val="28"/>
                <w:szCs w:val="28"/>
                <w:highlight w:val="none"/>
                <w:lang w:val="en-US" w:eastAsia="zh-CN"/>
                <w14:textFill>
                  <w14:solidFill>
                    <w14:schemeClr w14:val="tx1"/>
                  </w14:solidFill>
                </w14:textFill>
              </w:rPr>
              <w:t>6</w:t>
            </w:r>
            <w:r>
              <w:rPr>
                <w:rFonts w:hint="eastAsia" w:ascii="仿宋" w:hAnsi="仿宋" w:eastAsia="仿宋" w:cs="仿宋"/>
                <w:color w:val="000000" w:themeColor="text1"/>
                <w:sz w:val="28"/>
                <w:szCs w:val="28"/>
                <w:highlight w:val="none"/>
                <w14:textFill>
                  <w14:solidFill>
                    <w14:schemeClr w14:val="tx1"/>
                  </w14:solidFill>
                </w14:textFill>
              </w:rPr>
              <w:t>月</w:t>
            </w:r>
            <w:r>
              <w:rPr>
                <w:rFonts w:hint="eastAsia" w:ascii="仿宋" w:hAnsi="仿宋" w:eastAsia="仿宋" w:cs="仿宋"/>
                <w:color w:val="000000" w:themeColor="text1"/>
                <w:sz w:val="28"/>
                <w:szCs w:val="28"/>
                <w:highlight w:val="none"/>
                <w:lang w:val="en-US" w:eastAsia="zh-CN"/>
                <w14:textFill>
                  <w14:solidFill>
                    <w14:schemeClr w14:val="tx1"/>
                  </w14:solidFill>
                </w14:textFill>
              </w:rPr>
              <w:t>17</w:t>
            </w:r>
            <w:r>
              <w:rPr>
                <w:rFonts w:hint="eastAsia" w:ascii="仿宋" w:hAnsi="仿宋" w:eastAsia="仿宋" w:cs="仿宋"/>
                <w:color w:val="000000" w:themeColor="text1"/>
                <w:sz w:val="28"/>
                <w:szCs w:val="28"/>
                <w:highlight w:val="none"/>
                <w14:textFill>
                  <w14:solidFill>
                    <w14:schemeClr w14:val="tx1"/>
                  </w14:solidFill>
                </w14:textFill>
              </w:rPr>
              <w:t>日</w:t>
            </w:r>
            <w:r>
              <w:rPr>
                <w:rFonts w:hint="eastAsia" w:ascii="仿宋" w:hAnsi="仿宋" w:eastAsia="仿宋" w:cs="仿宋"/>
                <w:color w:val="000000" w:themeColor="text1"/>
                <w:sz w:val="28"/>
                <w:szCs w:val="28"/>
                <w:highlight w:val="none"/>
                <w:lang w:val="en-US" w:eastAsia="zh-CN"/>
                <w14:textFill>
                  <w14:solidFill>
                    <w14:schemeClr w14:val="tx1"/>
                  </w14:solidFill>
                </w14:textFill>
              </w:rPr>
              <w:t>9</w:t>
            </w:r>
            <w:r>
              <w:rPr>
                <w:rFonts w:hint="eastAsia" w:ascii="仿宋" w:hAnsi="仿宋" w:eastAsia="仿宋" w:cs="仿宋"/>
                <w:color w:val="000000" w:themeColor="text1"/>
                <w:sz w:val="28"/>
                <w:szCs w:val="28"/>
                <w:highlight w:val="none"/>
                <w14:textFill>
                  <w14:solidFill>
                    <w14:schemeClr w14:val="tx1"/>
                  </w14:solidFill>
                </w14:textFill>
              </w:rPr>
              <w:t>时</w:t>
            </w:r>
            <w:r>
              <w:rPr>
                <w:rFonts w:hint="eastAsia" w:ascii="仿宋" w:hAnsi="仿宋" w:eastAsia="仿宋" w:cs="仿宋"/>
                <w:color w:val="000000" w:themeColor="text1"/>
                <w:sz w:val="28"/>
                <w:szCs w:val="28"/>
                <w:highlight w:val="none"/>
                <w:lang w:val="en-US" w:eastAsia="zh-CN"/>
                <w14:textFill>
                  <w14:solidFill>
                    <w14:schemeClr w14:val="tx1"/>
                  </w14:solidFill>
                </w14:textFill>
              </w:rPr>
              <w:t>00</w:t>
            </w:r>
            <w:r>
              <w:rPr>
                <w:rFonts w:hint="eastAsia" w:ascii="仿宋" w:hAnsi="仿宋" w:eastAsia="仿宋" w:cs="仿宋"/>
                <w:color w:val="000000" w:themeColor="text1"/>
                <w:sz w:val="28"/>
                <w:szCs w:val="28"/>
                <w:highlight w:val="none"/>
                <w14:textFill>
                  <w14:solidFill>
                    <w14:schemeClr w14:val="tx1"/>
                  </w14:solidFill>
                </w14:textFill>
              </w:rPr>
              <w:t>分（以威海市国企采购电子交易平台具体显示时间为准）</w:t>
            </w:r>
          </w:p>
          <w:p w14:paraId="23E10585">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1.纸质投标文件提交方式：</w:t>
            </w:r>
          </w:p>
          <w:p w14:paraId="7B41717B">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基于项目资料归档的要求，纸质投标文件递交应在提交电子投标文件截止后三个工作日内，邮寄或送至招标代理处。</w:t>
            </w:r>
          </w:p>
          <w:p w14:paraId="1E2F711E">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2.纸质投标文件共2份，将纸质投标文件密封在密封袋中，并在封口处粘贴封条。</w:t>
            </w:r>
          </w:p>
          <w:p w14:paraId="59CFE62C">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3.封套内容：</w:t>
            </w:r>
          </w:p>
          <w:p w14:paraId="72C2451D">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（1）代理机构：</w:t>
            </w:r>
          </w:p>
          <w:p w14:paraId="3B0E7023">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（2）项目名称：</w:t>
            </w:r>
          </w:p>
          <w:p w14:paraId="55A96130">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（3）招标编号：</w:t>
            </w:r>
          </w:p>
          <w:p w14:paraId="46DCF4E3">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（4）投标人：</w:t>
            </w:r>
          </w:p>
          <w:p w14:paraId="69F219AC">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（5）注明“公开开标前不得启封”字样。</w:t>
            </w:r>
          </w:p>
        </w:tc>
      </w:tr>
      <w:tr w14:paraId="713BCF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851" w:type="dxa"/>
            <w:tcBorders>
              <w:top w:val="single" w:color="auto" w:sz="4" w:space="0"/>
              <w:bottom w:val="single" w:color="auto" w:sz="4" w:space="0"/>
              <w:right w:val="single" w:color="auto" w:sz="4" w:space="0"/>
            </w:tcBorders>
            <w:vAlign w:val="center"/>
          </w:tcPr>
          <w:p w14:paraId="300C3CEA">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16</w:t>
            </w:r>
          </w:p>
        </w:tc>
        <w:tc>
          <w:tcPr>
            <w:tcW w:w="2181" w:type="dxa"/>
            <w:tcBorders>
              <w:top w:val="single" w:color="auto" w:sz="4" w:space="0"/>
              <w:left w:val="single" w:color="auto" w:sz="4" w:space="0"/>
              <w:bottom w:val="single" w:color="auto" w:sz="4" w:space="0"/>
              <w:right w:val="single" w:color="auto" w:sz="4" w:space="0"/>
            </w:tcBorders>
            <w:vAlign w:val="center"/>
          </w:tcPr>
          <w:p w14:paraId="1C527D63">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开标时间</w:t>
            </w:r>
          </w:p>
        </w:tc>
        <w:tc>
          <w:tcPr>
            <w:tcW w:w="6881" w:type="dxa"/>
            <w:tcBorders>
              <w:top w:val="single" w:color="auto" w:sz="4" w:space="0"/>
              <w:left w:val="single" w:color="auto" w:sz="4" w:space="0"/>
              <w:bottom w:val="single" w:color="auto" w:sz="4" w:space="0"/>
            </w:tcBorders>
            <w:vAlign w:val="center"/>
          </w:tcPr>
          <w:p w14:paraId="32B2E24A">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202</w:t>
            </w:r>
            <w:r>
              <w:rPr>
                <w:rFonts w:hint="eastAsia" w:ascii="仿宋" w:hAnsi="仿宋" w:eastAsia="仿宋" w:cs="仿宋"/>
                <w:color w:val="000000" w:themeColor="text1"/>
                <w:sz w:val="28"/>
                <w:szCs w:val="28"/>
                <w:highlight w:val="none"/>
                <w:lang w:val="en-US" w:eastAsia="zh-CN"/>
                <w14:textFill>
                  <w14:solidFill>
                    <w14:schemeClr w14:val="tx1"/>
                  </w14:solidFill>
                </w14:textFill>
              </w:rPr>
              <w:t>6</w:t>
            </w:r>
            <w:r>
              <w:rPr>
                <w:rFonts w:hint="eastAsia" w:ascii="仿宋" w:hAnsi="仿宋" w:eastAsia="仿宋" w:cs="仿宋"/>
                <w:color w:val="000000" w:themeColor="text1"/>
                <w:sz w:val="28"/>
                <w:szCs w:val="28"/>
                <w:highlight w:val="none"/>
                <w14:textFill>
                  <w14:solidFill>
                    <w14:schemeClr w14:val="tx1"/>
                  </w14:solidFill>
                </w14:textFill>
              </w:rPr>
              <w:t>年</w:t>
            </w:r>
            <w:r>
              <w:rPr>
                <w:rFonts w:hint="eastAsia" w:ascii="仿宋" w:hAnsi="仿宋" w:eastAsia="仿宋" w:cs="仿宋"/>
                <w:color w:val="000000" w:themeColor="text1"/>
                <w:sz w:val="28"/>
                <w:szCs w:val="28"/>
                <w:highlight w:val="none"/>
                <w:lang w:val="en-US" w:eastAsia="zh-CN"/>
                <w14:textFill>
                  <w14:solidFill>
                    <w14:schemeClr w14:val="tx1"/>
                  </w14:solidFill>
                </w14:textFill>
              </w:rPr>
              <w:t>6</w:t>
            </w:r>
            <w:r>
              <w:rPr>
                <w:rFonts w:hint="eastAsia" w:ascii="仿宋" w:hAnsi="仿宋" w:eastAsia="仿宋" w:cs="仿宋"/>
                <w:color w:val="000000" w:themeColor="text1"/>
                <w:sz w:val="28"/>
                <w:szCs w:val="28"/>
                <w:highlight w:val="none"/>
                <w14:textFill>
                  <w14:solidFill>
                    <w14:schemeClr w14:val="tx1"/>
                  </w14:solidFill>
                </w14:textFill>
              </w:rPr>
              <w:t>月</w:t>
            </w:r>
            <w:r>
              <w:rPr>
                <w:rFonts w:hint="eastAsia" w:ascii="仿宋" w:hAnsi="仿宋" w:eastAsia="仿宋" w:cs="仿宋"/>
                <w:color w:val="000000" w:themeColor="text1"/>
                <w:sz w:val="28"/>
                <w:szCs w:val="28"/>
                <w:highlight w:val="none"/>
                <w:lang w:val="en-US" w:eastAsia="zh-CN"/>
                <w14:textFill>
                  <w14:solidFill>
                    <w14:schemeClr w14:val="tx1"/>
                  </w14:solidFill>
                </w14:textFill>
              </w:rPr>
              <w:t>17</w:t>
            </w:r>
            <w:r>
              <w:rPr>
                <w:rFonts w:hint="eastAsia" w:ascii="仿宋" w:hAnsi="仿宋" w:eastAsia="仿宋" w:cs="仿宋"/>
                <w:color w:val="000000" w:themeColor="text1"/>
                <w:sz w:val="28"/>
                <w:szCs w:val="28"/>
                <w:highlight w:val="none"/>
                <w14:textFill>
                  <w14:solidFill>
                    <w14:schemeClr w14:val="tx1"/>
                  </w14:solidFill>
                </w14:textFill>
              </w:rPr>
              <w:t>日</w:t>
            </w:r>
            <w:r>
              <w:rPr>
                <w:rFonts w:hint="eastAsia" w:ascii="仿宋" w:hAnsi="仿宋" w:eastAsia="仿宋" w:cs="仿宋"/>
                <w:color w:val="000000" w:themeColor="text1"/>
                <w:sz w:val="28"/>
                <w:szCs w:val="28"/>
                <w:highlight w:val="none"/>
                <w:lang w:val="en-US" w:eastAsia="zh-CN"/>
                <w14:textFill>
                  <w14:solidFill>
                    <w14:schemeClr w14:val="tx1"/>
                  </w14:solidFill>
                </w14:textFill>
              </w:rPr>
              <w:t>9</w:t>
            </w:r>
            <w:r>
              <w:rPr>
                <w:rFonts w:hint="eastAsia" w:ascii="仿宋" w:hAnsi="仿宋" w:eastAsia="仿宋" w:cs="仿宋"/>
                <w:color w:val="000000" w:themeColor="text1"/>
                <w:sz w:val="28"/>
                <w:szCs w:val="28"/>
                <w:highlight w:val="none"/>
                <w14:textFill>
                  <w14:solidFill>
                    <w14:schemeClr w14:val="tx1"/>
                  </w14:solidFill>
                </w14:textFill>
              </w:rPr>
              <w:t>时</w:t>
            </w:r>
            <w:r>
              <w:rPr>
                <w:rFonts w:hint="eastAsia" w:ascii="仿宋" w:hAnsi="仿宋" w:eastAsia="仿宋" w:cs="仿宋"/>
                <w:color w:val="000000" w:themeColor="text1"/>
                <w:sz w:val="28"/>
                <w:szCs w:val="28"/>
                <w:highlight w:val="none"/>
                <w:lang w:val="en-US" w:eastAsia="zh-CN"/>
                <w14:textFill>
                  <w14:solidFill>
                    <w14:schemeClr w14:val="tx1"/>
                  </w14:solidFill>
                </w14:textFill>
              </w:rPr>
              <w:t>00</w:t>
            </w:r>
            <w:r>
              <w:rPr>
                <w:rFonts w:hint="eastAsia" w:ascii="仿宋" w:hAnsi="仿宋" w:eastAsia="仿宋" w:cs="仿宋"/>
                <w:color w:val="000000" w:themeColor="text1"/>
                <w:sz w:val="28"/>
                <w:szCs w:val="28"/>
                <w:highlight w:val="none"/>
                <w14:textFill>
                  <w14:solidFill>
                    <w14:schemeClr w14:val="tx1"/>
                  </w14:solidFill>
                </w14:textFill>
              </w:rPr>
              <w:t>分</w:t>
            </w:r>
          </w:p>
        </w:tc>
      </w:tr>
      <w:tr w14:paraId="61CF27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0230527D">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17</w:t>
            </w:r>
          </w:p>
        </w:tc>
        <w:tc>
          <w:tcPr>
            <w:tcW w:w="2181" w:type="dxa"/>
            <w:tcBorders>
              <w:top w:val="single" w:color="auto" w:sz="4" w:space="0"/>
              <w:left w:val="single" w:color="auto" w:sz="4" w:space="0"/>
              <w:bottom w:val="single" w:color="auto" w:sz="4" w:space="0"/>
              <w:right w:val="single" w:color="auto" w:sz="4" w:space="0"/>
            </w:tcBorders>
            <w:vAlign w:val="center"/>
          </w:tcPr>
          <w:p w14:paraId="7B990C87">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开标地点</w:t>
            </w:r>
          </w:p>
        </w:tc>
        <w:tc>
          <w:tcPr>
            <w:tcW w:w="6881" w:type="dxa"/>
            <w:tcBorders>
              <w:top w:val="single" w:color="auto" w:sz="4" w:space="0"/>
              <w:left w:val="single" w:color="auto" w:sz="4" w:space="0"/>
              <w:bottom w:val="single" w:color="auto" w:sz="4" w:space="0"/>
            </w:tcBorders>
            <w:vAlign w:val="center"/>
          </w:tcPr>
          <w:p w14:paraId="25B3554D">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威海市公共资源交易中心交易</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六</w:t>
            </w:r>
            <w:r>
              <w:rPr>
                <w:rFonts w:hint="eastAsia" w:ascii="仿宋" w:hAnsi="仿宋" w:eastAsia="仿宋" w:cs="仿宋"/>
                <w:color w:val="000000" w:themeColor="text1"/>
                <w:spacing w:val="8"/>
                <w:kern w:val="0"/>
                <w:sz w:val="28"/>
                <w:szCs w:val="28"/>
                <w:highlight w:val="none"/>
                <w14:textFill>
                  <w14:solidFill>
                    <w14:schemeClr w14:val="tx1"/>
                  </w14:solidFill>
                </w14:textFill>
              </w:rPr>
              <w:t>厅（威海市环翠区塔山中路317号四楼）</w:t>
            </w:r>
          </w:p>
        </w:tc>
      </w:tr>
      <w:tr w14:paraId="1A7C32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0941BAED">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18</w:t>
            </w:r>
          </w:p>
        </w:tc>
        <w:tc>
          <w:tcPr>
            <w:tcW w:w="2181" w:type="dxa"/>
            <w:tcBorders>
              <w:top w:val="single" w:color="auto" w:sz="4" w:space="0"/>
              <w:left w:val="single" w:color="auto" w:sz="4" w:space="0"/>
              <w:bottom w:val="single" w:color="auto" w:sz="4" w:space="0"/>
              <w:right w:val="single" w:color="auto" w:sz="4" w:space="0"/>
            </w:tcBorders>
            <w:vAlign w:val="center"/>
          </w:tcPr>
          <w:p w14:paraId="5DE4588E">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开标方式</w:t>
            </w:r>
          </w:p>
        </w:tc>
        <w:tc>
          <w:tcPr>
            <w:tcW w:w="6881" w:type="dxa"/>
            <w:tcBorders>
              <w:top w:val="single" w:color="auto" w:sz="4" w:space="0"/>
              <w:left w:val="single" w:color="auto" w:sz="4" w:space="0"/>
              <w:bottom w:val="single" w:color="auto" w:sz="4" w:space="0"/>
            </w:tcBorders>
            <w:vAlign w:val="center"/>
          </w:tcPr>
          <w:p w14:paraId="29DAED40">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投标人无需到现场参与开标，但开、评标期间需实时关注交易系统相关通知，且被授权人的联络方式应保持畅通。</w:t>
            </w:r>
          </w:p>
        </w:tc>
      </w:tr>
      <w:tr w14:paraId="497A58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718A2F30">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19</w:t>
            </w:r>
          </w:p>
        </w:tc>
        <w:tc>
          <w:tcPr>
            <w:tcW w:w="2181" w:type="dxa"/>
            <w:tcBorders>
              <w:top w:val="single" w:color="auto" w:sz="4" w:space="0"/>
              <w:left w:val="single" w:color="auto" w:sz="4" w:space="0"/>
              <w:bottom w:val="single" w:color="auto" w:sz="4" w:space="0"/>
              <w:right w:val="single" w:color="auto" w:sz="4" w:space="0"/>
            </w:tcBorders>
            <w:vAlign w:val="center"/>
          </w:tcPr>
          <w:p w14:paraId="7C7A1890">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开标程序</w:t>
            </w:r>
          </w:p>
        </w:tc>
        <w:tc>
          <w:tcPr>
            <w:tcW w:w="6881" w:type="dxa"/>
            <w:tcBorders>
              <w:top w:val="single" w:color="auto" w:sz="4" w:space="0"/>
              <w:left w:val="single" w:color="auto" w:sz="4" w:space="0"/>
              <w:bottom w:val="single" w:color="auto" w:sz="4" w:space="0"/>
            </w:tcBorders>
            <w:vAlign w:val="center"/>
          </w:tcPr>
          <w:p w14:paraId="1456F623">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签到时间：</w:t>
            </w:r>
            <w:r>
              <w:rPr>
                <w:rFonts w:hint="eastAsia" w:ascii="仿宋" w:hAnsi="仿宋" w:eastAsia="仿宋" w:cs="仿宋"/>
                <w:color w:val="000000" w:themeColor="text1"/>
                <w:sz w:val="28"/>
                <w:szCs w:val="28"/>
                <w:highlight w:val="none"/>
                <w:lang w:val="en-US" w:eastAsia="zh-CN"/>
                <w14:textFill>
                  <w14:solidFill>
                    <w14:schemeClr w14:val="tx1"/>
                  </w14:solidFill>
                </w14:textFill>
              </w:rPr>
              <w:t>开标</w:t>
            </w:r>
            <w:r>
              <w:rPr>
                <w:rFonts w:hint="eastAsia" w:ascii="仿宋" w:hAnsi="仿宋" w:eastAsia="仿宋" w:cs="仿宋"/>
                <w:color w:val="000000" w:themeColor="text1"/>
                <w:sz w:val="28"/>
                <w:szCs w:val="28"/>
                <w:highlight w:val="none"/>
                <w14:textFill>
                  <w14:solidFill>
                    <w14:schemeClr w14:val="tx1"/>
                  </w14:solidFill>
                </w14:textFill>
              </w:rPr>
              <w:t>时间前完成</w:t>
            </w:r>
          </w:p>
          <w:p w14:paraId="1DE39FAF">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解密时间：开始解密后15分钟内完成</w:t>
            </w:r>
          </w:p>
        </w:tc>
      </w:tr>
      <w:tr w14:paraId="11326D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851" w:type="dxa"/>
            <w:tcBorders>
              <w:top w:val="single" w:color="auto" w:sz="4" w:space="0"/>
              <w:bottom w:val="single" w:color="auto" w:sz="4" w:space="0"/>
              <w:right w:val="single" w:color="auto" w:sz="4" w:space="0"/>
            </w:tcBorders>
            <w:vAlign w:val="center"/>
          </w:tcPr>
          <w:p w14:paraId="24075A5E">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20</w:t>
            </w:r>
          </w:p>
        </w:tc>
        <w:tc>
          <w:tcPr>
            <w:tcW w:w="2181" w:type="dxa"/>
            <w:tcBorders>
              <w:top w:val="single" w:color="auto" w:sz="4" w:space="0"/>
              <w:left w:val="single" w:color="auto" w:sz="4" w:space="0"/>
              <w:bottom w:val="single" w:color="auto" w:sz="4" w:space="0"/>
              <w:right w:val="single" w:color="auto" w:sz="4" w:space="0"/>
            </w:tcBorders>
            <w:vAlign w:val="center"/>
          </w:tcPr>
          <w:p w14:paraId="468AF734">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资格审查方式</w:t>
            </w:r>
          </w:p>
        </w:tc>
        <w:tc>
          <w:tcPr>
            <w:tcW w:w="6881" w:type="dxa"/>
            <w:tcBorders>
              <w:top w:val="single" w:color="auto" w:sz="4" w:space="0"/>
              <w:left w:val="single" w:color="auto" w:sz="4" w:space="0"/>
              <w:bottom w:val="single" w:color="auto" w:sz="4" w:space="0"/>
            </w:tcBorders>
            <w:vAlign w:val="center"/>
          </w:tcPr>
          <w:p w14:paraId="41BFF847">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资格后审</w:t>
            </w:r>
          </w:p>
        </w:tc>
      </w:tr>
      <w:tr w14:paraId="0C3452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7" w:hRule="atLeast"/>
          <w:jc w:val="center"/>
        </w:trPr>
        <w:tc>
          <w:tcPr>
            <w:tcW w:w="851" w:type="dxa"/>
            <w:tcBorders>
              <w:top w:val="single" w:color="auto" w:sz="4" w:space="0"/>
              <w:bottom w:val="single" w:color="auto" w:sz="4" w:space="0"/>
              <w:right w:val="single" w:color="auto" w:sz="4" w:space="0"/>
            </w:tcBorders>
            <w:vAlign w:val="center"/>
          </w:tcPr>
          <w:p w14:paraId="7236B82C">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21</w:t>
            </w:r>
          </w:p>
        </w:tc>
        <w:tc>
          <w:tcPr>
            <w:tcW w:w="2181" w:type="dxa"/>
            <w:tcBorders>
              <w:top w:val="single" w:color="auto" w:sz="4" w:space="0"/>
              <w:left w:val="single" w:color="auto" w:sz="4" w:space="0"/>
              <w:bottom w:val="single" w:color="auto" w:sz="4" w:space="0"/>
              <w:right w:val="single" w:color="auto" w:sz="4" w:space="0"/>
            </w:tcBorders>
            <w:vAlign w:val="center"/>
          </w:tcPr>
          <w:p w14:paraId="01496242">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评审办法</w:t>
            </w:r>
          </w:p>
        </w:tc>
        <w:tc>
          <w:tcPr>
            <w:tcW w:w="6881" w:type="dxa"/>
            <w:tcBorders>
              <w:top w:val="single" w:color="auto" w:sz="4" w:space="0"/>
              <w:left w:val="single" w:color="auto" w:sz="4" w:space="0"/>
              <w:bottom w:val="single" w:color="auto" w:sz="4" w:space="0"/>
            </w:tcBorders>
            <w:vAlign w:val="center"/>
          </w:tcPr>
          <w:p w14:paraId="0AAEF07D">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综合评分法</w:t>
            </w:r>
          </w:p>
        </w:tc>
      </w:tr>
      <w:tr w14:paraId="598906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64BF8068">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22</w:t>
            </w:r>
          </w:p>
        </w:tc>
        <w:tc>
          <w:tcPr>
            <w:tcW w:w="2181" w:type="dxa"/>
            <w:tcBorders>
              <w:top w:val="single" w:color="auto" w:sz="4" w:space="0"/>
              <w:left w:val="single" w:color="auto" w:sz="4" w:space="0"/>
              <w:bottom w:val="single" w:color="auto" w:sz="4" w:space="0"/>
              <w:right w:val="single" w:color="auto" w:sz="4" w:space="0"/>
            </w:tcBorders>
            <w:vAlign w:val="center"/>
          </w:tcPr>
          <w:p w14:paraId="5546AD60">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联合体报价</w:t>
            </w:r>
          </w:p>
        </w:tc>
        <w:tc>
          <w:tcPr>
            <w:tcW w:w="6881" w:type="dxa"/>
            <w:tcBorders>
              <w:top w:val="single" w:color="auto" w:sz="4" w:space="0"/>
              <w:left w:val="single" w:color="auto" w:sz="4" w:space="0"/>
              <w:bottom w:val="single" w:color="auto" w:sz="4" w:space="0"/>
            </w:tcBorders>
            <w:vAlign w:val="center"/>
          </w:tcPr>
          <w:p w14:paraId="67F41920">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不允许</w:t>
            </w:r>
          </w:p>
        </w:tc>
      </w:tr>
      <w:tr w14:paraId="51CFF3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54755D9D">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23</w:t>
            </w:r>
          </w:p>
        </w:tc>
        <w:tc>
          <w:tcPr>
            <w:tcW w:w="2181" w:type="dxa"/>
            <w:tcBorders>
              <w:top w:val="single" w:color="auto" w:sz="4" w:space="0"/>
              <w:left w:val="single" w:color="auto" w:sz="4" w:space="0"/>
              <w:bottom w:val="single" w:color="auto" w:sz="4" w:space="0"/>
              <w:right w:val="single" w:color="auto" w:sz="4" w:space="0"/>
            </w:tcBorders>
            <w:vAlign w:val="center"/>
          </w:tcPr>
          <w:p w14:paraId="7985C994">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分（转）包</w:t>
            </w:r>
          </w:p>
        </w:tc>
        <w:tc>
          <w:tcPr>
            <w:tcW w:w="6881" w:type="dxa"/>
            <w:tcBorders>
              <w:top w:val="single" w:color="auto" w:sz="4" w:space="0"/>
              <w:left w:val="single" w:color="auto" w:sz="4" w:space="0"/>
              <w:bottom w:val="single" w:color="auto" w:sz="4" w:space="0"/>
            </w:tcBorders>
            <w:vAlign w:val="center"/>
          </w:tcPr>
          <w:p w14:paraId="798EDF82">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不允许</w:t>
            </w:r>
          </w:p>
        </w:tc>
      </w:tr>
      <w:tr w14:paraId="35C765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792C61F4">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24</w:t>
            </w:r>
          </w:p>
        </w:tc>
        <w:tc>
          <w:tcPr>
            <w:tcW w:w="2181" w:type="dxa"/>
            <w:tcBorders>
              <w:top w:val="single" w:color="auto" w:sz="4" w:space="0"/>
              <w:left w:val="single" w:color="auto" w:sz="4" w:space="0"/>
              <w:bottom w:val="single" w:color="auto" w:sz="4" w:space="0"/>
              <w:right w:val="single" w:color="auto" w:sz="4" w:space="0"/>
            </w:tcBorders>
            <w:vAlign w:val="center"/>
          </w:tcPr>
          <w:p w14:paraId="795C49A4">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投标保证金</w:t>
            </w:r>
          </w:p>
        </w:tc>
        <w:tc>
          <w:tcPr>
            <w:tcW w:w="6881" w:type="dxa"/>
            <w:tcBorders>
              <w:top w:val="single" w:color="auto" w:sz="4" w:space="0"/>
              <w:left w:val="single" w:color="auto" w:sz="4" w:space="0"/>
              <w:bottom w:val="single" w:color="auto" w:sz="4" w:space="0"/>
            </w:tcBorders>
            <w:vAlign w:val="center"/>
          </w:tcPr>
          <w:p w14:paraId="033BC82D">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bookmarkStart w:id="16" w:name="_Hlk58068062"/>
            <w:r>
              <w:rPr>
                <w:rFonts w:hint="eastAsia" w:ascii="仿宋" w:hAnsi="仿宋" w:eastAsia="仿宋" w:cs="仿宋"/>
                <w:color w:val="000000" w:themeColor="text1"/>
                <w:sz w:val="28"/>
                <w:szCs w:val="28"/>
                <w:highlight w:val="none"/>
                <w14:textFill>
                  <w14:solidFill>
                    <w14:schemeClr w14:val="tx1"/>
                  </w14:solidFill>
                </w14:textFill>
              </w:rPr>
              <w:t>1.本项目投标保证金：人民币</w:t>
            </w:r>
            <w:r>
              <w:rPr>
                <w:rFonts w:hint="eastAsia" w:ascii="仿宋" w:hAnsi="仿宋" w:eastAsia="仿宋" w:cs="仿宋"/>
                <w:color w:val="000000" w:themeColor="text1"/>
                <w:sz w:val="28"/>
                <w:szCs w:val="28"/>
                <w:highlight w:val="none"/>
                <w:lang w:val="en-US" w:eastAsia="zh-CN"/>
                <w14:textFill>
                  <w14:solidFill>
                    <w14:schemeClr w14:val="tx1"/>
                  </w14:solidFill>
                </w14:textFill>
              </w:rPr>
              <w:t>3000</w:t>
            </w:r>
            <w:r>
              <w:rPr>
                <w:rFonts w:hint="eastAsia" w:ascii="仿宋" w:hAnsi="仿宋" w:eastAsia="仿宋" w:cs="仿宋"/>
                <w:color w:val="000000" w:themeColor="text1"/>
                <w:sz w:val="28"/>
                <w:szCs w:val="28"/>
                <w:highlight w:val="none"/>
                <w14:textFill>
                  <w14:solidFill>
                    <w14:schemeClr w14:val="tx1"/>
                  </w14:solidFill>
                </w14:textFill>
              </w:rPr>
              <w:t>元整。</w:t>
            </w:r>
          </w:p>
          <w:p w14:paraId="51090A42">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2.交纳截止时间：电子投标文件提交截止时间前。</w:t>
            </w:r>
          </w:p>
          <w:p w14:paraId="606A076A">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3.投标保证金的交纳单位必须与投标人名称一致，投标保证金须从其基本账户转出，否则其投标无效。</w:t>
            </w:r>
          </w:p>
          <w:p w14:paraId="1D7F06B7">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4.本项目的投标保证金必须通过威海市国有企业阳光采购电子化服务平台交纳。</w:t>
            </w:r>
          </w:p>
          <w:p w14:paraId="274FFB39">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5.为确保投标工作有序进行，投标保证金应当在提交投标文件截止时间前（以到账时间为准）到达</w:t>
            </w:r>
            <w:r>
              <w:rPr>
                <w:rFonts w:hint="eastAsia" w:ascii="仿宋" w:hAnsi="仿宋" w:eastAsia="仿宋" w:cs="仿宋"/>
                <w:b/>
                <w:color w:val="000000" w:themeColor="text1"/>
                <w:sz w:val="28"/>
                <w:szCs w:val="28"/>
                <w:highlight w:val="none"/>
                <w14:textFill>
                  <w14:solidFill>
                    <w14:schemeClr w14:val="tx1"/>
                  </w14:solidFill>
                </w14:textFill>
              </w:rPr>
              <w:t>威海公共资源交易服务有限公司</w:t>
            </w:r>
            <w:r>
              <w:rPr>
                <w:rFonts w:hint="eastAsia" w:ascii="仿宋" w:hAnsi="仿宋" w:eastAsia="仿宋" w:cs="仿宋"/>
                <w:color w:val="000000" w:themeColor="text1"/>
                <w:sz w:val="28"/>
                <w:szCs w:val="28"/>
                <w:highlight w:val="none"/>
                <w14:textFill>
                  <w14:solidFill>
                    <w14:schemeClr w14:val="tx1"/>
                  </w14:solidFill>
                </w14:textFill>
              </w:rPr>
              <w:t>账户，以网银、电汇等方式一次性足额交纳保证金，不接受支付宝等第三方平台转账。禁止第三方代交。投标保证金交纳单位应与提交投标文件的投标人名称一致。</w:t>
            </w:r>
          </w:p>
          <w:p w14:paraId="77E3E667">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为确保投标人投标保证金及时足额到账，请尽量提前交纳保证金，由于银行系统原因，请至少在提交投标文件截止时间前12小时将保证金汇出。如不按招标文件和系统使用指南操作，导致开标过程中威海市国有企业阳光采购电子化服务平台未出现投标人名称或者显示投标保证金未按时到账，视为其未按照招标文件的规定提交投标保证金，投标人对此应有明确的认识，自行承担后果。投标人可以使用威海市国有企业阳光采购电子化服务平台查询并及时更新交纳情况。</w:t>
            </w:r>
            <w:bookmarkEnd w:id="16"/>
          </w:p>
          <w:p w14:paraId="440ECB6D">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default"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7.退还保证金：</w:t>
            </w:r>
            <w:r>
              <w:rPr>
                <w:rFonts w:hint="eastAsia" w:ascii="仿宋" w:hAnsi="仿宋" w:eastAsia="仿宋" w:cs="仿宋"/>
                <w:color w:val="000000" w:themeColor="text1"/>
                <w:sz w:val="28"/>
                <w:szCs w:val="28"/>
                <w:highlight w:val="none"/>
                <w14:textFill>
                  <w14:solidFill>
                    <w14:schemeClr w14:val="tx1"/>
                  </w14:solidFill>
                </w14:textFill>
              </w:rPr>
              <w:t>目前系统采用自动退还保证金操作，分为未中标人退还和中标人退还。代理机构向中标人发送中标通知书后，系统自动退还未中标人保证金；招标人和中标人签署完合同后，系统自动退还中标人保证金。</w:t>
            </w:r>
          </w:p>
        </w:tc>
      </w:tr>
      <w:tr w14:paraId="179400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6AE3B67B">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25</w:t>
            </w:r>
          </w:p>
        </w:tc>
        <w:tc>
          <w:tcPr>
            <w:tcW w:w="2181" w:type="dxa"/>
            <w:tcBorders>
              <w:top w:val="single" w:color="auto" w:sz="4" w:space="0"/>
              <w:left w:val="single" w:color="auto" w:sz="4" w:space="0"/>
              <w:bottom w:val="single" w:color="auto" w:sz="4" w:space="0"/>
              <w:right w:val="single" w:color="auto" w:sz="4" w:space="0"/>
            </w:tcBorders>
            <w:vAlign w:val="center"/>
          </w:tcPr>
          <w:p w14:paraId="5DACA9EC">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履约保证金</w:t>
            </w:r>
          </w:p>
        </w:tc>
        <w:tc>
          <w:tcPr>
            <w:tcW w:w="6881" w:type="dxa"/>
            <w:tcBorders>
              <w:top w:val="single" w:color="auto" w:sz="4" w:space="0"/>
              <w:left w:val="single" w:color="auto" w:sz="4" w:space="0"/>
              <w:bottom w:val="single" w:color="auto" w:sz="4" w:space="0"/>
            </w:tcBorders>
            <w:vAlign w:val="center"/>
          </w:tcPr>
          <w:p w14:paraId="3917DA22">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本项目不收取履约保证金</w:t>
            </w:r>
          </w:p>
        </w:tc>
      </w:tr>
      <w:tr w14:paraId="0C3BA8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73237936">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26</w:t>
            </w:r>
          </w:p>
        </w:tc>
        <w:tc>
          <w:tcPr>
            <w:tcW w:w="2181" w:type="dxa"/>
            <w:tcBorders>
              <w:top w:val="single" w:color="auto" w:sz="4" w:space="0"/>
              <w:left w:val="single" w:color="auto" w:sz="4" w:space="0"/>
              <w:bottom w:val="single" w:color="auto" w:sz="4" w:space="0"/>
              <w:right w:val="single" w:color="auto" w:sz="4" w:space="0"/>
            </w:tcBorders>
            <w:vAlign w:val="center"/>
          </w:tcPr>
          <w:p w14:paraId="16B96A4A">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付款方式</w:t>
            </w:r>
          </w:p>
        </w:tc>
        <w:tc>
          <w:tcPr>
            <w:tcW w:w="6881" w:type="dxa"/>
            <w:tcBorders>
              <w:top w:val="single" w:color="auto" w:sz="4" w:space="0"/>
              <w:left w:val="single" w:color="auto" w:sz="4" w:space="0"/>
              <w:bottom w:val="single" w:color="auto" w:sz="4" w:space="0"/>
            </w:tcBorders>
            <w:vAlign w:val="center"/>
          </w:tcPr>
          <w:p w14:paraId="0E76B9E1">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详见合同范本</w:t>
            </w:r>
          </w:p>
        </w:tc>
      </w:tr>
      <w:tr w14:paraId="070D8D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793DFBFF">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27</w:t>
            </w:r>
          </w:p>
        </w:tc>
        <w:tc>
          <w:tcPr>
            <w:tcW w:w="2181" w:type="dxa"/>
            <w:tcBorders>
              <w:top w:val="single" w:color="auto" w:sz="4" w:space="0"/>
              <w:left w:val="single" w:color="auto" w:sz="4" w:space="0"/>
              <w:bottom w:val="single" w:color="auto" w:sz="4" w:space="0"/>
              <w:right w:val="single" w:color="auto" w:sz="4" w:space="0"/>
            </w:tcBorders>
            <w:vAlign w:val="center"/>
          </w:tcPr>
          <w:p w14:paraId="22A31448">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lang w:eastAsia="zh-CN"/>
                <w14:textFill>
                  <w14:solidFill>
                    <w14:schemeClr w14:val="tx1"/>
                  </w14:solidFill>
                </w14:textFill>
              </w:rPr>
            </w:pPr>
            <w:r>
              <w:rPr>
                <w:rFonts w:hint="eastAsia" w:ascii="仿宋" w:hAnsi="仿宋" w:eastAsia="仿宋" w:cs="仿宋"/>
                <w:color w:val="000000" w:themeColor="text1"/>
                <w:sz w:val="28"/>
                <w:szCs w:val="28"/>
                <w:highlight w:val="none"/>
                <w:lang w:eastAsia="zh-CN"/>
                <w14:textFill>
                  <w14:solidFill>
                    <w14:schemeClr w14:val="tx1"/>
                  </w14:solidFill>
                </w14:textFill>
              </w:rPr>
              <w:t>控制价</w:t>
            </w:r>
          </w:p>
        </w:tc>
        <w:tc>
          <w:tcPr>
            <w:tcW w:w="6881" w:type="dxa"/>
            <w:tcBorders>
              <w:top w:val="single" w:color="auto" w:sz="4" w:space="0"/>
              <w:left w:val="single" w:color="auto" w:sz="4" w:space="0"/>
              <w:bottom w:val="single" w:color="auto" w:sz="4" w:space="0"/>
            </w:tcBorders>
            <w:vAlign w:val="center"/>
          </w:tcPr>
          <w:p w14:paraId="54115550">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见采购项目说明</w:t>
            </w:r>
          </w:p>
        </w:tc>
      </w:tr>
      <w:tr w14:paraId="5FA2E0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vMerge w:val="restart"/>
            <w:tcBorders>
              <w:top w:val="single" w:color="auto" w:sz="4" w:space="0"/>
              <w:right w:val="single" w:color="auto" w:sz="4" w:space="0"/>
            </w:tcBorders>
            <w:vAlign w:val="center"/>
          </w:tcPr>
          <w:p w14:paraId="5B449769">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28</w:t>
            </w:r>
          </w:p>
        </w:tc>
        <w:tc>
          <w:tcPr>
            <w:tcW w:w="2181" w:type="dxa"/>
            <w:tcBorders>
              <w:top w:val="single" w:color="auto" w:sz="4" w:space="0"/>
              <w:left w:val="single" w:color="auto" w:sz="4" w:space="0"/>
              <w:bottom w:val="single" w:color="auto" w:sz="4" w:space="0"/>
              <w:right w:val="single" w:color="auto" w:sz="4" w:space="0"/>
            </w:tcBorders>
            <w:vAlign w:val="center"/>
          </w:tcPr>
          <w:p w14:paraId="338A40CC">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代理服务费</w:t>
            </w:r>
          </w:p>
        </w:tc>
        <w:tc>
          <w:tcPr>
            <w:tcW w:w="6881" w:type="dxa"/>
            <w:tcBorders>
              <w:top w:val="single" w:color="auto" w:sz="4" w:space="0"/>
              <w:left w:val="single" w:color="auto" w:sz="4" w:space="0"/>
              <w:bottom w:val="single" w:color="auto" w:sz="4" w:space="0"/>
            </w:tcBorders>
            <w:vAlign w:val="center"/>
          </w:tcPr>
          <w:p w14:paraId="078EEDE0">
            <w:pPr>
              <w:keepNext w:val="0"/>
              <w:keepLines w:val="0"/>
              <w:pageBreakBefore w:val="0"/>
              <w:widowControl w:val="0"/>
              <w:kinsoku/>
              <w:wordWrap w:val="0"/>
              <w:overflowPunct/>
              <w:topLinePunct w:val="0"/>
              <w:autoSpaceDE/>
              <w:autoSpaceDN/>
              <w:bidi w:val="0"/>
              <w:adjustRightInd/>
              <w:snapToGrid/>
              <w:spacing w:line="240" w:lineRule="auto"/>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招标代理服务费</w:t>
            </w:r>
            <w:r>
              <w:rPr>
                <w:rFonts w:hint="eastAsia" w:ascii="仿宋" w:hAnsi="仿宋" w:eastAsia="仿宋" w:cs="仿宋"/>
                <w:bCs/>
                <w:color w:val="000000" w:themeColor="text1"/>
                <w:spacing w:val="8"/>
                <w:kern w:val="0"/>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700元/</w:t>
            </w:r>
            <w:r>
              <w:rPr>
                <w:rFonts w:hint="eastAsia" w:ascii="仿宋" w:hAnsi="仿宋" w:eastAsia="仿宋" w:cs="仿宋"/>
                <w:color w:val="000000" w:themeColor="text1"/>
                <w:sz w:val="28"/>
                <w:szCs w:val="28"/>
                <w:highlight w:val="none"/>
                <w14:textFill>
                  <w14:solidFill>
                    <w14:schemeClr w14:val="tx1"/>
                  </w14:solidFill>
                </w14:textFill>
              </w:rPr>
              <w:t>中标人</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bCs/>
                <w:color w:val="000000" w:themeColor="text1"/>
                <w:spacing w:val="8"/>
                <w:kern w:val="0"/>
                <w:sz w:val="28"/>
                <w:szCs w:val="28"/>
                <w:highlight w:val="none"/>
                <w14:textFill>
                  <w14:solidFill>
                    <w14:schemeClr w14:val="tx1"/>
                  </w14:solidFill>
                </w14:textFill>
              </w:rPr>
              <w:t>由中标人支付，此费用包含在投标报价中，招标人不再另行考虑。</w:t>
            </w:r>
          </w:p>
        </w:tc>
      </w:tr>
      <w:tr w14:paraId="710398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vMerge w:val="continue"/>
            <w:tcBorders>
              <w:bottom w:val="single" w:color="auto" w:sz="4" w:space="0"/>
              <w:right w:val="single" w:color="auto" w:sz="4" w:space="0"/>
            </w:tcBorders>
            <w:vAlign w:val="center"/>
          </w:tcPr>
          <w:p w14:paraId="60B99E45">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p>
        </w:tc>
        <w:tc>
          <w:tcPr>
            <w:tcW w:w="2181" w:type="dxa"/>
            <w:tcBorders>
              <w:top w:val="single" w:color="auto" w:sz="4" w:space="0"/>
              <w:left w:val="single" w:color="auto" w:sz="4" w:space="0"/>
              <w:bottom w:val="single" w:color="auto" w:sz="4" w:space="0"/>
              <w:right w:val="single" w:color="auto" w:sz="4" w:space="0"/>
            </w:tcBorders>
            <w:vAlign w:val="center"/>
          </w:tcPr>
          <w:p w14:paraId="36BAC0DB">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专家评审费</w:t>
            </w:r>
          </w:p>
        </w:tc>
        <w:tc>
          <w:tcPr>
            <w:tcW w:w="6881" w:type="dxa"/>
            <w:tcBorders>
              <w:top w:val="single" w:color="auto" w:sz="4" w:space="0"/>
              <w:left w:val="single" w:color="auto" w:sz="4" w:space="0"/>
              <w:bottom w:val="single" w:color="auto" w:sz="4" w:space="0"/>
            </w:tcBorders>
            <w:vAlign w:val="center"/>
          </w:tcPr>
          <w:p w14:paraId="704149BD">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专家评审费由中标人均摊交纳，按实收取</w:t>
            </w:r>
            <w:r>
              <w:rPr>
                <w:rFonts w:hint="eastAsia" w:ascii="仿宋" w:hAnsi="仿宋" w:eastAsia="仿宋" w:cs="仿宋"/>
                <w:color w:val="000000" w:themeColor="text1"/>
                <w:sz w:val="28"/>
                <w:szCs w:val="28"/>
                <w:highlight w:val="none"/>
                <w:lang w:eastAsia="zh-CN"/>
                <w14:textFill>
                  <w14:solidFill>
                    <w14:schemeClr w14:val="tx1"/>
                  </w14:solidFill>
                </w14:textFill>
              </w:rPr>
              <w:t>。</w:t>
            </w:r>
          </w:p>
        </w:tc>
      </w:tr>
      <w:tr w14:paraId="059336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5A6D76BF">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29</w:t>
            </w:r>
          </w:p>
        </w:tc>
        <w:tc>
          <w:tcPr>
            <w:tcW w:w="2181" w:type="dxa"/>
            <w:tcBorders>
              <w:top w:val="single" w:color="auto" w:sz="4" w:space="0"/>
              <w:left w:val="single" w:color="auto" w:sz="4" w:space="0"/>
              <w:bottom w:val="single" w:color="auto" w:sz="4" w:space="0"/>
              <w:right w:val="single" w:color="auto" w:sz="4" w:space="0"/>
            </w:tcBorders>
            <w:vAlign w:val="center"/>
          </w:tcPr>
          <w:p w14:paraId="43857D27">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是否委托定标</w:t>
            </w:r>
          </w:p>
        </w:tc>
        <w:tc>
          <w:tcPr>
            <w:tcW w:w="6881" w:type="dxa"/>
            <w:tcBorders>
              <w:top w:val="single" w:color="auto" w:sz="4" w:space="0"/>
              <w:left w:val="single" w:color="auto" w:sz="4" w:space="0"/>
              <w:bottom w:val="single" w:color="auto" w:sz="4" w:space="0"/>
            </w:tcBorders>
            <w:vAlign w:val="center"/>
          </w:tcPr>
          <w:p w14:paraId="5B3FC261">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lang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否</w:t>
            </w:r>
          </w:p>
        </w:tc>
      </w:tr>
      <w:tr w14:paraId="57174D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61DF1D08">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30</w:t>
            </w:r>
          </w:p>
        </w:tc>
        <w:tc>
          <w:tcPr>
            <w:tcW w:w="2181" w:type="dxa"/>
            <w:tcBorders>
              <w:top w:val="single" w:color="auto" w:sz="4" w:space="0"/>
              <w:left w:val="single" w:color="auto" w:sz="4" w:space="0"/>
              <w:bottom w:val="single" w:color="auto" w:sz="4" w:space="0"/>
              <w:right w:val="single" w:color="auto" w:sz="4" w:space="0"/>
            </w:tcBorders>
            <w:vAlign w:val="center"/>
          </w:tcPr>
          <w:p w14:paraId="7386AF24">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其他</w:t>
            </w:r>
          </w:p>
        </w:tc>
        <w:tc>
          <w:tcPr>
            <w:tcW w:w="6881" w:type="dxa"/>
            <w:tcBorders>
              <w:top w:val="single" w:color="auto" w:sz="4" w:space="0"/>
              <w:left w:val="single" w:color="auto" w:sz="4" w:space="0"/>
              <w:bottom w:val="single" w:color="auto" w:sz="4" w:space="0"/>
            </w:tcBorders>
            <w:vAlign w:val="center"/>
          </w:tcPr>
          <w:p w14:paraId="2086CE5F">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1.本项目按服务类以公开招标方式实施采购。</w:t>
            </w:r>
          </w:p>
          <w:p w14:paraId="584C6225">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2.如投标人在本次项目中弄虚作假成为中标人的，后期一经发现将取消其已中标资格，且今后不再录用，给招标人造成损失的，招标人有权索要赔偿。</w:t>
            </w:r>
          </w:p>
          <w:p w14:paraId="5D4E417E">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3.投标人在本次招标成功中标后，拒绝或不能按照招标人的要求完成任务等，招标人有权撤销其已中标资格，给招标人造成损失的，招标人有权索要赔偿。</w:t>
            </w:r>
          </w:p>
          <w:p w14:paraId="4F150464">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4.投标人不得对本项目进行分包或转包。如投标人在中标后出现上述情况，一经招标人发现立即取消其中标资格。</w:t>
            </w:r>
          </w:p>
        </w:tc>
      </w:tr>
    </w:tbl>
    <w:p w14:paraId="040E9632">
      <w:pPr>
        <w:pageBreakBefore w:val="0"/>
        <w:kinsoku/>
        <w:overflowPunct/>
        <w:topLinePunct w:val="0"/>
        <w:bidi w:val="0"/>
        <w:adjustRightInd/>
        <w:snapToGrid/>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14:textFill>
            <w14:solidFill>
              <w14:schemeClr w14:val="tx1"/>
            </w14:solidFill>
          </w14:textFill>
        </w:rPr>
        <w:br w:type="page"/>
      </w:r>
    </w:p>
    <w:p w14:paraId="75A36C83">
      <w:pPr>
        <w:pageBreakBefore w:val="0"/>
        <w:kinsoku/>
        <w:overflowPunct/>
        <w:topLinePunct w:val="0"/>
        <w:bidi w:val="0"/>
        <w:adjustRightInd/>
        <w:snapToGrid/>
        <w:spacing w:line="560" w:lineRule="exact"/>
        <w:ind w:firstLine="643" w:firstLineChars="201"/>
        <w:jc w:val="center"/>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14:textFill>
            <w14:solidFill>
              <w14:schemeClr w14:val="tx1"/>
            </w14:solidFill>
          </w14:textFill>
        </w:rPr>
        <w:t>《实质性条款一览表》</w:t>
      </w:r>
    </w:p>
    <w:p w14:paraId="672ADB38">
      <w:pPr>
        <w:pageBreakBefore w:val="0"/>
        <w:kinsoku/>
        <w:overflowPunct/>
        <w:topLinePunct w:val="0"/>
        <w:bidi w:val="0"/>
        <w:adjustRightInd/>
        <w:snapToGrid/>
        <w:spacing w:line="360" w:lineRule="auto"/>
        <w:ind w:firstLine="561"/>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说明：本表系招标文件及修改性文件中涉及的所有实质性条款的汇总。不允许有任何负偏离，否则投标将被否决。</w:t>
      </w:r>
    </w:p>
    <w:tbl>
      <w:tblPr>
        <w:tblStyle w:val="52"/>
        <w:tblW w:w="1000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32"/>
        <w:gridCol w:w="2087"/>
        <w:gridCol w:w="6884"/>
      </w:tblGrid>
      <w:tr w14:paraId="1C87E2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1032" w:type="dxa"/>
            <w:tcBorders>
              <w:top w:val="single" w:color="auto" w:sz="4" w:space="0"/>
              <w:bottom w:val="single" w:color="auto" w:sz="4" w:space="0"/>
              <w:right w:val="single" w:color="auto" w:sz="4" w:space="0"/>
            </w:tcBorders>
            <w:vAlign w:val="center"/>
          </w:tcPr>
          <w:p w14:paraId="25CF6D7F">
            <w:pPr>
              <w:keepNext w:val="0"/>
              <w:keepLines w:val="0"/>
              <w:pageBreakBefore w:val="0"/>
              <w:widowControl w:val="0"/>
              <w:kinsoku/>
              <w:wordWrap w:val="0"/>
              <w:overflowPunct/>
              <w:topLinePunct w:val="0"/>
              <w:autoSpaceDE/>
              <w:autoSpaceDN/>
              <w:bidi w:val="0"/>
              <w:adjustRightInd/>
              <w:snapToGrid/>
              <w:spacing w:line="36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序号</w:t>
            </w:r>
          </w:p>
        </w:tc>
        <w:tc>
          <w:tcPr>
            <w:tcW w:w="2087" w:type="dxa"/>
            <w:tcBorders>
              <w:top w:val="single" w:color="auto" w:sz="4" w:space="0"/>
              <w:left w:val="single" w:color="auto" w:sz="4" w:space="0"/>
              <w:bottom w:val="single" w:color="auto" w:sz="4" w:space="0"/>
              <w:right w:val="single" w:color="auto" w:sz="4" w:space="0"/>
            </w:tcBorders>
            <w:vAlign w:val="center"/>
          </w:tcPr>
          <w:p w14:paraId="407DD13A">
            <w:pPr>
              <w:keepNext w:val="0"/>
              <w:keepLines w:val="0"/>
              <w:pageBreakBefore w:val="0"/>
              <w:widowControl w:val="0"/>
              <w:kinsoku/>
              <w:wordWrap w:val="0"/>
              <w:overflowPunct/>
              <w:topLinePunct w:val="0"/>
              <w:autoSpaceDE/>
              <w:autoSpaceDN/>
              <w:bidi w:val="0"/>
              <w:adjustRightInd/>
              <w:snapToGrid/>
              <w:spacing w:line="36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项目名称</w:t>
            </w:r>
          </w:p>
        </w:tc>
        <w:tc>
          <w:tcPr>
            <w:tcW w:w="6884" w:type="dxa"/>
            <w:tcBorders>
              <w:top w:val="single" w:color="auto" w:sz="4" w:space="0"/>
              <w:left w:val="single" w:color="auto" w:sz="4" w:space="0"/>
              <w:bottom w:val="single" w:color="auto" w:sz="4" w:space="0"/>
            </w:tcBorders>
            <w:vAlign w:val="center"/>
          </w:tcPr>
          <w:p w14:paraId="78BE405C">
            <w:pPr>
              <w:keepNext w:val="0"/>
              <w:keepLines w:val="0"/>
              <w:pageBreakBefore w:val="0"/>
              <w:widowControl w:val="0"/>
              <w:kinsoku/>
              <w:wordWrap w:val="0"/>
              <w:overflowPunct/>
              <w:topLinePunct w:val="0"/>
              <w:autoSpaceDE/>
              <w:autoSpaceDN/>
              <w:bidi w:val="0"/>
              <w:adjustRightInd/>
              <w:snapToGrid/>
              <w:spacing w:line="36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内       容</w:t>
            </w:r>
          </w:p>
        </w:tc>
      </w:tr>
      <w:tr w14:paraId="230C31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1032" w:type="dxa"/>
            <w:tcBorders>
              <w:top w:val="single" w:color="auto" w:sz="4" w:space="0"/>
              <w:bottom w:val="single" w:color="auto" w:sz="4" w:space="0"/>
              <w:right w:val="single" w:color="auto" w:sz="4" w:space="0"/>
            </w:tcBorders>
            <w:vAlign w:val="center"/>
          </w:tcPr>
          <w:p w14:paraId="2B810E09">
            <w:pPr>
              <w:keepNext w:val="0"/>
              <w:keepLines w:val="0"/>
              <w:pageBreakBefore w:val="0"/>
              <w:widowControl w:val="0"/>
              <w:kinsoku/>
              <w:wordWrap w:val="0"/>
              <w:overflowPunct/>
              <w:topLinePunct w:val="0"/>
              <w:autoSpaceDE/>
              <w:autoSpaceDN/>
              <w:bidi w:val="0"/>
              <w:adjustRightInd/>
              <w:snapToGrid/>
              <w:spacing w:line="36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bookmarkStart w:id="17" w:name="_Hlk165107186"/>
            <w:r>
              <w:rPr>
                <w:rFonts w:hint="eastAsia" w:ascii="仿宋" w:hAnsi="仿宋" w:eastAsia="仿宋" w:cs="仿宋"/>
                <w:color w:val="000000" w:themeColor="text1"/>
                <w:sz w:val="28"/>
                <w:szCs w:val="28"/>
                <w:highlight w:val="none"/>
                <w14:textFill>
                  <w14:solidFill>
                    <w14:schemeClr w14:val="tx1"/>
                  </w14:solidFill>
                </w14:textFill>
              </w:rPr>
              <w:t>1</w:t>
            </w:r>
          </w:p>
        </w:tc>
        <w:tc>
          <w:tcPr>
            <w:tcW w:w="2087" w:type="dxa"/>
            <w:tcBorders>
              <w:top w:val="single" w:color="auto" w:sz="4" w:space="0"/>
              <w:left w:val="single" w:color="auto" w:sz="4" w:space="0"/>
              <w:bottom w:val="single" w:color="auto" w:sz="4" w:space="0"/>
              <w:right w:val="single" w:color="auto" w:sz="4" w:space="0"/>
            </w:tcBorders>
            <w:vAlign w:val="center"/>
          </w:tcPr>
          <w:p w14:paraId="095A2283">
            <w:pPr>
              <w:keepNext w:val="0"/>
              <w:keepLines w:val="0"/>
              <w:pageBreakBefore w:val="0"/>
              <w:widowControl w:val="0"/>
              <w:kinsoku/>
              <w:wordWrap w:val="0"/>
              <w:overflowPunct/>
              <w:topLinePunct w:val="0"/>
              <w:autoSpaceDE/>
              <w:autoSpaceDN/>
              <w:bidi w:val="0"/>
              <w:adjustRightInd/>
              <w:snapToGrid/>
              <w:spacing w:line="36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资格性审查</w:t>
            </w:r>
          </w:p>
        </w:tc>
        <w:tc>
          <w:tcPr>
            <w:tcW w:w="6884" w:type="dxa"/>
            <w:tcBorders>
              <w:top w:val="single" w:color="auto" w:sz="4" w:space="0"/>
              <w:left w:val="single" w:color="auto" w:sz="4" w:space="0"/>
              <w:bottom w:val="single" w:color="auto" w:sz="4" w:space="0"/>
            </w:tcBorders>
          </w:tcPr>
          <w:p w14:paraId="7460BA9A">
            <w:pPr>
              <w:keepNext w:val="0"/>
              <w:keepLines w:val="0"/>
              <w:pageBreakBefore w:val="0"/>
              <w:widowControl w:val="0"/>
              <w:kinsoku/>
              <w:wordWrap w:val="0"/>
              <w:overflowPunct/>
              <w:topLinePunct w:val="0"/>
              <w:autoSpaceDE/>
              <w:autoSpaceDN/>
              <w:bidi w:val="0"/>
              <w:adjustRightInd/>
              <w:snapToGrid/>
              <w:spacing w:line="36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bookmarkStart w:id="18" w:name="_Hlk58066797"/>
            <w:r>
              <w:rPr>
                <w:rFonts w:hint="eastAsia" w:ascii="仿宋" w:hAnsi="仿宋" w:eastAsia="仿宋" w:cs="仿宋"/>
                <w:color w:val="000000" w:themeColor="text1"/>
                <w:sz w:val="28"/>
                <w:szCs w:val="28"/>
                <w:highlight w:val="none"/>
                <w14:textFill>
                  <w14:solidFill>
                    <w14:schemeClr w14:val="tx1"/>
                  </w14:solidFill>
                </w14:textFill>
              </w:rPr>
              <w:t>1.投标人有效的营业执照扫描件；</w:t>
            </w:r>
          </w:p>
          <w:p w14:paraId="5AAE975A">
            <w:pPr>
              <w:keepNext w:val="0"/>
              <w:keepLines w:val="0"/>
              <w:pageBreakBefore w:val="0"/>
              <w:widowControl w:val="0"/>
              <w:kinsoku/>
              <w:wordWrap w:val="0"/>
              <w:overflowPunct/>
              <w:topLinePunct w:val="0"/>
              <w:autoSpaceDE/>
              <w:autoSpaceDN/>
              <w:bidi w:val="0"/>
              <w:adjustRightInd/>
              <w:snapToGrid/>
              <w:spacing w:line="36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w:t>
            </w:r>
            <w:r>
              <w:rPr>
                <w:rFonts w:hint="eastAsia" w:ascii="仿宋" w:hAnsi="仿宋" w:eastAsia="仿宋" w:cs="仿宋"/>
                <w:color w:val="000000" w:themeColor="text1"/>
                <w:sz w:val="28"/>
                <w:szCs w:val="28"/>
                <w:highlight w:val="none"/>
                <w:lang w:val="en-US" w:eastAsia="zh-CN"/>
                <w14:textFill>
                  <w14:solidFill>
                    <w14:schemeClr w14:val="tx1"/>
                  </w14:solidFill>
                </w14:textFill>
              </w:rPr>
              <w:t>投标人具有良好的商业信誉和健全的财务会计制度（投标人参与投标的声明函）；</w:t>
            </w:r>
          </w:p>
          <w:p w14:paraId="5CB77BA7">
            <w:pPr>
              <w:keepNext w:val="0"/>
              <w:keepLines w:val="0"/>
              <w:pageBreakBefore w:val="0"/>
              <w:widowControl w:val="0"/>
              <w:kinsoku/>
              <w:wordWrap w:val="0"/>
              <w:overflowPunct/>
              <w:topLinePunct w:val="0"/>
              <w:autoSpaceDE/>
              <w:autoSpaceDN/>
              <w:bidi w:val="0"/>
              <w:adjustRightInd/>
              <w:snapToGrid/>
              <w:spacing w:line="36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w:t>
            </w:r>
            <w:r>
              <w:rPr>
                <w:rFonts w:hint="eastAsia" w:ascii="仿宋" w:hAnsi="仿宋" w:eastAsia="仿宋" w:cs="仿宋"/>
                <w:color w:val="000000" w:themeColor="text1"/>
                <w:sz w:val="28"/>
                <w:szCs w:val="28"/>
                <w:highlight w:val="none"/>
                <w:lang w:val="en-US" w:eastAsia="zh-CN"/>
                <w14:textFill>
                  <w14:solidFill>
                    <w14:schemeClr w14:val="tx1"/>
                  </w14:solidFill>
                </w14:textFill>
              </w:rPr>
              <w:t>投标人具有履行合同所必需的设备和专业技术能力（投标人参与投标的声明函）；</w:t>
            </w:r>
          </w:p>
          <w:p w14:paraId="606A918C">
            <w:pPr>
              <w:keepNext w:val="0"/>
              <w:keepLines w:val="0"/>
              <w:pageBreakBefore w:val="0"/>
              <w:widowControl w:val="0"/>
              <w:kinsoku/>
              <w:wordWrap w:val="0"/>
              <w:overflowPunct/>
              <w:topLinePunct w:val="0"/>
              <w:autoSpaceDE/>
              <w:autoSpaceDN/>
              <w:bidi w:val="0"/>
              <w:adjustRightInd/>
              <w:snapToGrid/>
              <w:spacing w:line="36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w:t>
            </w:r>
            <w:r>
              <w:rPr>
                <w:rFonts w:hint="eastAsia" w:ascii="仿宋" w:hAnsi="仿宋" w:eastAsia="仿宋" w:cs="仿宋"/>
                <w:color w:val="000000" w:themeColor="text1"/>
                <w:sz w:val="28"/>
                <w:szCs w:val="28"/>
                <w:highlight w:val="none"/>
                <w:lang w:val="en-US" w:eastAsia="zh-CN"/>
                <w14:textFill>
                  <w14:solidFill>
                    <w14:schemeClr w14:val="tx1"/>
                  </w14:solidFill>
                </w14:textFill>
              </w:rPr>
              <w:t>投标人具</w:t>
            </w:r>
            <w:r>
              <w:rPr>
                <w:rFonts w:hint="eastAsia" w:ascii="仿宋" w:hAnsi="仿宋" w:eastAsia="仿宋" w:cs="仿宋"/>
                <w:color w:val="000000" w:themeColor="text1"/>
                <w:sz w:val="28"/>
                <w:szCs w:val="28"/>
                <w:highlight w:val="none"/>
                <w14:textFill>
                  <w14:solidFill>
                    <w14:schemeClr w14:val="tx1"/>
                  </w14:solidFill>
                </w14:textFill>
              </w:rPr>
              <w:t>有依法缴纳税收和社会保障资金的良好记录</w:t>
            </w:r>
            <w:r>
              <w:rPr>
                <w:rFonts w:hint="eastAsia" w:ascii="仿宋" w:hAnsi="仿宋" w:eastAsia="仿宋" w:cs="仿宋"/>
                <w:color w:val="000000" w:themeColor="text1"/>
                <w:sz w:val="28"/>
                <w:szCs w:val="28"/>
                <w:highlight w:val="none"/>
                <w:lang w:val="en-US" w:eastAsia="zh-CN"/>
                <w14:textFill>
                  <w14:solidFill>
                    <w14:schemeClr w14:val="tx1"/>
                  </w14:solidFill>
                </w14:textFill>
              </w:rPr>
              <w:t>（投标人参与投标的声明函）</w:t>
            </w:r>
            <w:r>
              <w:rPr>
                <w:rFonts w:hint="eastAsia" w:ascii="仿宋" w:hAnsi="仿宋" w:eastAsia="仿宋" w:cs="仿宋"/>
                <w:color w:val="000000" w:themeColor="text1"/>
                <w:sz w:val="28"/>
                <w:szCs w:val="28"/>
                <w:highlight w:val="none"/>
                <w14:textFill>
                  <w14:solidFill>
                    <w14:schemeClr w14:val="tx1"/>
                  </w14:solidFill>
                </w14:textFill>
              </w:rPr>
              <w:t>；</w:t>
            </w:r>
          </w:p>
          <w:bookmarkEnd w:id="18"/>
          <w:p w14:paraId="391FB324">
            <w:pPr>
              <w:keepNext w:val="0"/>
              <w:keepLines w:val="0"/>
              <w:pageBreakBefore w:val="0"/>
              <w:widowControl w:val="0"/>
              <w:kinsoku/>
              <w:wordWrap w:val="0"/>
              <w:overflowPunct/>
              <w:topLinePunct w:val="0"/>
              <w:autoSpaceDE/>
              <w:autoSpaceDN/>
              <w:bidi w:val="0"/>
              <w:adjustRightInd/>
              <w:snapToGrid/>
              <w:spacing w:line="36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w:t>
            </w:r>
            <w:r>
              <w:rPr>
                <w:rFonts w:hint="eastAsia" w:ascii="仿宋" w:hAnsi="仿宋" w:eastAsia="仿宋" w:cs="仿宋"/>
                <w:color w:val="000000" w:themeColor="text1"/>
                <w:sz w:val="28"/>
                <w:szCs w:val="28"/>
                <w:highlight w:val="none"/>
                <w:lang w:val="en-US" w:eastAsia="zh-CN"/>
                <w14:textFill>
                  <w14:solidFill>
                    <w14:schemeClr w14:val="tx1"/>
                  </w14:solidFill>
                </w14:textFill>
              </w:rPr>
              <w:t>参加本次采购活动前三年内，在经营活动中没有重大违法记录（投标人参与投标的声明函）；</w:t>
            </w:r>
          </w:p>
          <w:p w14:paraId="12601B52">
            <w:pPr>
              <w:keepNext w:val="0"/>
              <w:keepLines w:val="0"/>
              <w:pageBreakBefore w:val="0"/>
              <w:widowControl w:val="0"/>
              <w:kinsoku/>
              <w:wordWrap w:val="0"/>
              <w:overflowPunct/>
              <w:topLinePunct w:val="0"/>
              <w:autoSpaceDE/>
              <w:autoSpaceDN/>
              <w:bidi w:val="0"/>
              <w:adjustRightInd/>
              <w:snapToGrid/>
              <w:spacing w:line="36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投标人及其法定代表人、委托代理人未被最高法院（查询网址为：http://zxgk.court.gov.cn/shixin/）列入失信被执行人。投标文件附通过网站查询信息记录，包含投标人及其法定代表人、委托代理人失信被执行人情况网页截图（省份</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全部）；</w:t>
            </w:r>
          </w:p>
          <w:p w14:paraId="5B99BB1C">
            <w:pPr>
              <w:keepNext w:val="0"/>
              <w:keepLines w:val="0"/>
              <w:pageBreakBefore w:val="0"/>
              <w:widowControl w:val="0"/>
              <w:kinsoku/>
              <w:wordWrap w:val="0"/>
              <w:overflowPunct/>
              <w:topLinePunct w:val="0"/>
              <w:autoSpaceDE/>
              <w:autoSpaceDN/>
              <w:bidi w:val="0"/>
              <w:adjustRightInd/>
              <w:snapToGrid/>
              <w:spacing w:line="36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7.</w:t>
            </w:r>
            <w:r>
              <w:rPr>
                <w:rFonts w:hint="eastAsia" w:ascii="仿宋" w:hAnsi="仿宋" w:eastAsia="仿宋" w:cs="仿宋"/>
                <w:color w:val="000000" w:themeColor="text1"/>
                <w:sz w:val="28"/>
                <w:szCs w:val="28"/>
                <w:highlight w:val="none"/>
                <w14:textFill>
                  <w14:solidFill>
                    <w14:schemeClr w14:val="tx1"/>
                  </w14:solidFill>
                </w14:textFill>
              </w:rPr>
              <w:t>投标人近一年在“信用中国”或“信用中国（山东）”无严重失信记录，投标文件中需附通过信用中国（查询网址：https://www.creditchina.gov.cn）或信用中国（山东）（查询网址：https://credit.shandong.gov.cn）查询的信用报告；</w:t>
            </w:r>
          </w:p>
          <w:p w14:paraId="2D1A887D">
            <w:pPr>
              <w:keepNext w:val="0"/>
              <w:keepLines w:val="0"/>
              <w:pageBreakBefore w:val="0"/>
              <w:widowControl w:val="0"/>
              <w:kinsoku/>
              <w:wordWrap w:val="0"/>
              <w:overflowPunct/>
              <w:topLinePunct w:val="0"/>
              <w:autoSpaceDE/>
              <w:autoSpaceDN/>
              <w:bidi w:val="0"/>
              <w:adjustRightInd/>
              <w:snapToGrid/>
              <w:spacing w:line="360" w:lineRule="auto"/>
              <w:textAlignment w:val="top"/>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8</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投标人及其法定代表人、委托代理人近三年内无行贿犯罪行为记录（若投标人成立时间不足三年，则承诺自成立时间至今，无行贿犯罪行为记录）；</w:t>
            </w:r>
          </w:p>
          <w:p w14:paraId="3EE19CD9">
            <w:pPr>
              <w:keepNext w:val="0"/>
              <w:keepLines w:val="0"/>
              <w:pageBreakBefore w:val="0"/>
              <w:widowControl w:val="0"/>
              <w:kinsoku/>
              <w:wordWrap w:val="0"/>
              <w:overflowPunct/>
              <w:topLinePunct w:val="0"/>
              <w:autoSpaceDE/>
              <w:autoSpaceDN/>
              <w:bidi w:val="0"/>
              <w:adjustRightInd/>
              <w:snapToGrid/>
              <w:spacing w:line="360" w:lineRule="auto"/>
              <w:textAlignment w:val="top"/>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9.法律、法规规定的其他条件；</w:t>
            </w:r>
          </w:p>
          <w:p w14:paraId="59DABD98">
            <w:pPr>
              <w:keepNext w:val="0"/>
              <w:keepLines w:val="0"/>
              <w:pageBreakBefore w:val="0"/>
              <w:widowControl w:val="0"/>
              <w:kinsoku/>
              <w:wordWrap w:val="0"/>
              <w:overflowPunct/>
              <w:topLinePunct w:val="0"/>
              <w:autoSpaceDE/>
              <w:autoSpaceDN/>
              <w:bidi w:val="0"/>
              <w:adjustRightInd/>
              <w:snapToGrid/>
              <w:spacing w:line="360" w:lineRule="auto"/>
              <w:textAlignment w:val="top"/>
              <w:rPr>
                <w:rFonts w:hint="default"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10.本次招标不接受联合体投标。</w:t>
            </w:r>
          </w:p>
        </w:tc>
      </w:tr>
      <w:bookmarkEnd w:id="17"/>
      <w:tr w14:paraId="28F402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1032" w:type="dxa"/>
            <w:tcBorders>
              <w:top w:val="single" w:color="auto" w:sz="4" w:space="0"/>
              <w:bottom w:val="single" w:color="auto" w:sz="4" w:space="0"/>
              <w:right w:val="single" w:color="auto" w:sz="4" w:space="0"/>
            </w:tcBorders>
            <w:vAlign w:val="center"/>
          </w:tcPr>
          <w:p w14:paraId="12A86785">
            <w:pPr>
              <w:keepNext w:val="0"/>
              <w:keepLines w:val="0"/>
              <w:pageBreakBefore w:val="0"/>
              <w:widowControl w:val="0"/>
              <w:kinsoku/>
              <w:wordWrap w:val="0"/>
              <w:overflowPunct/>
              <w:topLinePunct w:val="0"/>
              <w:autoSpaceDE/>
              <w:autoSpaceDN/>
              <w:bidi w:val="0"/>
              <w:adjustRightInd/>
              <w:snapToGrid/>
              <w:spacing w:line="36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w:t>
            </w:r>
          </w:p>
        </w:tc>
        <w:tc>
          <w:tcPr>
            <w:tcW w:w="2087" w:type="dxa"/>
            <w:tcBorders>
              <w:top w:val="single" w:color="auto" w:sz="4" w:space="0"/>
              <w:left w:val="single" w:color="auto" w:sz="4" w:space="0"/>
              <w:bottom w:val="single" w:color="auto" w:sz="4" w:space="0"/>
              <w:right w:val="single" w:color="auto" w:sz="4" w:space="0"/>
            </w:tcBorders>
            <w:vAlign w:val="center"/>
          </w:tcPr>
          <w:p w14:paraId="747E7528">
            <w:pPr>
              <w:keepNext w:val="0"/>
              <w:keepLines w:val="0"/>
              <w:pageBreakBefore w:val="0"/>
              <w:widowControl w:val="0"/>
              <w:kinsoku/>
              <w:wordWrap w:val="0"/>
              <w:overflowPunct/>
              <w:topLinePunct w:val="0"/>
              <w:autoSpaceDE/>
              <w:autoSpaceDN/>
              <w:bidi w:val="0"/>
              <w:adjustRightInd/>
              <w:snapToGrid/>
              <w:spacing w:line="36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符合性审查</w:t>
            </w:r>
          </w:p>
        </w:tc>
        <w:tc>
          <w:tcPr>
            <w:tcW w:w="6884" w:type="dxa"/>
            <w:tcBorders>
              <w:top w:val="single" w:color="auto" w:sz="4" w:space="0"/>
              <w:left w:val="single" w:color="auto" w:sz="4" w:space="0"/>
              <w:bottom w:val="single" w:color="auto" w:sz="4" w:space="0"/>
            </w:tcBorders>
            <w:vAlign w:val="center"/>
          </w:tcPr>
          <w:p w14:paraId="5C723767">
            <w:pPr>
              <w:keepNext w:val="0"/>
              <w:keepLines w:val="0"/>
              <w:pageBreakBefore w:val="0"/>
              <w:widowControl w:val="0"/>
              <w:kinsoku/>
              <w:wordWrap w:val="0"/>
              <w:overflowPunct/>
              <w:topLinePunct w:val="0"/>
              <w:autoSpaceDE/>
              <w:autoSpaceDN/>
              <w:bidi w:val="0"/>
              <w:adjustRightInd/>
              <w:snapToGrid/>
              <w:spacing w:line="36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w:t>
            </w:r>
            <w:r>
              <w:rPr>
                <w:rFonts w:hint="eastAsia" w:ascii="仿宋" w:hAnsi="仿宋" w:eastAsia="仿宋" w:cs="仿宋"/>
                <w:color w:val="000000" w:themeColor="text1"/>
                <w:sz w:val="28"/>
                <w:szCs w:val="28"/>
                <w:highlight w:val="none"/>
                <w14:textFill>
                  <w14:solidFill>
                    <w14:schemeClr w14:val="tx1"/>
                  </w14:solidFill>
                </w14:textFill>
              </w:rPr>
              <w:t>.投标保证金：按招标文件要求交纳；</w:t>
            </w:r>
          </w:p>
          <w:p w14:paraId="040D8D42">
            <w:pPr>
              <w:keepNext w:val="0"/>
              <w:keepLines w:val="0"/>
              <w:pageBreakBefore w:val="0"/>
              <w:widowControl w:val="0"/>
              <w:kinsoku/>
              <w:wordWrap w:val="0"/>
              <w:overflowPunct/>
              <w:topLinePunct w:val="0"/>
              <w:autoSpaceDE/>
              <w:autoSpaceDN/>
              <w:bidi w:val="0"/>
              <w:adjustRightInd/>
              <w:snapToGrid/>
              <w:spacing w:line="36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2</w:t>
            </w:r>
            <w:r>
              <w:rPr>
                <w:rFonts w:hint="eastAsia" w:ascii="仿宋" w:hAnsi="仿宋" w:eastAsia="仿宋" w:cs="仿宋"/>
                <w:color w:val="000000" w:themeColor="text1"/>
                <w:sz w:val="28"/>
                <w:szCs w:val="28"/>
                <w:highlight w:val="none"/>
                <w14:textFill>
                  <w14:solidFill>
                    <w14:schemeClr w14:val="tx1"/>
                  </w14:solidFill>
                </w14:textFill>
              </w:rPr>
              <w:t>.投标文件按规定签署及盖章；</w:t>
            </w:r>
          </w:p>
          <w:p w14:paraId="08A9C5F6">
            <w:pPr>
              <w:keepNext w:val="0"/>
              <w:keepLines w:val="0"/>
              <w:pageBreakBefore w:val="0"/>
              <w:widowControl w:val="0"/>
              <w:kinsoku/>
              <w:wordWrap w:val="0"/>
              <w:overflowPunct/>
              <w:topLinePunct w:val="0"/>
              <w:autoSpaceDE/>
              <w:autoSpaceDN/>
              <w:bidi w:val="0"/>
              <w:adjustRightInd/>
              <w:snapToGrid/>
              <w:spacing w:line="36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.服务期限、质量标准等满足招标文件要求；</w:t>
            </w:r>
          </w:p>
          <w:p w14:paraId="265336FF">
            <w:pPr>
              <w:keepNext w:val="0"/>
              <w:keepLines w:val="0"/>
              <w:pageBreakBefore w:val="0"/>
              <w:widowControl w:val="0"/>
              <w:kinsoku/>
              <w:wordWrap w:val="0"/>
              <w:overflowPunct/>
              <w:topLinePunct w:val="0"/>
              <w:autoSpaceDE/>
              <w:autoSpaceDN/>
              <w:bidi w:val="0"/>
              <w:adjustRightInd/>
              <w:snapToGrid/>
              <w:spacing w:line="36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4</w:t>
            </w:r>
            <w:r>
              <w:rPr>
                <w:rFonts w:hint="eastAsia" w:ascii="仿宋" w:hAnsi="仿宋" w:eastAsia="仿宋" w:cs="仿宋"/>
                <w:color w:val="000000" w:themeColor="text1"/>
                <w:sz w:val="28"/>
                <w:szCs w:val="28"/>
                <w:highlight w:val="none"/>
                <w14:textFill>
                  <w14:solidFill>
                    <w14:schemeClr w14:val="tx1"/>
                  </w14:solidFill>
                </w14:textFill>
              </w:rPr>
              <w:t>.不存在招标文件规定的关于投标人串通投标的情形及其他投标无效的情形。</w:t>
            </w:r>
          </w:p>
        </w:tc>
      </w:tr>
    </w:tbl>
    <w:p w14:paraId="3D160608">
      <w:pPr>
        <w:pageBreakBefore w:val="0"/>
        <w:kinsoku/>
        <w:overflowPunct/>
        <w:topLinePunct w:val="0"/>
        <w:bidi w:val="0"/>
        <w:adjustRightInd/>
        <w:snapToGrid/>
        <w:rPr>
          <w:rStyle w:val="431"/>
          <w:rFonts w:hint="eastAsia" w:ascii="仿宋" w:hAnsi="仿宋" w:eastAsia="仿宋" w:cs="仿宋"/>
          <w:b/>
          <w:bCs/>
          <w:color w:val="000000" w:themeColor="text1"/>
          <w:kern w:val="2"/>
          <w:sz w:val="28"/>
          <w:szCs w:val="32"/>
          <w:highlight w:val="none"/>
          <w14:textFill>
            <w14:solidFill>
              <w14:schemeClr w14:val="tx1"/>
            </w14:solidFill>
          </w14:textFill>
        </w:rPr>
      </w:pPr>
      <w:bookmarkStart w:id="19" w:name="_Toc66864042"/>
      <w:r>
        <w:rPr>
          <w:rStyle w:val="431"/>
          <w:rFonts w:hint="eastAsia" w:ascii="仿宋" w:hAnsi="仿宋" w:eastAsia="仿宋" w:cs="仿宋"/>
          <w:b/>
          <w:bCs/>
          <w:color w:val="000000" w:themeColor="text1"/>
          <w:kern w:val="2"/>
          <w:sz w:val="28"/>
          <w:szCs w:val="32"/>
          <w:highlight w:val="none"/>
          <w14:textFill>
            <w14:solidFill>
              <w14:schemeClr w14:val="tx1"/>
            </w14:solidFill>
          </w14:textFill>
        </w:rPr>
        <w:br w:type="page"/>
      </w:r>
    </w:p>
    <w:p w14:paraId="533636AB">
      <w:pPr>
        <w:pStyle w:val="4"/>
        <w:keepNext/>
        <w:keepLines/>
        <w:pageBreakBefore w:val="0"/>
        <w:widowControl w:val="0"/>
        <w:kinsoku/>
        <w:wordWrap/>
        <w:overflowPunct/>
        <w:topLinePunct w:val="0"/>
        <w:autoSpaceDE/>
        <w:autoSpaceDN/>
        <w:bidi w:val="0"/>
        <w:adjustRightInd/>
        <w:snapToGrid/>
        <w:spacing w:line="520" w:lineRule="exact"/>
        <w:textAlignment w:val="auto"/>
        <w:rPr>
          <w:rStyle w:val="431"/>
          <w:rFonts w:hint="eastAsia" w:ascii="仿宋" w:hAnsi="仿宋" w:eastAsia="仿宋" w:cs="仿宋"/>
          <w:b/>
          <w:bCs/>
          <w:color w:val="000000" w:themeColor="text1"/>
          <w:kern w:val="2"/>
          <w:sz w:val="28"/>
          <w:szCs w:val="32"/>
          <w:highlight w:val="none"/>
          <w14:textFill>
            <w14:solidFill>
              <w14:schemeClr w14:val="tx1"/>
            </w14:solidFill>
          </w14:textFill>
        </w:rPr>
      </w:pPr>
      <w:bookmarkStart w:id="20" w:name="_Toc17106"/>
      <w:r>
        <w:rPr>
          <w:rStyle w:val="431"/>
          <w:rFonts w:hint="eastAsia" w:ascii="仿宋" w:hAnsi="仿宋" w:eastAsia="仿宋" w:cs="仿宋"/>
          <w:b/>
          <w:bCs/>
          <w:color w:val="000000" w:themeColor="text1"/>
          <w:kern w:val="2"/>
          <w:sz w:val="28"/>
          <w:szCs w:val="32"/>
          <w:highlight w:val="none"/>
          <w14:textFill>
            <w14:solidFill>
              <w14:schemeClr w14:val="tx1"/>
            </w14:solidFill>
          </w14:textFill>
        </w:rPr>
        <w:t>一、说明</w:t>
      </w:r>
      <w:bookmarkEnd w:id="19"/>
      <w:bookmarkEnd w:id="20"/>
    </w:p>
    <w:p w14:paraId="5C6A928D">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本文件依据《中华人民共和国招标投标法》、《山东省省属企业阳光采购监督暂行办法》等法律法规，参照《国有企业采购操作规范》《国有企业采购管理规范》，结合《威海市市属国有企业阳光采购监督管理暂行办法》、《环翠区区属国有企业阳光采购监督管理暂行办法》及国家和山东省有关法律、法规、规章制度编制。参加本项目投标人应接受本招标文件关于电子招投标各项规定。</w:t>
      </w:r>
    </w:p>
    <w:p w14:paraId="5D8D3FC0">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bookmarkStart w:id="21" w:name="_Hlk154667578"/>
      <w:r>
        <w:rPr>
          <w:rFonts w:hint="eastAsia" w:ascii="仿宋" w:hAnsi="仿宋" w:eastAsia="仿宋" w:cs="仿宋"/>
          <w:b/>
          <w:color w:val="000000" w:themeColor="text1"/>
          <w:sz w:val="28"/>
          <w:szCs w:val="28"/>
          <w:highlight w:val="none"/>
          <w14:textFill>
            <w14:solidFill>
              <w14:schemeClr w14:val="tx1"/>
            </w14:solidFill>
          </w14:textFill>
        </w:rPr>
        <w:t>1.适用范围</w:t>
      </w:r>
    </w:p>
    <w:p w14:paraId="62F2C301">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1.1本招标文件仅适用于本次招标公告中所涉及的项目和内容。</w:t>
      </w:r>
    </w:p>
    <w:p w14:paraId="001C8617">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1.2本招标文件的解释权为招标代理机构，以书面解释为准。</w:t>
      </w:r>
    </w:p>
    <w:p w14:paraId="15542EDC">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1.3本招标文件未做须知明示，而又有相关法律、法规规定的，从其规定。</w:t>
      </w:r>
    </w:p>
    <w:p w14:paraId="6C33ACDB">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2.相关要求</w:t>
      </w:r>
    </w:p>
    <w:p w14:paraId="2FC9F4B0">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2.1投标人应承担所有与准备和参加报价的全部费用。不论电子投标结果如何，招标代理机构和招标人均无义务和责任承担这些费用。</w:t>
      </w:r>
    </w:p>
    <w:p w14:paraId="7F5048BF">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2.2本项目若涉及招标货物，则合格的货物及相应服务应满足以下要求：</w:t>
      </w:r>
    </w:p>
    <w:p w14:paraId="1090CF88">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（1）必须是全新、未使用过的原装合格正品（包括零部件），如安装或配置了软件的，须为正版软件。</w:t>
      </w:r>
    </w:p>
    <w:p w14:paraId="1A6BD5E9">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（2）国产的货物及其有关服务必须符合中华人民共和国的设计和制造生产标准或行业标准。招标公告有其他要求的，亦应符合其要求。</w:t>
      </w:r>
    </w:p>
    <w:p w14:paraId="59A4EFA5">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2AD90393">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投标人应保证，其所提供的货物在提供给招标单位前具有完全的所有权，招标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66C6FC1C">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2.3投标人应通过威海市公共资源交易网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获取招标文件的投标人不足3家的，本项目直接废标。</w:t>
      </w:r>
    </w:p>
    <w:bookmarkEnd w:id="21"/>
    <w:p w14:paraId="3260FB55">
      <w:pPr>
        <w:pStyle w:val="4"/>
        <w:pageBreakBefore w:val="0"/>
        <w:kinsoku/>
        <w:overflowPunct/>
        <w:topLinePunct w:val="0"/>
        <w:bidi w:val="0"/>
        <w:adjustRightInd/>
        <w:snapToGrid/>
        <w:spacing w:line="360" w:lineRule="auto"/>
        <w:rPr>
          <w:rStyle w:val="431"/>
          <w:rFonts w:hint="eastAsia" w:ascii="仿宋" w:hAnsi="仿宋" w:eastAsia="仿宋" w:cs="仿宋"/>
          <w:b/>
          <w:bCs/>
          <w:color w:val="000000" w:themeColor="text1"/>
          <w:kern w:val="2"/>
          <w:sz w:val="28"/>
          <w:szCs w:val="32"/>
          <w:highlight w:val="none"/>
          <w14:textFill>
            <w14:solidFill>
              <w14:schemeClr w14:val="tx1"/>
            </w14:solidFill>
          </w14:textFill>
        </w:rPr>
      </w:pPr>
      <w:bookmarkStart w:id="22" w:name="_Toc2675"/>
      <w:bookmarkStart w:id="23" w:name="_Toc66864043"/>
      <w:r>
        <w:rPr>
          <w:rStyle w:val="431"/>
          <w:rFonts w:hint="eastAsia" w:ascii="仿宋" w:hAnsi="仿宋" w:eastAsia="仿宋" w:cs="仿宋"/>
          <w:b/>
          <w:bCs/>
          <w:color w:val="000000" w:themeColor="text1"/>
          <w:kern w:val="2"/>
          <w:sz w:val="28"/>
          <w:szCs w:val="32"/>
          <w:highlight w:val="none"/>
          <w14:textFill>
            <w14:solidFill>
              <w14:schemeClr w14:val="tx1"/>
            </w14:solidFill>
          </w14:textFill>
        </w:rPr>
        <w:t>二、招标文件</w:t>
      </w:r>
      <w:bookmarkEnd w:id="22"/>
      <w:bookmarkEnd w:id="23"/>
    </w:p>
    <w:p w14:paraId="1E971D6C">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bookmarkStart w:id="24" w:name="_Hlk154667588"/>
      <w:r>
        <w:rPr>
          <w:rFonts w:hint="eastAsia" w:ascii="仿宋" w:hAnsi="仿宋" w:eastAsia="仿宋" w:cs="仿宋"/>
          <w:b/>
          <w:color w:val="000000" w:themeColor="text1"/>
          <w:sz w:val="28"/>
          <w:szCs w:val="28"/>
          <w:highlight w:val="none"/>
          <w14:textFill>
            <w14:solidFill>
              <w14:schemeClr w14:val="tx1"/>
            </w14:solidFill>
          </w14:textFill>
        </w:rPr>
        <w:t>3.招标文件的构成</w:t>
      </w:r>
    </w:p>
    <w:p w14:paraId="6EBE87B3">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由各包段本文件（word格式）和各包段的数据文件（excel格式）构成，采用压缩包电子版文件格式提供。</w:t>
      </w:r>
    </w:p>
    <w:p w14:paraId="2792C4BE">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3.1本文件（word格式）由下列文件组成：</w:t>
      </w:r>
    </w:p>
    <w:p w14:paraId="6A1BB36F">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（1）招标公告</w:t>
      </w:r>
    </w:p>
    <w:p w14:paraId="14D69E35">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（2）投标须知</w:t>
      </w:r>
    </w:p>
    <w:p w14:paraId="43448266">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（3）开标、评标、定标</w:t>
      </w:r>
    </w:p>
    <w:p w14:paraId="4C63E587">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（4）采购项目说明</w:t>
      </w:r>
    </w:p>
    <w:p w14:paraId="7C361476">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（5）投标文件格式</w:t>
      </w:r>
    </w:p>
    <w:p w14:paraId="4908ABE7">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（6）合同（范本）</w:t>
      </w:r>
    </w:p>
    <w:p w14:paraId="772D33CA">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（7）在招标过程中由招标人或招标代理机构发出的修正和补充文件等（如有）</w:t>
      </w:r>
    </w:p>
    <w:p w14:paraId="49FC4A2A">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3.2数据文件（excel格式）由下列文件组成：</w:t>
      </w:r>
    </w:p>
    <w:p w14:paraId="47C09557">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（1）封面</w:t>
      </w:r>
    </w:p>
    <w:p w14:paraId="3B09BF66">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（2）投标报价表（含明细）</w:t>
      </w:r>
    </w:p>
    <w:p w14:paraId="03D63C2F">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（3）需求响应表（如有）</w:t>
      </w:r>
    </w:p>
    <w:p w14:paraId="636CFB55">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（4）评审对照表</w:t>
      </w:r>
    </w:p>
    <w:p w14:paraId="39665268">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（5）评分对照表（如有）</w:t>
      </w:r>
    </w:p>
    <w:p w14:paraId="4FBFC7CB">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3.3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bookmarkEnd w:id="24"/>
    <w:p w14:paraId="1BA8CD17">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4.招标文件的澄清</w:t>
      </w:r>
    </w:p>
    <w:p w14:paraId="010AC7D5">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25" w:name="_Hlk154667598"/>
      <w:r>
        <w:rPr>
          <w:rFonts w:hint="eastAsia" w:ascii="仿宋" w:hAnsi="仿宋" w:eastAsia="仿宋" w:cs="仿宋"/>
          <w:color w:val="000000" w:themeColor="text1"/>
          <w:sz w:val="28"/>
          <w:szCs w:val="28"/>
          <w:highlight w:val="none"/>
          <w14:textFill>
            <w14:solidFill>
              <w14:schemeClr w14:val="tx1"/>
            </w14:solidFill>
          </w14:textFill>
        </w:rPr>
        <w:t>4.1投标人在收到招标文件后，对招标文件若有任何疑问或要求澄清招标文件的，应在投标截止时间2日以前向招标代理机构提出，必要时招标代理机构将协助招标人组织所有获取招标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387944F9">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4.2投标人在规定的时间内未对招标文件澄清或提出疑问的，招标代理机构将视其为接受招标文件的所有条款，对招标文件没有异议，此后也不再受理对招标文件的相关质疑。</w:t>
      </w:r>
    </w:p>
    <w:bookmarkEnd w:id="25"/>
    <w:p w14:paraId="757C2C89">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5.招标文件的修改</w:t>
      </w:r>
    </w:p>
    <w:p w14:paraId="025D0FF3">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5.l在投标截止时间2日以前，无论出于何种原因，招标代理机构或招标人可主动或在解答投标人提出的疑问时对招标文件进行修改。</w:t>
      </w:r>
    </w:p>
    <w:p w14:paraId="2CE18870">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5.2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3AAC6CCB">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5.3澄清或者修改的内容可能影响投标文件编制的，招标人或招标代理机构将在投标截止时间2日以前，通过原发布媒体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代理机构将顺延提交投标文件的截止时间。</w:t>
      </w:r>
    </w:p>
    <w:p w14:paraId="69FD81FC">
      <w:pPr>
        <w:pStyle w:val="4"/>
        <w:pageBreakBefore w:val="0"/>
        <w:kinsoku/>
        <w:overflowPunct/>
        <w:topLinePunct w:val="0"/>
        <w:bidi w:val="0"/>
        <w:adjustRightInd/>
        <w:snapToGrid/>
        <w:spacing w:line="360" w:lineRule="auto"/>
        <w:rPr>
          <w:rStyle w:val="431"/>
          <w:rFonts w:hint="eastAsia" w:ascii="仿宋" w:hAnsi="仿宋" w:eastAsia="仿宋" w:cs="仿宋"/>
          <w:b/>
          <w:bCs/>
          <w:color w:val="000000" w:themeColor="text1"/>
          <w:kern w:val="2"/>
          <w:sz w:val="28"/>
          <w:szCs w:val="32"/>
          <w:highlight w:val="none"/>
          <w14:textFill>
            <w14:solidFill>
              <w14:schemeClr w14:val="tx1"/>
            </w14:solidFill>
          </w14:textFill>
        </w:rPr>
      </w:pPr>
      <w:bookmarkStart w:id="26" w:name="_Toc66864044"/>
      <w:bookmarkStart w:id="27" w:name="_Toc23254"/>
      <w:r>
        <w:rPr>
          <w:rStyle w:val="431"/>
          <w:rFonts w:hint="eastAsia" w:ascii="仿宋" w:hAnsi="仿宋" w:eastAsia="仿宋" w:cs="仿宋"/>
          <w:b/>
          <w:bCs/>
          <w:color w:val="000000" w:themeColor="text1"/>
          <w:kern w:val="2"/>
          <w:sz w:val="28"/>
          <w:szCs w:val="32"/>
          <w:highlight w:val="none"/>
          <w14:textFill>
            <w14:solidFill>
              <w14:schemeClr w14:val="tx1"/>
            </w14:solidFill>
          </w14:textFill>
        </w:rPr>
        <w:t>三、投标文件的编制</w:t>
      </w:r>
      <w:bookmarkEnd w:id="26"/>
      <w:bookmarkEnd w:id="27"/>
    </w:p>
    <w:p w14:paraId="19B43AFE">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bookmarkStart w:id="28" w:name="_Hlk154667644"/>
      <w:r>
        <w:rPr>
          <w:rFonts w:hint="eastAsia" w:ascii="仿宋" w:hAnsi="仿宋" w:eastAsia="仿宋" w:cs="仿宋"/>
          <w:b/>
          <w:color w:val="000000" w:themeColor="text1"/>
          <w:sz w:val="28"/>
          <w:szCs w:val="28"/>
          <w:highlight w:val="none"/>
          <w14:textFill>
            <w14:solidFill>
              <w14:schemeClr w14:val="tx1"/>
            </w14:solidFill>
          </w14:textFill>
        </w:rPr>
        <w:t>6.投标文件编制要求</w:t>
      </w:r>
    </w:p>
    <w:p w14:paraId="3F71813A">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6.1投标人编写的文件和往来信件应以简体中文书写。如果投标文件或与投标有关的其它文件、信件及来往函电以其它语言书写的，投标人应将其译成中文，如未翻译该文件为无效文件。</w:t>
      </w:r>
    </w:p>
    <w:p w14:paraId="00EB0933">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6.2投标文件中使用的计量单位应使用中华人民共和国法定计量单位。</w:t>
      </w:r>
    </w:p>
    <w:p w14:paraId="4F1B8951">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750757DB">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6.4投标人应参照招标文件中提供的投标文件格式（详见第五章 投标文件格式）按包段编写投标文件，并使用A4规格编制。投标文件应编写目录，具有结构清晰的文档结构图（打开word视图中的“文档结构图”后能看到详细章节），页码连续。</w:t>
      </w:r>
    </w:p>
    <w:p w14:paraId="20C1775E">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6.5投标人按照招标文件要求所提供的各种证明文件必须真实且合法有效,确保清晰度可辨认，评审时由于无法辨认所产生的后果，由投标人自行承担。</w:t>
      </w:r>
    </w:p>
    <w:p w14:paraId="6E7211D6">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32273110">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6.7为了保证系统整体效率，系统对所投递的电子文件有大小的限制，因此，投标人应尽可能降低本文件的大小，小尺寸投标文件将使提交更快捷、减少差错发生几率，避免投标截止时间前未能完整上传文件。</w:t>
      </w:r>
    </w:p>
    <w:p w14:paraId="11A529B1">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6.8投标文件具有法律效力，投标人与招标代理机构或招标人任何人的口头协议不影响投标文件的任何条款和内容。</w:t>
      </w:r>
    </w:p>
    <w:p w14:paraId="2B6D05CC">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6.9招标人或招标代理机构均无义务向投标人解释其中标或未中标的原因，且无论投标人是否中标，投标人所提交的投标文件均不予退还，不提供副本拷贝。</w:t>
      </w:r>
    </w:p>
    <w:bookmarkEnd w:id="28"/>
    <w:p w14:paraId="5EC98868">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bookmarkStart w:id="29" w:name="_Hlk154667652"/>
      <w:r>
        <w:rPr>
          <w:rFonts w:hint="eastAsia" w:ascii="仿宋" w:hAnsi="仿宋" w:eastAsia="仿宋" w:cs="仿宋"/>
          <w:b/>
          <w:color w:val="000000" w:themeColor="text1"/>
          <w:sz w:val="28"/>
          <w:szCs w:val="28"/>
          <w:highlight w:val="none"/>
          <w14:textFill>
            <w14:solidFill>
              <w14:schemeClr w14:val="tx1"/>
            </w14:solidFill>
          </w14:textFill>
        </w:rPr>
        <w:t>7.数据文件编制要求</w:t>
      </w:r>
    </w:p>
    <w:p w14:paraId="67CB58E7">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文件另存到其他文件等违规性操作，都会破坏本文件中的数字指纹，导致系统无法接收该文件使其投标失败。</w:t>
      </w:r>
    </w:p>
    <w:p w14:paraId="12A87996">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投标失败。</w:t>
      </w:r>
    </w:p>
    <w:p w14:paraId="3831F8E3">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7.3投标人在对数据文件电子签章前，应按照上述2项的要求进行认真检查、确认。因投标人自身原因所导致其投标失败的，须自行承担相关责任。</w:t>
      </w:r>
    </w:p>
    <w:bookmarkEnd w:id="29"/>
    <w:p w14:paraId="3280BA49">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bookmarkStart w:id="30" w:name="_Hlk154667662"/>
      <w:r>
        <w:rPr>
          <w:rFonts w:hint="eastAsia" w:ascii="仿宋" w:hAnsi="仿宋" w:eastAsia="仿宋" w:cs="仿宋"/>
          <w:b/>
          <w:color w:val="000000" w:themeColor="text1"/>
          <w:sz w:val="28"/>
          <w:szCs w:val="28"/>
          <w:highlight w:val="none"/>
          <w14:textFill>
            <w14:solidFill>
              <w14:schemeClr w14:val="tx1"/>
            </w14:solidFill>
          </w14:textFill>
        </w:rPr>
        <w:t>8.文件构成</w:t>
      </w:r>
    </w:p>
    <w:p w14:paraId="6AEF8D50">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投标人应按不同包段分别编制投标文件，每个包段的投标文件分两册必须包括：投标文件（pdf格式）（第一册）、数据文件（PDF格式）（第二册），以上内容缺一不可，否则为无效投标。</w:t>
      </w:r>
    </w:p>
    <w:p w14:paraId="1956DCF5">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8.1投标人编制的投标文件（pdf格式）（第一册）应包括但不少于下列内容：</w:t>
      </w:r>
    </w:p>
    <w:bookmarkEnd w:id="30"/>
    <w:p w14:paraId="69F66331">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（1）投标文件封面</w:t>
      </w:r>
    </w:p>
    <w:p w14:paraId="6FDD41A6">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（2）投标文件目录</w:t>
      </w:r>
    </w:p>
    <w:p w14:paraId="10B6394B">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（3）投标承诺函</w:t>
      </w:r>
    </w:p>
    <w:p w14:paraId="40CC2827">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（4）投标（报价）一览表</w:t>
      </w:r>
    </w:p>
    <w:p w14:paraId="30D42D1D">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（5）投标偏离表</w:t>
      </w:r>
    </w:p>
    <w:p w14:paraId="33098078">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（6）投标人信用承诺书</w:t>
      </w:r>
    </w:p>
    <w:p w14:paraId="4D5140DE">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（7）投标人资格证明文件</w:t>
      </w:r>
    </w:p>
    <w:p w14:paraId="515BECA7">
      <w:pPr>
        <w:pageBreakBefore w:val="0"/>
        <w:kinsoku/>
        <w:overflowPunct/>
        <w:topLinePunct w:val="0"/>
        <w:bidi w:val="0"/>
        <w:adjustRightInd/>
        <w:snapToGrid/>
        <w:spacing w:line="360" w:lineRule="auto"/>
        <w:ind w:leftChars="200"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1）投标人有效的营业执照扫描件；</w:t>
      </w:r>
    </w:p>
    <w:p w14:paraId="7E3FF60D">
      <w:pPr>
        <w:pageBreakBefore w:val="0"/>
        <w:kinsoku/>
        <w:overflowPunct/>
        <w:topLinePunct w:val="0"/>
        <w:bidi w:val="0"/>
        <w:adjustRightInd/>
        <w:snapToGrid/>
        <w:spacing w:line="360" w:lineRule="auto"/>
        <w:ind w:leftChars="200"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2</w:t>
      </w:r>
      <w:r>
        <w:rPr>
          <w:rFonts w:hint="eastAsia" w:ascii="仿宋" w:hAnsi="仿宋" w:eastAsia="仿宋" w:cs="仿宋"/>
          <w:color w:val="000000" w:themeColor="text1"/>
          <w:sz w:val="28"/>
          <w:szCs w:val="28"/>
          <w:highlight w:val="none"/>
          <w14:textFill>
            <w14:solidFill>
              <w14:schemeClr w14:val="tx1"/>
            </w14:solidFill>
          </w14:textFill>
        </w:rPr>
        <w:t>）法定代表人身份证明、法定代表人身份证扫描件；</w:t>
      </w:r>
    </w:p>
    <w:p w14:paraId="7E083448">
      <w:pPr>
        <w:pageBreakBefore w:val="0"/>
        <w:kinsoku/>
        <w:overflowPunct/>
        <w:topLinePunct w:val="0"/>
        <w:bidi w:val="0"/>
        <w:adjustRightInd/>
        <w:snapToGrid/>
        <w:spacing w:line="360" w:lineRule="auto"/>
        <w:ind w:leftChars="200"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）法定代表人授权委托书、被授权人身份证扫描件；</w:t>
      </w:r>
    </w:p>
    <w:p w14:paraId="22562162">
      <w:pPr>
        <w:pageBreakBefore w:val="0"/>
        <w:kinsoku/>
        <w:overflowPunct/>
        <w:topLinePunct w:val="0"/>
        <w:bidi w:val="0"/>
        <w:adjustRightInd/>
        <w:snapToGrid/>
        <w:spacing w:line="360" w:lineRule="auto"/>
        <w:ind w:leftChars="200"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4</w:t>
      </w:r>
      <w:r>
        <w:rPr>
          <w:rFonts w:hint="eastAsia" w:ascii="仿宋" w:hAnsi="仿宋" w:eastAsia="仿宋" w:cs="仿宋"/>
          <w:color w:val="000000" w:themeColor="text1"/>
          <w:sz w:val="28"/>
          <w:szCs w:val="28"/>
          <w:highlight w:val="none"/>
          <w14:textFill>
            <w14:solidFill>
              <w14:schemeClr w14:val="tx1"/>
            </w14:solidFill>
          </w14:textFill>
        </w:rPr>
        <w:t>）交纳投标保证金的证明材料（两者缺一不可）：（1）企业银行基本账户开户证明（如开户许可证或银行开户证明等）、（2）电汇凭证或电子汇款截图扫描件；</w:t>
      </w:r>
    </w:p>
    <w:p w14:paraId="26D9BE15">
      <w:pPr>
        <w:keepNext w:val="0"/>
        <w:keepLines w:val="0"/>
        <w:pageBreakBefore w:val="0"/>
        <w:widowControl w:val="0"/>
        <w:kinsoku/>
        <w:wordWrap w:val="0"/>
        <w:overflowPunct/>
        <w:topLinePunct w:val="0"/>
        <w:autoSpaceDE/>
        <w:autoSpaceDN/>
        <w:bidi w:val="0"/>
        <w:adjustRightInd/>
        <w:snapToGrid/>
        <w:spacing w:line="360" w:lineRule="auto"/>
        <w:ind w:leftChars="200"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w:t>
      </w:r>
      <w:r>
        <w:rPr>
          <w:rFonts w:hint="eastAsia" w:ascii="仿宋" w:hAnsi="仿宋" w:eastAsia="仿宋" w:cs="仿宋"/>
          <w:color w:val="000000" w:themeColor="text1"/>
          <w:sz w:val="28"/>
          <w:szCs w:val="28"/>
          <w:highlight w:val="none"/>
          <w14:textFill>
            <w14:solidFill>
              <w14:schemeClr w14:val="tx1"/>
            </w14:solidFill>
          </w14:textFill>
        </w:rPr>
        <w:t>）投标人及其法定代表人、委托代理人未被最高法院（查询网址为：http://zxgk.court.gov.cn/shixin/）列入失信被执行人。投标文件附通过网站查询信息记录，包含投标人及其法定代表人、委托代理人失信被执行人情况网页截图（省份</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全部）；</w:t>
      </w:r>
    </w:p>
    <w:p w14:paraId="4C30521F">
      <w:pPr>
        <w:keepNext w:val="0"/>
        <w:keepLines w:val="0"/>
        <w:pageBreakBefore w:val="0"/>
        <w:widowControl w:val="0"/>
        <w:kinsoku/>
        <w:wordWrap w:val="0"/>
        <w:overflowPunct/>
        <w:topLinePunct w:val="0"/>
        <w:autoSpaceDE/>
        <w:autoSpaceDN/>
        <w:bidi w:val="0"/>
        <w:adjustRightInd/>
        <w:snapToGrid/>
        <w:spacing w:line="360" w:lineRule="auto"/>
        <w:ind w:leftChars="200"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6</w:t>
      </w:r>
      <w:r>
        <w:rPr>
          <w:rFonts w:hint="eastAsia" w:ascii="仿宋" w:hAnsi="仿宋" w:eastAsia="仿宋" w:cs="仿宋"/>
          <w:color w:val="000000" w:themeColor="text1"/>
          <w:sz w:val="28"/>
          <w:szCs w:val="28"/>
          <w:highlight w:val="none"/>
          <w14:textFill>
            <w14:solidFill>
              <w14:schemeClr w14:val="tx1"/>
            </w14:solidFill>
          </w14:textFill>
        </w:rPr>
        <w:t>）投标人近一年在“信用中国”或“信用中国（山东）”无严重失信记录，投标文件中需附通过信用中国（查询网址：https://www.creditchina.gov.cn）或信用中国（山东）（查询网址：https://credit.shandong.gov.cn）查询的信用报告；</w:t>
      </w:r>
    </w:p>
    <w:p w14:paraId="5B1C3DFC">
      <w:pPr>
        <w:pageBreakBefore w:val="0"/>
        <w:kinsoku/>
        <w:overflowPunct/>
        <w:topLinePunct w:val="0"/>
        <w:bidi w:val="0"/>
        <w:adjustRightInd/>
        <w:snapToGrid/>
        <w:spacing w:line="360" w:lineRule="auto"/>
        <w:ind w:leftChars="200"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7</w:t>
      </w:r>
      <w:r>
        <w:rPr>
          <w:rFonts w:hint="eastAsia" w:ascii="仿宋" w:hAnsi="仿宋" w:eastAsia="仿宋" w:cs="仿宋"/>
          <w:color w:val="000000" w:themeColor="text1"/>
          <w:sz w:val="28"/>
          <w:szCs w:val="28"/>
          <w:highlight w:val="none"/>
          <w14:textFill>
            <w14:solidFill>
              <w14:schemeClr w14:val="tx1"/>
            </w14:solidFill>
          </w14:textFill>
        </w:rPr>
        <w:t>）投标人参与投标的声明函;</w:t>
      </w:r>
    </w:p>
    <w:p w14:paraId="03F412E7">
      <w:pPr>
        <w:pageBreakBefore w:val="0"/>
        <w:kinsoku/>
        <w:overflowPunct/>
        <w:topLinePunct w:val="0"/>
        <w:bidi w:val="0"/>
        <w:adjustRightInd/>
        <w:snapToGrid/>
        <w:spacing w:line="360" w:lineRule="auto"/>
        <w:ind w:leftChars="200"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8</w:t>
      </w:r>
      <w:r>
        <w:rPr>
          <w:rFonts w:hint="eastAsia" w:ascii="仿宋" w:hAnsi="仿宋" w:eastAsia="仿宋" w:cs="仿宋"/>
          <w:color w:val="000000" w:themeColor="text1"/>
          <w:sz w:val="28"/>
          <w:szCs w:val="28"/>
          <w:highlight w:val="none"/>
          <w14:textFill>
            <w14:solidFill>
              <w14:schemeClr w14:val="tx1"/>
            </w14:solidFill>
          </w14:textFill>
        </w:rPr>
        <w:t>）投标人认为需要提供的资质资格证明文件。</w:t>
      </w:r>
    </w:p>
    <w:p w14:paraId="062502A5">
      <w:pPr>
        <w:pageBreakBefore w:val="0"/>
        <w:kinsoku/>
        <w:overflowPunct/>
        <w:topLinePunct w:val="0"/>
        <w:bidi w:val="0"/>
        <w:adjustRightInd/>
        <w:snapToGrid/>
        <w:spacing w:line="360" w:lineRule="auto"/>
        <w:ind w:firstLine="565" w:firstLineChars="201"/>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以上所有资质资格证明文件均需加盖投标人签章。</w:t>
      </w:r>
    </w:p>
    <w:p w14:paraId="548B30C7">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（8）投标人基本情况表</w:t>
      </w:r>
    </w:p>
    <w:p w14:paraId="610F2AD2">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9</w:t>
      </w:r>
      <w:r>
        <w:rPr>
          <w:rFonts w:hint="eastAsia" w:ascii="仿宋" w:hAnsi="仿宋" w:eastAsia="仿宋" w:cs="仿宋"/>
          <w:color w:val="000000" w:themeColor="text1"/>
          <w:sz w:val="28"/>
          <w:szCs w:val="28"/>
          <w:highlight w:val="none"/>
          <w:lang w:eastAsia="zh-CN"/>
          <w14:textFill>
            <w14:solidFill>
              <w14:schemeClr w14:val="tx1"/>
            </w14:solidFill>
          </w14:textFill>
        </w:rPr>
        <w:t>）投标人</w:t>
      </w:r>
      <w:r>
        <w:rPr>
          <w:rFonts w:hint="eastAsia" w:ascii="仿宋" w:hAnsi="仿宋" w:eastAsia="仿宋" w:cs="仿宋"/>
          <w:color w:val="000000" w:themeColor="text1"/>
          <w:sz w:val="28"/>
          <w:szCs w:val="28"/>
          <w:highlight w:val="none"/>
          <w:lang w:val="en-US" w:eastAsia="zh-CN"/>
          <w14:textFill>
            <w14:solidFill>
              <w14:schemeClr w14:val="tx1"/>
            </w14:solidFill>
          </w14:textFill>
        </w:rPr>
        <w:t>2023</w:t>
      </w:r>
      <w:r>
        <w:rPr>
          <w:rFonts w:hint="eastAsia" w:ascii="仿宋" w:hAnsi="仿宋" w:eastAsia="仿宋" w:cs="仿宋"/>
          <w:color w:val="000000" w:themeColor="text1"/>
          <w:sz w:val="28"/>
          <w:szCs w:val="28"/>
          <w:highlight w:val="none"/>
          <w:lang w:eastAsia="zh-CN"/>
          <w14:textFill>
            <w14:solidFill>
              <w14:schemeClr w14:val="tx1"/>
            </w14:solidFill>
          </w14:textFill>
        </w:rPr>
        <w:t>年1月1日至今承揽的类似项目业绩表</w:t>
      </w:r>
    </w:p>
    <w:p w14:paraId="27CD1E86">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10</w:t>
      </w:r>
      <w:r>
        <w:rPr>
          <w:rFonts w:hint="eastAsia" w:ascii="仿宋" w:hAnsi="仿宋" w:eastAsia="仿宋" w:cs="仿宋"/>
          <w:color w:val="000000" w:themeColor="text1"/>
          <w:sz w:val="28"/>
          <w:szCs w:val="28"/>
          <w:highlight w:val="none"/>
          <w14:textFill>
            <w14:solidFill>
              <w14:schemeClr w14:val="tx1"/>
            </w14:solidFill>
          </w14:textFill>
        </w:rPr>
        <w:t>）产品质量性能</w:t>
      </w:r>
    </w:p>
    <w:p w14:paraId="20F6A2D2">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w:t>
      </w:r>
      <w:r>
        <w:rPr>
          <w:rFonts w:hint="eastAsia" w:ascii="仿宋" w:hAnsi="仿宋" w:eastAsia="仿宋" w:cs="仿宋"/>
          <w:color w:val="000000" w:themeColor="text1"/>
          <w:sz w:val="28"/>
          <w:szCs w:val="28"/>
          <w:highlight w:val="none"/>
          <w:lang w:val="en-US" w:eastAsia="zh-CN"/>
          <w14:textFill>
            <w14:solidFill>
              <w14:schemeClr w14:val="tx1"/>
            </w14:solidFill>
          </w14:textFill>
        </w:rPr>
        <w:t>1</w:t>
      </w:r>
      <w:r>
        <w:rPr>
          <w:rFonts w:hint="eastAsia" w:ascii="仿宋" w:hAnsi="仿宋" w:eastAsia="仿宋" w:cs="仿宋"/>
          <w:color w:val="000000" w:themeColor="text1"/>
          <w:sz w:val="28"/>
          <w:szCs w:val="28"/>
          <w:highlight w:val="none"/>
          <w14:textFill>
            <w14:solidFill>
              <w14:schemeClr w14:val="tx1"/>
            </w14:solidFill>
          </w14:textFill>
        </w:rPr>
        <w:t>）供货方案</w:t>
      </w:r>
    </w:p>
    <w:p w14:paraId="61ACF183">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12</w:t>
      </w:r>
      <w:r>
        <w:rPr>
          <w:rFonts w:hint="eastAsia" w:ascii="仿宋" w:hAnsi="仿宋" w:eastAsia="仿宋" w:cs="仿宋"/>
          <w:color w:val="000000" w:themeColor="text1"/>
          <w:sz w:val="28"/>
          <w:szCs w:val="28"/>
          <w:highlight w:val="none"/>
          <w:lang w:eastAsia="zh-CN"/>
          <w14:textFill>
            <w14:solidFill>
              <w14:schemeClr w14:val="tx1"/>
            </w14:solidFill>
          </w14:textFill>
        </w:rPr>
        <w:t>）售后及应急服务承诺</w:t>
      </w:r>
    </w:p>
    <w:p w14:paraId="7C23606F">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31" w:name="_Hlk154667818"/>
      <w:r>
        <w:rPr>
          <w:rFonts w:hint="eastAsia" w:ascii="仿宋" w:hAnsi="仿宋" w:eastAsia="仿宋" w:cs="仿宋"/>
          <w:color w:val="000000" w:themeColor="text1"/>
          <w:sz w:val="28"/>
          <w:szCs w:val="28"/>
          <w:highlight w:val="none"/>
          <w14:textFill>
            <w14:solidFill>
              <w14:schemeClr w14:val="tx1"/>
            </w14:solidFill>
          </w14:textFill>
        </w:rPr>
        <w:t>8.2数据文件（PDF格式）（第二册）</w:t>
      </w:r>
    </w:p>
    <w:p w14:paraId="6379ADE4">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须从本项目招标文件压缩包内获取对应包段的数据文件（EXCEL格式），并严格按照要求填写。填写完成后在威海市国企采购电子交易系统中上传该数据文件（EXCEL格式），系统将自动转换为PDF格式，再加盖投标人电子印章，未按要求填写或盖章为无效投标。数据文件（PDF格式）包含下列内容：</w:t>
      </w:r>
    </w:p>
    <w:p w14:paraId="4566447C">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（1）封面</w:t>
      </w:r>
    </w:p>
    <w:p w14:paraId="2FC3A2B2">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（2）投标报价表（含明细）</w:t>
      </w:r>
    </w:p>
    <w:p w14:paraId="7E586FDE">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（3）需求响应表（如有）</w:t>
      </w:r>
    </w:p>
    <w:bookmarkEnd w:id="31"/>
    <w:p w14:paraId="396F963F">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9.投标报价</w:t>
      </w:r>
    </w:p>
    <w:p w14:paraId="009D6735">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9.1</w:t>
      </w:r>
      <w:r>
        <w:rPr>
          <w:rFonts w:hint="eastAsia" w:ascii="仿宋" w:hAnsi="仿宋" w:eastAsia="仿宋" w:cs="仿宋"/>
          <w:color w:val="000000" w:themeColor="text1"/>
          <w:sz w:val="28"/>
          <w:szCs w:val="28"/>
          <w:highlight w:val="none"/>
          <w:lang w:val="en-US" w:eastAsia="zh-CN"/>
          <w14:textFill>
            <w14:solidFill>
              <w14:schemeClr w14:val="tx1"/>
            </w14:solidFill>
          </w14:textFill>
        </w:rPr>
        <w:t>本</w:t>
      </w:r>
      <w:r>
        <w:rPr>
          <w:rFonts w:hint="eastAsia" w:ascii="仿宋" w:hAnsi="仿宋" w:eastAsia="仿宋" w:cs="仿宋"/>
          <w:color w:val="000000" w:themeColor="text1"/>
          <w:sz w:val="28"/>
          <w:szCs w:val="28"/>
          <w:highlight w:val="none"/>
          <w14:textFill>
            <w14:solidFill>
              <w14:schemeClr w14:val="tx1"/>
            </w14:solidFill>
          </w14:textFill>
        </w:rPr>
        <w:t>项目无需报价，具体价格根据</w:t>
      </w:r>
      <w:r>
        <w:rPr>
          <w:rFonts w:hint="eastAsia" w:ascii="仿宋" w:hAnsi="仿宋" w:eastAsia="仿宋" w:cs="仿宋"/>
          <w:color w:val="000000" w:themeColor="text1"/>
          <w:sz w:val="28"/>
          <w:szCs w:val="28"/>
          <w:highlight w:val="none"/>
          <w:lang w:val="en-US" w:eastAsia="zh-CN"/>
          <w14:textFill>
            <w14:solidFill>
              <w14:schemeClr w14:val="tx1"/>
            </w14:solidFill>
          </w14:textFill>
        </w:rPr>
        <w:t>后续</w:t>
      </w:r>
      <w:r>
        <w:rPr>
          <w:rFonts w:hint="eastAsia" w:ascii="仿宋" w:hAnsi="仿宋" w:eastAsia="仿宋" w:cs="仿宋"/>
          <w:color w:val="000000" w:themeColor="text1"/>
          <w:sz w:val="28"/>
          <w:szCs w:val="28"/>
          <w:highlight w:val="none"/>
          <w14:textFill>
            <w14:solidFill>
              <w14:schemeClr w14:val="tx1"/>
            </w14:solidFill>
          </w14:textFill>
        </w:rPr>
        <w:t>特定线上平台询价</w:t>
      </w:r>
      <w:r>
        <w:rPr>
          <w:rFonts w:hint="eastAsia" w:ascii="仿宋" w:hAnsi="仿宋" w:eastAsia="仿宋" w:cs="仿宋"/>
          <w:color w:val="000000" w:themeColor="text1"/>
          <w:sz w:val="28"/>
          <w:szCs w:val="28"/>
          <w:highlight w:val="none"/>
          <w:lang w:val="en-US" w:eastAsia="zh-CN"/>
          <w14:textFill>
            <w14:solidFill>
              <w14:schemeClr w14:val="tx1"/>
            </w14:solidFill>
          </w14:textFill>
        </w:rPr>
        <w:t>确定</w:t>
      </w:r>
      <w:r>
        <w:rPr>
          <w:rFonts w:hint="eastAsia" w:ascii="仿宋" w:hAnsi="仿宋" w:eastAsia="仿宋" w:cs="仿宋"/>
          <w:color w:val="000000" w:themeColor="text1"/>
          <w:sz w:val="28"/>
          <w:szCs w:val="28"/>
          <w:highlight w:val="none"/>
          <w14:textFill>
            <w14:solidFill>
              <w14:schemeClr w14:val="tx1"/>
            </w14:solidFill>
          </w14:textFill>
        </w:rPr>
        <w:t>。</w:t>
      </w:r>
    </w:p>
    <w:p w14:paraId="790BE37A">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32" w:name="_Hlk154667840"/>
      <w:r>
        <w:rPr>
          <w:rFonts w:hint="eastAsia" w:ascii="仿宋" w:hAnsi="仿宋" w:eastAsia="仿宋" w:cs="仿宋"/>
          <w:color w:val="000000" w:themeColor="text1"/>
          <w:sz w:val="28"/>
          <w:szCs w:val="28"/>
          <w:highlight w:val="none"/>
          <w14:textFill>
            <w14:solidFill>
              <w14:schemeClr w14:val="tx1"/>
            </w14:solidFill>
          </w14:textFill>
        </w:rPr>
        <w:t>9.2投标人应按照“第四章采购项目说明”的要求以及合同条款进行</w:t>
      </w:r>
      <w:r>
        <w:rPr>
          <w:rFonts w:hint="eastAsia" w:ascii="仿宋" w:hAnsi="仿宋" w:eastAsia="仿宋" w:cs="仿宋"/>
          <w:color w:val="000000" w:themeColor="text1"/>
          <w:sz w:val="28"/>
          <w:szCs w:val="28"/>
          <w:highlight w:val="none"/>
          <w:lang w:val="en-US" w:eastAsia="zh-CN"/>
          <w14:textFill>
            <w14:solidFill>
              <w14:schemeClr w14:val="tx1"/>
            </w14:solidFill>
          </w14:textFill>
        </w:rPr>
        <w:t>服务</w:t>
      </w:r>
      <w:r>
        <w:rPr>
          <w:rFonts w:hint="eastAsia" w:ascii="仿宋" w:hAnsi="仿宋" w:eastAsia="仿宋" w:cs="仿宋"/>
          <w:color w:val="000000" w:themeColor="text1"/>
          <w:sz w:val="28"/>
          <w:szCs w:val="28"/>
          <w:highlight w:val="none"/>
          <w14:textFill>
            <w14:solidFill>
              <w14:schemeClr w14:val="tx1"/>
            </w14:solidFill>
          </w14:textFill>
        </w:rPr>
        <w:t>。</w:t>
      </w:r>
    </w:p>
    <w:p w14:paraId="4FC4115A">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9.3投标人应按数据文件“投标报价表（含明细）”要求的统一格式填写，并加盖电子公章</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表格</w:t>
      </w:r>
      <w:r>
        <w:rPr>
          <w:rFonts w:hint="eastAsia" w:ascii="仿宋" w:hAnsi="仿宋" w:eastAsia="仿宋" w:cs="仿宋"/>
          <w:color w:val="000000" w:themeColor="text1"/>
          <w:sz w:val="28"/>
          <w:szCs w:val="28"/>
          <w:highlight w:val="none"/>
          <w14:textFill>
            <w14:solidFill>
              <w14:schemeClr w14:val="tx1"/>
            </w14:solidFill>
          </w14:textFill>
        </w:rPr>
        <w:t>单价处填写“0”即可。</w:t>
      </w:r>
    </w:p>
    <w:p w14:paraId="445049BB">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9.4《投标报价表（含明细）》填写时应响应下列要求：</w:t>
      </w:r>
    </w:p>
    <w:p w14:paraId="239259A5">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w:t>
      </w:r>
      <w:bookmarkEnd w:id="32"/>
      <w:bookmarkStart w:id="33" w:name="_Hlk154667928"/>
      <w:r>
        <w:rPr>
          <w:rFonts w:hint="eastAsia" w:ascii="仿宋" w:hAnsi="仿宋" w:eastAsia="仿宋" w:cs="仿宋"/>
          <w:color w:val="000000" w:themeColor="text1"/>
          <w:sz w:val="28"/>
          <w:szCs w:val="28"/>
          <w:highlight w:val="none"/>
          <w14:textFill>
            <w14:solidFill>
              <w14:schemeClr w14:val="tx1"/>
            </w14:solidFill>
          </w14:textFill>
        </w:rPr>
        <w:t>投标人提供的文件中，若存在前后不一致的情形，以“投标承诺函”中填写的内容为准。</w:t>
      </w:r>
    </w:p>
    <w:p w14:paraId="7E6941BA">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2</w:t>
      </w:r>
      <w:r>
        <w:rPr>
          <w:rFonts w:hint="eastAsia" w:ascii="仿宋" w:hAnsi="仿宋" w:eastAsia="仿宋" w:cs="仿宋"/>
          <w:color w:val="000000" w:themeColor="text1"/>
          <w:sz w:val="28"/>
          <w:szCs w:val="28"/>
          <w:highlight w:val="none"/>
          <w14:textFill>
            <w14:solidFill>
              <w14:schemeClr w14:val="tx1"/>
            </w14:solidFill>
          </w14:textFill>
        </w:rPr>
        <w:t>）投标人须严格按照报价明细表说明进行填写，报价明细表中“*”是必填项，任何必填项为空时都可能导致本次投标无效。</w:t>
      </w:r>
    </w:p>
    <w:p w14:paraId="62A85E02">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）《投标报价表（含明细）》中合价将由单价乘以数量自动计算，无需手工录入。</w:t>
      </w:r>
    </w:p>
    <w:p w14:paraId="32B18CC8">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9.5《需求响应表（如有）》填写时应响应下列要求：</w:t>
      </w:r>
    </w:p>
    <w:p w14:paraId="1B61FB26">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（1）有底色标识的单元格须填写，有“*”的列是必输项，任何必输项为空都可能导致您的本次投标无效；</w:t>
      </w:r>
    </w:p>
    <w:p w14:paraId="133E07DE">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（2）如想拷贝数据到某个待填写单元格，应采用选择性粘贴(只粘贴文本)，否则单元格填写无效或被锁死；</w:t>
      </w:r>
    </w:p>
    <w:p w14:paraId="6B688DB9">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（3）当招标需求列的内容显示不完整时，请点击编辑栏进行查看；</w:t>
      </w:r>
    </w:p>
    <w:p w14:paraId="7AA6990B">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响应需求请按照商品(服务)的招标需求的逐一说明，如实填写。“响应需求”中需详细列明所报产品（服务）的明细；若与投标文件中提供的产品检测报告（如有）、生产厂家出具的产品彩页等证明材料的实质性响应情况不一致，按无效投标处理。</w:t>
      </w:r>
    </w:p>
    <w:p w14:paraId="47CF399A">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（5）按照该表显示位置加盖一个电子印章；</w:t>
      </w:r>
    </w:p>
    <w:p w14:paraId="3D7F10C9">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（6）该表为固定格式且有数字指纹，必须在原表上填写，填写完毕后只可保存不可另存。删除该表、增加该表、增加行列、删除行列、对固定格式的任何改动均会导致无效投标；</w:t>
      </w:r>
    </w:p>
    <w:bookmarkEnd w:id="33"/>
    <w:p w14:paraId="2939A018">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bookmarkStart w:id="34" w:name="_Hlk154667948"/>
      <w:r>
        <w:rPr>
          <w:rFonts w:hint="eastAsia" w:ascii="仿宋" w:hAnsi="仿宋" w:eastAsia="仿宋" w:cs="仿宋"/>
          <w:b/>
          <w:color w:val="000000" w:themeColor="text1"/>
          <w:sz w:val="28"/>
          <w:szCs w:val="28"/>
          <w:highlight w:val="none"/>
          <w14:textFill>
            <w14:solidFill>
              <w14:schemeClr w14:val="tx1"/>
            </w14:solidFill>
          </w14:textFill>
        </w:rPr>
        <w:t>10.联合体投标</w:t>
      </w:r>
    </w:p>
    <w:p w14:paraId="12614F41">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两个以上的自然人、法人或者其他组织可以组成一个联合体，以一个投标人的身份共同参加国企采购。</w:t>
      </w:r>
    </w:p>
    <w:p w14:paraId="40406C76">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10.1以联合体形式进行国企采购的，参加联合体的投标人应当向招标人提交联合协议，载明联合体各方承担的工作和义务。联合体各方应当共同与招标人签订采购合同，就采购合同约定的事项对招标人承担连带责任。</w:t>
      </w:r>
    </w:p>
    <w:p w14:paraId="1DF27DDA">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10.2联合体中有同类资质的投标人按照联合体分工承担相同工作的，应当按照资质等级较低的投标人确定资质等级。</w:t>
      </w:r>
    </w:p>
    <w:p w14:paraId="5B30FDC6">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10.3联合体的各方应当共同推荐一名联合体投标授权代表方，由联合体各方提交一份授权书，证明其有资格代表联合体各方签署投标文件，该授权书作为投标文件的组成部分一并提交给招标代理机构。</w:t>
      </w:r>
    </w:p>
    <w:p w14:paraId="002A6245">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10.4以联合体形式参加国企采购活动的，联合体各方不得再单独参加或者与其他投标人另外组成联合体参加同一合同项下的国企采购活动。</w:t>
      </w:r>
    </w:p>
    <w:p w14:paraId="14F0C824">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本项目是否接受联合体投标详见《投标须知前附表》。</w:t>
      </w:r>
    </w:p>
    <w:p w14:paraId="0C1FEF94">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11.关于分包</w:t>
      </w:r>
    </w:p>
    <w:p w14:paraId="32491A03">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11.1投标人拟将项目的非主体、非关键性工作分包的，应当在投标文件中载明分包承担主体，分包承担主体应当具备相应资质条件且不得再次分包。</w:t>
      </w:r>
    </w:p>
    <w:p w14:paraId="39C50A79">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11.2投标人应当就分包项目向招标人负责，分包承担主体就分包项目承担责任。</w:t>
      </w:r>
    </w:p>
    <w:p w14:paraId="360926E8">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本项目是否接受分包投标详见《投标须知前附表》。</w:t>
      </w:r>
    </w:p>
    <w:p w14:paraId="5122E23C">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12.现场踏勘</w:t>
      </w:r>
    </w:p>
    <w:p w14:paraId="044486ED">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278B82FE">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12.2投标人及其人员经过招标人的允许，可以踏勘目的进入招标单位的项目现场。若本项目招标文件要求投标人于统一时间地点踏勘现场的，投标人应当按时前往。</w:t>
      </w:r>
    </w:p>
    <w:p w14:paraId="7EB97D7F">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12.3除招标人的原因外，投标人自行负责在踏勘现场中所发生的人员伤亡和财产损失。</w:t>
      </w:r>
    </w:p>
    <w:p w14:paraId="33423350">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12.4未参与现场踏勘不作为否定投标人资格的理由。</w:t>
      </w:r>
    </w:p>
    <w:p w14:paraId="6FA5799F">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本项目是否组织现场踏勘详见《投标须知前附表》</w:t>
      </w:r>
    </w:p>
    <w:p w14:paraId="69E486B7">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13.投标的有效期</w:t>
      </w:r>
    </w:p>
    <w:p w14:paraId="3CBFE8D5">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13.1从开标之日起，投标有效期为90天。投标有效期短于90天的，其投标为无效投标。</w:t>
      </w:r>
    </w:p>
    <w:p w14:paraId="0E9F2ADD">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13.2特殊情况下，在投标有效期满之前，招标代理机构可以要求投标人延长投标有效期，投标人可以书面形式拒绝或接受上述要求。同意延长投标有效期的投标人不得修改投标文件的实质性内容。</w:t>
      </w:r>
    </w:p>
    <w:p w14:paraId="5D24839B">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14.投标保证金</w:t>
      </w:r>
    </w:p>
    <w:p w14:paraId="33F183BA">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14.1本项目投标保证金要求：详见投标须知前附表。</w:t>
      </w:r>
    </w:p>
    <w:p w14:paraId="12383B65">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14.2退还保证金：目前系统采用自动退还保证金操作，分为未中标人退还和中标人退还。代理公司向中标人发送中标通知书后，系统自动退还未中标人保证金；招标人和中标人签署完合同后，系统自动退还中标人保证金。非由中标人原因未能签订合同的，应在招标人作出处理结果之日起五个工作日内退还中标人的保证金。招标项目流标的，应在确定流标之日起五个工作日内退还所有投标人的保证金。</w:t>
      </w:r>
    </w:p>
    <w:p w14:paraId="059ECD0D">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14.3有下列情况之一的，投标保证金不予返还。</w:t>
      </w:r>
    </w:p>
    <w:p w14:paraId="659603CC">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（1）投标人提供不真实资格、资质证明文件的；</w:t>
      </w:r>
    </w:p>
    <w:p w14:paraId="763470B0">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（2）在投标有效期内撤回报价的；</w:t>
      </w:r>
    </w:p>
    <w:p w14:paraId="3D385012">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（3）除因不可抗力或招标文件认可的情形以外，中标人不与招标人签订合同的；</w:t>
      </w:r>
    </w:p>
    <w:p w14:paraId="008A15AA">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（4）投标人与招标人、其他投标人或者招标代理机构恶意串通的；</w:t>
      </w:r>
    </w:p>
    <w:p w14:paraId="7D91DD90">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（5）评审委员会认定的其他事项。</w:t>
      </w:r>
    </w:p>
    <w:p w14:paraId="20790B4E">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对以提供虚假材料或恶意串通或采取不正当竞争手段谋取中标的投标人，一经发现将依法取消其投标人资格，投标保证金不予返还，列入平台黑名单。</w:t>
      </w:r>
    </w:p>
    <w:p w14:paraId="2A9D89A7">
      <w:pPr>
        <w:pStyle w:val="47"/>
        <w:pageBreakBefore w:val="0"/>
        <w:shd w:val="clear" w:color="auto" w:fill="FFFFFF"/>
        <w:kinsoku/>
        <w:overflowPunct/>
        <w:topLinePunct w:val="0"/>
        <w:bidi w:val="0"/>
        <w:adjustRightInd/>
        <w:snapToGrid/>
        <w:spacing w:before="0" w:beforeAutospacing="0" w:after="0" w:afterAutospacing="0" w:line="360" w:lineRule="auto"/>
        <w:ind w:firstLine="64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本项目投标保证金相关要求见《投标须知前附表》。</w:t>
      </w:r>
    </w:p>
    <w:bookmarkEnd w:id="34"/>
    <w:p w14:paraId="6B4824BF">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bookmarkStart w:id="35" w:name="_Hlk154667959"/>
      <w:r>
        <w:rPr>
          <w:rFonts w:hint="eastAsia" w:ascii="仿宋" w:hAnsi="仿宋" w:eastAsia="仿宋" w:cs="仿宋"/>
          <w:b/>
          <w:color w:val="000000" w:themeColor="text1"/>
          <w:sz w:val="28"/>
          <w:szCs w:val="28"/>
          <w:highlight w:val="none"/>
          <w14:textFill>
            <w14:solidFill>
              <w14:schemeClr w14:val="tx1"/>
            </w14:solidFill>
          </w14:textFill>
        </w:rPr>
        <w:t>15.履约保证金的交纳与返还</w:t>
      </w:r>
    </w:p>
    <w:p w14:paraId="75D53677">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该项目无需交纳履约保证金。</w:t>
      </w:r>
    </w:p>
    <w:p w14:paraId="4D87AF74">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16.投标文件的数量和签署</w:t>
      </w:r>
    </w:p>
    <w:p w14:paraId="4F4D6265">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16.1投标文件（pdf格式）（第一册）1份</w:t>
      </w:r>
    </w:p>
    <w:p w14:paraId="45A352B0">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（1）投标人应使用带电子签章功能的CA锁对投标文件须盖章或签名的部位加盖电子印章（单位电子公章、法定代表人电子人名章），电子印章与实物印章具有同等法律效力。</w:t>
      </w:r>
    </w:p>
    <w:p w14:paraId="53C06A4F">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投标人应首先编制word格式投标文件，最后通过威海市国企采购电子交易系统的文件签章菜单的标书签章功能转换为pdf格式（或者其他pdf转换工具），之后通过签章功能在pdf文件上加盖电子印章并保存到本地计算机，加盖了电子印章的pdf文件即为最终的投标文件。</w:t>
      </w:r>
    </w:p>
    <w:p w14:paraId="12D47D21">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（3）文件中要求法定代表人签字或签章的须加盖法定代表人电子人名章。</w:t>
      </w:r>
    </w:p>
    <w:p w14:paraId="630200DA">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（4）须被授权人签字的，被授权人又无电子章，在word编制时可将被授权人手写签字扫描后的图片粘贴到投标文件中对应位置，并加盖单位电子公章。</w:t>
      </w:r>
    </w:p>
    <w:p w14:paraId="4CB4D6C6">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（5）可使用系统的批量盖章功能快速签章。但须逐页浏览检查并注意印章</w:t>
      </w:r>
      <w:bookmarkEnd w:id="35"/>
      <w:r>
        <w:rPr>
          <w:rFonts w:hint="eastAsia" w:ascii="仿宋" w:hAnsi="仿宋" w:eastAsia="仿宋" w:cs="仿宋"/>
          <w:color w:val="000000" w:themeColor="text1"/>
          <w:sz w:val="28"/>
          <w:szCs w:val="28"/>
          <w:highlight w:val="none"/>
          <w14:textFill>
            <w14:solidFill>
              <w14:schemeClr w14:val="tx1"/>
            </w14:solidFill>
          </w14:textFill>
        </w:rPr>
        <w:t>重叠及完整性。</w:t>
      </w:r>
    </w:p>
    <w:p w14:paraId="7C77510F">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36" w:name="_Hlk154667982"/>
      <w:r>
        <w:rPr>
          <w:rFonts w:hint="eastAsia" w:ascii="仿宋" w:hAnsi="仿宋" w:eastAsia="仿宋" w:cs="仿宋"/>
          <w:color w:val="000000" w:themeColor="text1"/>
          <w:sz w:val="28"/>
          <w:szCs w:val="28"/>
          <w:highlight w:val="none"/>
          <w14:textFill>
            <w14:solidFill>
              <w14:schemeClr w14:val="tx1"/>
            </w14:solidFill>
          </w14:textFill>
        </w:rPr>
        <w:t>（6）采用扫描粘贴投标人公章或扫描法定代表人人名章而不加盖单位电子公章的为无效投标。</w:t>
      </w:r>
    </w:p>
    <w:p w14:paraId="3EF7F204">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16.2数据文件（PDF格式）（第二册）1份</w:t>
      </w:r>
    </w:p>
    <w:p w14:paraId="4DEAC301">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投标人将填写完毕的数据文件（EXCEL格式），通过威海市国企采购电子交易系统中“文件签章”菜单的“数据签章”功能上传数据文件（EXCEL格式），系统自动转换为PDF格式，加盖电子印章后保存到本地计算机。加盖了电子印章的文件即为最终的数据文件（PDF格式）用于投标。</w:t>
      </w:r>
    </w:p>
    <w:p w14:paraId="7E206F75">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（2）文件中要求法定代表人签字或签章的须加盖法定代表人电子人名章。</w:t>
      </w:r>
    </w:p>
    <w:p w14:paraId="2EB19898">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（3）采用扫描粘贴投标人公章或法定代表人人名章的为无效投标。</w:t>
      </w:r>
    </w:p>
    <w:p w14:paraId="3A487B54">
      <w:pPr>
        <w:pStyle w:val="4"/>
        <w:pageBreakBefore w:val="0"/>
        <w:kinsoku/>
        <w:overflowPunct/>
        <w:topLinePunct w:val="0"/>
        <w:bidi w:val="0"/>
        <w:adjustRightInd/>
        <w:snapToGrid/>
        <w:spacing w:line="360" w:lineRule="auto"/>
        <w:rPr>
          <w:rStyle w:val="431"/>
          <w:rFonts w:hint="eastAsia" w:ascii="仿宋" w:hAnsi="仿宋" w:eastAsia="仿宋" w:cs="仿宋"/>
          <w:b/>
          <w:bCs/>
          <w:color w:val="000000" w:themeColor="text1"/>
          <w:kern w:val="2"/>
          <w:sz w:val="28"/>
          <w:szCs w:val="32"/>
          <w:highlight w:val="none"/>
          <w14:textFill>
            <w14:solidFill>
              <w14:schemeClr w14:val="tx1"/>
            </w14:solidFill>
          </w14:textFill>
        </w:rPr>
      </w:pPr>
      <w:bookmarkStart w:id="37" w:name="_Toc3721"/>
      <w:bookmarkStart w:id="38" w:name="_Toc66864045"/>
      <w:r>
        <w:rPr>
          <w:rStyle w:val="431"/>
          <w:rFonts w:hint="eastAsia" w:ascii="仿宋" w:hAnsi="仿宋" w:eastAsia="仿宋" w:cs="仿宋"/>
          <w:b/>
          <w:bCs/>
          <w:color w:val="000000" w:themeColor="text1"/>
          <w:kern w:val="2"/>
          <w:sz w:val="28"/>
          <w:szCs w:val="32"/>
          <w:highlight w:val="none"/>
          <w14:textFill>
            <w14:solidFill>
              <w14:schemeClr w14:val="tx1"/>
            </w14:solidFill>
          </w14:textFill>
        </w:rPr>
        <w:t>四、投标文件的提交</w:t>
      </w:r>
      <w:bookmarkEnd w:id="37"/>
      <w:bookmarkEnd w:id="38"/>
    </w:p>
    <w:p w14:paraId="456B033B">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17.投标文件的密封和标记</w:t>
      </w:r>
    </w:p>
    <w:p w14:paraId="06E4C3A4">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17.1电子投标文件的密封和标记</w:t>
      </w:r>
    </w:p>
    <w:p w14:paraId="05F5AD67">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加盖了电子印章的电子投标文件（PDF格式）和数据文件（PDF格式）须在威海市国企采购电子交易系统的“我的投标”界面进行提交，提交前系统会自动在本地进行加密和数字签名，加密和电子签章后的文件除了会上传到系统中之外还会同步保存到本地计算机。</w:t>
      </w:r>
    </w:p>
    <w:p w14:paraId="2D3D9DCA">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17.2资质证明文件原件的密封和标记</w:t>
      </w:r>
    </w:p>
    <w:p w14:paraId="6B73C012">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无需提供资质证明文件原件。</w:t>
      </w:r>
    </w:p>
    <w:p w14:paraId="2E1CF806">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17.3文件提交</w:t>
      </w:r>
    </w:p>
    <w:p w14:paraId="34AF619D">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投标人应在投标须知前附表规定的时间前在威海市国有企业阳光采购电子化服务平台上提交电子投标文件和数据文件。投标人应充分评估集中投标带来的网络影响，尽量避开投标高峰时间，错峰进行电子投标，系统以收到投标人发出的提交指令的时间作为其投标时间，如该时间超过投标截止时间，其投标将会被判定为无效。</w:t>
      </w:r>
    </w:p>
    <w:p w14:paraId="68D35F68">
      <w:pPr>
        <w:pageBreakBefore w:val="0"/>
        <w:kinsoku/>
        <w:overflowPunct/>
        <w:topLinePunct w:val="0"/>
        <w:bidi w:val="0"/>
        <w:adjustRightInd/>
        <w:snapToGrid/>
        <w:spacing w:line="360" w:lineRule="auto"/>
        <w:ind w:firstLine="565"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（2）投标人须牢记投标加密密码，该密码将用于开标时解密其电子投标文件，如忘记密码或输入错误密码超过5次，其提交的电子投标文件将无法解密，导致无法提取数据和供他人阅读文件，致使其投标失败。</w:t>
      </w:r>
    </w:p>
    <w:p w14:paraId="31CC0D97">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（3）除投标须知前附表另有规定外，招标代理机构拒绝接收纸质投标文件。</w:t>
      </w:r>
    </w:p>
    <w:p w14:paraId="4C15670F">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（4）投标人应将网上提交的已盖章未加密的数据文件和投标文件谨慎保存备份，以便启动应急开标程序时备案使用。</w:t>
      </w:r>
    </w:p>
    <w:p w14:paraId="7BFD1775">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18.投标截止期</w:t>
      </w:r>
    </w:p>
    <w:p w14:paraId="071D7F4D">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本次招标的投标截止期见《投标须知前附表》。</w:t>
      </w:r>
    </w:p>
    <w:p w14:paraId="2FF5977C">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19.迟交的投标文件</w:t>
      </w:r>
    </w:p>
    <w:p w14:paraId="35E09EDA">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39" w:name="_Toc429313655"/>
      <w:r>
        <w:rPr>
          <w:rFonts w:hint="eastAsia" w:ascii="仿宋" w:hAnsi="仿宋" w:eastAsia="仿宋" w:cs="仿宋"/>
          <w:color w:val="000000" w:themeColor="text1"/>
          <w:sz w:val="28"/>
          <w:szCs w:val="28"/>
          <w:highlight w:val="none"/>
          <w14:textFill>
            <w14:solidFill>
              <w14:schemeClr w14:val="tx1"/>
            </w14:solidFill>
          </w14:textFill>
        </w:rPr>
        <w:t>威海市国有企业阳光采购电子化服务平台无法接收投标截止期后提交的电子投标文件。</w:t>
      </w:r>
    </w:p>
    <w:p w14:paraId="3E26637A">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20.</w:t>
      </w:r>
      <w:bookmarkEnd w:id="39"/>
      <w:r>
        <w:rPr>
          <w:rFonts w:hint="eastAsia" w:ascii="仿宋" w:hAnsi="仿宋" w:eastAsia="仿宋" w:cs="仿宋"/>
          <w:b/>
          <w:color w:val="000000" w:themeColor="text1"/>
          <w:sz w:val="28"/>
          <w:szCs w:val="28"/>
          <w:highlight w:val="none"/>
          <w14:textFill>
            <w14:solidFill>
              <w14:schemeClr w14:val="tx1"/>
            </w14:solidFill>
          </w14:textFill>
        </w:rPr>
        <w:t>现场演示/样品递交</w:t>
      </w:r>
    </w:p>
    <w:p w14:paraId="15F194C4">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20.1招标人可以要求投标人对其提供的信息化、自动化等相关类别服务进行演示。投标人可以到现场演示，也可以使用系统“网上评标”中的“谈判”功能与评标专家进行远程演示。</w:t>
      </w:r>
    </w:p>
    <w:p w14:paraId="6F6CF2AB">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20.2若服务项目涉及货物时，招标人可以要求投标人提供样品，样品作为投标文件的一部分。未中标投标人提供的样品将于评审结束后退还。中标人的样品由招标人保留，作为验收的依据。</w:t>
      </w:r>
    </w:p>
    <w:p w14:paraId="6C9AD597">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是否要求投标人提供演示/提交样品，详见招标文件《投标须知前附表》的有关规定。</w:t>
      </w:r>
    </w:p>
    <w:p w14:paraId="5A07ABDD">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21.投标文件的修改和撤回</w:t>
      </w:r>
    </w:p>
    <w:p w14:paraId="269162D5">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21.1投标人必须在规定的投标截止期之前将修改的投标文件和数据文件上传到威海市国企采购电子交易系统,在投标截止时间之后，投标人不得对其投标文件做任何修改。</w:t>
      </w:r>
    </w:p>
    <w:p w14:paraId="0B7A629B">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21.2投标人在提交投标文件后，可以在投标截止时间之前撤回其投标文件。</w:t>
      </w:r>
    </w:p>
    <w:p w14:paraId="4FF5038F">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21.3开标后不允许对投标文件做实质性修改和补充，不得撤回投标文件。</w:t>
      </w:r>
    </w:p>
    <w:bookmarkEnd w:id="36"/>
    <w:p w14:paraId="53E83C2B">
      <w:pPr>
        <w:pStyle w:val="4"/>
        <w:pageBreakBefore w:val="0"/>
        <w:kinsoku/>
        <w:overflowPunct/>
        <w:topLinePunct w:val="0"/>
        <w:bidi w:val="0"/>
        <w:adjustRightInd/>
        <w:snapToGrid/>
        <w:spacing w:line="360" w:lineRule="auto"/>
        <w:rPr>
          <w:rFonts w:hint="eastAsia" w:ascii="仿宋" w:hAnsi="仿宋" w:eastAsia="仿宋" w:cs="仿宋"/>
          <w:b w:val="0"/>
          <w:color w:val="000000" w:themeColor="text1"/>
          <w:szCs w:val="28"/>
          <w:highlight w:val="none"/>
          <w14:textFill>
            <w14:solidFill>
              <w14:schemeClr w14:val="tx1"/>
            </w14:solidFill>
          </w14:textFill>
        </w:rPr>
      </w:pPr>
      <w:bookmarkStart w:id="40" w:name="_Toc29901"/>
      <w:r>
        <w:rPr>
          <w:rStyle w:val="431"/>
          <w:rFonts w:hint="eastAsia" w:ascii="仿宋" w:hAnsi="仿宋" w:eastAsia="仿宋" w:cs="仿宋"/>
          <w:b/>
          <w:bCs/>
          <w:color w:val="000000" w:themeColor="text1"/>
          <w:kern w:val="2"/>
          <w:sz w:val="28"/>
          <w:szCs w:val="32"/>
          <w:highlight w:val="none"/>
          <w14:textFill>
            <w14:solidFill>
              <w14:schemeClr w14:val="tx1"/>
            </w14:solidFill>
          </w14:textFill>
        </w:rPr>
        <w:t>五、开标与评审</w:t>
      </w:r>
      <w:bookmarkEnd w:id="40"/>
    </w:p>
    <w:p w14:paraId="748AA1A5">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22.开标</w:t>
      </w:r>
    </w:p>
    <w:p w14:paraId="1A2FC736">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22.1投标截止时间结束后，投标人不足3家的不得开标。</w:t>
      </w:r>
    </w:p>
    <w:p w14:paraId="58C8D264">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41" w:name="_Hlk154667997"/>
      <w:r>
        <w:rPr>
          <w:rFonts w:hint="eastAsia" w:ascii="仿宋" w:hAnsi="仿宋" w:eastAsia="仿宋" w:cs="仿宋"/>
          <w:color w:val="000000" w:themeColor="text1"/>
          <w:sz w:val="28"/>
          <w:szCs w:val="28"/>
          <w:highlight w:val="none"/>
          <w14:textFill>
            <w14:solidFill>
              <w14:schemeClr w14:val="tx1"/>
            </w14:solidFill>
          </w14:textFill>
        </w:rPr>
        <w:t>22.2招标代理机构在招标公告规定的时间和地点组织开标。投标人需提前准备已配置好环境的电脑，在规定的时间进行远程开标的各项操作。</w:t>
      </w:r>
    </w:p>
    <w:p w14:paraId="0092A7AF">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22.3投标人代表应在签到表格相应位置上加盖CA锁中的电子章以证明其出席，在开标时间前未完成签到的将会被视作认同开标结果。</w:t>
      </w:r>
    </w:p>
    <w:p w14:paraId="719A585E">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22.4投标须知前附表规定了文件解密时间，投标人输入密码错误（5次输入机会）、未能按时完成解密、其《数据文件》填写、盖章不规范等导致系统无法解析的，将会被视为无效投标。</w:t>
      </w:r>
    </w:p>
    <w:p w14:paraId="5E01B004">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22.5开标过程应当由招标人或招标代理机构负责记录，最终形成开标一览表并由各投标人代表签字或盖章确认。</w:t>
      </w:r>
    </w:p>
    <w:p w14:paraId="20A4F8C0">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22.6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5213D594">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22.7录音、录像：威海市公共资源交易中心负责从提交投标文件开始到确定中标结果全过程的录音、录像工作，确保声音清楚、图像清晰、内容无遗漏。</w:t>
      </w:r>
    </w:p>
    <w:p w14:paraId="4C34A190">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22.8评审过程中，如遇特殊情况，服从威海市公共资源交易中心场地调配，并遵守相关规章制度。</w:t>
      </w:r>
    </w:p>
    <w:bookmarkEnd w:id="41"/>
    <w:p w14:paraId="5C082046">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42" w:name="_Hlk154668012"/>
      <w:r>
        <w:rPr>
          <w:rFonts w:hint="eastAsia" w:ascii="仿宋" w:hAnsi="仿宋" w:eastAsia="仿宋" w:cs="仿宋"/>
          <w:color w:val="000000" w:themeColor="text1"/>
          <w:sz w:val="28"/>
          <w:szCs w:val="28"/>
          <w:highlight w:val="none"/>
          <w14:textFill>
            <w14:solidFill>
              <w14:schemeClr w14:val="tx1"/>
            </w14:solidFill>
          </w14:textFill>
        </w:rPr>
        <w:t>22.9对投标文件报价出现前后不一致的，按以下规定修正：</w:t>
      </w:r>
    </w:p>
    <w:p w14:paraId="1DCBE750">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（1）“投标（报价）一览表”的报价与“报价明细表”的总报价不一致的，以“投标（报价）一览表”的报价为准；</w:t>
      </w:r>
    </w:p>
    <w:p w14:paraId="7000356E">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（2）大写金额和小写金额不一致的，以大写金额为准；</w:t>
      </w:r>
    </w:p>
    <w:p w14:paraId="20870820">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（3）单价金额小数点或者百分比有明显错位的，以投标（报价）一览表的总价为准，并修改单价。</w:t>
      </w:r>
    </w:p>
    <w:p w14:paraId="42BE1DD6">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（4）总价金额与按单价汇总金额不一致的，以单价金额计算结果为准。</w:t>
      </w:r>
    </w:p>
    <w:p w14:paraId="5556F9D9">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（5）同时出现两种以上不一致的，按照前款规定的顺序修正。修正后的报价经投标人确认后产生约束力，投标人不确认的，其投标无效。</w:t>
      </w:r>
    </w:p>
    <w:p w14:paraId="54FF384F">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22.10开标程序</w:t>
      </w:r>
    </w:p>
    <w:p w14:paraId="4A3F056B">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（1）签到：在投标须知前附表规定的时间完成签到。</w:t>
      </w:r>
    </w:p>
    <w:p w14:paraId="7BFDB443">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（2）开标：工作人员在投标须知前附表规定的开标时间启动开标。</w:t>
      </w:r>
    </w:p>
    <w:p w14:paraId="73D4A9A0">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（3）解密：开标后工作人员启动开始解密指令，投标人开始输入解密密码，解密时间到后工作人员启动停止解密指令。</w:t>
      </w:r>
    </w:p>
    <w:p w14:paraId="61EC30F4">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14:paraId="1F7AB473">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22.11应急开标程序</w:t>
      </w:r>
    </w:p>
    <w:p w14:paraId="29AF061E">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电子开标过程中如出现下列情况，导致系统无法正常运行，或者无法保证开标过程的公平、公正和信息安全时，经与招标人沟通后可启动应急开标程序。</w:t>
      </w:r>
    </w:p>
    <w:p w14:paraId="65B60D3D">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（1）系统服务器发生故障，无法访问或无法使用系统；</w:t>
      </w:r>
    </w:p>
    <w:p w14:paraId="3223798D">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（2）系统的软件或数据库出现错误，不能进行正常操作；</w:t>
      </w:r>
    </w:p>
    <w:p w14:paraId="7BCF3186">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（3）系统发现有安全漏洞，有潜在的泄密危险；</w:t>
      </w:r>
    </w:p>
    <w:bookmarkEnd w:id="42"/>
    <w:p w14:paraId="60E46AA5">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43" w:name="_Hlk154668029"/>
      <w:r>
        <w:rPr>
          <w:rFonts w:hint="eastAsia" w:ascii="仿宋" w:hAnsi="仿宋" w:eastAsia="仿宋" w:cs="仿宋"/>
          <w:color w:val="000000" w:themeColor="text1"/>
          <w:sz w:val="28"/>
          <w:szCs w:val="28"/>
          <w:highlight w:val="none"/>
          <w14:textFill>
            <w14:solidFill>
              <w14:schemeClr w14:val="tx1"/>
            </w14:solidFill>
          </w14:textFill>
        </w:rPr>
        <w:t>（4）病毒发作或受到外来病毒的攻击；</w:t>
      </w:r>
    </w:p>
    <w:p w14:paraId="4EE1DB7D">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（5）其他无法保证开标过程公平、公正和信息安全的情形。</w:t>
      </w:r>
    </w:p>
    <w:p w14:paraId="73DB4092">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应急开标程序包括：</w:t>
      </w:r>
    </w:p>
    <w:p w14:paraId="4BE035C0">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（1）对未在系统中开标的可暂停开标；</w:t>
      </w:r>
    </w:p>
    <w:p w14:paraId="387752B7">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（2）对已在系统中开标的应停止，等待系统恢复正常后再组织进行开标。</w:t>
      </w:r>
    </w:p>
    <w:p w14:paraId="38DB8BC8">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对解密环节出错（因系统故障原因导致）的投标人，通过系统的备案功能进行文件上传备案，对备案文件与网上提交的文件不一致（系统通过数字签名进行验证）或备案文件未按照本文件的要求进行编制、签署导致系统无法备案的投标人作无效投标处理。</w:t>
      </w:r>
    </w:p>
    <w:p w14:paraId="1EE48EBC">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备案功能故障且系统长时间无法恢复正常的，在招标人或代理机构的监督下可针对所有在平台中已投标的投标人，启用其电子邮件提交的投标文件进行开标，同时开标由线上转为线下，开标、评标均以电子邮件提交的投标文件为准，投标人必须在获取招标文件时留有本单位详细的邮箱和电话，否则由此产生的不利后果由投标人自己承担。对未按规定提交或提交的文件未按要求进行编制、签署的投标人作无效投标处理。</w:t>
      </w:r>
    </w:p>
    <w:p w14:paraId="19C678C4">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22.12应急开标电子邮件提交规定</w:t>
      </w:r>
    </w:p>
    <w:p w14:paraId="09FDFB66">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lang w:eastAsia="zh-CN"/>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接收电子邮箱：</w:t>
      </w:r>
      <w:r>
        <w:rPr>
          <w:rFonts w:hint="eastAsia" w:ascii="仿宋" w:hAnsi="仿宋" w:eastAsia="仿宋" w:cs="仿宋"/>
          <w:color w:val="000000" w:themeColor="text1"/>
          <w:sz w:val="28"/>
          <w:szCs w:val="28"/>
          <w:highlight w:val="none"/>
          <w:lang w:eastAsia="zh-CN"/>
          <w14:textFill>
            <w14:solidFill>
              <w14:schemeClr w14:val="tx1"/>
            </w14:solidFill>
          </w14:textFill>
        </w:rPr>
        <w:t>tljs2018@126.com</w:t>
      </w:r>
    </w:p>
    <w:p w14:paraId="63707E0B">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提交时间：以电子邮件或电话通知的时间为准；</w:t>
      </w:r>
    </w:p>
    <w:p w14:paraId="52E5BADF">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邮件数量：一封；</w:t>
      </w:r>
    </w:p>
    <w:p w14:paraId="46E94E57">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邮件主题：招标编号、投标人名称；</w:t>
      </w:r>
    </w:p>
    <w:p w14:paraId="6E430EC0">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邮件内容：附件含项目所有的已投包段，每个包段含已盖章且未加密的数据文件、投标文件各一份。数据文件、投标文件与网上最终提交的必须为同一文件（可将所投包段的所有文件打包压缩），如果不一致，系统后台会判定为无效投标文件，导致投标无效。</w:t>
      </w:r>
    </w:p>
    <w:p w14:paraId="755BD34A">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22.13启动电子邮件开标流程</w:t>
      </w:r>
    </w:p>
    <w:p w14:paraId="766384C0">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工作人员电话通知所有投标人启动应急开标程序；</w:t>
      </w:r>
    </w:p>
    <w:p w14:paraId="45DB3FF6">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投标人收到通知后在规定时间内通过电子邮件提交投标文件（在非应急开标期间招标代理机构不接受、不处理任何通过电子邮件提交的投标文件）；</w:t>
      </w:r>
    </w:p>
    <w:p w14:paraId="6EB1311E">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提交截止时间到，工作人员开始下载投标文件，将投标报价形成开标报告并邮件回复各投标人；</w:t>
      </w:r>
    </w:p>
    <w:p w14:paraId="236C7643">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投标人确认报价并邮件回复，不及时回复的视为对开标报告的内容无异议。</w:t>
      </w:r>
    </w:p>
    <w:bookmarkEnd w:id="43"/>
    <w:p w14:paraId="60021ECF">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23.评标委员会的组成和评标办法</w:t>
      </w:r>
    </w:p>
    <w:p w14:paraId="0E9C57CC">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44" w:name="_Hlk154668119"/>
      <w:bookmarkStart w:id="45" w:name="_Hlk154668068"/>
      <w:r>
        <w:rPr>
          <w:rFonts w:hint="eastAsia" w:ascii="仿宋" w:hAnsi="仿宋" w:eastAsia="仿宋" w:cs="仿宋"/>
          <w:color w:val="000000" w:themeColor="text1"/>
          <w:sz w:val="28"/>
          <w:szCs w:val="28"/>
          <w:highlight w:val="none"/>
          <w14:textFill>
            <w14:solidFill>
              <w14:schemeClr w14:val="tx1"/>
            </w14:solidFill>
          </w14:textFill>
        </w:rPr>
        <w:t>23.1招标代理机构负责组织评标工作，具体评审事务由依法组建的评标委员会负责，评标委员会成员由评审专家5人以上的单数组成。评标委员会的专家依法从国企采购主管部门组建的专家库中随机抽取产生。情况特殊的，通过随机方式难以确定合适的评审专家的项目，经主管部门同意，招标人可以自行选定评审专家。评标委员会成员不得被最高法院列入失信被执行人，若为失信被执行人，将及时清退（开标现场查询）。</w:t>
      </w:r>
    </w:p>
    <w:p w14:paraId="63799262">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23.2招标人员及相关人员与投标人有利害关系的应当回避。曾参与项目征询意见或论证的专家，不得再作为评审专家参加评审。招标人不得以专家身份参与本项目的评审。招标人和招标代理机构工作人员离职或退休不满三年的，不能作为专家参加评审工作。</w:t>
      </w:r>
    </w:p>
    <w:p w14:paraId="43595705">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23.3评标委员会成员职责：</w:t>
      </w:r>
    </w:p>
    <w:p w14:paraId="27FE2C8A">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（1）评标前，评标委员会成员应当主动确认与投标人及其制造商是否有利害关系。如有利害关系应当主动回避，如无利害关系，应当在含有相关内容的《无利害关系声明》上签字；</w:t>
      </w:r>
    </w:p>
    <w:p w14:paraId="6884C528">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（2）按照招标文件中确定的评标办法，对投标文件的内容进行评审，并对评审结果承担责任；</w:t>
      </w:r>
    </w:p>
    <w:p w14:paraId="7CAF2B7A">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（3）对评标过程和结果，以及投标人的商业秘密进行保密；</w:t>
      </w:r>
    </w:p>
    <w:p w14:paraId="5584D83B">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（4）在评标委员会集体起草的评标报告上签字；</w:t>
      </w:r>
    </w:p>
    <w:p w14:paraId="3E3B7A55">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（5）配合招标代理机构答复投标人质疑；</w:t>
      </w:r>
    </w:p>
    <w:p w14:paraId="66A5B297">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（6）配合主管部门处理投标人投诉；</w:t>
      </w:r>
    </w:p>
    <w:p w14:paraId="16FDB1C2">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（7）向招标人反映评审工作中的问题，提出意见和建议。</w:t>
      </w:r>
    </w:p>
    <w:bookmarkEnd w:id="44"/>
    <w:p w14:paraId="20AC7596">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46" w:name="_Hlk154668127"/>
      <w:r>
        <w:rPr>
          <w:rFonts w:hint="eastAsia" w:ascii="仿宋" w:hAnsi="仿宋" w:eastAsia="仿宋" w:cs="仿宋"/>
          <w:color w:val="000000" w:themeColor="text1"/>
          <w:sz w:val="28"/>
          <w:szCs w:val="28"/>
          <w:highlight w:val="none"/>
          <w14:textFill>
            <w14:solidFill>
              <w14:schemeClr w14:val="tx1"/>
            </w14:solidFill>
          </w14:textFill>
        </w:rPr>
        <w:t>23.4评标委员会集体职责：</w:t>
      </w:r>
    </w:p>
    <w:p w14:paraId="56BF0F62">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按照各成员评审意见推荐中标候选人，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7F0113E4">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（2）配合招标人和招标代理机构答复投标人的质疑；</w:t>
      </w:r>
    </w:p>
    <w:p w14:paraId="6F6BEFD2">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（3）配合主管部门做好投诉处理工作；</w:t>
      </w:r>
    </w:p>
    <w:p w14:paraId="1131A701">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（4）必要时，向投标人解释评审结果；</w:t>
      </w:r>
    </w:p>
    <w:p w14:paraId="353B88EF">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（5）向主管部门或者有关部门报告非法干预评审工作的行为。</w:t>
      </w:r>
    </w:p>
    <w:bookmarkEnd w:id="46"/>
    <w:p w14:paraId="4E33D37B">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47" w:name="_Hlk154668139"/>
      <w:r>
        <w:rPr>
          <w:rFonts w:hint="eastAsia" w:ascii="仿宋" w:hAnsi="仿宋" w:eastAsia="仿宋" w:cs="仿宋"/>
          <w:color w:val="000000" w:themeColor="text1"/>
          <w:sz w:val="28"/>
          <w:szCs w:val="28"/>
          <w:highlight w:val="none"/>
          <w14:textFill>
            <w14:solidFill>
              <w14:schemeClr w14:val="tx1"/>
            </w14:solidFill>
          </w14:textFill>
        </w:rPr>
        <w:t>23.5招标代理机构或招标人的职责：</w:t>
      </w:r>
    </w:p>
    <w:p w14:paraId="36CBA4BA">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（1）核对评标专家身份和招标人代表授权书，对评标专家在招标活动中的职责履行情况予以记录，并及时将有关违法违规行为向主管部门报告；</w:t>
      </w:r>
    </w:p>
    <w:p w14:paraId="745A288D">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（2）宣布评审纪律；</w:t>
      </w:r>
    </w:p>
    <w:p w14:paraId="37F4C165">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（3）公布投标人名单，告知评标委员会专家应当回避的情形；</w:t>
      </w:r>
    </w:p>
    <w:p w14:paraId="799C1721">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（4）组织评标委员会推选评标组长，招标人代表不得担任评标组长；</w:t>
      </w:r>
    </w:p>
    <w:p w14:paraId="441B7A15">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（5）在评审期间采取必要的通讯管理措施，保证评审活动不受外界干扰；</w:t>
      </w:r>
    </w:p>
    <w:p w14:paraId="4676B017">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（6）根据评标委员会的要求介绍阳光国企采购相关政策法规、招标文件；</w:t>
      </w:r>
    </w:p>
    <w:p w14:paraId="01F317D5">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（7）维护评审秩序，监督评标委员会依照招标文件规定的评标程序、方法和标准进行独立评审，及时制止和纠正评标专家的倾向性言论或者违法违规行为；</w:t>
      </w:r>
    </w:p>
    <w:p w14:paraId="5DA5835F">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8）核对评标结果，存在分值汇总计算错误的、分项评分超出评分标准范围的、评标委员会成员对客观评审因素评分不一致的，经评标委员会认定评分畸高畸低的情形，要求评标委员会复核或者书面说明理由，评标委员会拒绝的，应予记录并向主管部门报告。</w:t>
      </w:r>
    </w:p>
    <w:p w14:paraId="6CB119A4">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9）评审工作完成后，按照规定向评标专家支付劳务报酬和异地评审差旅费，不得向评标专家以外的其他人员支付评审劳务报酬；专家劳务报酬标准参照山东省财政厅《关于印发&lt;山东省政府采购评审劳务报酬标准&gt;的通知》（鲁财采〔2017〕28号）规定执行。</w:t>
      </w:r>
    </w:p>
    <w:p w14:paraId="4A867DCC">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（10）处理与评标有关的其他事项。</w:t>
      </w:r>
    </w:p>
    <w:p w14:paraId="59BC8AE4">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招标人可以在评标前说明项目背景和招标需求，说明内容不得含有歧视性、倾向性意见，不得超出招标文件所述范围。</w:t>
      </w:r>
    </w:p>
    <w:bookmarkEnd w:id="47"/>
    <w:p w14:paraId="073A8AD0">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48" w:name="_Hlk154668158"/>
      <w:r>
        <w:rPr>
          <w:rFonts w:hint="eastAsia" w:ascii="仿宋" w:hAnsi="仿宋" w:eastAsia="仿宋" w:cs="仿宋"/>
          <w:color w:val="000000" w:themeColor="text1"/>
          <w:sz w:val="28"/>
          <w:szCs w:val="28"/>
          <w:highlight w:val="none"/>
          <w14:textFill>
            <w14:solidFill>
              <w14:schemeClr w14:val="tx1"/>
            </w14:solidFill>
          </w14:textFill>
        </w:rPr>
        <w:t>23.6评标委员会采用集中办公、封闭方式进行评审。评标前，招标代理机构工作人员向评标委员会成员宣布评标纪律和工作规则。评标委员会成员签署《无利害关系声明表》，并遵照执行。</w:t>
      </w:r>
    </w:p>
    <w:p w14:paraId="20B6D1D9">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23.7在招标采购活动中，招标人员及相关人员与投标人有以下利害关系之一的，应当回避：</w:t>
      </w:r>
    </w:p>
    <w:p w14:paraId="0DA6B3B5">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（1）参加招标采购活动前3年内与投标人存在劳动关系；</w:t>
      </w:r>
    </w:p>
    <w:p w14:paraId="2FCA0E27">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（2）参加招标采购活动前3年内担任投标人的董事、监事；</w:t>
      </w:r>
    </w:p>
    <w:p w14:paraId="5A8E5428">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（3）参加招标采购活动前3年内是投标人的控股股东或者实际控制人；</w:t>
      </w:r>
    </w:p>
    <w:p w14:paraId="5F7E49FD">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（4）与投标人的法定代表人或者负责人有服务、直系血亲、三代以内旁系血亲或者近姻亲关系；</w:t>
      </w:r>
    </w:p>
    <w:p w14:paraId="2F858A3F">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（5）与投标人有其他可能影响招标采购活动公平、公正进行的关系。</w:t>
      </w:r>
    </w:p>
    <w:p w14:paraId="3C18E88B">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认为招标人员及相关人员与其他投标人有利害关系的，可以向招标人或者招标代理机构书面提出回避申请，并说明理由。招标人或者招标代理机构应当及时询问被申请回避人员，有利害关系的被申请回避人员应当回避。</w:t>
      </w:r>
    </w:p>
    <w:p w14:paraId="55D76D15">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23.8评标委员会成员对与自己有利害关系的评标项目应当主动提出回避。</w:t>
      </w:r>
    </w:p>
    <w:p w14:paraId="43DC38A8">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23.9评标委员会将按照招标文件确定的评标原则和方法进行评标。评标委员会对投标文件的评审内容分为资格性审查、符合性审查、商务评议、技术评议和价格评议。</w:t>
      </w:r>
    </w:p>
    <w:bookmarkEnd w:id="48"/>
    <w:p w14:paraId="19EEC52F">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49" w:name="_Hlk154668166"/>
      <w:r>
        <w:rPr>
          <w:rFonts w:hint="eastAsia" w:ascii="仿宋" w:hAnsi="仿宋" w:eastAsia="仿宋" w:cs="仿宋"/>
          <w:color w:val="000000" w:themeColor="text1"/>
          <w:sz w:val="28"/>
          <w:szCs w:val="28"/>
          <w:highlight w:val="none"/>
          <w14:textFill>
            <w14:solidFill>
              <w14:schemeClr w14:val="tx1"/>
            </w14:solidFill>
          </w14:textFill>
        </w:rPr>
        <w:t>23.10评标委员会独立履行下列职责：</w:t>
      </w:r>
    </w:p>
    <w:p w14:paraId="037DF646">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（1）审查、评价投标文件是否符合招标文件的商务、技术等实质性要求；</w:t>
      </w:r>
    </w:p>
    <w:p w14:paraId="20041BE9">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（2）要求投标人对投标文件有关事项作出澄清或者说明；</w:t>
      </w:r>
    </w:p>
    <w:p w14:paraId="25465076">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（3）对投标文件进行比较和评价；</w:t>
      </w:r>
    </w:p>
    <w:p w14:paraId="43120A77">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（4）确定中标候选人名单，以及根据招标人委托直接确定中标人；</w:t>
      </w:r>
    </w:p>
    <w:p w14:paraId="54F13FE0">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（5）向招标人、招标代理机构或者有关部门报告评标中发现的违法行为。</w:t>
      </w:r>
    </w:p>
    <w:p w14:paraId="78E4D8D5">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23.11评标中因评标委员会成员缺席、回避或者健康等特殊原因导致评标委员会组成不符合本办法规定的，招标人应当依法补足后继续评标。被更换的评标委员会成员所作出的评标意见无效。</w:t>
      </w:r>
    </w:p>
    <w:p w14:paraId="1C63E8D0">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无法及时补足评标委员会成员的，招标代理机构应当停止评标活动，封存所有投标文件和开标、评标资料，依法重新组建评标委员会进行评标。原评标委员会作出的评标意见无效。</w:t>
      </w:r>
    </w:p>
    <w:p w14:paraId="7F829602">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招标代理机构应当将变更、重新组建评标委员会的情况予以记录，并随招标文件一并存档。</w:t>
      </w:r>
    </w:p>
    <w:bookmarkEnd w:id="45"/>
    <w:bookmarkEnd w:id="49"/>
    <w:p w14:paraId="3631146B">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24.投标文件的初审</w:t>
      </w:r>
    </w:p>
    <w:p w14:paraId="76DDEE34">
      <w:pPr>
        <w:pageBreakBefore w:val="0"/>
        <w:kinsoku/>
        <w:overflowPunct/>
        <w:topLinePunct w:val="0"/>
        <w:bidi w:val="0"/>
        <w:adjustRightInd/>
        <w:snapToGrid/>
        <w:spacing w:line="360" w:lineRule="auto"/>
        <w:ind w:firstLine="548" w:firstLineChars="196"/>
        <w:rPr>
          <w:rFonts w:hint="eastAsia" w:ascii="仿宋" w:hAnsi="仿宋" w:eastAsia="仿宋" w:cs="仿宋"/>
          <w:color w:val="000000" w:themeColor="text1"/>
          <w:highlight w:val="none"/>
          <w14:textFill>
            <w14:solidFill>
              <w14:schemeClr w14:val="tx1"/>
            </w14:solidFill>
          </w14:textFill>
        </w:rPr>
      </w:pPr>
      <w:bookmarkStart w:id="50" w:name="_Hlk154668175"/>
      <w:r>
        <w:rPr>
          <w:rFonts w:hint="eastAsia" w:ascii="仿宋" w:hAnsi="仿宋" w:eastAsia="仿宋" w:cs="仿宋"/>
          <w:color w:val="000000" w:themeColor="text1"/>
          <w:sz w:val="28"/>
          <w:highlight w:val="none"/>
          <w14:textFill>
            <w14:solidFill>
              <w14:schemeClr w14:val="tx1"/>
            </w14:solidFill>
          </w14:textFill>
        </w:rPr>
        <w:t>评标委员会将按照招标文件的规定对投标文件进行资格性和符合性审查，以确定投标文件的有效性</w:t>
      </w:r>
      <w:bookmarkEnd w:id="50"/>
      <w:r>
        <w:rPr>
          <w:rFonts w:hint="eastAsia" w:ascii="仿宋" w:hAnsi="仿宋" w:eastAsia="仿宋" w:cs="仿宋"/>
          <w:color w:val="000000" w:themeColor="text1"/>
          <w:sz w:val="28"/>
          <w:highlight w:val="none"/>
          <w14:textFill>
            <w14:solidFill>
              <w14:schemeClr w14:val="tx1"/>
            </w14:solidFill>
          </w14:textFill>
        </w:rPr>
        <w:t>。</w:t>
      </w:r>
    </w:p>
    <w:p w14:paraId="73796286">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24.1资格性审查。在招标项目开标结束后,评标委员会对投标人的资格进行审查。合格投标人不足3家的，不得评标。在资格性检查时,如有下列情况之一的，经评标委员会认定，视为非实质性响应，为无效投标：</w:t>
      </w:r>
    </w:p>
    <w:p w14:paraId="32339646">
      <w:pPr>
        <w:pageBreakBefore w:val="0"/>
        <w:kinsoku/>
        <w:overflowPunct/>
        <w:topLinePunct w:val="0"/>
        <w:bidi w:val="0"/>
        <w:adjustRightInd/>
        <w:snapToGrid/>
        <w:spacing w:line="360" w:lineRule="auto"/>
        <w:ind w:firstLine="548" w:firstLineChars="196"/>
        <w:rPr>
          <w:rFonts w:hint="eastAsia" w:ascii="仿宋" w:hAnsi="仿宋" w:eastAsia="仿宋" w:cs="仿宋"/>
          <w:color w:val="000000" w:themeColor="text1"/>
          <w:sz w:val="28"/>
          <w:highlight w:val="none"/>
          <w14:textFill>
            <w14:solidFill>
              <w14:schemeClr w14:val="tx1"/>
            </w14:solidFill>
          </w14:textFill>
        </w:rPr>
      </w:pPr>
      <w:bookmarkStart w:id="51" w:name="_Hlk154668197"/>
      <w:r>
        <w:rPr>
          <w:rFonts w:hint="eastAsia" w:ascii="仿宋" w:hAnsi="仿宋" w:eastAsia="仿宋" w:cs="仿宋"/>
          <w:color w:val="000000" w:themeColor="text1"/>
          <w:sz w:val="28"/>
          <w:highlight w:val="none"/>
          <w14:textFill>
            <w14:solidFill>
              <w14:schemeClr w14:val="tx1"/>
            </w14:solidFill>
          </w14:textFill>
        </w:rPr>
        <w:t>（1）投标文件不完整的；</w:t>
      </w:r>
    </w:p>
    <w:p w14:paraId="608D2128">
      <w:pPr>
        <w:pageBreakBefore w:val="0"/>
        <w:kinsoku/>
        <w:overflowPunct/>
        <w:topLinePunct w:val="0"/>
        <w:bidi w:val="0"/>
        <w:adjustRightInd/>
        <w:snapToGrid/>
        <w:spacing w:line="360" w:lineRule="auto"/>
        <w:ind w:firstLine="548" w:firstLineChars="196"/>
        <w:rPr>
          <w:rFonts w:hint="eastAsia" w:ascii="仿宋" w:hAnsi="仿宋" w:eastAsia="仿宋" w:cs="仿宋"/>
          <w:color w:val="000000" w:themeColor="text1"/>
          <w:sz w:val="28"/>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（2）资质、资格证明文件不完整或不符合招标文件要求或过期失效的；</w:t>
      </w:r>
    </w:p>
    <w:p w14:paraId="33C2AEB3">
      <w:pPr>
        <w:pageBreakBefore w:val="0"/>
        <w:kinsoku/>
        <w:overflowPunct/>
        <w:topLinePunct w:val="0"/>
        <w:bidi w:val="0"/>
        <w:adjustRightInd/>
        <w:snapToGrid/>
        <w:spacing w:line="360" w:lineRule="auto"/>
        <w:ind w:firstLine="548" w:firstLineChars="196"/>
        <w:rPr>
          <w:rFonts w:hint="eastAsia" w:ascii="仿宋" w:hAnsi="仿宋" w:eastAsia="仿宋" w:cs="仿宋"/>
          <w:color w:val="000000" w:themeColor="text1"/>
          <w:sz w:val="28"/>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（3）投标文件未按规定签署及盖章的；</w:t>
      </w:r>
    </w:p>
    <w:p w14:paraId="10CD1C99">
      <w:pPr>
        <w:pageBreakBefore w:val="0"/>
        <w:kinsoku/>
        <w:overflowPunct/>
        <w:topLinePunct w:val="0"/>
        <w:bidi w:val="0"/>
        <w:adjustRightInd/>
        <w:snapToGrid/>
        <w:spacing w:line="360" w:lineRule="auto"/>
        <w:ind w:firstLine="548" w:firstLineChars="196"/>
        <w:rPr>
          <w:rFonts w:hint="eastAsia" w:ascii="仿宋" w:hAnsi="仿宋" w:eastAsia="仿宋" w:cs="仿宋"/>
          <w:color w:val="000000" w:themeColor="text1"/>
          <w:sz w:val="28"/>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（4）投标人的法定代表人或授权代表不在规定时间内答疑或澄清的；</w:t>
      </w:r>
    </w:p>
    <w:p w14:paraId="78392267">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（5）与招标人存在利害关系且可能影响招标活动的公正性；</w:t>
      </w:r>
    </w:p>
    <w:p w14:paraId="36B1309A">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（6）与本招标项目的其他投标人为同一个单位负责人；</w:t>
      </w:r>
    </w:p>
    <w:p w14:paraId="04F3A0FA">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（7）与本招标项目的其他投标人存在控股、管理关系；</w:t>
      </w:r>
    </w:p>
    <w:p w14:paraId="351C5F70">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（8）为本招标项目提供过设计、编制技术规范和其他文件的咨询服务；</w:t>
      </w:r>
    </w:p>
    <w:p w14:paraId="68F79415">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（9）为本招标项目的代建人；</w:t>
      </w:r>
    </w:p>
    <w:p w14:paraId="1D37F614">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（10）为本招标项目的招标代理机构；</w:t>
      </w:r>
    </w:p>
    <w:p w14:paraId="3B9C634E">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（11）被依法暂停或者取消投标资格；</w:t>
      </w:r>
    </w:p>
    <w:p w14:paraId="66E66D95">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（12）被责令停产停业、暂扣或者吊销许可证、暂扣或者吊销执照；</w:t>
      </w:r>
    </w:p>
    <w:p w14:paraId="201FD989">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（13）进入清算程序，或被宣告破产，或其他丧失履约能力的情形；</w:t>
      </w:r>
    </w:p>
    <w:p w14:paraId="2677DB87">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（14）除招标文件规定提交备选投标人案外，同一投标人递交两个以上不同的投标文件或者投标报价的；</w:t>
      </w:r>
    </w:p>
    <w:p w14:paraId="58591303">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（15）评标委员会认为不符合招标文件其他实质性要求或法律规定的；</w:t>
      </w:r>
    </w:p>
    <w:p w14:paraId="2CFAE797">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（16）法律法规规定的其他情形。</w:t>
      </w:r>
    </w:p>
    <w:bookmarkEnd w:id="51"/>
    <w:p w14:paraId="7215AE26">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52" w:name="_Hlk154668205"/>
      <w:r>
        <w:rPr>
          <w:rFonts w:hint="eastAsia" w:ascii="仿宋" w:hAnsi="仿宋" w:eastAsia="仿宋" w:cs="仿宋"/>
          <w:color w:val="000000" w:themeColor="text1"/>
          <w:sz w:val="28"/>
          <w:szCs w:val="28"/>
          <w:highlight w:val="none"/>
          <w14:textFill>
            <w14:solidFill>
              <w14:schemeClr w14:val="tx1"/>
            </w14:solidFill>
          </w14:textFill>
        </w:rPr>
        <w:t>24.2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w:t>
      </w:r>
    </w:p>
    <w:p w14:paraId="47EA90FF">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具体内容详见《投标须知》-《实质性条款一览表》中符合性审查条件。</w:t>
      </w:r>
    </w:p>
    <w:p w14:paraId="3ABAC8A8">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24.3投标人有下列情形之一的，视为投标人串通投标，其投标无效：</w:t>
      </w:r>
    </w:p>
    <w:p w14:paraId="324447AE">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（1）不同投标人的投标文件由同一单位或者个人编制的；</w:t>
      </w:r>
    </w:p>
    <w:p w14:paraId="4EB33A22">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（2）不同投标人使用同一个投标人或者同一个自然人的IP地址、设备下</w:t>
      </w:r>
      <w:bookmarkEnd w:id="52"/>
      <w:bookmarkStart w:id="53" w:name="_Hlk154668217"/>
      <w:r>
        <w:rPr>
          <w:rFonts w:hint="eastAsia" w:ascii="仿宋" w:hAnsi="仿宋" w:eastAsia="仿宋" w:cs="仿宋"/>
          <w:color w:val="000000" w:themeColor="text1"/>
          <w:sz w:val="28"/>
          <w:szCs w:val="28"/>
          <w:highlight w:val="none"/>
          <w14:textFill>
            <w14:solidFill>
              <w14:schemeClr w14:val="tx1"/>
            </w14:solidFill>
          </w14:textFill>
        </w:rPr>
        <w:t>载招标文件或者制作、上传投标文件的；</w:t>
      </w:r>
    </w:p>
    <w:p w14:paraId="6283DC98">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54" w:name="_Hlk154668229"/>
      <w:r>
        <w:rPr>
          <w:rFonts w:hint="eastAsia" w:ascii="仿宋" w:hAnsi="仿宋" w:eastAsia="仿宋" w:cs="仿宋"/>
          <w:color w:val="000000" w:themeColor="text1"/>
          <w:sz w:val="28"/>
          <w:szCs w:val="28"/>
          <w:highlight w:val="none"/>
          <w14:textFill>
            <w14:solidFill>
              <w14:schemeClr w14:val="tx1"/>
            </w14:solidFill>
          </w14:textFill>
        </w:rPr>
        <w:t>（3）不同投标人委托同一单位或者个人办理投标事宜；</w:t>
      </w:r>
    </w:p>
    <w:p w14:paraId="0F11CEF6">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（4）不同投标人的投标文件载明的项目管理成员或者联系人员为同一人；</w:t>
      </w:r>
    </w:p>
    <w:p w14:paraId="07E18BAB">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（5）不同投标人的投标文件重要内容异常一致、或者投标报价呈现规律性差异；</w:t>
      </w:r>
    </w:p>
    <w:p w14:paraId="4B3A0909">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（6）不同投标人编制的投标文件存在两处以上错误一致的；</w:t>
      </w:r>
    </w:p>
    <w:p w14:paraId="255F320E">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（7）不同投标人的投标文件相互混装；</w:t>
      </w:r>
    </w:p>
    <w:p w14:paraId="59B9327E">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（8）不同投标人的投标保证金从同一单位或者个人的账户转出；</w:t>
      </w:r>
    </w:p>
    <w:p w14:paraId="3F93A486">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（9）不同投标人制作的电子投标文件经系统审查存在cpu编码、硬盘编码及MAC地址三项编码均相同的。</w:t>
      </w:r>
      <w:bookmarkEnd w:id="54"/>
    </w:p>
    <w:p w14:paraId="5E83D0D0">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55" w:name="_Hlk154668255"/>
      <w:bookmarkStart w:id="56" w:name="_Hlk154668244"/>
      <w:r>
        <w:rPr>
          <w:rFonts w:hint="eastAsia" w:ascii="仿宋" w:hAnsi="仿宋" w:eastAsia="仿宋" w:cs="仿宋"/>
          <w:color w:val="000000" w:themeColor="text1"/>
          <w:sz w:val="28"/>
          <w:szCs w:val="28"/>
          <w:highlight w:val="none"/>
          <w14:textFill>
            <w14:solidFill>
              <w14:schemeClr w14:val="tx1"/>
            </w14:solidFill>
          </w14:textFill>
        </w:rPr>
        <w:t>24.4属于无效投标的，投标人不能通过修正或撤销投标文件中不符合之处而成为实质性响应的投标，招标代理机构将通知投标人，并说明无效投标理由；属于有效投标文件的，将进行下一轮次的询标和澄清</w:t>
      </w:r>
      <w:bookmarkEnd w:id="55"/>
      <w:r>
        <w:rPr>
          <w:rFonts w:hint="eastAsia" w:ascii="仿宋" w:hAnsi="仿宋" w:eastAsia="仿宋" w:cs="仿宋"/>
          <w:color w:val="000000" w:themeColor="text1"/>
          <w:sz w:val="28"/>
          <w:szCs w:val="28"/>
          <w:highlight w:val="none"/>
          <w14:textFill>
            <w14:solidFill>
              <w14:schemeClr w14:val="tx1"/>
            </w14:solidFill>
          </w14:textFill>
        </w:rPr>
        <w:t>。</w:t>
      </w:r>
    </w:p>
    <w:p w14:paraId="6F48486F">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bookmarkStart w:id="57" w:name="_Hlk154668262"/>
      <w:r>
        <w:rPr>
          <w:rFonts w:hint="eastAsia" w:ascii="仿宋" w:hAnsi="仿宋" w:eastAsia="仿宋" w:cs="仿宋"/>
          <w:b/>
          <w:color w:val="000000" w:themeColor="text1"/>
          <w:sz w:val="28"/>
          <w:szCs w:val="28"/>
          <w:highlight w:val="none"/>
          <w14:textFill>
            <w14:solidFill>
              <w14:schemeClr w14:val="tx1"/>
            </w14:solidFill>
          </w14:textFill>
        </w:rPr>
        <w:t>25.投标文件的澄清</w:t>
      </w:r>
    </w:p>
    <w:bookmarkEnd w:id="53"/>
    <w:p w14:paraId="6559D9C3">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276EDC8C">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25.2投标人的澄清、说明或者补正应当采用书面形式，并加盖公章，或者由法定代表人或其授权的代表签字或盖章。投标人的澄清、说明或者补正不得超出投标文件的范围或者改变对投标文件的实质性内容。此书面文件是投标文件的组成部分</w:t>
      </w:r>
      <w:bookmarkEnd w:id="57"/>
      <w:r>
        <w:rPr>
          <w:rFonts w:hint="eastAsia" w:ascii="仿宋" w:hAnsi="仿宋" w:eastAsia="仿宋" w:cs="仿宋"/>
          <w:color w:val="000000" w:themeColor="text1"/>
          <w:sz w:val="28"/>
          <w:szCs w:val="28"/>
          <w:highlight w:val="none"/>
          <w14:textFill>
            <w14:solidFill>
              <w14:schemeClr w14:val="tx1"/>
            </w14:solidFill>
          </w14:textFill>
        </w:rPr>
        <w:t>。</w:t>
      </w:r>
    </w:p>
    <w:p w14:paraId="6BCBC39A">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bookmarkStart w:id="58" w:name="_Hlk154668269"/>
      <w:r>
        <w:rPr>
          <w:rFonts w:hint="eastAsia" w:ascii="仿宋" w:hAnsi="仿宋" w:eastAsia="仿宋" w:cs="仿宋"/>
          <w:b/>
          <w:color w:val="000000" w:themeColor="text1"/>
          <w:sz w:val="28"/>
          <w:szCs w:val="28"/>
          <w:highlight w:val="none"/>
          <w14:textFill>
            <w14:solidFill>
              <w14:schemeClr w14:val="tx1"/>
            </w14:solidFill>
          </w14:textFill>
        </w:rPr>
        <w:t>26.投标文件的评价</w:t>
      </w:r>
    </w:p>
    <w:p w14:paraId="7B0FD8B4">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评标委员会按招标文件中规定的评标方法和评标标准对有效投标文件的商务和技术进行评分，综合比较和评价，</w:t>
      </w:r>
      <w:bookmarkEnd w:id="58"/>
      <w:bookmarkStart w:id="59" w:name="_Hlk154668274"/>
      <w:r>
        <w:rPr>
          <w:rFonts w:hint="eastAsia" w:ascii="仿宋" w:hAnsi="仿宋" w:eastAsia="仿宋" w:cs="仿宋"/>
          <w:color w:val="000000" w:themeColor="text1"/>
          <w:sz w:val="28"/>
          <w:szCs w:val="28"/>
          <w:highlight w:val="none"/>
          <w14:textFill>
            <w14:solidFill>
              <w14:schemeClr w14:val="tx1"/>
            </w14:solidFill>
          </w14:textFill>
        </w:rPr>
        <w:t>按综合得分高低列出中标候选人排序表。若总分相同，以报价得分高的排前；若总分、报价得分都相同，则以技术方面得分高的排前</w:t>
      </w:r>
      <w:bookmarkEnd w:id="56"/>
      <w:r>
        <w:rPr>
          <w:rFonts w:hint="eastAsia" w:ascii="仿宋" w:hAnsi="仿宋" w:eastAsia="仿宋" w:cs="仿宋"/>
          <w:color w:val="000000" w:themeColor="text1"/>
          <w:sz w:val="28"/>
          <w:szCs w:val="28"/>
          <w:highlight w:val="none"/>
          <w14:textFill>
            <w14:solidFill>
              <w14:schemeClr w14:val="tx1"/>
            </w14:solidFill>
          </w14:textFill>
        </w:rPr>
        <w:t>。</w:t>
      </w:r>
      <w:bookmarkEnd w:id="59"/>
    </w:p>
    <w:p w14:paraId="000D622C">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60" w:name="_Hlk154668281"/>
      <w:r>
        <w:rPr>
          <w:rFonts w:hint="eastAsia" w:ascii="仿宋" w:hAnsi="仿宋" w:eastAsia="仿宋" w:cs="仿宋"/>
          <w:color w:val="000000" w:themeColor="text1"/>
          <w:sz w:val="28"/>
          <w:szCs w:val="28"/>
          <w:highlight w:val="none"/>
          <w14:textFill>
            <w14:solidFill>
              <w14:schemeClr w14:val="tx1"/>
            </w14:solidFill>
          </w14:textFill>
        </w:rPr>
        <w:t>26.1评审采用百分制。评标委员会各成员分别独立对实质上响应投标文件的投标人进行逐项评价打分，对评标委员会各成员每一因素的打分汇总后的得分为投标人的得分，汇总得分保留两位小数。</w:t>
      </w:r>
    </w:p>
    <w:p w14:paraId="390DD9A3">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26.2评标委员会只对确定为实质响应招标文件要求的投标文件进行评价和比较。必要时需标明评审理由。</w:t>
      </w:r>
    </w:p>
    <w:p w14:paraId="52D38E38">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26.3招标代理机构工作人员负责复核、统计评标委员会成员的评审情况，发现评审意见有失公正时，提请该评标委员会成员修改评审意见，并形成书面意见备查</w:t>
      </w:r>
      <w:bookmarkEnd w:id="60"/>
      <w:r>
        <w:rPr>
          <w:rFonts w:hint="eastAsia" w:ascii="仿宋" w:hAnsi="仿宋" w:eastAsia="仿宋" w:cs="仿宋"/>
          <w:color w:val="000000" w:themeColor="text1"/>
          <w:sz w:val="28"/>
          <w:szCs w:val="28"/>
          <w:highlight w:val="none"/>
          <w14:textFill>
            <w14:solidFill>
              <w14:schemeClr w14:val="tx1"/>
            </w14:solidFill>
          </w14:textFill>
        </w:rPr>
        <w:t>。</w:t>
      </w:r>
    </w:p>
    <w:p w14:paraId="2C32DE40">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61" w:name="_Hlk154668289"/>
      <w:r>
        <w:rPr>
          <w:rFonts w:hint="eastAsia" w:ascii="仿宋" w:hAnsi="仿宋" w:eastAsia="仿宋" w:cs="仿宋"/>
          <w:color w:val="000000" w:themeColor="text1"/>
          <w:sz w:val="28"/>
          <w:szCs w:val="28"/>
          <w:highlight w:val="none"/>
          <w14:textFill>
            <w14:solidFill>
              <w14:schemeClr w14:val="tx1"/>
            </w14:solidFill>
          </w14:textFill>
        </w:rPr>
        <w:t>26.4评审时除考虑投标人的报价之外，还将考虑以下因素：</w:t>
      </w:r>
    </w:p>
    <w:p w14:paraId="1C913C0D">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①投标文件的响应状况（包括是否参照招标文件要求制作）；</w:t>
      </w:r>
    </w:p>
    <w:p w14:paraId="72DF8091">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②招标文件规定的其它评审因素。</w:t>
      </w:r>
    </w:p>
    <w:p w14:paraId="29F3177E">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26.5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招标活动。</w:t>
      </w:r>
    </w:p>
    <w:p w14:paraId="12E79A19">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26.6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2E0B3673">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27.出现下列情形之一的，应予废标</w:t>
      </w:r>
      <w:bookmarkEnd w:id="61"/>
      <w:r>
        <w:rPr>
          <w:rFonts w:hint="eastAsia" w:ascii="仿宋" w:hAnsi="仿宋" w:eastAsia="仿宋" w:cs="仿宋"/>
          <w:b/>
          <w:color w:val="000000" w:themeColor="text1"/>
          <w:sz w:val="28"/>
          <w:szCs w:val="28"/>
          <w:highlight w:val="none"/>
          <w14:textFill>
            <w14:solidFill>
              <w14:schemeClr w14:val="tx1"/>
            </w14:solidFill>
          </w14:textFill>
        </w:rPr>
        <w:t>：</w:t>
      </w:r>
    </w:p>
    <w:p w14:paraId="517D270B">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（1）合格的投标人或参加投标的企业不足三家的；</w:t>
      </w:r>
    </w:p>
    <w:p w14:paraId="391C3E3E">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62" w:name="_Hlk154668298"/>
      <w:r>
        <w:rPr>
          <w:rFonts w:hint="eastAsia" w:ascii="仿宋" w:hAnsi="仿宋" w:eastAsia="仿宋" w:cs="仿宋"/>
          <w:color w:val="000000" w:themeColor="text1"/>
          <w:sz w:val="28"/>
          <w:szCs w:val="28"/>
          <w:highlight w:val="none"/>
          <w14:textFill>
            <w14:solidFill>
              <w14:schemeClr w14:val="tx1"/>
            </w14:solidFill>
          </w14:textFill>
        </w:rPr>
        <w:t>（2）出现影响招标公正的违法、违规行为的；</w:t>
      </w:r>
    </w:p>
    <w:p w14:paraId="21D01125">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（3）投标报价</w:t>
      </w:r>
      <w:r>
        <w:rPr>
          <w:rFonts w:hint="eastAsia" w:ascii="仿宋" w:hAnsi="仿宋" w:eastAsia="仿宋" w:cs="仿宋"/>
          <w:color w:val="000000" w:themeColor="text1"/>
          <w:sz w:val="28"/>
          <w:szCs w:val="28"/>
          <w:highlight w:val="none"/>
          <w:lang w:val="en-US" w:eastAsia="zh-CN"/>
          <w14:textFill>
            <w14:solidFill>
              <w14:schemeClr w14:val="tx1"/>
            </w14:solidFill>
          </w14:textFill>
        </w:rPr>
        <w:t>高于</w:t>
      </w:r>
      <w:r>
        <w:rPr>
          <w:rFonts w:hint="eastAsia" w:ascii="仿宋" w:hAnsi="仿宋" w:eastAsia="仿宋" w:cs="仿宋"/>
          <w:color w:val="000000" w:themeColor="text1"/>
          <w:sz w:val="28"/>
          <w:szCs w:val="28"/>
          <w:highlight w:val="none"/>
          <w14:textFill>
            <w14:solidFill>
              <w14:schemeClr w14:val="tx1"/>
            </w14:solidFill>
          </w14:textFill>
        </w:rPr>
        <w:t>招标文件中规定的</w:t>
      </w:r>
      <w:r>
        <w:rPr>
          <w:rFonts w:hint="eastAsia" w:ascii="仿宋" w:hAnsi="仿宋" w:eastAsia="仿宋" w:cs="仿宋"/>
          <w:color w:val="000000" w:themeColor="text1"/>
          <w:sz w:val="28"/>
          <w:szCs w:val="28"/>
          <w:highlight w:val="none"/>
          <w:lang w:eastAsia="zh-CN"/>
          <w14:textFill>
            <w14:solidFill>
              <w14:schemeClr w14:val="tx1"/>
            </w14:solidFill>
          </w14:textFill>
        </w:rPr>
        <w:t>控制价</w:t>
      </w:r>
      <w:r>
        <w:rPr>
          <w:rFonts w:hint="eastAsia" w:ascii="仿宋" w:hAnsi="仿宋" w:eastAsia="仿宋" w:cs="仿宋"/>
          <w:color w:val="000000" w:themeColor="text1"/>
          <w:sz w:val="28"/>
          <w:szCs w:val="28"/>
          <w:highlight w:val="none"/>
          <w14:textFill>
            <w14:solidFill>
              <w14:schemeClr w14:val="tx1"/>
            </w14:solidFill>
          </w14:textFill>
        </w:rPr>
        <w:t>，招标人不能支付的；</w:t>
      </w:r>
    </w:p>
    <w:p w14:paraId="2769B35F">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（4）因重大变故，招标任务取消的</w:t>
      </w:r>
      <w:bookmarkEnd w:id="62"/>
      <w:r>
        <w:rPr>
          <w:rFonts w:hint="eastAsia" w:ascii="仿宋" w:hAnsi="仿宋" w:eastAsia="仿宋" w:cs="仿宋"/>
          <w:color w:val="000000" w:themeColor="text1"/>
          <w:sz w:val="28"/>
          <w:szCs w:val="28"/>
          <w:highlight w:val="none"/>
          <w14:textFill>
            <w14:solidFill>
              <w14:schemeClr w14:val="tx1"/>
            </w14:solidFill>
          </w14:textFill>
        </w:rPr>
        <w:t>。</w:t>
      </w:r>
    </w:p>
    <w:p w14:paraId="13D1F256">
      <w:pPr>
        <w:pStyle w:val="2"/>
        <w:keepNext w:val="0"/>
        <w:keepLines w:val="0"/>
        <w:pageBreakBefore w:val="0"/>
        <w:widowControl/>
        <w:kinsoku/>
        <w:wordWrap/>
        <w:overflowPunct/>
        <w:topLinePunct w:val="0"/>
        <w:autoSpaceDE/>
        <w:autoSpaceDN/>
        <w:bidi w:val="0"/>
        <w:adjustRightInd/>
        <w:snapToGrid/>
        <w:ind w:firstLine="560" w:firstLineChars="200"/>
        <w:textAlignment w:val="auto"/>
        <w:rPr>
          <w:rFonts w:hint="default" w:ascii="仿宋" w:hAnsi="仿宋" w:eastAsia="仿宋" w:cs="仿宋"/>
          <w:color w:val="000000" w:themeColor="text1"/>
          <w:kern w:val="2"/>
          <w:sz w:val="28"/>
          <w:szCs w:val="28"/>
          <w:highlight w:val="none"/>
          <w:lang w:val="en-US" w:eastAsia="zh-CN" w:bidi="ar-SA"/>
          <w14:textFill>
            <w14:solidFill>
              <w14:schemeClr w14:val="tx1"/>
            </w14:solidFill>
          </w14:textFill>
        </w:rPr>
      </w:pPr>
      <w:r>
        <w:rPr>
          <w:rFonts w:hint="eastAsia" w:ascii="仿宋" w:hAnsi="仿宋" w:eastAsia="仿宋" w:cs="仿宋"/>
          <w:color w:val="000000" w:themeColor="text1"/>
          <w:kern w:val="2"/>
          <w:sz w:val="28"/>
          <w:szCs w:val="28"/>
          <w:highlight w:val="none"/>
          <w:lang w:val="en-US" w:eastAsia="zh-CN" w:bidi="ar-SA"/>
          <w14:textFill>
            <w14:solidFill>
              <w14:schemeClr w14:val="tx1"/>
            </w14:solidFill>
          </w14:textFill>
        </w:rPr>
        <w:t>（5）法律法规规定的其他情况。</w:t>
      </w:r>
    </w:p>
    <w:p w14:paraId="5B416A2B">
      <w:pPr>
        <w:pStyle w:val="4"/>
        <w:pageBreakBefore w:val="0"/>
        <w:kinsoku/>
        <w:overflowPunct/>
        <w:topLinePunct w:val="0"/>
        <w:bidi w:val="0"/>
        <w:adjustRightInd/>
        <w:snapToGrid/>
        <w:spacing w:line="360" w:lineRule="auto"/>
        <w:rPr>
          <w:rStyle w:val="431"/>
          <w:rFonts w:hint="eastAsia" w:ascii="仿宋" w:hAnsi="仿宋" w:eastAsia="仿宋" w:cs="仿宋"/>
          <w:b/>
          <w:bCs/>
          <w:color w:val="000000" w:themeColor="text1"/>
          <w:kern w:val="2"/>
          <w:sz w:val="28"/>
          <w:szCs w:val="32"/>
          <w:highlight w:val="none"/>
          <w14:textFill>
            <w14:solidFill>
              <w14:schemeClr w14:val="tx1"/>
            </w14:solidFill>
          </w14:textFill>
        </w:rPr>
      </w:pPr>
      <w:bookmarkStart w:id="63" w:name="_Toc66864047"/>
      <w:bookmarkStart w:id="64" w:name="_Toc11797"/>
      <w:r>
        <w:rPr>
          <w:rStyle w:val="431"/>
          <w:rFonts w:hint="eastAsia" w:ascii="仿宋" w:hAnsi="仿宋" w:eastAsia="仿宋" w:cs="仿宋"/>
          <w:b/>
          <w:bCs/>
          <w:color w:val="000000" w:themeColor="text1"/>
          <w:kern w:val="2"/>
          <w:sz w:val="28"/>
          <w:szCs w:val="32"/>
          <w:highlight w:val="none"/>
          <w14:textFill>
            <w14:solidFill>
              <w14:schemeClr w14:val="tx1"/>
            </w14:solidFill>
          </w14:textFill>
        </w:rPr>
        <w:t>六、定标</w:t>
      </w:r>
      <w:bookmarkEnd w:id="63"/>
      <w:bookmarkEnd w:id="64"/>
    </w:p>
    <w:p w14:paraId="5ABADA49">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bookmarkStart w:id="65" w:name="_Hlk154668311"/>
      <w:r>
        <w:rPr>
          <w:rFonts w:hint="eastAsia" w:ascii="仿宋" w:hAnsi="仿宋" w:eastAsia="仿宋" w:cs="仿宋"/>
          <w:b/>
          <w:color w:val="000000" w:themeColor="text1"/>
          <w:sz w:val="28"/>
          <w:szCs w:val="28"/>
          <w:highlight w:val="none"/>
          <w14:textFill>
            <w14:solidFill>
              <w14:schemeClr w14:val="tx1"/>
            </w14:solidFill>
          </w14:textFill>
        </w:rPr>
        <w:t>28.确定中标候选人</w:t>
      </w:r>
    </w:p>
    <w:p w14:paraId="1D22874C">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28.1评标委员会按照招标文件确定的评标方法、步骤、标准，对投标文件进行评审。评标结束后，对</w:t>
      </w:r>
      <w:bookmarkEnd w:id="65"/>
      <w:r>
        <w:rPr>
          <w:rFonts w:hint="eastAsia" w:ascii="仿宋" w:hAnsi="仿宋" w:eastAsia="仿宋" w:cs="仿宋"/>
          <w:color w:val="000000" w:themeColor="text1"/>
          <w:sz w:val="28"/>
          <w:szCs w:val="28"/>
          <w:highlight w:val="none"/>
          <w14:textFill>
            <w14:solidFill>
              <w14:schemeClr w14:val="tx1"/>
            </w14:solidFill>
          </w14:textFill>
        </w:rPr>
        <w:t>投标人的评审名次进行排序，确定中标候选人，根据全体评标成员签字的原始评标记录和评标结果编写评标报告。</w:t>
      </w:r>
    </w:p>
    <w:p w14:paraId="4BDC8C0E">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66" w:name="_Hlk154668326"/>
      <w:r>
        <w:rPr>
          <w:rFonts w:hint="eastAsia" w:ascii="仿宋" w:hAnsi="仿宋" w:eastAsia="仿宋" w:cs="仿宋"/>
          <w:color w:val="000000" w:themeColor="text1"/>
          <w:sz w:val="28"/>
          <w:szCs w:val="28"/>
          <w:highlight w:val="none"/>
          <w14:textFill>
            <w14:solidFill>
              <w14:schemeClr w14:val="tx1"/>
            </w14:solidFill>
          </w14:textFill>
        </w:rPr>
        <w:t>28.2评委会所有成员应当在评标报告上签字确认，评标报告的主要内容包括：</w:t>
      </w:r>
    </w:p>
    <w:p w14:paraId="5667925B">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（1）招标公告刊登的媒介名称、开标日期和地点；</w:t>
      </w:r>
    </w:p>
    <w:p w14:paraId="6B79BE3B">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（2）投标人名单和评标委员会成员名单；</w:t>
      </w:r>
    </w:p>
    <w:p w14:paraId="4CABAFDE">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（3）评标方法和评标标准；</w:t>
      </w:r>
    </w:p>
    <w:p w14:paraId="5AA75793">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（4）开标记录和评标情况及说明，包括投标无效投标人名单及原因；</w:t>
      </w:r>
    </w:p>
    <w:p w14:paraId="372E7D78">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（5）评标结果，确定的中标候选人名单或者经招标人委托直接确定的中标人；</w:t>
      </w:r>
    </w:p>
    <w:p w14:paraId="00F9B000">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（6）其他需要说明的情况，包括评标过程中投标人根据评标委员会要求进行澄清、说明或者补正，评标委员会成员的更换等</w:t>
      </w:r>
      <w:bookmarkEnd w:id="66"/>
      <w:r>
        <w:rPr>
          <w:rFonts w:hint="eastAsia" w:ascii="仿宋" w:hAnsi="仿宋" w:eastAsia="仿宋" w:cs="仿宋"/>
          <w:color w:val="000000" w:themeColor="text1"/>
          <w:sz w:val="28"/>
          <w:szCs w:val="28"/>
          <w:highlight w:val="none"/>
          <w14:textFill>
            <w14:solidFill>
              <w14:schemeClr w14:val="tx1"/>
            </w14:solidFill>
          </w14:textFill>
        </w:rPr>
        <w:t>。</w:t>
      </w:r>
    </w:p>
    <w:p w14:paraId="044BCC33">
      <w:pPr>
        <w:pageBreakBefore w:val="0"/>
        <w:kinsoku/>
        <w:overflowPunct/>
        <w:topLinePunct w:val="0"/>
        <w:bidi w:val="0"/>
        <w:adjustRightInd/>
        <w:snapToGrid/>
        <w:spacing w:line="360" w:lineRule="auto"/>
        <w:ind w:firstLine="565" w:firstLineChars="201"/>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29.确定中标人</w:t>
      </w:r>
    </w:p>
    <w:p w14:paraId="09086557">
      <w:pPr>
        <w:pageBreakBefore w:val="0"/>
        <w:kinsoku/>
        <w:overflowPunct/>
        <w:topLinePunct w:val="0"/>
        <w:bidi w:val="0"/>
        <w:adjustRightInd/>
        <w:snapToGrid/>
        <w:spacing w:line="360" w:lineRule="auto"/>
        <w:ind w:firstLine="562" w:firstLineChars="201"/>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招标人可委托评标委员会直接定标，确定排名</w:t>
      </w:r>
      <w:r>
        <w:rPr>
          <w:rFonts w:hint="eastAsia" w:ascii="仿宋" w:hAnsi="仿宋" w:eastAsia="仿宋" w:cs="仿宋"/>
          <w:color w:val="000000" w:themeColor="text1"/>
          <w:sz w:val="28"/>
          <w:szCs w:val="28"/>
          <w:highlight w:val="none"/>
          <w:lang w:val="en-US" w:eastAsia="zh-CN"/>
          <w14:textFill>
            <w14:solidFill>
              <w14:schemeClr w14:val="tx1"/>
            </w14:solidFill>
          </w14:textFill>
        </w:rPr>
        <w:t>前3</w:t>
      </w:r>
      <w:r>
        <w:rPr>
          <w:rFonts w:hint="eastAsia" w:ascii="仿宋" w:hAnsi="仿宋" w:eastAsia="仿宋" w:cs="仿宋"/>
          <w:color w:val="000000" w:themeColor="text1"/>
          <w:sz w:val="28"/>
          <w:szCs w:val="28"/>
          <w:highlight w:val="none"/>
          <w14:textFill>
            <w14:solidFill>
              <w14:schemeClr w14:val="tx1"/>
            </w14:solidFill>
          </w14:textFill>
        </w:rPr>
        <w:t>的投标人为中标人；也可以自主定标。自主定标的，招标人应当在收到评审报告后3个工作日内确定中标人，招标人逾期未确定中标人且不提出异议的，视为确定评审报告提出的排序前</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的投标人为中标人。</w:t>
      </w:r>
    </w:p>
    <w:p w14:paraId="0FF77318">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中标人在规定的期限内无正当理由拒绝签订合同，招标人可以按照评审报告推荐的中标候选人名单排序，确定下一候选人为中标人，也可以重新开展招标活动。</w:t>
      </w:r>
    </w:p>
    <w:p w14:paraId="6B13CAA7">
      <w:pPr>
        <w:pStyle w:val="4"/>
        <w:pageBreakBefore w:val="0"/>
        <w:kinsoku/>
        <w:overflowPunct/>
        <w:topLinePunct w:val="0"/>
        <w:bidi w:val="0"/>
        <w:adjustRightInd/>
        <w:snapToGrid/>
        <w:spacing w:line="360" w:lineRule="auto"/>
        <w:rPr>
          <w:rStyle w:val="431"/>
          <w:rFonts w:hint="eastAsia" w:ascii="仿宋" w:hAnsi="仿宋" w:eastAsia="仿宋" w:cs="仿宋"/>
          <w:b/>
          <w:bCs/>
          <w:color w:val="000000" w:themeColor="text1"/>
          <w:kern w:val="2"/>
          <w:sz w:val="28"/>
          <w:szCs w:val="32"/>
          <w:highlight w:val="none"/>
          <w14:textFill>
            <w14:solidFill>
              <w14:schemeClr w14:val="tx1"/>
            </w14:solidFill>
          </w14:textFill>
        </w:rPr>
      </w:pPr>
      <w:bookmarkStart w:id="67" w:name="_Toc66864048"/>
      <w:bookmarkStart w:id="68" w:name="_Toc11630"/>
      <w:r>
        <w:rPr>
          <w:rStyle w:val="431"/>
          <w:rFonts w:hint="eastAsia" w:ascii="仿宋" w:hAnsi="仿宋" w:eastAsia="仿宋" w:cs="仿宋"/>
          <w:b/>
          <w:bCs/>
          <w:color w:val="000000" w:themeColor="text1"/>
          <w:kern w:val="2"/>
          <w:sz w:val="28"/>
          <w:szCs w:val="32"/>
          <w:highlight w:val="none"/>
          <w14:textFill>
            <w14:solidFill>
              <w14:schemeClr w14:val="tx1"/>
            </w14:solidFill>
          </w14:textFill>
        </w:rPr>
        <w:t>七、结果</w:t>
      </w:r>
      <w:bookmarkEnd w:id="67"/>
      <w:r>
        <w:rPr>
          <w:rStyle w:val="431"/>
          <w:rFonts w:hint="eastAsia" w:ascii="仿宋" w:hAnsi="仿宋" w:eastAsia="仿宋" w:cs="仿宋"/>
          <w:b/>
          <w:bCs/>
          <w:color w:val="000000" w:themeColor="text1"/>
          <w:kern w:val="2"/>
          <w:sz w:val="28"/>
          <w:szCs w:val="32"/>
          <w:highlight w:val="none"/>
          <w14:textFill>
            <w14:solidFill>
              <w14:schemeClr w14:val="tx1"/>
            </w14:solidFill>
          </w14:textFill>
        </w:rPr>
        <w:t>公示</w:t>
      </w:r>
      <w:bookmarkEnd w:id="68"/>
    </w:p>
    <w:p w14:paraId="32F0F9E9">
      <w:pPr>
        <w:pageBreakBefore w:val="0"/>
        <w:kinsoku/>
        <w:overflowPunct/>
        <w:topLinePunct w:val="0"/>
        <w:bidi w:val="0"/>
        <w:adjustRightInd/>
        <w:snapToGrid/>
        <w:spacing w:line="360" w:lineRule="auto"/>
        <w:ind w:firstLine="565" w:firstLineChars="201"/>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30.结果公示</w:t>
      </w:r>
    </w:p>
    <w:p w14:paraId="6B130A2F">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招标人应当自定标结束后在招标公告发布媒介发布中标公示。中标公示期限为</w:t>
      </w:r>
      <w:r>
        <w:rPr>
          <w:rFonts w:hint="eastAsia" w:ascii="仿宋" w:hAnsi="仿宋" w:eastAsia="仿宋" w:cs="仿宋"/>
          <w:color w:val="000000" w:themeColor="text1"/>
          <w:sz w:val="28"/>
          <w:szCs w:val="28"/>
          <w:highlight w:val="none"/>
          <w:lang w:val="en-US" w:eastAsia="zh-CN"/>
          <w14:textFill>
            <w14:solidFill>
              <w14:schemeClr w14:val="tx1"/>
            </w14:solidFill>
          </w14:textFill>
        </w:rPr>
        <w:t>1个工作</w:t>
      </w:r>
      <w:r>
        <w:rPr>
          <w:rFonts w:hint="eastAsia" w:ascii="仿宋" w:hAnsi="仿宋" w:eastAsia="仿宋" w:cs="仿宋"/>
          <w:color w:val="000000" w:themeColor="text1"/>
          <w:sz w:val="28"/>
          <w:szCs w:val="28"/>
          <w:highlight w:val="none"/>
          <w14:textFill>
            <w14:solidFill>
              <w14:schemeClr w14:val="tx1"/>
            </w14:solidFill>
          </w14:textFill>
        </w:rPr>
        <w:t>日。中标公示应当包括下列内容：</w:t>
      </w:r>
    </w:p>
    <w:p w14:paraId="23E184B0">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（1）招标人、代理机构的名称、地址和联系方式；</w:t>
      </w:r>
    </w:p>
    <w:p w14:paraId="681D9D80">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（2）项目名称和招标编号；</w:t>
      </w:r>
    </w:p>
    <w:p w14:paraId="63AFEE56">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（3）中标人名称和中标金额。</w:t>
      </w:r>
    </w:p>
    <w:p w14:paraId="7315E333">
      <w:pPr>
        <w:pageBreakBefore w:val="0"/>
        <w:kinsoku/>
        <w:overflowPunct/>
        <w:topLinePunct w:val="0"/>
        <w:bidi w:val="0"/>
        <w:adjustRightInd/>
        <w:snapToGrid/>
        <w:spacing w:line="360" w:lineRule="auto"/>
        <w:ind w:firstLine="565" w:firstLineChars="201"/>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31.签发中标通知书</w:t>
      </w:r>
    </w:p>
    <w:p w14:paraId="3AC61BDA">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中标公示结束且无尚未处理的异议后，招标人和代理机构联合向中标人发出中标通知书。</w:t>
      </w:r>
    </w:p>
    <w:p w14:paraId="40697F77">
      <w:pPr>
        <w:pStyle w:val="4"/>
        <w:pageBreakBefore w:val="0"/>
        <w:kinsoku/>
        <w:overflowPunct/>
        <w:topLinePunct w:val="0"/>
        <w:bidi w:val="0"/>
        <w:adjustRightInd/>
        <w:snapToGrid/>
        <w:spacing w:line="360" w:lineRule="auto"/>
        <w:rPr>
          <w:rStyle w:val="431"/>
          <w:rFonts w:hint="eastAsia" w:ascii="仿宋" w:hAnsi="仿宋" w:eastAsia="仿宋" w:cs="仿宋"/>
          <w:b/>
          <w:bCs/>
          <w:color w:val="000000" w:themeColor="text1"/>
          <w:kern w:val="2"/>
          <w:sz w:val="28"/>
          <w:szCs w:val="32"/>
          <w:highlight w:val="none"/>
          <w14:textFill>
            <w14:solidFill>
              <w14:schemeClr w14:val="tx1"/>
            </w14:solidFill>
          </w14:textFill>
        </w:rPr>
      </w:pPr>
      <w:bookmarkStart w:id="69" w:name="_Toc8065"/>
      <w:bookmarkStart w:id="70" w:name="_Toc66864049"/>
      <w:r>
        <w:rPr>
          <w:rStyle w:val="431"/>
          <w:rFonts w:hint="eastAsia" w:ascii="仿宋" w:hAnsi="仿宋" w:eastAsia="仿宋" w:cs="仿宋"/>
          <w:b/>
          <w:bCs/>
          <w:color w:val="000000" w:themeColor="text1"/>
          <w:kern w:val="2"/>
          <w:sz w:val="28"/>
          <w:szCs w:val="32"/>
          <w:highlight w:val="none"/>
          <w14:textFill>
            <w14:solidFill>
              <w14:schemeClr w14:val="tx1"/>
            </w14:solidFill>
          </w14:textFill>
        </w:rPr>
        <w:t>八、质疑</w:t>
      </w:r>
      <w:bookmarkEnd w:id="69"/>
      <w:bookmarkEnd w:id="70"/>
    </w:p>
    <w:p w14:paraId="566BED39">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32.质疑</w:t>
      </w:r>
    </w:p>
    <w:p w14:paraId="00D793C2">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32.1投标人认为招标文件、招标过程、中标结果使自己的权益受到损害，应于法律法规的规定期限内以书面形式向招标人或招标代理机构提出质疑。招标人或招标代理机构应当在收到投标人的书面质疑后3个工作日内做出书面答复，但答复内容不得涉及商业秘密。</w:t>
      </w:r>
    </w:p>
    <w:p w14:paraId="707E1B4A">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投标人应按照下列规定进行质疑：</w:t>
      </w:r>
    </w:p>
    <w:p w14:paraId="66419838">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32.2提出质疑的投标人应当是参与本项目招标活动的投标人。</w:t>
      </w:r>
    </w:p>
    <w:p w14:paraId="153C052B">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32.3投标人应在法定质疑期内一次性提出针对同一采购程序环节的质疑。</w:t>
      </w:r>
    </w:p>
    <w:p w14:paraId="317B6C73">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32.4质疑采用实名制，为了使提出的质疑事项在规定时间内得到有效答复、处理，提交的质疑函务必提供以下内容。</w:t>
      </w:r>
    </w:p>
    <w:p w14:paraId="75EA682E">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（1）投标人的姓名或名称、地址（邮箱）、邮编、联系人及联系电话；</w:t>
      </w:r>
    </w:p>
    <w:p w14:paraId="64ECD146">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（2）质疑项目的名称、编号；</w:t>
      </w:r>
    </w:p>
    <w:p w14:paraId="5F49BBC0">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（3）具体、明确的质疑事项和与质疑事项相关的请求；</w:t>
      </w:r>
    </w:p>
    <w:p w14:paraId="646FFF1D">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（4）事实依据；</w:t>
      </w:r>
    </w:p>
    <w:p w14:paraId="76645F13">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（5）必要的法律依据；</w:t>
      </w:r>
    </w:p>
    <w:p w14:paraId="5B42B660">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（6）提出质疑的日期。</w:t>
      </w:r>
    </w:p>
    <w:p w14:paraId="1F691976">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投标人为法人或者其他组织的，应当由法定代表人、单位负责人，或者其被授权人签字或者盖章，并加盖公章。</w:t>
      </w:r>
    </w:p>
    <w:p w14:paraId="6DC4BC00">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32.5招标人或招标代理机构正式受理后方可生效。否则，为无效质疑。</w:t>
      </w:r>
    </w:p>
    <w:p w14:paraId="5B439AD7">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32.6有下列情况之一的质疑不予受理：</w:t>
      </w:r>
    </w:p>
    <w:p w14:paraId="2A89CD9D">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（1）无质疑函件或质疑函件缺少投标人法人印章、投标人法定代表人签字、有效授权书和联系方式之一的质疑；</w:t>
      </w:r>
    </w:p>
    <w:p w14:paraId="108881A7">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（2）质疑函件无实质性内容或佐证文件资料，主观臆断及推理得出结论的质疑；</w:t>
      </w:r>
    </w:p>
    <w:p w14:paraId="53BF9611">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（3）相应证明材料不真实或来源不合法的质疑；</w:t>
      </w:r>
    </w:p>
    <w:p w14:paraId="28C3456C">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（4）未按规定时间或超过公示期限提出的质疑；</w:t>
      </w:r>
    </w:p>
    <w:p w14:paraId="32B8609B">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32.7对捏造事实，提供虚假材料或者以非法手段取得证明材料进行恶意质疑的，一经查实，将列入平台黑名单。</w:t>
      </w:r>
    </w:p>
    <w:p w14:paraId="436918AE">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32.8仲裁或起诉</w:t>
      </w:r>
    </w:p>
    <w:p w14:paraId="3AE5F13B">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投标人对答复不满意，或者招标人、招标代理机构未在规定的时间内做出书面答复的，投标人可以在答复期满后向招标人所在地仲裁机构、人民法院申请仲裁或起诉。</w:t>
      </w:r>
    </w:p>
    <w:p w14:paraId="43A8BD90">
      <w:pPr>
        <w:pStyle w:val="4"/>
        <w:pageBreakBefore w:val="0"/>
        <w:kinsoku/>
        <w:overflowPunct/>
        <w:topLinePunct w:val="0"/>
        <w:bidi w:val="0"/>
        <w:adjustRightInd/>
        <w:snapToGrid/>
        <w:spacing w:line="360" w:lineRule="auto"/>
        <w:rPr>
          <w:rStyle w:val="431"/>
          <w:rFonts w:hint="eastAsia" w:ascii="仿宋" w:hAnsi="仿宋" w:eastAsia="仿宋" w:cs="仿宋"/>
          <w:b/>
          <w:bCs/>
          <w:color w:val="000000" w:themeColor="text1"/>
          <w:kern w:val="2"/>
          <w:sz w:val="28"/>
          <w:szCs w:val="32"/>
          <w:highlight w:val="none"/>
          <w14:textFill>
            <w14:solidFill>
              <w14:schemeClr w14:val="tx1"/>
            </w14:solidFill>
          </w14:textFill>
        </w:rPr>
      </w:pPr>
      <w:bookmarkStart w:id="71" w:name="_Toc66864050"/>
      <w:bookmarkStart w:id="72" w:name="_Toc25567"/>
      <w:r>
        <w:rPr>
          <w:rStyle w:val="431"/>
          <w:rFonts w:hint="eastAsia" w:ascii="仿宋" w:hAnsi="仿宋" w:eastAsia="仿宋" w:cs="仿宋"/>
          <w:b/>
          <w:bCs/>
          <w:color w:val="000000" w:themeColor="text1"/>
          <w:kern w:val="2"/>
          <w:sz w:val="28"/>
          <w:szCs w:val="32"/>
          <w:highlight w:val="none"/>
          <w14:textFill>
            <w14:solidFill>
              <w14:schemeClr w14:val="tx1"/>
            </w14:solidFill>
          </w14:textFill>
        </w:rPr>
        <w:t>九、签订合同</w:t>
      </w:r>
      <w:bookmarkEnd w:id="71"/>
      <w:bookmarkEnd w:id="72"/>
    </w:p>
    <w:p w14:paraId="32556A37">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中标通知书发出之日起30日内，按招标文件、中标人的投标文件签订采购合同。</w:t>
      </w:r>
    </w:p>
    <w:p w14:paraId="61907ED2">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范本）为基础，并根据响应、答疑情况进行修改补充，自签订之日起生效。</w:t>
      </w:r>
    </w:p>
    <w:p w14:paraId="02A85448">
      <w:pPr>
        <w:pStyle w:val="19"/>
        <w:pageBreakBefore w:val="0"/>
        <w:kinsoku/>
        <w:overflowPunct/>
        <w:topLinePunct w:val="0"/>
        <w:bidi w:val="0"/>
        <w:adjustRightInd/>
        <w:snapToGrid/>
        <w:rPr>
          <w:rFonts w:hint="eastAsia" w:ascii="仿宋" w:hAnsi="仿宋" w:eastAsia="仿宋" w:cs="仿宋"/>
          <w:highlight w:val="none"/>
        </w:rPr>
      </w:pPr>
    </w:p>
    <w:p w14:paraId="245F93E1">
      <w:pPr>
        <w:pStyle w:val="19"/>
        <w:pageBreakBefore w:val="0"/>
        <w:kinsoku/>
        <w:overflowPunct/>
        <w:topLinePunct w:val="0"/>
        <w:bidi w:val="0"/>
        <w:adjustRightInd/>
        <w:snapToGrid/>
        <w:rPr>
          <w:rFonts w:hint="eastAsia" w:ascii="仿宋" w:hAnsi="仿宋" w:eastAsia="仿宋" w:cs="仿宋"/>
          <w:highlight w:val="none"/>
        </w:rPr>
      </w:pPr>
    </w:p>
    <w:bookmarkEnd w:id="13"/>
    <w:bookmarkEnd w:id="14"/>
    <w:bookmarkEnd w:id="15"/>
    <w:p w14:paraId="62C59272">
      <w:pPr>
        <w:rPr>
          <w:rFonts w:hint="eastAsia" w:ascii="仿宋" w:hAnsi="仿宋" w:eastAsia="仿宋" w:cs="仿宋"/>
          <w:color w:val="000000" w:themeColor="text1"/>
          <w:highlight w:val="none"/>
          <w14:textFill>
            <w14:solidFill>
              <w14:schemeClr w14:val="tx1"/>
            </w14:solidFill>
          </w14:textFill>
        </w:rPr>
      </w:pPr>
      <w:bookmarkStart w:id="73" w:name="_Toc66864053"/>
      <w:bookmarkStart w:id="74" w:name="_Toc17971"/>
      <w:bookmarkStart w:id="75" w:name="_Toc382129915"/>
      <w:bookmarkStart w:id="76" w:name="_Toc413596397"/>
      <w:bookmarkStart w:id="77" w:name="_Toc266431156"/>
      <w:r>
        <w:rPr>
          <w:rFonts w:hint="eastAsia" w:ascii="仿宋" w:hAnsi="仿宋" w:eastAsia="仿宋" w:cs="仿宋"/>
          <w:color w:val="000000" w:themeColor="text1"/>
          <w:highlight w:val="none"/>
          <w14:textFill>
            <w14:solidFill>
              <w14:schemeClr w14:val="tx1"/>
            </w14:solidFill>
          </w14:textFill>
        </w:rPr>
        <w:br w:type="page"/>
      </w:r>
    </w:p>
    <w:p w14:paraId="5FA0B5D9">
      <w:pPr>
        <w:pStyle w:val="3"/>
        <w:pageBreakBefore w:val="0"/>
        <w:kinsoku/>
        <w:overflowPunct/>
        <w:topLinePunct w:val="0"/>
        <w:bidi w:val="0"/>
        <w:adjustRightInd/>
        <w:snapToGrid/>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 xml:space="preserve">第三章  </w:t>
      </w:r>
      <w:bookmarkEnd w:id="73"/>
      <w:r>
        <w:rPr>
          <w:rFonts w:hint="eastAsia" w:ascii="仿宋" w:hAnsi="仿宋" w:eastAsia="仿宋" w:cs="仿宋"/>
          <w:color w:val="000000" w:themeColor="text1"/>
          <w:highlight w:val="none"/>
          <w14:textFill>
            <w14:solidFill>
              <w14:schemeClr w14:val="tx1"/>
            </w14:solidFill>
          </w14:textFill>
        </w:rPr>
        <w:t>开标、评标、定标</w:t>
      </w:r>
      <w:bookmarkEnd w:id="74"/>
    </w:p>
    <w:p w14:paraId="4749B21F">
      <w:pPr>
        <w:pStyle w:val="4"/>
        <w:pageBreakBefore w:val="0"/>
        <w:kinsoku/>
        <w:overflowPunct/>
        <w:topLinePunct w:val="0"/>
        <w:bidi w:val="0"/>
        <w:adjustRightInd/>
        <w:snapToGrid/>
        <w:spacing w:line="360" w:lineRule="auto"/>
        <w:rPr>
          <w:rStyle w:val="431"/>
          <w:rFonts w:hint="eastAsia" w:ascii="仿宋" w:hAnsi="仿宋" w:eastAsia="仿宋" w:cs="仿宋"/>
          <w:b/>
          <w:bCs/>
          <w:color w:val="000000" w:themeColor="text1"/>
          <w:kern w:val="2"/>
          <w:sz w:val="28"/>
          <w:szCs w:val="32"/>
          <w:highlight w:val="none"/>
          <w14:textFill>
            <w14:solidFill>
              <w14:schemeClr w14:val="tx1"/>
            </w14:solidFill>
          </w14:textFill>
        </w:rPr>
      </w:pPr>
      <w:bookmarkStart w:id="78" w:name="_Toc21341"/>
      <w:r>
        <w:rPr>
          <w:rStyle w:val="431"/>
          <w:rFonts w:hint="eastAsia" w:ascii="仿宋" w:hAnsi="仿宋" w:eastAsia="仿宋" w:cs="仿宋"/>
          <w:b/>
          <w:bCs/>
          <w:color w:val="000000" w:themeColor="text1"/>
          <w:kern w:val="2"/>
          <w:sz w:val="28"/>
          <w:szCs w:val="32"/>
          <w:highlight w:val="none"/>
          <w14:textFill>
            <w14:solidFill>
              <w14:schemeClr w14:val="tx1"/>
            </w14:solidFill>
          </w14:textFill>
        </w:rPr>
        <w:t>一、开标</w:t>
      </w:r>
      <w:bookmarkEnd w:id="78"/>
    </w:p>
    <w:p w14:paraId="06D1A76C">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1.招标代理机构在招标公告规定的时间和地点组织开标。投标截止时间结束后，投标人不足3家的不得开标。</w:t>
      </w:r>
    </w:p>
    <w:p w14:paraId="4E2171BD">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2.开标前准备：投标人需提前准备已配置好环境的电脑，在规定的时间进行远程开标的各项操作。</w:t>
      </w:r>
    </w:p>
    <w:p w14:paraId="23F04C2C">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3.开标程序：签到-开标-解密-唱标，具体详见“第二章 投标须知”。</w:t>
      </w:r>
    </w:p>
    <w:p w14:paraId="5D65CD62">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（1）投标人代表应在签到表格相应位置上加盖CA锁中的法定代表人电子人名章或公章以证明其出席，在开标时间前未完成签到的将会被视作认同开标结果。</w:t>
      </w:r>
    </w:p>
    <w:p w14:paraId="7B05F4FA">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（2）投标须知前附表规定了文件解密时间，投标人输入密码错误（5次输入机会）、未能按时完成解密、其《数据文件》填写、盖章不规范等导致系统无法解析的，将会被视为无效投标。</w:t>
      </w:r>
    </w:p>
    <w:p w14:paraId="0B04C04C">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（3）开标过程应当由招标人或招标代理机构负责记录，最终形成开标一览表并加盖CA锁中的法定代表人电子人名章或公章。</w:t>
      </w:r>
    </w:p>
    <w:p w14:paraId="116A08E7">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1F550BF6">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4.应急开标程序：如需启动应急开标程序，应按第二章投标须知第22.11-22.13内容进行。</w:t>
      </w:r>
    </w:p>
    <w:p w14:paraId="1A459418">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5.录音、录像：威海市公共资源交易中心负责从提交投标文件开始到确定中标结果全过程的录音、录像工作，确保声音清楚、图像清晰、内容无遗漏。</w:t>
      </w:r>
    </w:p>
    <w:p w14:paraId="4213D287">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6.评审过程中，如遇特殊情况，服从威海市公共资源交易中心场地调配，并遵守相关规章制度。</w:t>
      </w:r>
    </w:p>
    <w:p w14:paraId="7439C19C">
      <w:pPr>
        <w:pStyle w:val="4"/>
        <w:pageBreakBefore w:val="0"/>
        <w:kinsoku/>
        <w:overflowPunct/>
        <w:topLinePunct w:val="0"/>
        <w:bidi w:val="0"/>
        <w:adjustRightInd/>
        <w:snapToGrid/>
        <w:spacing w:line="360" w:lineRule="auto"/>
        <w:rPr>
          <w:rStyle w:val="431"/>
          <w:rFonts w:hint="eastAsia" w:ascii="仿宋" w:hAnsi="仿宋" w:eastAsia="仿宋" w:cs="仿宋"/>
          <w:b/>
          <w:bCs/>
          <w:color w:val="000000" w:themeColor="text1"/>
          <w:kern w:val="2"/>
          <w:sz w:val="28"/>
          <w:szCs w:val="32"/>
          <w:highlight w:val="none"/>
          <w14:textFill>
            <w14:solidFill>
              <w14:schemeClr w14:val="tx1"/>
            </w14:solidFill>
          </w14:textFill>
        </w:rPr>
      </w:pPr>
      <w:bookmarkStart w:id="79" w:name="_Toc2076"/>
      <w:r>
        <w:rPr>
          <w:rStyle w:val="431"/>
          <w:rFonts w:hint="eastAsia" w:ascii="仿宋" w:hAnsi="仿宋" w:eastAsia="仿宋" w:cs="仿宋"/>
          <w:b/>
          <w:bCs/>
          <w:color w:val="000000" w:themeColor="text1"/>
          <w:kern w:val="2"/>
          <w:sz w:val="28"/>
          <w:szCs w:val="32"/>
          <w:highlight w:val="none"/>
          <w14:textFill>
            <w14:solidFill>
              <w14:schemeClr w14:val="tx1"/>
            </w14:solidFill>
          </w14:textFill>
        </w:rPr>
        <w:t>二、评标</w:t>
      </w:r>
      <w:bookmarkEnd w:id="79"/>
    </w:p>
    <w:p w14:paraId="0B082F79">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1.评标原则</w:t>
      </w:r>
    </w:p>
    <w:p w14:paraId="66B50D63">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“公平、公正、科学、择优”为本次评标的基本原则，评标委员会将按照这一原则的要求，公正、平等地对待各投标人，同时，在评标时恪守以下原则：</w:t>
      </w:r>
    </w:p>
    <w:p w14:paraId="05700843">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 xml:space="preserve">（1）客观性原则：评标委员会将严格按照招标文件的要求，对投标人的投标文件进行认真评审，评标委员会对投标文件的评审仅依据投标文件本身，而不依靠投标文件以外的任何因素。 </w:t>
      </w:r>
    </w:p>
    <w:p w14:paraId="2FE0F0EB">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（2）统一性原则：评标委员会将按照统一的评标原则和评标方法，采用统一标准进行评标。</w:t>
      </w:r>
    </w:p>
    <w:p w14:paraId="43A41F51">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（3）独立性原则：评标工作在评标委员会内部独立进行，不受外界任何因素的干扰和影响。</w:t>
      </w:r>
    </w:p>
    <w:p w14:paraId="5898C7DE">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（4）保密性原则：评标委员会及熟知情况的有关工作人员必须对每位评委的评标意见和投标人的商业秘密严格保密，不得外泄。</w:t>
      </w:r>
    </w:p>
    <w:p w14:paraId="6A82AD82">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（5）综合性原则：评标委员会将综合分析、评审投标人的各项指标，而不以单项指标的优劣评定出中标人。</w:t>
      </w:r>
    </w:p>
    <w:p w14:paraId="13834ECD">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2.评标程序</w:t>
      </w:r>
    </w:p>
    <w:p w14:paraId="697F006C">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1）核对评审专家身份、招标人代表授权书；</w:t>
      </w:r>
    </w:p>
    <w:p w14:paraId="1200D895">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（2）宣布评标纪律；</w:t>
      </w:r>
    </w:p>
    <w:p w14:paraId="6A5264EB">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（3）公布投标人名单，告知评审专家应当回避的情形；</w:t>
      </w:r>
    </w:p>
    <w:p w14:paraId="2545B32B">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（4）组织评标委员会推选评标组长，招标人代表不得担任评标组长；</w:t>
      </w:r>
    </w:p>
    <w:p w14:paraId="02B30FBD">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（5）开标结束后，评标委员会对投标人的投标文件进行资格性和符合性审查，以确定其是否满足招标文件的实质性要求。详见第二章《投标须知前附表》-《实质性条款一览表》中资格性和符合性审查条款。</w:t>
      </w:r>
    </w:p>
    <w:p w14:paraId="135273C1">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属于无效投标的，投标人不能通过修正或撤销投标文件中不符合之处而成为实质性响应的投标，招标代理将通知投标人，并说明无效投标理由；属于有效投标文件的，将进行下一轮次的询标和澄清、说明或补正。</w:t>
      </w:r>
    </w:p>
    <w:p w14:paraId="0D5184DA">
      <w:pPr>
        <w:pageBreakBefore w:val="0"/>
        <w:kinsoku/>
        <w:overflowPunct/>
        <w:topLinePunct w:val="0"/>
        <w:bidi w:val="0"/>
        <w:adjustRightInd/>
        <w:snapToGrid/>
        <w:spacing w:line="360" w:lineRule="auto"/>
        <w:ind w:firstLine="562" w:firstLineChars="200"/>
        <w:rPr>
          <w:rFonts w:hint="eastAsia" w:ascii="仿宋" w:hAnsi="仿宋" w:eastAsia="仿宋" w:cs="仿宋"/>
          <w:b/>
          <w:bCs/>
          <w:color w:val="000000" w:themeColor="text1"/>
          <w:sz w:val="28"/>
          <w:szCs w:val="21"/>
          <w:highlight w:val="none"/>
          <w14:textFill>
            <w14:solidFill>
              <w14:schemeClr w14:val="tx1"/>
            </w14:solidFill>
          </w14:textFill>
        </w:rPr>
      </w:pPr>
      <w:r>
        <w:rPr>
          <w:rFonts w:hint="eastAsia" w:ascii="仿宋" w:hAnsi="仿宋" w:eastAsia="仿宋" w:cs="仿宋"/>
          <w:b/>
          <w:bCs/>
          <w:color w:val="000000" w:themeColor="text1"/>
          <w:sz w:val="28"/>
          <w:szCs w:val="21"/>
          <w:highlight w:val="none"/>
          <w14:textFill>
            <w14:solidFill>
              <w14:schemeClr w14:val="tx1"/>
            </w14:solidFill>
          </w14:textFill>
        </w:rPr>
        <w:t>（7）澄清、说明或者补正</w:t>
      </w:r>
    </w:p>
    <w:p w14:paraId="386A942E">
      <w:pPr>
        <w:pageBreakBefore w:val="0"/>
        <w:kinsoku/>
        <w:overflowPunct/>
        <w:topLinePunct w:val="0"/>
        <w:bidi w:val="0"/>
        <w:adjustRightInd/>
        <w:snapToGrid/>
        <w:spacing w:line="360" w:lineRule="auto"/>
        <w:ind w:firstLine="702" w:firstLineChars="25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或盖章，且不得超出投标文件的范围或者改变投标文件的实质性内容。</w:t>
      </w:r>
    </w:p>
    <w:p w14:paraId="407AB14A">
      <w:pPr>
        <w:pageBreakBefore w:val="0"/>
        <w:kinsoku/>
        <w:overflowPunct/>
        <w:topLinePunct w:val="0"/>
        <w:bidi w:val="0"/>
        <w:adjustRightInd/>
        <w:snapToGrid/>
        <w:spacing w:line="360" w:lineRule="auto"/>
        <w:ind w:firstLine="702" w:firstLineChars="25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2）投标人依据评审要求进行澄清、说明或者补正的内容构成投标文件的组成部分。</w:t>
      </w:r>
    </w:p>
    <w:p w14:paraId="23850B71">
      <w:pPr>
        <w:pageBreakBefore w:val="0"/>
        <w:kinsoku/>
        <w:overflowPunct/>
        <w:topLinePunct w:val="0"/>
        <w:bidi w:val="0"/>
        <w:adjustRightInd/>
        <w:snapToGrid/>
        <w:spacing w:line="360" w:lineRule="auto"/>
        <w:ind w:firstLine="562" w:firstLineChars="200"/>
        <w:rPr>
          <w:rFonts w:hint="eastAsia" w:ascii="仿宋" w:hAnsi="仿宋" w:eastAsia="仿宋" w:cs="仿宋"/>
          <w:b/>
          <w:bCs/>
          <w:color w:val="000000" w:themeColor="text1"/>
          <w:sz w:val="28"/>
          <w:szCs w:val="21"/>
          <w:highlight w:val="none"/>
          <w14:textFill>
            <w14:solidFill>
              <w14:schemeClr w14:val="tx1"/>
            </w14:solidFill>
          </w14:textFill>
        </w:rPr>
      </w:pPr>
      <w:r>
        <w:rPr>
          <w:rFonts w:hint="eastAsia" w:ascii="仿宋" w:hAnsi="仿宋" w:eastAsia="仿宋" w:cs="仿宋"/>
          <w:b/>
          <w:bCs/>
          <w:color w:val="000000" w:themeColor="text1"/>
          <w:sz w:val="28"/>
          <w:szCs w:val="21"/>
          <w:highlight w:val="none"/>
          <w14:textFill>
            <w14:solidFill>
              <w14:schemeClr w14:val="tx1"/>
            </w14:solidFill>
          </w14:textFill>
        </w:rPr>
        <w:t>（8）比较与评价</w:t>
      </w:r>
    </w:p>
    <w:p w14:paraId="04ABD465">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评标委员会按招标文件中规定的评标方法和评标标准对有效投标文件的商务和技术进行评分，综合比较和评价，按综合得分高低列出中标候选人排序表。若总分相同，以报价得分高的排前；若总分、报价得分都相同，则以技术方面得分高的排前。</w:t>
      </w:r>
    </w:p>
    <w:p w14:paraId="5E6968BD">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（9）出现下列情形之一的，应予废标：</w:t>
      </w:r>
    </w:p>
    <w:p w14:paraId="40C2E4FA">
      <w:pPr>
        <w:pageBreakBefore w:val="0"/>
        <w:kinsoku/>
        <w:overflowPunct/>
        <w:topLinePunct w:val="0"/>
        <w:bidi w:val="0"/>
        <w:adjustRightInd/>
        <w:snapToGrid/>
        <w:spacing w:line="360" w:lineRule="auto"/>
        <w:ind w:firstLine="702" w:firstLineChars="25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1）合格的投标人或参加投标的企业不足三家的；</w:t>
      </w:r>
    </w:p>
    <w:p w14:paraId="3CF692F8">
      <w:pPr>
        <w:pageBreakBefore w:val="0"/>
        <w:kinsoku/>
        <w:overflowPunct/>
        <w:topLinePunct w:val="0"/>
        <w:bidi w:val="0"/>
        <w:adjustRightInd/>
        <w:snapToGrid/>
        <w:spacing w:line="360" w:lineRule="auto"/>
        <w:ind w:firstLine="702" w:firstLineChars="25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2）出现影响招标公正的违法、违规行为的；</w:t>
      </w:r>
    </w:p>
    <w:p w14:paraId="7093B716">
      <w:pPr>
        <w:pageBreakBefore w:val="0"/>
        <w:kinsoku/>
        <w:overflowPunct/>
        <w:topLinePunct w:val="0"/>
        <w:bidi w:val="0"/>
        <w:adjustRightInd/>
        <w:snapToGrid/>
        <w:spacing w:line="360" w:lineRule="auto"/>
        <w:ind w:firstLine="702" w:firstLineChars="25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3）投标报价</w:t>
      </w:r>
      <w:r>
        <w:rPr>
          <w:rFonts w:hint="eastAsia" w:ascii="仿宋" w:hAnsi="仿宋" w:eastAsia="仿宋" w:cs="仿宋"/>
          <w:color w:val="000000" w:themeColor="text1"/>
          <w:sz w:val="28"/>
          <w:szCs w:val="28"/>
          <w:highlight w:val="none"/>
          <w:lang w:val="en-US" w:eastAsia="zh-CN"/>
          <w14:textFill>
            <w14:solidFill>
              <w14:schemeClr w14:val="tx1"/>
            </w14:solidFill>
          </w14:textFill>
        </w:rPr>
        <w:t>高于</w:t>
      </w:r>
      <w:r>
        <w:rPr>
          <w:rFonts w:hint="eastAsia" w:ascii="仿宋" w:hAnsi="仿宋" w:eastAsia="仿宋" w:cs="仿宋"/>
          <w:color w:val="000000" w:themeColor="text1"/>
          <w:sz w:val="28"/>
          <w:szCs w:val="28"/>
          <w:highlight w:val="none"/>
          <w14:textFill>
            <w14:solidFill>
              <w14:schemeClr w14:val="tx1"/>
            </w14:solidFill>
          </w14:textFill>
        </w:rPr>
        <w:t>招标文件中规定的</w:t>
      </w:r>
      <w:r>
        <w:rPr>
          <w:rFonts w:hint="eastAsia" w:ascii="仿宋" w:hAnsi="仿宋" w:eastAsia="仿宋" w:cs="仿宋"/>
          <w:color w:val="000000" w:themeColor="text1"/>
          <w:sz w:val="28"/>
          <w:szCs w:val="28"/>
          <w:highlight w:val="none"/>
          <w:lang w:eastAsia="zh-CN"/>
          <w14:textFill>
            <w14:solidFill>
              <w14:schemeClr w14:val="tx1"/>
            </w14:solidFill>
          </w14:textFill>
        </w:rPr>
        <w:t>控制价</w:t>
      </w:r>
      <w:r>
        <w:rPr>
          <w:rFonts w:hint="eastAsia" w:ascii="仿宋" w:hAnsi="仿宋" w:eastAsia="仿宋" w:cs="仿宋"/>
          <w:color w:val="000000" w:themeColor="text1"/>
          <w:sz w:val="28"/>
          <w:szCs w:val="28"/>
          <w:highlight w:val="none"/>
          <w14:textFill>
            <w14:solidFill>
              <w14:schemeClr w14:val="tx1"/>
            </w14:solidFill>
          </w14:textFill>
        </w:rPr>
        <w:t>，招标人不能支付的；</w:t>
      </w:r>
    </w:p>
    <w:p w14:paraId="08E66435">
      <w:pPr>
        <w:pageBreakBefore w:val="0"/>
        <w:kinsoku/>
        <w:overflowPunct/>
        <w:topLinePunct w:val="0"/>
        <w:bidi w:val="0"/>
        <w:adjustRightInd/>
        <w:snapToGrid/>
        <w:spacing w:line="360" w:lineRule="auto"/>
        <w:ind w:firstLine="702" w:firstLineChars="25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4）因重大变故，招标任务取消的。</w:t>
      </w:r>
    </w:p>
    <w:p w14:paraId="1181F50C">
      <w:pPr>
        <w:pStyle w:val="2"/>
        <w:keepNext w:val="0"/>
        <w:keepLines w:val="0"/>
        <w:pageBreakBefore w:val="0"/>
        <w:widowControl/>
        <w:kinsoku/>
        <w:wordWrap/>
        <w:overflowPunct/>
        <w:topLinePunct w:val="0"/>
        <w:autoSpaceDE/>
        <w:autoSpaceDN/>
        <w:bidi w:val="0"/>
        <w:adjustRightInd/>
        <w:snapToGrid/>
        <w:ind w:firstLine="700" w:firstLineChars="250"/>
        <w:textAlignment w:val="auto"/>
        <w:rPr>
          <w:rFonts w:hint="eastAsia" w:ascii="仿宋" w:hAnsi="仿宋" w:eastAsia="仿宋" w:cs="仿宋"/>
          <w:color w:val="000000" w:themeColor="text1"/>
          <w:kern w:val="2"/>
          <w:sz w:val="28"/>
          <w:szCs w:val="28"/>
          <w:highlight w:val="none"/>
          <w:lang w:val="en-US" w:eastAsia="zh-CN" w:bidi="ar-SA"/>
          <w14:textFill>
            <w14:solidFill>
              <w14:schemeClr w14:val="tx1"/>
            </w14:solidFill>
          </w14:textFill>
        </w:rPr>
      </w:pPr>
      <w:r>
        <w:rPr>
          <w:rFonts w:hint="eastAsia" w:ascii="仿宋" w:hAnsi="仿宋" w:eastAsia="仿宋" w:cs="仿宋"/>
          <w:color w:val="000000" w:themeColor="text1"/>
          <w:kern w:val="2"/>
          <w:sz w:val="28"/>
          <w:szCs w:val="28"/>
          <w:highlight w:val="none"/>
          <w:lang w:val="en-US" w:eastAsia="zh-CN" w:bidi="ar-SA"/>
          <w14:textFill>
            <w14:solidFill>
              <w14:schemeClr w14:val="tx1"/>
            </w14:solidFill>
          </w14:textFill>
        </w:rPr>
        <w:t>5）法律法规规定的其他情况。</w:t>
      </w:r>
    </w:p>
    <w:p w14:paraId="55271720">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3.评标方法：</w:t>
      </w:r>
    </w:p>
    <w:p w14:paraId="64657ACE">
      <w:pPr>
        <w:pageBreakBefore w:val="0"/>
        <w:kinsoku/>
        <w:overflowPunct/>
        <w:topLinePunct w:val="0"/>
        <w:bidi w:val="0"/>
        <w:adjustRightInd/>
        <w:snapToGrid/>
        <w:spacing w:line="360" w:lineRule="auto"/>
        <w:ind w:firstLine="562"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z w:val="28"/>
          <w:szCs w:val="28"/>
          <w:highlight w:val="none"/>
          <w14:textFill>
            <w14:solidFill>
              <w14:schemeClr w14:val="tx1"/>
            </w14:solidFill>
          </w14:textFill>
        </w:rPr>
        <w:t>（1）综合评分法，即投标人的投标文件满足招标文件全部实质性要求，对评审因素的量化指标进行打分，按照综合得分由高到低的顺序确定投标人排序。</w:t>
      </w:r>
    </w:p>
    <w:p w14:paraId="4E1B1B55">
      <w:pPr>
        <w:pageBreakBefore w:val="0"/>
        <w:kinsoku/>
        <w:overflowPunct/>
        <w:topLinePunct w:val="0"/>
        <w:bidi w:val="0"/>
        <w:adjustRightInd/>
        <w:snapToGrid/>
        <w:spacing w:line="520" w:lineRule="exact"/>
        <w:ind w:firstLine="560" w:firstLineChars="200"/>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（2）评标细则</w:t>
      </w:r>
    </w:p>
    <w:tbl>
      <w:tblPr>
        <w:tblStyle w:val="52"/>
        <w:tblW w:w="949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1413"/>
        <w:gridCol w:w="1413"/>
        <w:gridCol w:w="6671"/>
      </w:tblGrid>
      <w:tr w14:paraId="0AB0DC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74" w:hRule="atLeast"/>
          <w:jc w:val="center"/>
        </w:trPr>
        <w:tc>
          <w:tcPr>
            <w:tcW w:w="1413" w:type="dxa"/>
            <w:shd w:val="clear" w:color="auto" w:fill="auto"/>
            <w:vAlign w:val="center"/>
          </w:tcPr>
          <w:p w14:paraId="7111F00E">
            <w:pPr>
              <w:spacing w:line="440" w:lineRule="exact"/>
              <w:jc w:val="center"/>
              <w:rPr>
                <w:rFonts w:hint="eastAsia" w:ascii="仿宋" w:hAnsi="仿宋" w:eastAsia="仿宋" w:cs="仿宋"/>
                <w:kern w:val="2"/>
                <w:sz w:val="24"/>
                <w:szCs w:val="24"/>
                <w:highlight w:val="none"/>
                <w:lang w:val="en-US" w:eastAsia="zh-CN" w:bidi="ar-SA"/>
              </w:rPr>
            </w:pPr>
            <w:r>
              <w:rPr>
                <w:rFonts w:hint="eastAsia" w:ascii="仿宋" w:hAnsi="仿宋" w:eastAsia="仿宋" w:cs="仿宋"/>
                <w:sz w:val="24"/>
                <w:szCs w:val="24"/>
                <w:highlight w:val="none"/>
              </w:rPr>
              <w:t>评分项目</w:t>
            </w:r>
          </w:p>
        </w:tc>
        <w:tc>
          <w:tcPr>
            <w:tcW w:w="1413" w:type="dxa"/>
            <w:shd w:val="clear" w:color="auto" w:fill="auto"/>
            <w:vAlign w:val="center"/>
          </w:tcPr>
          <w:p w14:paraId="653085CB">
            <w:pPr>
              <w:spacing w:line="440" w:lineRule="exact"/>
              <w:jc w:val="center"/>
              <w:rPr>
                <w:rFonts w:hint="eastAsia" w:ascii="仿宋" w:hAnsi="仿宋" w:eastAsia="仿宋" w:cs="仿宋"/>
                <w:kern w:val="2"/>
                <w:sz w:val="24"/>
                <w:szCs w:val="24"/>
                <w:highlight w:val="none"/>
                <w:lang w:val="en-US" w:eastAsia="zh-CN" w:bidi="ar-SA"/>
              </w:rPr>
            </w:pPr>
            <w:r>
              <w:rPr>
                <w:rFonts w:hint="eastAsia" w:ascii="仿宋" w:hAnsi="仿宋" w:eastAsia="仿宋" w:cs="仿宋"/>
                <w:sz w:val="24"/>
                <w:szCs w:val="24"/>
                <w:highlight w:val="none"/>
              </w:rPr>
              <w:t>分值</w:t>
            </w:r>
          </w:p>
        </w:tc>
        <w:tc>
          <w:tcPr>
            <w:tcW w:w="6671" w:type="dxa"/>
            <w:shd w:val="clear" w:color="auto" w:fill="auto"/>
            <w:vAlign w:val="center"/>
          </w:tcPr>
          <w:p w14:paraId="2AA8BFA5">
            <w:pPr>
              <w:spacing w:line="440" w:lineRule="exact"/>
              <w:jc w:val="center"/>
              <w:rPr>
                <w:rFonts w:hint="eastAsia" w:ascii="仿宋" w:hAnsi="仿宋" w:eastAsia="仿宋" w:cs="仿宋"/>
                <w:kern w:val="2"/>
                <w:sz w:val="24"/>
                <w:szCs w:val="24"/>
                <w:highlight w:val="none"/>
                <w:lang w:val="en-US" w:eastAsia="zh-CN" w:bidi="ar-SA"/>
              </w:rPr>
            </w:pPr>
            <w:r>
              <w:rPr>
                <w:rFonts w:hint="eastAsia" w:ascii="仿宋" w:hAnsi="仿宋" w:eastAsia="仿宋" w:cs="仿宋"/>
                <w:sz w:val="24"/>
                <w:szCs w:val="24"/>
                <w:highlight w:val="none"/>
              </w:rPr>
              <w:t>评分标准</w:t>
            </w:r>
          </w:p>
        </w:tc>
      </w:tr>
      <w:tr w14:paraId="3574FD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1413" w:type="dxa"/>
            <w:vAlign w:val="center"/>
          </w:tcPr>
          <w:p w14:paraId="7C8FFA70">
            <w:pPr>
              <w:pStyle w:val="14"/>
              <w:shd w:val="clear"/>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业绩</w:t>
            </w:r>
          </w:p>
        </w:tc>
        <w:tc>
          <w:tcPr>
            <w:tcW w:w="1413" w:type="dxa"/>
            <w:vAlign w:val="center"/>
          </w:tcPr>
          <w:p w14:paraId="21F7F9EA">
            <w:pPr>
              <w:pStyle w:val="14"/>
              <w:shd w:val="clear"/>
              <w:ind w:firstLine="0" w:firstLineChars="0"/>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w:t>
            </w:r>
          </w:p>
        </w:tc>
        <w:tc>
          <w:tcPr>
            <w:tcW w:w="6671" w:type="dxa"/>
            <w:vAlign w:val="center"/>
          </w:tcPr>
          <w:p w14:paraId="0D6C9B0E">
            <w:pPr>
              <w:pStyle w:val="14"/>
              <w:shd w:val="clear"/>
              <w:spacing w:line="400" w:lineRule="exact"/>
              <w:ind w:left="0" w:leftChars="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投标人202</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年1月1日至今承揽的类似项目业绩（包括年度供货合同），每有一项得</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分，本项最高得</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分。</w:t>
            </w:r>
          </w:p>
          <w:p w14:paraId="35D045F0">
            <w:pPr>
              <w:pStyle w:val="14"/>
              <w:shd w:val="clear"/>
              <w:spacing w:line="400" w:lineRule="exact"/>
              <w:ind w:left="0" w:leftChars="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需将合同扫描件附在投标文件中，合同扫描件应能体现业主名称、项目名称及项目主要内容，时间以合同签订时间为准，否则不得分。</w:t>
            </w:r>
          </w:p>
          <w:p w14:paraId="44B3307A">
            <w:pPr>
              <w:pStyle w:val="14"/>
              <w:shd w:val="clear"/>
              <w:spacing w:line="400" w:lineRule="exact"/>
              <w:ind w:left="0" w:leftChars="0" w:firstLine="0" w:firstLineChars="0"/>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rPr>
              <w:t>类似项目是指：五金杂品及劳保用品</w:t>
            </w:r>
            <w:r>
              <w:rPr>
                <w:rFonts w:hint="eastAsia" w:ascii="仿宋" w:hAnsi="仿宋" w:eastAsia="仿宋" w:cs="仿宋"/>
                <w:color w:val="auto"/>
                <w:sz w:val="24"/>
                <w:szCs w:val="24"/>
                <w:highlight w:val="none"/>
                <w:lang w:val="en-US" w:eastAsia="zh-CN"/>
              </w:rPr>
              <w:t>采购</w:t>
            </w:r>
            <w:r>
              <w:rPr>
                <w:rFonts w:hint="eastAsia" w:ascii="仿宋" w:hAnsi="仿宋" w:eastAsia="仿宋" w:cs="仿宋"/>
                <w:color w:val="auto"/>
                <w:sz w:val="24"/>
                <w:szCs w:val="24"/>
                <w:highlight w:val="none"/>
              </w:rPr>
              <w:t>。</w:t>
            </w:r>
          </w:p>
        </w:tc>
      </w:tr>
      <w:tr w14:paraId="7B7798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1413" w:type="dxa"/>
            <w:shd w:val="clear" w:color="auto" w:fill="auto"/>
            <w:vAlign w:val="center"/>
          </w:tcPr>
          <w:p w14:paraId="703B79CC">
            <w:pPr>
              <w:pStyle w:val="14"/>
              <w:shd w:val="clear"/>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产品质量</w:t>
            </w:r>
          </w:p>
          <w:p w14:paraId="0C647350">
            <w:pPr>
              <w:pStyle w:val="14"/>
              <w:shd w:val="clear"/>
              <w:ind w:firstLine="0" w:firstLineChars="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性能</w:t>
            </w:r>
          </w:p>
        </w:tc>
        <w:tc>
          <w:tcPr>
            <w:tcW w:w="1413" w:type="dxa"/>
            <w:shd w:val="clear" w:color="auto" w:fill="auto"/>
            <w:vAlign w:val="center"/>
          </w:tcPr>
          <w:p w14:paraId="018BBF80">
            <w:pPr>
              <w:pStyle w:val="14"/>
              <w:shd w:val="clear"/>
              <w:ind w:firstLine="0" w:firstLineChars="0"/>
              <w:jc w:val="center"/>
              <w:rPr>
                <w:rFonts w:hint="default"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50</w:t>
            </w:r>
          </w:p>
        </w:tc>
        <w:tc>
          <w:tcPr>
            <w:tcW w:w="6671" w:type="dxa"/>
            <w:shd w:val="clear" w:color="auto" w:fill="auto"/>
            <w:vAlign w:val="center"/>
          </w:tcPr>
          <w:p w14:paraId="2512588C">
            <w:pPr>
              <w:pStyle w:val="14"/>
              <w:shd w:val="clear"/>
              <w:spacing w:line="400" w:lineRule="exact"/>
              <w:ind w:left="0" w:leftChars="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评标委员会根据投标文件中供货渠道及货源保证措施</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产品质量性能情况等进行分析比较，按照以下标准进行打分。</w:t>
            </w:r>
          </w:p>
          <w:p w14:paraId="12266479">
            <w:pPr>
              <w:pStyle w:val="14"/>
              <w:shd w:val="clear"/>
              <w:spacing w:line="400" w:lineRule="exact"/>
              <w:ind w:left="0" w:leftChars="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33</w:t>
            </w:r>
            <w:r>
              <w:rPr>
                <w:rFonts w:hint="eastAsia" w:ascii="仿宋" w:hAnsi="仿宋" w:eastAsia="仿宋" w:cs="仿宋"/>
                <w:color w:val="auto"/>
                <w:sz w:val="24"/>
                <w:szCs w:val="24"/>
                <w:highlight w:val="none"/>
              </w:rPr>
              <w:t>分-</w:t>
            </w:r>
            <w:r>
              <w:rPr>
                <w:rFonts w:hint="eastAsia" w:ascii="仿宋" w:hAnsi="仿宋" w:eastAsia="仿宋" w:cs="仿宋"/>
                <w:color w:val="auto"/>
                <w:sz w:val="24"/>
                <w:szCs w:val="24"/>
                <w:highlight w:val="none"/>
                <w:lang w:val="en-US" w:eastAsia="zh-CN"/>
              </w:rPr>
              <w:t>50</w:t>
            </w:r>
            <w:r>
              <w:rPr>
                <w:rFonts w:hint="eastAsia" w:ascii="仿宋" w:hAnsi="仿宋" w:eastAsia="仿宋" w:cs="仿宋"/>
                <w:color w:val="auto"/>
                <w:sz w:val="24"/>
                <w:szCs w:val="24"/>
                <w:highlight w:val="none"/>
              </w:rPr>
              <w:t>分（含）】投标人经营实力较强，有成熟稳定的供货渠道，货源保证措施合理，所投报产品质量可靠、性能稳定，符合国家标准，产品制作标准、技术水平较高，能够满足供货要求，有突出的技术优势。</w:t>
            </w:r>
          </w:p>
          <w:p w14:paraId="03D81EB9">
            <w:pPr>
              <w:pStyle w:val="14"/>
              <w:shd w:val="clear"/>
              <w:spacing w:line="400" w:lineRule="exact"/>
              <w:ind w:left="0" w:leftChars="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16</w:t>
            </w:r>
            <w:r>
              <w:rPr>
                <w:rFonts w:hint="eastAsia" w:ascii="仿宋" w:hAnsi="仿宋" w:eastAsia="仿宋" w:cs="仿宋"/>
                <w:color w:val="auto"/>
                <w:sz w:val="24"/>
                <w:szCs w:val="24"/>
                <w:highlight w:val="none"/>
              </w:rPr>
              <w:t>分-</w:t>
            </w:r>
            <w:r>
              <w:rPr>
                <w:rFonts w:hint="eastAsia" w:ascii="仿宋" w:hAnsi="仿宋" w:eastAsia="仿宋" w:cs="仿宋"/>
                <w:color w:val="auto"/>
                <w:sz w:val="24"/>
                <w:szCs w:val="24"/>
                <w:highlight w:val="none"/>
                <w:lang w:val="en-US" w:eastAsia="zh-CN"/>
              </w:rPr>
              <w:t>33</w:t>
            </w:r>
            <w:r>
              <w:rPr>
                <w:rFonts w:hint="eastAsia" w:ascii="仿宋" w:hAnsi="仿宋" w:eastAsia="仿宋" w:cs="仿宋"/>
                <w:color w:val="auto"/>
                <w:sz w:val="24"/>
                <w:szCs w:val="24"/>
                <w:highlight w:val="none"/>
              </w:rPr>
              <w:t>分（含）】投标人供货渠道</w:t>
            </w:r>
            <w:r>
              <w:rPr>
                <w:rFonts w:hint="eastAsia" w:ascii="仿宋" w:hAnsi="仿宋" w:eastAsia="仿宋" w:cs="仿宋"/>
                <w:color w:val="auto"/>
                <w:sz w:val="24"/>
                <w:szCs w:val="24"/>
                <w:highlight w:val="none"/>
                <w:lang w:val="en-US" w:eastAsia="zh-CN"/>
              </w:rPr>
              <w:t>可靠，</w:t>
            </w:r>
            <w:r>
              <w:rPr>
                <w:rFonts w:hint="eastAsia" w:ascii="仿宋" w:hAnsi="仿宋" w:eastAsia="仿宋" w:cs="仿宋"/>
                <w:color w:val="auto"/>
                <w:sz w:val="24"/>
                <w:szCs w:val="24"/>
                <w:highlight w:val="none"/>
              </w:rPr>
              <w:t>所投报产品质量较可靠，能够较好的满足招标需求。</w:t>
            </w:r>
          </w:p>
          <w:p w14:paraId="7C187BEA">
            <w:pPr>
              <w:pStyle w:val="14"/>
              <w:shd w:val="clear"/>
              <w:spacing w:line="400" w:lineRule="exact"/>
              <w:ind w:left="0" w:leftChars="0" w:firstLine="0" w:firstLineChars="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【0分-</w:t>
            </w:r>
            <w:r>
              <w:rPr>
                <w:rFonts w:hint="eastAsia" w:ascii="仿宋" w:hAnsi="仿宋" w:eastAsia="仿宋" w:cs="仿宋"/>
                <w:color w:val="auto"/>
                <w:sz w:val="24"/>
                <w:szCs w:val="24"/>
                <w:highlight w:val="none"/>
                <w:lang w:val="en-US" w:eastAsia="zh-CN"/>
              </w:rPr>
              <w:t>16</w:t>
            </w:r>
            <w:r>
              <w:rPr>
                <w:rFonts w:hint="eastAsia" w:ascii="仿宋" w:hAnsi="仿宋" w:eastAsia="仿宋" w:cs="仿宋"/>
                <w:color w:val="auto"/>
                <w:sz w:val="24"/>
                <w:szCs w:val="24"/>
                <w:highlight w:val="none"/>
              </w:rPr>
              <w:t>分（含）】投标人所投报产品质量能满足招标文件的</w:t>
            </w:r>
            <w:r>
              <w:rPr>
                <w:rFonts w:hint="eastAsia" w:ascii="仿宋" w:hAnsi="仿宋" w:eastAsia="仿宋" w:cs="仿宋"/>
                <w:color w:val="auto"/>
                <w:sz w:val="24"/>
                <w:szCs w:val="24"/>
                <w:highlight w:val="none"/>
                <w:lang w:val="en-US" w:eastAsia="zh-CN"/>
              </w:rPr>
              <w:t>基本</w:t>
            </w:r>
            <w:r>
              <w:rPr>
                <w:rFonts w:hint="eastAsia" w:ascii="仿宋" w:hAnsi="仿宋" w:eastAsia="仿宋" w:cs="仿宋"/>
                <w:color w:val="auto"/>
                <w:sz w:val="24"/>
                <w:szCs w:val="24"/>
                <w:highlight w:val="none"/>
              </w:rPr>
              <w:t>要求。</w:t>
            </w:r>
          </w:p>
        </w:tc>
      </w:tr>
      <w:tr w14:paraId="139729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1413" w:type="dxa"/>
            <w:shd w:val="clear" w:color="auto" w:fill="auto"/>
            <w:vAlign w:val="center"/>
          </w:tcPr>
          <w:p w14:paraId="74CCEEBF">
            <w:pPr>
              <w:pStyle w:val="14"/>
              <w:shd w:val="clear"/>
              <w:spacing w:line="400" w:lineRule="exact"/>
              <w:ind w:firstLine="0" w:firstLineChars="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供货方案</w:t>
            </w:r>
          </w:p>
        </w:tc>
        <w:tc>
          <w:tcPr>
            <w:tcW w:w="1413" w:type="dxa"/>
            <w:shd w:val="clear" w:color="auto" w:fill="auto"/>
            <w:vAlign w:val="center"/>
          </w:tcPr>
          <w:p w14:paraId="35DBFD88">
            <w:pPr>
              <w:pStyle w:val="14"/>
              <w:shd w:val="clear"/>
              <w:ind w:firstLine="0" w:firstLineChars="0"/>
              <w:jc w:val="center"/>
              <w:rPr>
                <w:rFonts w:hint="default"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20</w:t>
            </w:r>
          </w:p>
        </w:tc>
        <w:tc>
          <w:tcPr>
            <w:tcW w:w="6671" w:type="dxa"/>
            <w:shd w:val="clear" w:color="auto" w:fill="auto"/>
            <w:vAlign w:val="center"/>
          </w:tcPr>
          <w:p w14:paraId="12CE4AA1">
            <w:pPr>
              <w:pStyle w:val="14"/>
              <w:shd w:val="clear"/>
              <w:spacing w:line="400" w:lineRule="exact"/>
              <w:ind w:left="0" w:leftChars="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评标委员会根据投标文件中</w:t>
            </w:r>
            <w:r>
              <w:rPr>
                <w:rFonts w:hint="eastAsia" w:ascii="仿宋" w:hAnsi="仿宋" w:eastAsia="仿宋" w:cs="仿宋"/>
                <w:color w:val="auto"/>
                <w:sz w:val="24"/>
                <w:szCs w:val="24"/>
                <w:highlight w:val="none"/>
                <w:lang w:val="en-US" w:eastAsia="zh-CN"/>
              </w:rPr>
              <w:t>供货方案内容、响应时间及运输时间、送货人员和配备的交通设施数量、仓储能力</w:t>
            </w:r>
            <w:r>
              <w:rPr>
                <w:rFonts w:hint="eastAsia" w:ascii="仿宋" w:hAnsi="仿宋" w:eastAsia="仿宋" w:cs="仿宋"/>
                <w:color w:val="auto"/>
                <w:sz w:val="24"/>
                <w:szCs w:val="24"/>
                <w:highlight w:val="none"/>
              </w:rPr>
              <w:t>等进行分析比较，按照以下标准进行打分。</w:t>
            </w:r>
          </w:p>
          <w:p w14:paraId="7BB93EED">
            <w:pPr>
              <w:pStyle w:val="14"/>
              <w:shd w:val="clear"/>
              <w:spacing w:line="400" w:lineRule="exact"/>
              <w:ind w:left="0" w:leftChars="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14</w:t>
            </w:r>
            <w:r>
              <w:rPr>
                <w:rFonts w:hint="eastAsia" w:ascii="仿宋" w:hAnsi="仿宋" w:eastAsia="仿宋" w:cs="仿宋"/>
                <w:color w:val="auto"/>
                <w:sz w:val="24"/>
                <w:szCs w:val="24"/>
                <w:highlight w:val="none"/>
              </w:rPr>
              <w:t>分-</w:t>
            </w:r>
            <w:r>
              <w:rPr>
                <w:rFonts w:hint="eastAsia" w:ascii="仿宋" w:hAnsi="仿宋" w:eastAsia="仿宋" w:cs="仿宋"/>
                <w:color w:val="auto"/>
                <w:sz w:val="24"/>
                <w:szCs w:val="24"/>
                <w:highlight w:val="none"/>
                <w:lang w:val="en-US" w:eastAsia="zh-CN"/>
              </w:rPr>
              <w:t>20</w:t>
            </w:r>
            <w:r>
              <w:rPr>
                <w:rFonts w:hint="eastAsia" w:ascii="仿宋" w:hAnsi="仿宋" w:eastAsia="仿宋" w:cs="仿宋"/>
                <w:color w:val="auto"/>
                <w:sz w:val="24"/>
                <w:szCs w:val="24"/>
                <w:highlight w:val="none"/>
              </w:rPr>
              <w:t>分（含）】投标人的供货方案合理；</w:t>
            </w:r>
            <w:r>
              <w:rPr>
                <w:rFonts w:hint="eastAsia" w:ascii="仿宋" w:hAnsi="仿宋" w:eastAsia="仿宋" w:cs="仿宋"/>
                <w:color w:val="auto"/>
                <w:sz w:val="24"/>
                <w:szCs w:val="24"/>
                <w:highlight w:val="none"/>
                <w:lang w:val="en-US" w:eastAsia="zh-CN"/>
              </w:rPr>
              <w:t>响应时间及运输时间迅速，送货人员和交通设施数量充足</w:t>
            </w:r>
            <w:r>
              <w:rPr>
                <w:rFonts w:hint="eastAsia" w:ascii="仿宋" w:hAnsi="仿宋" w:eastAsia="仿宋" w:cs="仿宋"/>
                <w:color w:val="auto"/>
                <w:sz w:val="24"/>
                <w:szCs w:val="24"/>
                <w:highlight w:val="none"/>
              </w:rPr>
              <w:t>；组织实施方案严谨、科学、可操作性强；仓储能力强，供货经验丰富</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能有效保证本项目的实施，具有明显的优势。</w:t>
            </w:r>
          </w:p>
          <w:p w14:paraId="67DC70D5">
            <w:pPr>
              <w:pStyle w:val="14"/>
              <w:shd w:val="clear"/>
              <w:spacing w:line="400" w:lineRule="exact"/>
              <w:ind w:left="0" w:leftChars="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分-</w:t>
            </w:r>
            <w:r>
              <w:rPr>
                <w:rFonts w:hint="eastAsia" w:ascii="仿宋" w:hAnsi="仿宋" w:eastAsia="仿宋" w:cs="仿宋"/>
                <w:color w:val="auto"/>
                <w:sz w:val="24"/>
                <w:szCs w:val="24"/>
                <w:highlight w:val="none"/>
                <w:lang w:val="en-US" w:eastAsia="zh-CN"/>
              </w:rPr>
              <w:t>14</w:t>
            </w:r>
            <w:r>
              <w:rPr>
                <w:rFonts w:hint="eastAsia" w:ascii="仿宋" w:hAnsi="仿宋" w:eastAsia="仿宋" w:cs="仿宋"/>
                <w:color w:val="auto"/>
                <w:sz w:val="24"/>
                <w:szCs w:val="24"/>
                <w:highlight w:val="none"/>
              </w:rPr>
              <w:t>分（含）】</w:t>
            </w:r>
            <w:r>
              <w:rPr>
                <w:rFonts w:hint="eastAsia" w:ascii="仿宋" w:hAnsi="仿宋" w:eastAsia="仿宋" w:cs="仿宋"/>
                <w:color w:val="auto"/>
                <w:sz w:val="24"/>
                <w:szCs w:val="24"/>
                <w:highlight w:val="none"/>
                <w:lang w:val="en-US" w:eastAsia="zh-CN"/>
              </w:rPr>
              <w:t>投标人提报的供货方案内容全面，响应时间及运输时间及时，有专门的送货人员和交通设施，具备一定的</w:t>
            </w:r>
            <w:r>
              <w:rPr>
                <w:rFonts w:hint="eastAsia" w:ascii="仿宋" w:hAnsi="仿宋" w:eastAsia="仿宋" w:cs="仿宋"/>
                <w:color w:val="auto"/>
                <w:sz w:val="24"/>
                <w:szCs w:val="24"/>
                <w:highlight w:val="none"/>
              </w:rPr>
              <w:t>仓储能力</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能够满足项目服务需要。</w:t>
            </w:r>
          </w:p>
          <w:p w14:paraId="55442C36">
            <w:pPr>
              <w:pStyle w:val="14"/>
              <w:shd w:val="clear"/>
              <w:spacing w:line="400" w:lineRule="exact"/>
              <w:ind w:left="0" w:leftChars="0" w:firstLine="0" w:firstLineChars="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【0分-</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分（含）】投标人的供货方案能满足招标文件的</w:t>
            </w:r>
            <w:r>
              <w:rPr>
                <w:rFonts w:hint="eastAsia" w:ascii="仿宋" w:hAnsi="仿宋" w:eastAsia="仿宋" w:cs="仿宋"/>
                <w:color w:val="auto"/>
                <w:sz w:val="24"/>
                <w:szCs w:val="24"/>
                <w:highlight w:val="none"/>
                <w:lang w:val="en-US" w:eastAsia="zh-CN"/>
              </w:rPr>
              <w:t>基本</w:t>
            </w:r>
            <w:r>
              <w:rPr>
                <w:rFonts w:hint="eastAsia" w:ascii="仿宋" w:hAnsi="仿宋" w:eastAsia="仿宋" w:cs="仿宋"/>
                <w:color w:val="auto"/>
                <w:sz w:val="24"/>
                <w:szCs w:val="24"/>
                <w:highlight w:val="none"/>
              </w:rPr>
              <w:t>要求。</w:t>
            </w:r>
          </w:p>
        </w:tc>
      </w:tr>
      <w:tr w14:paraId="75B814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1413" w:type="dxa"/>
            <w:shd w:val="clear" w:color="auto" w:fill="auto"/>
            <w:vAlign w:val="center"/>
          </w:tcPr>
          <w:p w14:paraId="7624896E">
            <w:pPr>
              <w:pStyle w:val="14"/>
              <w:shd w:val="clear"/>
              <w:spacing w:line="400" w:lineRule="exact"/>
              <w:ind w:firstLine="0" w:firstLineChars="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售后</w:t>
            </w:r>
            <w:r>
              <w:rPr>
                <w:rFonts w:hint="eastAsia" w:ascii="仿宋" w:hAnsi="仿宋" w:eastAsia="仿宋" w:cs="仿宋"/>
                <w:color w:val="auto"/>
                <w:sz w:val="24"/>
                <w:szCs w:val="24"/>
                <w:highlight w:val="none"/>
                <w:lang w:val="en-US" w:eastAsia="zh-CN"/>
              </w:rPr>
              <w:t>及应急服务</w:t>
            </w:r>
            <w:r>
              <w:rPr>
                <w:rFonts w:hint="eastAsia" w:ascii="仿宋" w:hAnsi="仿宋" w:eastAsia="仿宋" w:cs="仿宋"/>
                <w:color w:val="auto"/>
                <w:sz w:val="24"/>
                <w:szCs w:val="24"/>
                <w:highlight w:val="none"/>
              </w:rPr>
              <w:t>承诺</w:t>
            </w:r>
          </w:p>
        </w:tc>
        <w:tc>
          <w:tcPr>
            <w:tcW w:w="1413" w:type="dxa"/>
            <w:shd w:val="clear" w:color="auto" w:fill="auto"/>
            <w:vAlign w:val="center"/>
          </w:tcPr>
          <w:p w14:paraId="13EC84E1">
            <w:pPr>
              <w:pStyle w:val="14"/>
              <w:shd w:val="clear"/>
              <w:ind w:firstLine="0" w:firstLineChars="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20</w:t>
            </w:r>
          </w:p>
        </w:tc>
        <w:tc>
          <w:tcPr>
            <w:tcW w:w="6671" w:type="dxa"/>
            <w:shd w:val="clear" w:color="auto" w:fill="auto"/>
            <w:vAlign w:val="center"/>
          </w:tcPr>
          <w:p w14:paraId="2EF9CFBC">
            <w:pPr>
              <w:pStyle w:val="14"/>
              <w:shd w:val="clear"/>
              <w:spacing w:line="400" w:lineRule="exact"/>
              <w:ind w:left="0" w:leftChars="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评标委员会根据投标文件中售后</w:t>
            </w:r>
            <w:r>
              <w:rPr>
                <w:rFonts w:hint="eastAsia" w:ascii="仿宋" w:hAnsi="仿宋" w:eastAsia="仿宋" w:cs="仿宋"/>
                <w:color w:val="auto"/>
                <w:sz w:val="24"/>
                <w:szCs w:val="24"/>
                <w:highlight w:val="none"/>
                <w:lang w:val="en-US" w:eastAsia="zh-CN"/>
              </w:rPr>
              <w:t>及应急</w:t>
            </w:r>
            <w:r>
              <w:rPr>
                <w:rFonts w:hint="eastAsia" w:ascii="仿宋" w:hAnsi="仿宋" w:eastAsia="仿宋" w:cs="仿宋"/>
                <w:color w:val="auto"/>
                <w:sz w:val="24"/>
                <w:szCs w:val="24"/>
                <w:highlight w:val="none"/>
              </w:rPr>
              <w:t>服务承诺等进行分析比较，按照以下标准进行打分。</w:t>
            </w:r>
          </w:p>
          <w:p w14:paraId="4F0F23E6">
            <w:pPr>
              <w:pStyle w:val="14"/>
              <w:shd w:val="clear"/>
              <w:spacing w:line="400" w:lineRule="exact"/>
              <w:ind w:left="0" w:leftChars="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14</w:t>
            </w:r>
            <w:r>
              <w:rPr>
                <w:rFonts w:hint="eastAsia" w:ascii="仿宋" w:hAnsi="仿宋" w:eastAsia="仿宋" w:cs="仿宋"/>
                <w:color w:val="auto"/>
                <w:sz w:val="24"/>
                <w:szCs w:val="24"/>
                <w:highlight w:val="none"/>
              </w:rPr>
              <w:t>分-</w:t>
            </w:r>
            <w:r>
              <w:rPr>
                <w:rFonts w:hint="eastAsia" w:ascii="仿宋" w:hAnsi="仿宋" w:eastAsia="仿宋" w:cs="仿宋"/>
                <w:color w:val="auto"/>
                <w:sz w:val="24"/>
                <w:szCs w:val="24"/>
                <w:highlight w:val="none"/>
                <w:lang w:val="en-US" w:eastAsia="zh-CN"/>
              </w:rPr>
              <w:t>20</w:t>
            </w:r>
            <w:r>
              <w:rPr>
                <w:rFonts w:hint="eastAsia" w:ascii="仿宋" w:hAnsi="仿宋" w:eastAsia="仿宋" w:cs="仿宋"/>
                <w:color w:val="auto"/>
                <w:sz w:val="24"/>
                <w:szCs w:val="24"/>
                <w:highlight w:val="none"/>
              </w:rPr>
              <w:t>分（含）】具有良好的售后服务团队，响应时间快速、售后服务方案周详；对产品供货过程中发生紧急情况时有详细的应急事件处理预案</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提供详尽的售后</w:t>
            </w:r>
            <w:r>
              <w:rPr>
                <w:rFonts w:hint="eastAsia" w:ascii="仿宋" w:hAnsi="仿宋" w:eastAsia="仿宋" w:cs="仿宋"/>
                <w:color w:val="auto"/>
                <w:sz w:val="24"/>
                <w:szCs w:val="24"/>
                <w:highlight w:val="none"/>
                <w:lang w:val="en-US" w:eastAsia="zh-CN"/>
              </w:rPr>
              <w:t>及应急</w:t>
            </w:r>
            <w:r>
              <w:rPr>
                <w:rFonts w:hint="eastAsia" w:ascii="仿宋" w:hAnsi="仿宋" w:eastAsia="仿宋" w:cs="仿宋"/>
                <w:color w:val="auto"/>
                <w:sz w:val="24"/>
                <w:szCs w:val="24"/>
                <w:highlight w:val="none"/>
              </w:rPr>
              <w:t>服务承诺和计划安排，</w:t>
            </w:r>
            <w:r>
              <w:rPr>
                <w:rFonts w:hint="eastAsia" w:ascii="仿宋" w:hAnsi="仿宋" w:eastAsia="仿宋" w:cs="仿宋"/>
                <w:color w:val="auto"/>
                <w:sz w:val="24"/>
                <w:szCs w:val="24"/>
                <w:highlight w:val="none"/>
                <w:lang w:val="en-US" w:eastAsia="zh-CN"/>
              </w:rPr>
              <w:t>能</w:t>
            </w:r>
            <w:r>
              <w:rPr>
                <w:rFonts w:hint="eastAsia" w:ascii="仿宋" w:hAnsi="仿宋" w:eastAsia="仿宋" w:cs="仿宋"/>
                <w:color w:val="auto"/>
                <w:sz w:val="24"/>
                <w:szCs w:val="24"/>
                <w:highlight w:val="none"/>
              </w:rPr>
              <w:t>很好的满足招标人要求。</w:t>
            </w:r>
          </w:p>
          <w:p w14:paraId="49733D74">
            <w:pPr>
              <w:pStyle w:val="14"/>
              <w:shd w:val="clear"/>
              <w:spacing w:line="400" w:lineRule="exact"/>
              <w:ind w:left="0" w:leftChars="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分-</w:t>
            </w:r>
            <w:r>
              <w:rPr>
                <w:rFonts w:hint="eastAsia" w:ascii="仿宋" w:hAnsi="仿宋" w:eastAsia="仿宋" w:cs="仿宋"/>
                <w:color w:val="auto"/>
                <w:sz w:val="24"/>
                <w:szCs w:val="24"/>
                <w:highlight w:val="none"/>
                <w:lang w:val="en-US" w:eastAsia="zh-CN"/>
              </w:rPr>
              <w:t>14</w:t>
            </w:r>
            <w:r>
              <w:rPr>
                <w:rFonts w:hint="eastAsia" w:ascii="仿宋" w:hAnsi="仿宋" w:eastAsia="仿宋" w:cs="仿宋"/>
                <w:color w:val="auto"/>
                <w:sz w:val="24"/>
                <w:szCs w:val="24"/>
                <w:highlight w:val="none"/>
              </w:rPr>
              <w:t>分（含）】售后</w:t>
            </w:r>
            <w:r>
              <w:rPr>
                <w:rFonts w:hint="eastAsia" w:ascii="仿宋" w:hAnsi="仿宋" w:eastAsia="仿宋" w:cs="仿宋"/>
                <w:color w:val="auto"/>
                <w:sz w:val="24"/>
                <w:szCs w:val="24"/>
                <w:highlight w:val="none"/>
                <w:lang w:val="en-US" w:eastAsia="zh-CN"/>
              </w:rPr>
              <w:t>及应急</w:t>
            </w:r>
            <w:r>
              <w:rPr>
                <w:rFonts w:hint="eastAsia" w:ascii="仿宋" w:hAnsi="仿宋" w:eastAsia="仿宋" w:cs="仿宋"/>
                <w:color w:val="auto"/>
                <w:sz w:val="24"/>
                <w:szCs w:val="24"/>
                <w:highlight w:val="none"/>
              </w:rPr>
              <w:t>服务方案较周详，可</w:t>
            </w:r>
            <w:r>
              <w:rPr>
                <w:rFonts w:hint="eastAsia" w:ascii="仿宋" w:hAnsi="仿宋" w:eastAsia="仿宋" w:cs="仿宋"/>
                <w:color w:val="auto"/>
                <w:sz w:val="24"/>
                <w:szCs w:val="24"/>
                <w:highlight w:val="none"/>
                <w:lang w:val="en-US" w:eastAsia="zh-CN"/>
              </w:rPr>
              <w:t>较好</w:t>
            </w:r>
            <w:r>
              <w:rPr>
                <w:rFonts w:hint="eastAsia" w:ascii="仿宋" w:hAnsi="仿宋" w:eastAsia="仿宋" w:cs="仿宋"/>
                <w:color w:val="auto"/>
                <w:sz w:val="24"/>
                <w:szCs w:val="24"/>
                <w:highlight w:val="none"/>
              </w:rPr>
              <w:t>满足招标人要求。</w:t>
            </w:r>
          </w:p>
          <w:p w14:paraId="5402530A">
            <w:pPr>
              <w:shd w:val="clear"/>
              <w:spacing w:line="400" w:lineRule="exac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【0分-</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分（含）】售后服务方案</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服务</w:t>
            </w:r>
            <w:r>
              <w:rPr>
                <w:rFonts w:hint="eastAsia" w:ascii="仿宋" w:hAnsi="仿宋" w:eastAsia="仿宋" w:cs="仿宋"/>
                <w:color w:val="auto"/>
                <w:sz w:val="24"/>
                <w:szCs w:val="24"/>
                <w:highlight w:val="none"/>
              </w:rPr>
              <w:t>承诺能满足招标文件的</w:t>
            </w:r>
            <w:r>
              <w:rPr>
                <w:rFonts w:hint="eastAsia" w:ascii="仿宋" w:hAnsi="仿宋" w:eastAsia="仿宋" w:cs="仿宋"/>
                <w:color w:val="auto"/>
                <w:sz w:val="24"/>
                <w:szCs w:val="24"/>
                <w:highlight w:val="none"/>
                <w:lang w:val="en-US" w:eastAsia="zh-CN"/>
              </w:rPr>
              <w:t>基本</w:t>
            </w:r>
            <w:r>
              <w:rPr>
                <w:rFonts w:hint="eastAsia" w:ascii="仿宋" w:hAnsi="仿宋" w:eastAsia="仿宋" w:cs="仿宋"/>
                <w:color w:val="auto"/>
                <w:sz w:val="24"/>
                <w:szCs w:val="24"/>
                <w:highlight w:val="none"/>
              </w:rPr>
              <w:t>要求。</w:t>
            </w:r>
          </w:p>
        </w:tc>
      </w:tr>
    </w:tbl>
    <w:p w14:paraId="1498D8F9">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注：①本细则只针对有效投标文件予以评分。</w:t>
      </w:r>
    </w:p>
    <w:p w14:paraId="679D154D">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②计算得分时，四舍五入保留至小数点后二位。</w:t>
      </w:r>
    </w:p>
    <w:p w14:paraId="2ED6CB16">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③汇总各评委打分进行算术平均，计算出各投标人的综合得分。</w:t>
      </w:r>
    </w:p>
    <w:p w14:paraId="31BF35F0">
      <w:pPr>
        <w:pStyle w:val="4"/>
        <w:pageBreakBefore w:val="0"/>
        <w:kinsoku/>
        <w:overflowPunct/>
        <w:topLinePunct w:val="0"/>
        <w:bidi w:val="0"/>
        <w:adjustRightInd/>
        <w:snapToGrid/>
        <w:spacing w:before="0" w:after="0" w:line="360" w:lineRule="auto"/>
        <w:rPr>
          <w:rStyle w:val="431"/>
          <w:rFonts w:hint="eastAsia" w:ascii="仿宋" w:hAnsi="仿宋" w:eastAsia="仿宋" w:cs="仿宋"/>
          <w:b/>
          <w:bCs/>
          <w:color w:val="000000" w:themeColor="text1"/>
          <w:kern w:val="2"/>
          <w:sz w:val="28"/>
          <w:szCs w:val="32"/>
          <w:highlight w:val="none"/>
          <w14:textFill>
            <w14:solidFill>
              <w14:schemeClr w14:val="tx1"/>
            </w14:solidFill>
          </w14:textFill>
        </w:rPr>
      </w:pPr>
      <w:bookmarkStart w:id="80" w:name="_Toc11034"/>
      <w:r>
        <w:rPr>
          <w:rStyle w:val="431"/>
          <w:rFonts w:hint="eastAsia" w:ascii="仿宋" w:hAnsi="仿宋" w:eastAsia="仿宋" w:cs="仿宋"/>
          <w:b/>
          <w:bCs/>
          <w:color w:val="000000" w:themeColor="text1"/>
          <w:kern w:val="2"/>
          <w:sz w:val="28"/>
          <w:szCs w:val="32"/>
          <w:highlight w:val="none"/>
          <w14:textFill>
            <w14:solidFill>
              <w14:schemeClr w14:val="tx1"/>
            </w14:solidFill>
          </w14:textFill>
        </w:rPr>
        <w:t>三、编写评标报告</w:t>
      </w:r>
      <w:bookmarkEnd w:id="80"/>
    </w:p>
    <w:p w14:paraId="01AEC44D">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sz w:val="28"/>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依据</w:t>
      </w:r>
      <w:r>
        <w:rPr>
          <w:rFonts w:hint="eastAsia" w:ascii="仿宋" w:hAnsi="仿宋" w:eastAsia="仿宋" w:cs="仿宋"/>
          <w:color w:val="000000" w:themeColor="text1"/>
          <w:sz w:val="28"/>
          <w:highlight w:val="none"/>
          <w14:textFill>
            <w14:solidFill>
              <w14:schemeClr w14:val="tx1"/>
            </w14:solidFill>
          </w14:textFill>
        </w:rPr>
        <w:t>评标委员会</w:t>
      </w:r>
      <w:r>
        <w:rPr>
          <w:rFonts w:hint="eastAsia" w:ascii="仿宋" w:hAnsi="仿宋" w:eastAsia="仿宋" w:cs="仿宋"/>
          <w:color w:val="000000" w:themeColor="text1"/>
          <w:sz w:val="28"/>
          <w:szCs w:val="21"/>
          <w:highlight w:val="none"/>
          <w14:textFill>
            <w14:solidFill>
              <w14:schemeClr w14:val="tx1"/>
            </w14:solidFill>
          </w14:textFill>
        </w:rPr>
        <w:t>签字的原始记录和评标结果，按照规定的内容要求编写评标报告，并由全体评委签名。</w:t>
      </w:r>
    </w:p>
    <w:p w14:paraId="014D621F">
      <w:pPr>
        <w:pStyle w:val="4"/>
        <w:pageBreakBefore w:val="0"/>
        <w:kinsoku/>
        <w:overflowPunct/>
        <w:topLinePunct w:val="0"/>
        <w:bidi w:val="0"/>
        <w:adjustRightInd/>
        <w:snapToGrid/>
        <w:spacing w:before="0" w:after="0" w:line="360" w:lineRule="auto"/>
        <w:rPr>
          <w:rStyle w:val="431"/>
          <w:rFonts w:hint="eastAsia" w:ascii="仿宋" w:hAnsi="仿宋" w:eastAsia="仿宋" w:cs="仿宋"/>
          <w:b/>
          <w:bCs/>
          <w:color w:val="000000" w:themeColor="text1"/>
          <w:kern w:val="2"/>
          <w:sz w:val="28"/>
          <w:szCs w:val="32"/>
          <w:highlight w:val="none"/>
          <w14:textFill>
            <w14:solidFill>
              <w14:schemeClr w14:val="tx1"/>
            </w14:solidFill>
          </w14:textFill>
        </w:rPr>
      </w:pPr>
      <w:bookmarkStart w:id="81" w:name="_Toc15522"/>
      <w:r>
        <w:rPr>
          <w:rStyle w:val="431"/>
          <w:rFonts w:hint="eastAsia" w:ascii="仿宋" w:hAnsi="仿宋" w:eastAsia="仿宋" w:cs="仿宋"/>
          <w:b/>
          <w:bCs/>
          <w:color w:val="000000" w:themeColor="text1"/>
          <w:kern w:val="2"/>
          <w:sz w:val="28"/>
          <w:szCs w:val="32"/>
          <w:highlight w:val="none"/>
          <w14:textFill>
            <w14:solidFill>
              <w14:schemeClr w14:val="tx1"/>
            </w14:solidFill>
          </w14:textFill>
        </w:rPr>
        <w:t>四、定标</w:t>
      </w:r>
      <w:bookmarkEnd w:id="81"/>
    </w:p>
    <w:p w14:paraId="7FBDA636">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1.评标委员会根据招标文件载明的评标细则进行综合评审，并按评审后得分由高到低顺序排列，确定排序前</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名的为中标</w:t>
      </w:r>
      <w:r>
        <w:rPr>
          <w:rFonts w:hint="eastAsia" w:ascii="仿宋" w:hAnsi="仿宋" w:eastAsia="仿宋" w:cs="仿宋"/>
          <w:color w:val="000000" w:themeColor="text1"/>
          <w:sz w:val="28"/>
          <w:szCs w:val="28"/>
          <w:highlight w:val="none"/>
          <w:lang w:val="en-US" w:eastAsia="zh-CN"/>
          <w14:textFill>
            <w14:solidFill>
              <w14:schemeClr w14:val="tx1"/>
            </w14:solidFill>
          </w14:textFill>
        </w:rPr>
        <w:t>候选</w:t>
      </w:r>
      <w:r>
        <w:rPr>
          <w:rFonts w:hint="eastAsia" w:ascii="仿宋" w:hAnsi="仿宋" w:eastAsia="仿宋" w:cs="仿宋"/>
          <w:color w:val="000000" w:themeColor="text1"/>
          <w:sz w:val="28"/>
          <w:szCs w:val="28"/>
          <w:highlight w:val="none"/>
          <w14:textFill>
            <w14:solidFill>
              <w14:schemeClr w14:val="tx1"/>
            </w14:solidFill>
          </w14:textFill>
        </w:rPr>
        <w:t>人</w:t>
      </w:r>
      <w:r>
        <w:rPr>
          <w:rFonts w:hint="eastAsia" w:ascii="仿宋" w:hAnsi="仿宋" w:eastAsia="仿宋" w:cs="仿宋"/>
          <w:color w:val="000000" w:themeColor="text1"/>
          <w:sz w:val="28"/>
          <w:szCs w:val="28"/>
          <w:highlight w:val="none"/>
          <w:lang w:eastAsia="zh-CN"/>
          <w14:textFill>
            <w14:solidFill>
              <w14:schemeClr w14:val="tx1"/>
            </w14:solidFill>
          </w14:textFill>
        </w:rPr>
        <w:t>。</w:t>
      </w:r>
    </w:p>
    <w:p w14:paraId="1835A516">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2.评标结束后，公示无异议确定</w:t>
      </w:r>
      <w:r>
        <w:rPr>
          <w:rFonts w:hint="eastAsia" w:ascii="仿宋" w:hAnsi="仿宋" w:eastAsia="仿宋" w:cs="仿宋"/>
          <w:color w:val="000000" w:themeColor="text1"/>
          <w:sz w:val="28"/>
          <w:szCs w:val="28"/>
          <w:highlight w:val="none"/>
          <w:lang w:val="en-US" w:eastAsia="zh-CN"/>
          <w14:textFill>
            <w14:solidFill>
              <w14:schemeClr w14:val="tx1"/>
            </w14:solidFill>
          </w14:textFill>
        </w:rPr>
        <w:t>排名</w:t>
      </w:r>
      <w:r>
        <w:rPr>
          <w:rFonts w:hint="eastAsia" w:ascii="仿宋" w:hAnsi="仿宋" w:eastAsia="仿宋" w:cs="仿宋"/>
          <w:color w:val="000000" w:themeColor="text1"/>
          <w:sz w:val="28"/>
          <w:szCs w:val="28"/>
          <w:highlight w:val="none"/>
          <w14:textFill>
            <w14:solidFill>
              <w14:schemeClr w14:val="tx1"/>
            </w14:solidFill>
          </w14:textFill>
        </w:rPr>
        <w:t>前</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的为中标人。如发现中标人存在与招标文件、投标文件不符或弄虚作假等其它违法行为、经查实中标人存在被限制其投标的不良行为等情况，经招标人同意，取消中标人资格，由排名次之的中标，依次类推或重新招标。</w:t>
      </w:r>
    </w:p>
    <w:p w14:paraId="754EA422">
      <w:pPr>
        <w:pStyle w:val="4"/>
        <w:pageBreakBefore w:val="0"/>
        <w:kinsoku/>
        <w:overflowPunct/>
        <w:topLinePunct w:val="0"/>
        <w:bidi w:val="0"/>
        <w:adjustRightInd/>
        <w:snapToGrid/>
        <w:spacing w:before="0" w:after="0" w:line="360" w:lineRule="auto"/>
        <w:rPr>
          <w:rStyle w:val="431"/>
          <w:rFonts w:hint="eastAsia" w:ascii="仿宋" w:hAnsi="仿宋" w:eastAsia="仿宋" w:cs="仿宋"/>
          <w:b/>
          <w:bCs/>
          <w:color w:val="000000" w:themeColor="text1"/>
          <w:kern w:val="2"/>
          <w:sz w:val="28"/>
          <w:szCs w:val="32"/>
          <w:highlight w:val="none"/>
          <w14:textFill>
            <w14:solidFill>
              <w14:schemeClr w14:val="tx1"/>
            </w14:solidFill>
          </w14:textFill>
        </w:rPr>
      </w:pPr>
      <w:bookmarkStart w:id="82" w:name="_Toc7666"/>
      <w:r>
        <w:rPr>
          <w:rStyle w:val="431"/>
          <w:rFonts w:hint="eastAsia" w:ascii="仿宋" w:hAnsi="仿宋" w:eastAsia="仿宋" w:cs="仿宋"/>
          <w:b/>
          <w:bCs/>
          <w:color w:val="000000" w:themeColor="text1"/>
          <w:kern w:val="2"/>
          <w:sz w:val="28"/>
          <w:szCs w:val="32"/>
          <w:highlight w:val="none"/>
          <w14:textFill>
            <w14:solidFill>
              <w14:schemeClr w14:val="tx1"/>
            </w14:solidFill>
          </w14:textFill>
        </w:rPr>
        <w:t>五、结果公示</w:t>
      </w:r>
      <w:bookmarkEnd w:id="82"/>
    </w:p>
    <w:p w14:paraId="3AC0F258">
      <w:pPr>
        <w:pageBreakBefore w:val="0"/>
        <w:kinsoku/>
        <w:overflowPunct/>
        <w:topLinePunct w:val="0"/>
        <w:bidi w:val="0"/>
        <w:adjustRightInd/>
        <w:snapToGrid/>
        <w:spacing w:line="360" w:lineRule="auto"/>
        <w:ind w:firstLine="482"/>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招标人应当自定标结束后在招标公告发布媒介发布中标公示。中标公示期限为</w:t>
      </w:r>
      <w:r>
        <w:rPr>
          <w:rFonts w:hint="eastAsia" w:ascii="仿宋" w:hAnsi="仿宋" w:eastAsia="仿宋" w:cs="仿宋"/>
          <w:color w:val="000000" w:themeColor="text1"/>
          <w:sz w:val="28"/>
          <w:highlight w:val="none"/>
          <w:lang w:val="en-US" w:eastAsia="zh-CN"/>
          <w14:textFill>
            <w14:solidFill>
              <w14:schemeClr w14:val="tx1"/>
            </w14:solidFill>
          </w14:textFill>
        </w:rPr>
        <w:t>1工作</w:t>
      </w:r>
      <w:r>
        <w:rPr>
          <w:rFonts w:hint="eastAsia" w:ascii="仿宋" w:hAnsi="仿宋" w:eastAsia="仿宋" w:cs="仿宋"/>
          <w:color w:val="000000" w:themeColor="text1"/>
          <w:sz w:val="28"/>
          <w:highlight w:val="none"/>
          <w14:textFill>
            <w14:solidFill>
              <w14:schemeClr w14:val="tx1"/>
            </w14:solidFill>
          </w14:textFill>
        </w:rPr>
        <w:t>日。</w:t>
      </w:r>
    </w:p>
    <w:p w14:paraId="098F3C84">
      <w:pPr>
        <w:pStyle w:val="4"/>
        <w:pageBreakBefore w:val="0"/>
        <w:kinsoku/>
        <w:overflowPunct/>
        <w:topLinePunct w:val="0"/>
        <w:bidi w:val="0"/>
        <w:adjustRightInd/>
        <w:snapToGrid/>
        <w:spacing w:before="0" w:after="0" w:line="360" w:lineRule="auto"/>
        <w:rPr>
          <w:rStyle w:val="431"/>
          <w:rFonts w:hint="eastAsia" w:ascii="仿宋" w:hAnsi="仿宋" w:eastAsia="仿宋" w:cs="仿宋"/>
          <w:b/>
          <w:bCs/>
          <w:color w:val="000000" w:themeColor="text1"/>
          <w:kern w:val="2"/>
          <w:sz w:val="28"/>
          <w:szCs w:val="32"/>
          <w:highlight w:val="none"/>
          <w14:textFill>
            <w14:solidFill>
              <w14:schemeClr w14:val="tx1"/>
            </w14:solidFill>
          </w14:textFill>
        </w:rPr>
      </w:pPr>
      <w:bookmarkStart w:id="83" w:name="_Toc26618"/>
      <w:r>
        <w:rPr>
          <w:rStyle w:val="431"/>
          <w:rFonts w:hint="eastAsia" w:ascii="仿宋" w:hAnsi="仿宋" w:eastAsia="仿宋" w:cs="仿宋"/>
          <w:b/>
          <w:bCs/>
          <w:color w:val="000000" w:themeColor="text1"/>
          <w:kern w:val="2"/>
          <w:sz w:val="28"/>
          <w:szCs w:val="32"/>
          <w:highlight w:val="none"/>
          <w14:textFill>
            <w14:solidFill>
              <w14:schemeClr w14:val="tx1"/>
            </w14:solidFill>
          </w14:textFill>
        </w:rPr>
        <w:t>六、签发中标通知书</w:t>
      </w:r>
      <w:bookmarkEnd w:id="83"/>
    </w:p>
    <w:p w14:paraId="7A653A79">
      <w:pPr>
        <w:pageBreakBefore w:val="0"/>
        <w:kinsoku/>
        <w:overflowPunct/>
        <w:topLinePunct w:val="0"/>
        <w:bidi w:val="0"/>
        <w:adjustRightInd/>
        <w:snapToGrid/>
        <w:spacing w:line="360" w:lineRule="auto"/>
        <w:ind w:firstLine="482"/>
        <w:rPr>
          <w:rFonts w:hint="eastAsia" w:ascii="仿宋" w:hAnsi="仿宋" w:eastAsia="仿宋" w:cs="仿宋"/>
          <w:color w:val="000000" w:themeColor="text1"/>
          <w:sz w:val="28"/>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中标公示结束且无尚未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0EF7C1F2">
      <w:pPr>
        <w:pStyle w:val="4"/>
        <w:pageBreakBefore w:val="0"/>
        <w:kinsoku/>
        <w:overflowPunct/>
        <w:topLinePunct w:val="0"/>
        <w:bidi w:val="0"/>
        <w:adjustRightInd/>
        <w:snapToGrid/>
        <w:spacing w:before="0" w:after="0" w:line="360" w:lineRule="auto"/>
        <w:rPr>
          <w:rStyle w:val="431"/>
          <w:rFonts w:hint="eastAsia" w:ascii="仿宋" w:hAnsi="仿宋" w:eastAsia="仿宋" w:cs="仿宋"/>
          <w:b/>
          <w:bCs/>
          <w:color w:val="000000" w:themeColor="text1"/>
          <w:kern w:val="2"/>
          <w:sz w:val="28"/>
          <w:szCs w:val="32"/>
          <w:highlight w:val="none"/>
          <w14:textFill>
            <w14:solidFill>
              <w14:schemeClr w14:val="tx1"/>
            </w14:solidFill>
          </w14:textFill>
        </w:rPr>
      </w:pPr>
      <w:bookmarkStart w:id="84" w:name="_Toc28907"/>
      <w:r>
        <w:rPr>
          <w:rStyle w:val="431"/>
          <w:rFonts w:hint="eastAsia" w:ascii="仿宋" w:hAnsi="仿宋" w:eastAsia="仿宋" w:cs="仿宋"/>
          <w:b/>
          <w:bCs/>
          <w:color w:val="000000" w:themeColor="text1"/>
          <w:kern w:val="2"/>
          <w:sz w:val="28"/>
          <w:szCs w:val="32"/>
          <w:highlight w:val="none"/>
          <w14:textFill>
            <w14:solidFill>
              <w14:schemeClr w14:val="tx1"/>
            </w14:solidFill>
          </w14:textFill>
        </w:rPr>
        <w:t>七、签订合同</w:t>
      </w:r>
      <w:bookmarkEnd w:id="84"/>
    </w:p>
    <w:p w14:paraId="25CA6F21">
      <w:pPr>
        <w:pageBreakBefore w:val="0"/>
        <w:kinsoku/>
        <w:overflowPunct/>
        <w:topLinePunct w:val="0"/>
        <w:bidi w:val="0"/>
        <w:adjustRightInd/>
        <w:snapToGrid/>
        <w:spacing w:line="360" w:lineRule="auto"/>
        <w:ind w:firstLine="482"/>
        <w:rPr>
          <w:rFonts w:hint="eastAsia" w:ascii="仿宋" w:hAnsi="仿宋" w:eastAsia="仿宋" w:cs="仿宋"/>
          <w:color w:val="000000" w:themeColor="text1"/>
          <w:sz w:val="28"/>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1.中标合同原则以第六章合同（范本）为基础，并根据响应、答疑情况进行修改补充，自签订之日起生效。</w:t>
      </w:r>
    </w:p>
    <w:p w14:paraId="39C736A8">
      <w:pPr>
        <w:pageBreakBefore w:val="0"/>
        <w:kinsoku/>
        <w:overflowPunct/>
        <w:topLinePunct w:val="0"/>
        <w:bidi w:val="0"/>
        <w:adjustRightInd/>
        <w:snapToGrid/>
        <w:spacing w:line="360" w:lineRule="auto"/>
        <w:ind w:firstLine="482"/>
        <w:rPr>
          <w:rFonts w:hint="eastAsia" w:ascii="仿宋" w:hAnsi="仿宋" w:eastAsia="仿宋" w:cs="仿宋"/>
          <w:color w:val="000000" w:themeColor="text1"/>
          <w:sz w:val="28"/>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2.中标人在规定的期限内无正当理由拒绝签订合同，招标人可以按照评审报告名单排序，确定下一</w:t>
      </w:r>
      <w:r>
        <w:rPr>
          <w:rFonts w:hint="eastAsia" w:ascii="仿宋" w:hAnsi="仿宋" w:eastAsia="仿宋" w:cs="仿宋"/>
          <w:color w:val="000000" w:themeColor="text1"/>
          <w:sz w:val="28"/>
          <w:highlight w:val="none"/>
          <w:lang w:val="en-US" w:eastAsia="zh-CN"/>
          <w14:textFill>
            <w14:solidFill>
              <w14:schemeClr w14:val="tx1"/>
            </w14:solidFill>
          </w14:textFill>
        </w:rPr>
        <w:t>名</w:t>
      </w:r>
      <w:r>
        <w:rPr>
          <w:rFonts w:hint="eastAsia" w:ascii="仿宋" w:hAnsi="仿宋" w:eastAsia="仿宋" w:cs="仿宋"/>
          <w:color w:val="000000" w:themeColor="text1"/>
          <w:sz w:val="28"/>
          <w:highlight w:val="none"/>
          <w14:textFill>
            <w14:solidFill>
              <w14:schemeClr w14:val="tx1"/>
            </w14:solidFill>
          </w14:textFill>
        </w:rPr>
        <w:t>为中标人，也可以重新开展招标活动。</w:t>
      </w:r>
    </w:p>
    <w:p w14:paraId="5714DB4C">
      <w:pPr>
        <w:pageBreakBefore w:val="0"/>
        <w:kinsoku/>
        <w:overflowPunct/>
        <w:topLinePunct w:val="0"/>
        <w:bidi w:val="0"/>
        <w:adjustRightInd/>
        <w:snapToGrid/>
        <w:spacing w:line="360" w:lineRule="auto"/>
        <w:ind w:firstLine="482"/>
        <w:rPr>
          <w:rFonts w:hint="eastAsia" w:ascii="仿宋" w:hAnsi="仿宋" w:eastAsia="仿宋" w:cs="仿宋"/>
          <w:color w:val="000000" w:themeColor="text1"/>
          <w:sz w:val="28"/>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3.中标合同，按照监督部门的要求，通过威海市国有企业阳光采购电子化服务平台进行签订。</w:t>
      </w:r>
    </w:p>
    <w:p w14:paraId="7467957C">
      <w:pPr>
        <w:pageBreakBefore w:val="0"/>
        <w:widowControl/>
        <w:kinsoku/>
        <w:overflowPunct/>
        <w:topLinePunct w:val="0"/>
        <w:bidi w:val="0"/>
        <w:adjustRightInd/>
        <w:snapToGrid/>
        <w:jc w:val="left"/>
        <w:rPr>
          <w:rFonts w:hint="eastAsia" w:ascii="仿宋" w:hAnsi="仿宋" w:eastAsia="仿宋" w:cs="仿宋"/>
          <w:b/>
          <w:bCs/>
          <w:caps/>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br w:type="page"/>
      </w:r>
    </w:p>
    <w:bookmarkEnd w:id="75"/>
    <w:bookmarkEnd w:id="76"/>
    <w:bookmarkEnd w:id="77"/>
    <w:p w14:paraId="20E75EDC">
      <w:pPr>
        <w:pStyle w:val="3"/>
        <w:pageBreakBefore w:val="0"/>
        <w:kinsoku/>
        <w:overflowPunct/>
        <w:topLinePunct w:val="0"/>
        <w:bidi w:val="0"/>
        <w:adjustRightInd/>
        <w:snapToGrid/>
        <w:jc w:val="center"/>
        <w:rPr>
          <w:rFonts w:hint="eastAsia" w:ascii="仿宋" w:hAnsi="仿宋" w:eastAsia="仿宋" w:cs="仿宋"/>
          <w:color w:val="000000" w:themeColor="text1"/>
          <w:highlight w:val="none"/>
          <w14:textFill>
            <w14:solidFill>
              <w14:schemeClr w14:val="tx1"/>
            </w14:solidFill>
          </w14:textFill>
        </w:rPr>
      </w:pPr>
      <w:bookmarkStart w:id="85" w:name="_Toc20012"/>
      <w:bookmarkStart w:id="86" w:name="_Toc66864054"/>
      <w:r>
        <w:rPr>
          <w:rFonts w:hint="eastAsia" w:ascii="仿宋" w:hAnsi="仿宋" w:eastAsia="仿宋" w:cs="仿宋"/>
          <w:color w:val="000000" w:themeColor="text1"/>
          <w:highlight w:val="none"/>
          <w14:textFill>
            <w14:solidFill>
              <w14:schemeClr w14:val="tx1"/>
            </w14:solidFill>
          </w14:textFill>
        </w:rPr>
        <w:t>第四章  采购项目说明</w:t>
      </w:r>
      <w:bookmarkEnd w:id="85"/>
    </w:p>
    <w:p w14:paraId="5ED81E32">
      <w:pPr>
        <w:keepNext w:val="0"/>
        <w:keepLines w:val="0"/>
        <w:pageBreakBefore w:val="0"/>
        <w:kinsoku/>
        <w:wordWrap/>
        <w:overflowPunct/>
        <w:topLinePunct w:val="0"/>
        <w:autoSpaceDE/>
        <w:autoSpaceDN/>
        <w:bidi w:val="0"/>
        <w:adjustRightInd/>
        <w:snapToGrid/>
        <w:spacing w:line="360" w:lineRule="auto"/>
        <w:ind w:firstLine="482" w:firstLineChars="0"/>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一、</w:t>
      </w:r>
      <w:r>
        <w:rPr>
          <w:rFonts w:hint="eastAsia" w:ascii="仿宋" w:hAnsi="仿宋" w:eastAsia="仿宋" w:cs="仿宋"/>
          <w:b/>
          <w:bCs/>
          <w:color w:val="auto"/>
          <w:sz w:val="28"/>
          <w:szCs w:val="28"/>
          <w:highlight w:val="none"/>
        </w:rPr>
        <w:t>项目概况：</w:t>
      </w:r>
    </w:p>
    <w:p w14:paraId="5354CB9B">
      <w:pPr>
        <w:keepNext w:val="0"/>
        <w:keepLines w:val="0"/>
        <w:pageBreakBefore w:val="0"/>
        <w:kinsoku/>
        <w:wordWrap/>
        <w:overflowPunct/>
        <w:topLinePunct w:val="0"/>
        <w:autoSpaceDE/>
        <w:autoSpaceDN/>
        <w:bidi w:val="0"/>
        <w:adjustRightInd/>
        <w:snapToGrid/>
        <w:spacing w:line="360" w:lineRule="auto"/>
        <w:ind w:firstLine="482" w:firstLineChars="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通过公开招标的方式，选定三家五金杂品及劳保用品供应单位。</w:t>
      </w:r>
    </w:p>
    <w:p w14:paraId="35CC9178">
      <w:pPr>
        <w:keepNext w:val="0"/>
        <w:keepLines w:val="0"/>
        <w:pageBreakBefore w:val="0"/>
        <w:kinsoku/>
        <w:wordWrap/>
        <w:overflowPunct/>
        <w:topLinePunct w:val="0"/>
        <w:autoSpaceDE/>
        <w:autoSpaceDN/>
        <w:bidi w:val="0"/>
        <w:adjustRightInd/>
        <w:snapToGrid/>
        <w:spacing w:line="360" w:lineRule="auto"/>
        <w:ind w:firstLine="482" w:firstLineChars="0"/>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二、从入围供应单位中选取供货商的方式：</w:t>
      </w:r>
    </w:p>
    <w:p w14:paraId="43D8D640">
      <w:pPr>
        <w:keepNext w:val="0"/>
        <w:keepLines w:val="0"/>
        <w:pageBreakBefore w:val="0"/>
        <w:kinsoku/>
        <w:wordWrap/>
        <w:overflowPunct/>
        <w:topLinePunct w:val="0"/>
        <w:autoSpaceDE/>
        <w:autoSpaceDN/>
        <w:bidi w:val="0"/>
        <w:adjustRightInd/>
        <w:snapToGrid/>
        <w:spacing w:line="360" w:lineRule="auto"/>
        <w:ind w:firstLine="482" w:firstLineChars="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招标人根据实际需要在询价平台公开询价，入围供应商在平台报价，单价最低者确定为标的供应商。</w:t>
      </w:r>
    </w:p>
    <w:p w14:paraId="33100571">
      <w:pPr>
        <w:keepNext w:val="0"/>
        <w:keepLines w:val="0"/>
        <w:pageBreakBefore w:val="0"/>
        <w:kinsoku/>
        <w:wordWrap/>
        <w:overflowPunct/>
        <w:topLinePunct w:val="0"/>
        <w:autoSpaceDE/>
        <w:autoSpaceDN/>
        <w:bidi w:val="0"/>
        <w:adjustRightInd/>
        <w:snapToGrid/>
        <w:spacing w:line="360" w:lineRule="auto"/>
        <w:ind w:firstLine="482" w:firstLineChars="0"/>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三、服务期限：</w:t>
      </w:r>
    </w:p>
    <w:p w14:paraId="23BFE1C8">
      <w:pPr>
        <w:keepNext w:val="0"/>
        <w:keepLines w:val="0"/>
        <w:pageBreakBefore w:val="0"/>
        <w:kinsoku/>
        <w:wordWrap/>
        <w:overflowPunct/>
        <w:topLinePunct w:val="0"/>
        <w:autoSpaceDE/>
        <w:autoSpaceDN/>
        <w:bidi w:val="0"/>
        <w:adjustRightInd/>
        <w:snapToGrid/>
        <w:spacing w:line="360" w:lineRule="auto"/>
        <w:ind w:firstLine="482" w:firstLineChars="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自合同签订之日起2年。</w:t>
      </w:r>
    </w:p>
    <w:p w14:paraId="55F48392">
      <w:pPr>
        <w:keepNext w:val="0"/>
        <w:keepLines w:val="0"/>
        <w:pageBreakBefore w:val="0"/>
        <w:kinsoku/>
        <w:wordWrap/>
        <w:overflowPunct/>
        <w:topLinePunct w:val="0"/>
        <w:autoSpaceDE/>
        <w:autoSpaceDN/>
        <w:bidi w:val="0"/>
        <w:adjustRightInd/>
        <w:snapToGrid/>
        <w:spacing w:line="360" w:lineRule="auto"/>
        <w:ind w:firstLine="482" w:firstLineChars="0"/>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四、采购要求：</w:t>
      </w:r>
    </w:p>
    <w:p w14:paraId="2DB86F15">
      <w:pPr>
        <w:keepNext w:val="0"/>
        <w:keepLines w:val="0"/>
        <w:pageBreakBefore w:val="0"/>
        <w:kinsoku/>
        <w:wordWrap/>
        <w:overflowPunct/>
        <w:topLinePunct w:val="0"/>
        <w:autoSpaceDE/>
        <w:autoSpaceDN/>
        <w:bidi w:val="0"/>
        <w:adjustRightInd/>
        <w:snapToGrid/>
        <w:spacing w:line="360" w:lineRule="auto"/>
        <w:ind w:firstLine="482" w:firstLineChars="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采购及交货要求：招标人将通过特定线上平台进行询价和采购，中标人需在线上平台回应招标人，并愿意根据需求进行灵活调整和改进；如月内超过5次不参与报价的，招标人有权取消其入围资格。中标人要按照招标人要求时间、地点交付货物；如果有特殊情况导致交货延迟，中标人需提前通知招标人并给出合理解决方案；如月内超过5次未能准时交付的，招标人有权解除合同。</w:t>
      </w:r>
    </w:p>
    <w:p w14:paraId="5397B067">
      <w:pPr>
        <w:keepNext w:val="0"/>
        <w:keepLines w:val="0"/>
        <w:pageBreakBefore w:val="0"/>
        <w:kinsoku/>
        <w:wordWrap/>
        <w:overflowPunct/>
        <w:topLinePunct w:val="0"/>
        <w:autoSpaceDE/>
        <w:autoSpaceDN/>
        <w:bidi w:val="0"/>
        <w:adjustRightInd/>
        <w:snapToGrid/>
        <w:spacing w:line="360" w:lineRule="auto"/>
        <w:ind w:firstLine="482" w:firstLineChars="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2.产品质量及责任要求：中标人所供应的产品需要符合相关质量要求，如不符合要求的，招标人有权拒收，中标人需无条件配合招标人进行退、换货；如中标人所供物资超出招标人订单范围，招标人不予验收。</w:t>
      </w:r>
    </w:p>
    <w:p w14:paraId="0C39C4CC">
      <w:pPr>
        <w:keepNext w:val="0"/>
        <w:keepLines w:val="0"/>
        <w:pageBreakBefore w:val="0"/>
        <w:kinsoku/>
        <w:wordWrap/>
        <w:overflowPunct/>
        <w:topLinePunct w:val="0"/>
        <w:autoSpaceDE/>
        <w:autoSpaceDN/>
        <w:bidi w:val="0"/>
        <w:adjustRightInd/>
        <w:snapToGrid/>
        <w:spacing w:line="360" w:lineRule="auto"/>
        <w:ind w:firstLine="482" w:firstLineChars="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价格要求：中标人所提供的价格不能高于招标人控制价；同时，招标人也会考虑价格与产品质量的平衡；如发现报价存在虚高现象的，需重新报价；如出现超过5次的招标人有权解除合同；中标人不得联合进行报价，一旦发现将解除合同并2年内不再录用。</w:t>
      </w:r>
    </w:p>
    <w:p w14:paraId="7BE02D1C">
      <w:pPr>
        <w:keepNext w:val="0"/>
        <w:keepLines w:val="0"/>
        <w:pageBreakBefore w:val="0"/>
        <w:kinsoku/>
        <w:wordWrap/>
        <w:overflowPunct/>
        <w:topLinePunct w:val="0"/>
        <w:autoSpaceDE/>
        <w:autoSpaceDN/>
        <w:bidi w:val="0"/>
        <w:adjustRightInd/>
        <w:snapToGrid/>
        <w:spacing w:line="360" w:lineRule="auto"/>
        <w:ind w:firstLine="482" w:firstLineChars="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4.供货能力要求：中标人需保证能按照招标人的要求及时供应产品，需有必要的交通工具及驾驶员，确保在招标人需要时能够及时获得产品和产品所需零部件。</w:t>
      </w:r>
    </w:p>
    <w:p w14:paraId="0C073DE3">
      <w:pPr>
        <w:keepNext w:val="0"/>
        <w:keepLines w:val="0"/>
        <w:pageBreakBefore w:val="0"/>
        <w:kinsoku/>
        <w:wordWrap/>
        <w:overflowPunct/>
        <w:topLinePunct w:val="0"/>
        <w:autoSpaceDE/>
        <w:autoSpaceDN/>
        <w:bidi w:val="0"/>
        <w:adjustRightInd/>
        <w:snapToGrid/>
        <w:spacing w:line="360" w:lineRule="auto"/>
        <w:ind w:firstLine="482" w:firstLineChars="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5.样品要求：招标人可能会要求供货商提供样品，以便对产品的外观、质量、性能等进行评估；供货商需要按照要求及时提供符合要求的样品。</w:t>
      </w:r>
    </w:p>
    <w:p w14:paraId="15D89D47">
      <w:pPr>
        <w:keepNext w:val="0"/>
        <w:keepLines w:val="0"/>
        <w:pageBreakBefore w:val="0"/>
        <w:kinsoku/>
        <w:wordWrap/>
        <w:overflowPunct/>
        <w:topLinePunct w:val="0"/>
        <w:autoSpaceDE/>
        <w:autoSpaceDN/>
        <w:bidi w:val="0"/>
        <w:adjustRightInd/>
        <w:snapToGrid/>
        <w:spacing w:line="360" w:lineRule="auto"/>
        <w:ind w:firstLine="482" w:firstLineChars="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6.认证要求：对于某些可能需要特定认证或检测的物品，供货商需具备相应资料；如招标人使用过程中，因产品质量发生事故的，经具有国家检验资质的相关部门对产品鉴定出具检验报告后，确定其因质量问题造成的，由中标人承担全部责任。</w:t>
      </w:r>
    </w:p>
    <w:p w14:paraId="3B6A2596">
      <w:pPr>
        <w:keepNext w:val="0"/>
        <w:keepLines w:val="0"/>
        <w:pageBreakBefore w:val="0"/>
        <w:kinsoku/>
        <w:wordWrap/>
        <w:overflowPunct/>
        <w:topLinePunct w:val="0"/>
        <w:autoSpaceDE/>
        <w:autoSpaceDN/>
        <w:bidi w:val="0"/>
        <w:adjustRightInd/>
        <w:snapToGrid/>
        <w:spacing w:line="360" w:lineRule="auto"/>
        <w:ind w:firstLine="482" w:firstLineChars="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售后服务要求：中标人需要提供完善的售后服务，对于技术含量较高的物品，中标人需有提供相应的技术支持和培训的能力，帮助招标人更好地使用和维护产品，包括退换货、维修等；需积极响应招标人，如发现故意推脱的，招标人有权解除合同。</w:t>
      </w:r>
    </w:p>
    <w:p w14:paraId="0BE30ECD">
      <w:pPr>
        <w:keepNext w:val="0"/>
        <w:keepLines w:val="0"/>
        <w:pageBreakBefore w:val="0"/>
        <w:kinsoku/>
        <w:wordWrap/>
        <w:overflowPunct/>
        <w:topLinePunct w:val="0"/>
        <w:autoSpaceDE/>
        <w:autoSpaceDN/>
        <w:bidi w:val="0"/>
        <w:adjustRightInd/>
        <w:snapToGrid/>
        <w:spacing w:line="360" w:lineRule="auto"/>
        <w:ind w:firstLine="482" w:firstLineChars="0"/>
        <w:textAlignment w:val="auto"/>
        <w:rPr>
          <w:rFonts w:hint="default"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五</w:t>
      </w:r>
      <w:r>
        <w:rPr>
          <w:rFonts w:hint="default" w:ascii="仿宋" w:hAnsi="仿宋" w:eastAsia="仿宋" w:cs="仿宋"/>
          <w:b/>
          <w:bCs/>
          <w:color w:val="auto"/>
          <w:sz w:val="28"/>
          <w:szCs w:val="28"/>
          <w:highlight w:val="none"/>
          <w:lang w:val="en-US" w:eastAsia="zh-CN"/>
        </w:rPr>
        <w:t>、付款方式：</w:t>
      </w:r>
    </w:p>
    <w:p w14:paraId="3A72B32C">
      <w:pPr>
        <w:keepNext w:val="0"/>
        <w:keepLines w:val="0"/>
        <w:pageBreakBefore w:val="0"/>
        <w:kinsoku/>
        <w:wordWrap/>
        <w:overflowPunct/>
        <w:topLinePunct w:val="0"/>
        <w:autoSpaceDE/>
        <w:autoSpaceDN/>
        <w:bidi w:val="0"/>
        <w:adjustRightInd/>
        <w:snapToGrid/>
        <w:spacing w:line="360" w:lineRule="auto"/>
        <w:ind w:firstLine="482" w:firstLineChars="0"/>
        <w:textAlignment w:val="auto"/>
        <w:rPr>
          <w:rFonts w:hint="default" w:ascii="仿宋" w:hAnsi="仿宋" w:eastAsia="仿宋" w:cs="仿宋"/>
          <w:color w:val="auto"/>
          <w:sz w:val="28"/>
          <w:szCs w:val="28"/>
          <w:highlight w:val="none"/>
          <w:lang w:val="en-US" w:eastAsia="zh-CN"/>
        </w:rPr>
      </w:pPr>
      <w:r>
        <w:rPr>
          <w:rFonts w:hint="default" w:ascii="仿宋" w:hAnsi="仿宋" w:eastAsia="仿宋" w:cs="仿宋"/>
          <w:color w:val="auto"/>
          <w:sz w:val="28"/>
          <w:szCs w:val="28"/>
          <w:highlight w:val="none"/>
          <w:lang w:val="en-US" w:eastAsia="zh-CN"/>
        </w:rPr>
        <w:t>1、价款结算：结算时以单价为准，按</w:t>
      </w:r>
      <w:r>
        <w:rPr>
          <w:rFonts w:hint="eastAsia" w:ascii="仿宋" w:hAnsi="仿宋" w:eastAsia="仿宋" w:cs="仿宋"/>
          <w:color w:val="auto"/>
          <w:sz w:val="28"/>
          <w:szCs w:val="28"/>
          <w:highlight w:val="none"/>
          <w:lang w:val="en-US" w:eastAsia="zh-CN"/>
        </w:rPr>
        <w:t>招标人</w:t>
      </w:r>
      <w:r>
        <w:rPr>
          <w:rFonts w:hint="default" w:ascii="仿宋" w:hAnsi="仿宋" w:eastAsia="仿宋" w:cs="仿宋"/>
          <w:color w:val="auto"/>
          <w:sz w:val="28"/>
          <w:szCs w:val="28"/>
          <w:highlight w:val="none"/>
          <w:lang w:val="en-US" w:eastAsia="zh-CN"/>
        </w:rPr>
        <w:t>实际验收数量据实结算。</w:t>
      </w:r>
    </w:p>
    <w:p w14:paraId="542F0075">
      <w:pPr>
        <w:keepNext w:val="0"/>
        <w:keepLines w:val="0"/>
        <w:pageBreakBefore w:val="0"/>
        <w:kinsoku/>
        <w:wordWrap/>
        <w:overflowPunct/>
        <w:topLinePunct w:val="0"/>
        <w:autoSpaceDE/>
        <w:autoSpaceDN/>
        <w:bidi w:val="0"/>
        <w:adjustRightInd/>
        <w:snapToGrid/>
        <w:spacing w:line="360" w:lineRule="auto"/>
        <w:ind w:firstLine="482" w:firstLineChars="0"/>
        <w:textAlignment w:val="auto"/>
        <w:rPr>
          <w:rFonts w:hint="default" w:ascii="仿宋" w:hAnsi="仿宋" w:eastAsia="仿宋" w:cs="仿宋"/>
          <w:color w:val="auto"/>
          <w:sz w:val="28"/>
          <w:szCs w:val="28"/>
          <w:highlight w:val="none"/>
          <w:lang w:val="en-US" w:eastAsia="zh-CN"/>
        </w:rPr>
      </w:pPr>
      <w:r>
        <w:rPr>
          <w:rFonts w:hint="default" w:ascii="仿宋" w:hAnsi="仿宋" w:eastAsia="仿宋" w:cs="仿宋"/>
          <w:color w:val="auto"/>
          <w:sz w:val="28"/>
          <w:szCs w:val="28"/>
          <w:highlight w:val="none"/>
          <w:lang w:val="en-US" w:eastAsia="zh-CN"/>
        </w:rPr>
        <w:t>2、付款方式：每季度采购的物资全部到场并验收合格后，下一季度最后一个月底前拨付上一季度款项到97%，剩余3%货款于合同服务期结束后12个月内无息付清。</w:t>
      </w:r>
    </w:p>
    <w:p w14:paraId="7555D9A6">
      <w:pPr>
        <w:keepNext w:val="0"/>
        <w:keepLines w:val="0"/>
        <w:pageBreakBefore w:val="0"/>
        <w:kinsoku/>
        <w:wordWrap/>
        <w:overflowPunct/>
        <w:topLinePunct w:val="0"/>
        <w:autoSpaceDE/>
        <w:autoSpaceDN/>
        <w:bidi w:val="0"/>
        <w:adjustRightInd/>
        <w:snapToGrid/>
        <w:spacing w:line="360" w:lineRule="auto"/>
        <w:ind w:firstLine="482" w:firstLineChars="0"/>
        <w:textAlignment w:val="auto"/>
        <w:rPr>
          <w:rFonts w:hint="default" w:ascii="仿宋" w:hAnsi="仿宋" w:eastAsia="仿宋" w:cs="仿宋"/>
          <w:color w:val="auto"/>
          <w:sz w:val="28"/>
          <w:szCs w:val="28"/>
          <w:highlight w:val="none"/>
          <w:lang w:val="en-US" w:eastAsia="zh-CN"/>
        </w:rPr>
      </w:pPr>
      <w:r>
        <w:rPr>
          <w:rFonts w:hint="default"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lang w:val="en-US" w:eastAsia="zh-CN"/>
        </w:rPr>
        <w:t>中标人</w:t>
      </w:r>
      <w:r>
        <w:rPr>
          <w:rFonts w:hint="default" w:ascii="仿宋" w:hAnsi="仿宋" w:eastAsia="仿宋" w:cs="仿宋"/>
          <w:color w:val="auto"/>
          <w:sz w:val="28"/>
          <w:szCs w:val="28"/>
          <w:highlight w:val="none"/>
          <w:lang w:val="en-US" w:eastAsia="zh-CN"/>
        </w:rPr>
        <w:t>必须在</w:t>
      </w:r>
      <w:r>
        <w:rPr>
          <w:rFonts w:hint="eastAsia" w:ascii="仿宋" w:hAnsi="仿宋" w:eastAsia="仿宋" w:cs="仿宋"/>
          <w:color w:val="auto"/>
          <w:sz w:val="28"/>
          <w:szCs w:val="28"/>
          <w:highlight w:val="none"/>
          <w:lang w:val="en-US" w:eastAsia="zh-CN"/>
        </w:rPr>
        <w:t>招标人</w:t>
      </w:r>
      <w:r>
        <w:rPr>
          <w:rFonts w:hint="default" w:ascii="仿宋" w:hAnsi="仿宋" w:eastAsia="仿宋" w:cs="仿宋"/>
          <w:color w:val="auto"/>
          <w:sz w:val="28"/>
          <w:szCs w:val="28"/>
          <w:highlight w:val="none"/>
          <w:lang w:val="en-US" w:eastAsia="zh-CN"/>
        </w:rPr>
        <w:t>付款前提供本单位增值税专用发票。</w:t>
      </w:r>
    </w:p>
    <w:bookmarkEnd w:id="86"/>
    <w:p w14:paraId="270A1A3E">
      <w:pPr>
        <w:pageBreakBefore w:val="0"/>
        <w:kinsoku/>
        <w:overflowPunct/>
        <w:topLinePunct w:val="0"/>
        <w:bidi w:val="0"/>
        <w:adjustRightInd/>
        <w:snapToGrid/>
        <w:rPr>
          <w:rFonts w:hint="eastAsia" w:ascii="仿宋" w:hAnsi="仿宋" w:eastAsia="仿宋" w:cs="仿宋"/>
          <w:color w:val="000000" w:themeColor="text1"/>
          <w:highlight w:val="none"/>
          <w14:textFill>
            <w14:solidFill>
              <w14:schemeClr w14:val="tx1"/>
            </w14:solidFill>
          </w14:textFill>
        </w:rPr>
      </w:pPr>
      <w:bookmarkStart w:id="87" w:name="_Hlk525721599"/>
      <w:r>
        <w:rPr>
          <w:rFonts w:hint="eastAsia" w:ascii="仿宋" w:hAnsi="仿宋" w:eastAsia="仿宋" w:cs="仿宋"/>
          <w:color w:val="000000" w:themeColor="text1"/>
          <w:highlight w:val="none"/>
          <w14:textFill>
            <w14:solidFill>
              <w14:schemeClr w14:val="tx1"/>
            </w14:solidFill>
          </w14:textFill>
        </w:rPr>
        <w:br w:type="page"/>
      </w:r>
    </w:p>
    <w:p w14:paraId="25306652">
      <w:pPr>
        <w:pStyle w:val="3"/>
        <w:pageBreakBefore w:val="0"/>
        <w:kinsoku/>
        <w:overflowPunct/>
        <w:topLinePunct w:val="0"/>
        <w:bidi w:val="0"/>
        <w:adjustRightInd/>
        <w:snapToGrid/>
        <w:jc w:val="center"/>
        <w:rPr>
          <w:rFonts w:hint="eastAsia" w:ascii="仿宋" w:hAnsi="仿宋" w:eastAsia="仿宋" w:cs="仿宋"/>
          <w:color w:val="000000" w:themeColor="text1"/>
          <w:highlight w:val="none"/>
          <w14:textFill>
            <w14:solidFill>
              <w14:schemeClr w14:val="tx1"/>
            </w14:solidFill>
          </w14:textFill>
        </w:rPr>
      </w:pPr>
      <w:bookmarkStart w:id="88" w:name="_Toc1695"/>
      <w:r>
        <w:rPr>
          <w:rFonts w:hint="eastAsia" w:ascii="仿宋" w:hAnsi="仿宋" w:eastAsia="仿宋" w:cs="仿宋"/>
          <w:color w:val="000000" w:themeColor="text1"/>
          <w:highlight w:val="none"/>
          <w14:textFill>
            <w14:solidFill>
              <w14:schemeClr w14:val="tx1"/>
            </w14:solidFill>
          </w14:textFill>
        </w:rPr>
        <w:t>第五章  投标文件格式</w:t>
      </w:r>
      <w:bookmarkEnd w:id="88"/>
    </w:p>
    <w:p w14:paraId="00CDB517">
      <w:pPr>
        <w:pageBreakBefore w:val="0"/>
        <w:kinsoku/>
        <w:overflowPunct/>
        <w:topLinePunct w:val="0"/>
        <w:bidi w:val="0"/>
        <w:adjustRightInd/>
        <w:snapToGrid/>
        <w:jc w:val="center"/>
        <w:rPr>
          <w:rFonts w:hint="eastAsia" w:ascii="仿宋" w:hAnsi="仿宋" w:eastAsia="仿宋" w:cs="仿宋"/>
          <w:bCs/>
          <w:color w:val="000000" w:themeColor="text1"/>
          <w:sz w:val="84"/>
          <w:highlight w:val="none"/>
          <w14:textFill>
            <w14:solidFill>
              <w14:schemeClr w14:val="tx1"/>
            </w14:solidFill>
          </w14:textFill>
        </w:rPr>
      </w:pPr>
      <w:r>
        <w:rPr>
          <w:rFonts w:hint="eastAsia" w:ascii="仿宋" w:hAnsi="仿宋" w:eastAsia="仿宋" w:cs="仿宋"/>
          <w:bCs/>
          <w:color w:val="000000" w:themeColor="text1"/>
          <w:sz w:val="84"/>
          <w:highlight w:val="none"/>
          <w14:textFill>
            <w14:solidFill>
              <w14:schemeClr w14:val="tx1"/>
            </w14:solidFill>
          </w14:textFill>
        </w:rPr>
        <w:t>投 标 文 件</w:t>
      </w:r>
    </w:p>
    <w:p w14:paraId="49EEBA8B">
      <w:pPr>
        <w:pageBreakBefore w:val="0"/>
        <w:kinsoku/>
        <w:overflowPunct/>
        <w:topLinePunct w:val="0"/>
        <w:bidi w:val="0"/>
        <w:adjustRightInd/>
        <w:snapToGrid/>
        <w:jc w:val="center"/>
        <w:rPr>
          <w:rFonts w:hint="eastAsia" w:ascii="仿宋" w:hAnsi="仿宋" w:eastAsia="仿宋" w:cs="仿宋"/>
          <w:color w:val="000000" w:themeColor="text1"/>
          <w:sz w:val="72"/>
          <w:highlight w:val="none"/>
          <w14:textFill>
            <w14:solidFill>
              <w14:schemeClr w14:val="tx1"/>
            </w14:solidFill>
          </w14:textFill>
        </w:rPr>
      </w:pPr>
    </w:p>
    <w:p w14:paraId="09B03154">
      <w:pPr>
        <w:pageBreakBefore w:val="0"/>
        <w:kinsoku/>
        <w:overflowPunct/>
        <w:topLinePunct w:val="0"/>
        <w:bidi w:val="0"/>
        <w:adjustRightInd/>
        <w:snapToGrid/>
        <w:jc w:val="center"/>
        <w:rPr>
          <w:rFonts w:hint="eastAsia" w:ascii="仿宋" w:hAnsi="仿宋" w:eastAsia="仿宋" w:cs="仿宋"/>
          <w:color w:val="000000" w:themeColor="text1"/>
          <w:sz w:val="72"/>
          <w:highlight w:val="none"/>
          <w14:textFill>
            <w14:solidFill>
              <w14:schemeClr w14:val="tx1"/>
            </w14:solidFill>
          </w14:textFill>
        </w:rPr>
      </w:pPr>
      <w:r>
        <w:rPr>
          <w:rFonts w:hint="eastAsia" w:ascii="仿宋" w:hAnsi="仿宋" w:eastAsia="仿宋" w:cs="仿宋"/>
          <w:color w:val="000000" w:themeColor="text1"/>
          <w:sz w:val="72"/>
          <w:highlight w:val="none"/>
          <w14:textFill>
            <w14:solidFill>
              <w14:schemeClr w14:val="tx1"/>
            </w14:solidFill>
          </w14:textFill>
        </w:rPr>
        <w:t>（第一册）</w:t>
      </w:r>
    </w:p>
    <w:p w14:paraId="6021C8F3">
      <w:pPr>
        <w:pageBreakBefore w:val="0"/>
        <w:kinsoku/>
        <w:overflowPunct/>
        <w:topLinePunct w:val="0"/>
        <w:bidi w:val="0"/>
        <w:adjustRightInd/>
        <w:snapToGrid/>
        <w:jc w:val="center"/>
        <w:rPr>
          <w:rFonts w:hint="eastAsia" w:ascii="仿宋" w:hAnsi="仿宋" w:eastAsia="仿宋" w:cs="仿宋"/>
          <w:color w:val="000000" w:themeColor="text1"/>
          <w:sz w:val="72"/>
          <w:highlight w:val="none"/>
          <w14:textFill>
            <w14:solidFill>
              <w14:schemeClr w14:val="tx1"/>
            </w14:solidFill>
          </w14:textFill>
        </w:rPr>
      </w:pPr>
    </w:p>
    <w:p w14:paraId="5F35FC63">
      <w:pPr>
        <w:pageBreakBefore w:val="0"/>
        <w:kinsoku/>
        <w:overflowPunct/>
        <w:topLinePunct w:val="0"/>
        <w:bidi w:val="0"/>
        <w:adjustRightInd/>
        <w:snapToGrid/>
        <w:jc w:val="center"/>
        <w:rPr>
          <w:rFonts w:hint="eastAsia" w:ascii="仿宋" w:hAnsi="仿宋" w:eastAsia="仿宋" w:cs="仿宋"/>
          <w:color w:val="000000" w:themeColor="text1"/>
          <w:sz w:val="72"/>
          <w:highlight w:val="none"/>
          <w14:textFill>
            <w14:solidFill>
              <w14:schemeClr w14:val="tx1"/>
            </w14:solidFill>
          </w14:textFill>
        </w:rPr>
      </w:pPr>
    </w:p>
    <w:p w14:paraId="506B857D">
      <w:pPr>
        <w:pageBreakBefore w:val="0"/>
        <w:kinsoku/>
        <w:overflowPunct/>
        <w:topLinePunct w:val="0"/>
        <w:bidi w:val="0"/>
        <w:adjustRightInd/>
        <w:snapToGrid/>
        <w:ind w:firstLine="1080" w:firstLineChars="300"/>
        <w:jc w:val="left"/>
        <w:rPr>
          <w:rFonts w:hint="eastAsia" w:ascii="仿宋" w:hAnsi="仿宋" w:eastAsia="仿宋" w:cs="仿宋"/>
          <w:color w:val="000000" w:themeColor="text1"/>
          <w:sz w:val="36"/>
          <w:szCs w:val="36"/>
          <w:highlight w:val="none"/>
          <w14:textFill>
            <w14:solidFill>
              <w14:schemeClr w14:val="tx1"/>
            </w14:solidFill>
          </w14:textFill>
        </w:rPr>
      </w:pPr>
      <w:r>
        <w:rPr>
          <w:rFonts w:hint="eastAsia" w:ascii="仿宋" w:hAnsi="仿宋" w:eastAsia="仿宋" w:cs="仿宋"/>
          <w:bCs/>
          <w:color w:val="000000" w:themeColor="text1"/>
          <w:sz w:val="36"/>
          <w:szCs w:val="36"/>
          <w:highlight w:val="none"/>
          <w14:textFill>
            <w14:solidFill>
              <w14:schemeClr w14:val="tx1"/>
            </w14:solidFill>
          </w14:textFill>
        </w:rPr>
        <w:t>项目名称：</w:t>
      </w:r>
    </w:p>
    <w:p w14:paraId="1AB8C4CD">
      <w:pPr>
        <w:pageBreakBefore w:val="0"/>
        <w:kinsoku/>
        <w:overflowPunct/>
        <w:topLinePunct w:val="0"/>
        <w:bidi w:val="0"/>
        <w:adjustRightInd/>
        <w:snapToGrid/>
        <w:ind w:firstLine="1080" w:firstLineChars="300"/>
        <w:jc w:val="left"/>
        <w:rPr>
          <w:rFonts w:hint="eastAsia" w:ascii="仿宋" w:hAnsi="仿宋" w:eastAsia="仿宋" w:cs="仿宋"/>
          <w:color w:val="000000" w:themeColor="text1"/>
          <w:sz w:val="36"/>
          <w:szCs w:val="36"/>
          <w:highlight w:val="none"/>
          <w14:textFill>
            <w14:solidFill>
              <w14:schemeClr w14:val="tx1"/>
            </w14:solidFill>
          </w14:textFill>
        </w:rPr>
      </w:pPr>
      <w:r>
        <w:rPr>
          <w:rFonts w:hint="eastAsia" w:ascii="仿宋" w:hAnsi="仿宋" w:eastAsia="仿宋" w:cs="仿宋"/>
          <w:bCs/>
          <w:color w:val="000000" w:themeColor="text1"/>
          <w:sz w:val="36"/>
          <w:szCs w:val="36"/>
          <w:highlight w:val="none"/>
          <w14:textFill>
            <w14:solidFill>
              <w14:schemeClr w14:val="tx1"/>
            </w14:solidFill>
          </w14:textFill>
        </w:rPr>
        <w:t>招标编号：</w:t>
      </w:r>
    </w:p>
    <w:p w14:paraId="71980B7A">
      <w:pPr>
        <w:pageBreakBefore w:val="0"/>
        <w:kinsoku/>
        <w:overflowPunct/>
        <w:topLinePunct w:val="0"/>
        <w:bidi w:val="0"/>
        <w:adjustRightInd/>
        <w:snapToGrid/>
        <w:jc w:val="left"/>
        <w:rPr>
          <w:rFonts w:hint="eastAsia" w:ascii="仿宋" w:hAnsi="仿宋" w:eastAsia="仿宋" w:cs="仿宋"/>
          <w:color w:val="000000" w:themeColor="text1"/>
          <w:sz w:val="44"/>
          <w:highlight w:val="none"/>
          <w14:textFill>
            <w14:solidFill>
              <w14:schemeClr w14:val="tx1"/>
            </w14:solidFill>
          </w14:textFill>
        </w:rPr>
      </w:pPr>
    </w:p>
    <w:p w14:paraId="0FEA2AB9">
      <w:pPr>
        <w:pageBreakBefore w:val="0"/>
        <w:kinsoku/>
        <w:overflowPunct/>
        <w:topLinePunct w:val="0"/>
        <w:bidi w:val="0"/>
        <w:adjustRightInd/>
        <w:snapToGrid/>
        <w:jc w:val="left"/>
        <w:rPr>
          <w:rFonts w:hint="eastAsia" w:ascii="仿宋" w:hAnsi="仿宋" w:eastAsia="仿宋" w:cs="仿宋"/>
          <w:color w:val="000000" w:themeColor="text1"/>
          <w:sz w:val="36"/>
          <w:highlight w:val="none"/>
          <w14:textFill>
            <w14:solidFill>
              <w14:schemeClr w14:val="tx1"/>
            </w14:solidFill>
          </w14:textFill>
        </w:rPr>
      </w:pPr>
    </w:p>
    <w:p w14:paraId="3E02E76E">
      <w:pPr>
        <w:pageBreakBefore w:val="0"/>
        <w:tabs>
          <w:tab w:val="left" w:pos="580"/>
        </w:tabs>
        <w:kinsoku/>
        <w:overflowPunct/>
        <w:topLinePunct w:val="0"/>
        <w:bidi w:val="0"/>
        <w:adjustRightInd/>
        <w:snapToGrid/>
        <w:ind w:left="185" w:leftChars="88" w:firstLine="1800" w:firstLineChars="500"/>
        <w:rPr>
          <w:rFonts w:hint="eastAsia" w:ascii="仿宋" w:hAnsi="仿宋" w:eastAsia="仿宋" w:cs="仿宋"/>
          <w:color w:val="000000" w:themeColor="text1"/>
          <w:kern w:val="0"/>
          <w:sz w:val="36"/>
          <w:szCs w:val="21"/>
          <w:highlight w:val="none"/>
          <w14:textFill>
            <w14:solidFill>
              <w14:schemeClr w14:val="tx1"/>
            </w14:solidFill>
          </w14:textFill>
        </w:rPr>
      </w:pPr>
    </w:p>
    <w:p w14:paraId="2D9394FC">
      <w:pPr>
        <w:pageBreakBefore w:val="0"/>
        <w:tabs>
          <w:tab w:val="left" w:pos="580"/>
        </w:tabs>
        <w:kinsoku/>
        <w:overflowPunct/>
        <w:topLinePunct w:val="0"/>
        <w:bidi w:val="0"/>
        <w:adjustRightInd/>
        <w:snapToGrid/>
        <w:ind w:left="185" w:leftChars="88" w:firstLine="1800" w:firstLineChars="500"/>
        <w:rPr>
          <w:rFonts w:hint="eastAsia" w:ascii="仿宋" w:hAnsi="仿宋" w:eastAsia="仿宋" w:cs="仿宋"/>
          <w:color w:val="000000" w:themeColor="text1"/>
          <w:kern w:val="0"/>
          <w:sz w:val="36"/>
          <w:szCs w:val="36"/>
          <w:highlight w:val="none"/>
          <w14:textFill>
            <w14:solidFill>
              <w14:schemeClr w14:val="tx1"/>
            </w14:solidFill>
          </w14:textFill>
        </w:rPr>
      </w:pPr>
    </w:p>
    <w:p w14:paraId="2339F8C7">
      <w:pPr>
        <w:pageBreakBefore w:val="0"/>
        <w:tabs>
          <w:tab w:val="left" w:pos="580"/>
        </w:tabs>
        <w:kinsoku/>
        <w:overflowPunct/>
        <w:topLinePunct w:val="0"/>
        <w:bidi w:val="0"/>
        <w:adjustRightInd/>
        <w:snapToGrid/>
        <w:ind w:firstLine="1800" w:firstLineChars="500"/>
        <w:rPr>
          <w:rFonts w:hint="eastAsia" w:ascii="仿宋" w:hAnsi="仿宋" w:eastAsia="仿宋" w:cs="仿宋"/>
          <w:color w:val="000000" w:themeColor="text1"/>
          <w:kern w:val="0"/>
          <w:sz w:val="36"/>
          <w:szCs w:val="36"/>
          <w:highlight w:val="none"/>
          <w14:textFill>
            <w14:solidFill>
              <w14:schemeClr w14:val="tx1"/>
            </w14:solidFill>
          </w14:textFill>
        </w:rPr>
      </w:pPr>
      <w:r>
        <w:rPr>
          <w:rFonts w:hint="eastAsia" w:ascii="仿宋" w:hAnsi="仿宋" w:eastAsia="仿宋" w:cs="仿宋"/>
          <w:color w:val="000000" w:themeColor="text1"/>
          <w:kern w:val="0"/>
          <w:sz w:val="36"/>
          <w:szCs w:val="36"/>
          <w:highlight w:val="none"/>
          <w14:textFill>
            <w14:solidFill>
              <w14:schemeClr w14:val="tx1"/>
            </w14:solidFill>
          </w14:textFill>
        </w:rPr>
        <w:t>投标人名称：******</w:t>
      </w:r>
    </w:p>
    <w:p w14:paraId="41379C3C">
      <w:pPr>
        <w:pageBreakBefore w:val="0"/>
        <w:tabs>
          <w:tab w:val="left" w:pos="580"/>
        </w:tabs>
        <w:kinsoku/>
        <w:overflowPunct/>
        <w:topLinePunct w:val="0"/>
        <w:bidi w:val="0"/>
        <w:adjustRightInd/>
        <w:snapToGrid/>
        <w:ind w:firstLine="1800" w:firstLineChars="500"/>
        <w:rPr>
          <w:rFonts w:hint="eastAsia" w:ascii="仿宋" w:hAnsi="仿宋" w:eastAsia="仿宋" w:cs="仿宋"/>
          <w:color w:val="000000" w:themeColor="text1"/>
          <w:kern w:val="0"/>
          <w:sz w:val="36"/>
          <w:szCs w:val="36"/>
          <w:highlight w:val="none"/>
          <w14:textFill>
            <w14:solidFill>
              <w14:schemeClr w14:val="tx1"/>
            </w14:solidFill>
          </w14:textFill>
        </w:rPr>
      </w:pPr>
      <w:r>
        <w:rPr>
          <w:rFonts w:hint="eastAsia" w:ascii="仿宋" w:hAnsi="仿宋" w:eastAsia="仿宋" w:cs="仿宋"/>
          <w:color w:val="000000" w:themeColor="text1"/>
          <w:kern w:val="0"/>
          <w:sz w:val="36"/>
          <w:szCs w:val="36"/>
          <w:highlight w:val="none"/>
          <w14:textFill>
            <w14:solidFill>
              <w14:schemeClr w14:val="tx1"/>
            </w14:solidFill>
          </w14:textFill>
        </w:rPr>
        <w:t>日期：   年  月  日</w:t>
      </w:r>
    </w:p>
    <w:p w14:paraId="0C42B42E">
      <w:pPr>
        <w:pageBreakBefore w:val="0"/>
        <w:tabs>
          <w:tab w:val="left" w:pos="580"/>
        </w:tabs>
        <w:kinsoku/>
        <w:overflowPunct/>
        <w:topLinePunct w:val="0"/>
        <w:bidi w:val="0"/>
        <w:adjustRightInd/>
        <w:snapToGrid/>
        <w:ind w:firstLine="1800" w:firstLineChars="500"/>
        <w:rPr>
          <w:rFonts w:hint="eastAsia" w:ascii="仿宋" w:hAnsi="仿宋" w:eastAsia="仿宋" w:cs="仿宋"/>
          <w:color w:val="000000" w:themeColor="text1"/>
          <w:kern w:val="0"/>
          <w:sz w:val="36"/>
          <w:szCs w:val="36"/>
          <w:highlight w:val="none"/>
          <w14:textFill>
            <w14:solidFill>
              <w14:schemeClr w14:val="tx1"/>
            </w14:solidFill>
          </w14:textFill>
        </w:rPr>
      </w:pPr>
    </w:p>
    <w:p w14:paraId="128A1929">
      <w:pPr>
        <w:pStyle w:val="19"/>
        <w:pageBreakBefore w:val="0"/>
        <w:kinsoku/>
        <w:overflowPunct/>
        <w:topLinePunct w:val="0"/>
        <w:bidi w:val="0"/>
        <w:adjustRightInd/>
        <w:snapToGrid/>
        <w:rPr>
          <w:rFonts w:hint="eastAsia" w:ascii="仿宋" w:hAnsi="仿宋" w:eastAsia="仿宋" w:cs="仿宋"/>
          <w:color w:val="000000" w:themeColor="text1"/>
          <w:highlight w:val="none"/>
          <w14:textFill>
            <w14:solidFill>
              <w14:schemeClr w14:val="tx1"/>
            </w14:solidFill>
          </w14:textFill>
        </w:rPr>
      </w:pPr>
    </w:p>
    <w:p w14:paraId="406DD356">
      <w:pPr>
        <w:pStyle w:val="28"/>
        <w:pageBreakBefore w:val="0"/>
        <w:kinsoku/>
        <w:overflowPunct/>
        <w:topLinePunct w:val="0"/>
        <w:bidi w:val="0"/>
        <w:adjustRightInd/>
        <w:snapToGrid/>
        <w:ind w:left="5250"/>
        <w:rPr>
          <w:rFonts w:hint="eastAsia" w:ascii="仿宋" w:hAnsi="仿宋" w:eastAsia="仿宋" w:cs="仿宋"/>
          <w:highlight w:val="none"/>
        </w:rPr>
      </w:pPr>
    </w:p>
    <w:p w14:paraId="2E91996B">
      <w:pPr>
        <w:pStyle w:val="19"/>
        <w:pageBreakBefore w:val="0"/>
        <w:kinsoku/>
        <w:overflowPunct/>
        <w:topLinePunct w:val="0"/>
        <w:bidi w:val="0"/>
        <w:adjustRightInd/>
        <w:snapToGrid/>
        <w:rPr>
          <w:rFonts w:hint="eastAsia" w:ascii="仿宋" w:hAnsi="仿宋" w:eastAsia="仿宋" w:cs="仿宋"/>
          <w:color w:val="000000" w:themeColor="text1"/>
          <w:highlight w:val="none"/>
          <w14:textFill>
            <w14:solidFill>
              <w14:schemeClr w14:val="tx1"/>
            </w14:solidFill>
          </w14:textFill>
        </w:rPr>
      </w:pPr>
    </w:p>
    <w:p w14:paraId="67CC4B4A">
      <w:pPr>
        <w:pageBreakBefore w:val="0"/>
        <w:kinsoku/>
        <w:overflowPunct/>
        <w:topLinePunct w:val="0"/>
        <w:bidi w:val="0"/>
        <w:adjustRightInd/>
        <w:snapToGrid/>
        <w:rPr>
          <w:rFonts w:hint="eastAsia" w:ascii="仿宋" w:hAnsi="仿宋" w:eastAsia="仿宋" w:cs="仿宋"/>
          <w:highlight w:val="none"/>
        </w:rPr>
      </w:pPr>
    </w:p>
    <w:p w14:paraId="0E2AA32B">
      <w:pPr>
        <w:pStyle w:val="19"/>
        <w:pageBreakBefore w:val="0"/>
        <w:kinsoku/>
        <w:overflowPunct/>
        <w:topLinePunct w:val="0"/>
        <w:bidi w:val="0"/>
        <w:adjustRightInd/>
        <w:snapToGrid/>
        <w:rPr>
          <w:rFonts w:hint="eastAsia" w:ascii="仿宋" w:hAnsi="仿宋" w:eastAsia="仿宋" w:cs="仿宋"/>
          <w:highlight w:val="none"/>
        </w:rPr>
      </w:pPr>
    </w:p>
    <w:p w14:paraId="4E538282">
      <w:pPr>
        <w:pageBreakBefore w:val="0"/>
        <w:kinsoku/>
        <w:overflowPunct/>
        <w:topLinePunct w:val="0"/>
        <w:bidi w:val="0"/>
        <w:adjustRightInd/>
        <w:snapToGrid/>
        <w:jc w:val="center"/>
        <w:rPr>
          <w:rFonts w:hint="eastAsia" w:ascii="仿宋" w:hAnsi="仿宋" w:eastAsia="仿宋" w:cs="仿宋"/>
          <w:color w:val="000000" w:themeColor="text1"/>
          <w:sz w:val="44"/>
          <w:szCs w:val="44"/>
          <w:highlight w:val="none"/>
          <w14:textFill>
            <w14:solidFill>
              <w14:schemeClr w14:val="tx1"/>
            </w14:solidFill>
          </w14:textFill>
        </w:rPr>
      </w:pPr>
      <w:r>
        <w:rPr>
          <w:rFonts w:hint="eastAsia" w:ascii="仿宋" w:hAnsi="仿宋" w:eastAsia="仿宋" w:cs="仿宋"/>
          <w:color w:val="000000" w:themeColor="text1"/>
          <w:sz w:val="44"/>
          <w:szCs w:val="44"/>
          <w:highlight w:val="none"/>
          <w14:textFill>
            <w14:solidFill>
              <w14:schemeClr w14:val="tx1"/>
            </w14:solidFill>
          </w14:textFill>
        </w:rPr>
        <w:t>目录</w:t>
      </w:r>
    </w:p>
    <w:p w14:paraId="04C8FED5">
      <w:pPr>
        <w:pageBreakBefore w:val="0"/>
        <w:kinsoku/>
        <w:overflowPunct/>
        <w:topLinePunct w:val="0"/>
        <w:bidi w:val="0"/>
        <w:adjustRightInd/>
        <w:snapToGrid/>
        <w:jc w:val="center"/>
        <w:rPr>
          <w:rFonts w:hint="eastAsia" w:ascii="仿宋" w:hAnsi="仿宋" w:eastAsia="仿宋" w:cs="仿宋"/>
          <w:b/>
          <w:bCs/>
          <w:color w:val="000000" w:themeColor="text1"/>
          <w:sz w:val="30"/>
          <w:szCs w:val="30"/>
          <w:highlight w:val="none"/>
          <w14:textFill>
            <w14:solidFill>
              <w14:schemeClr w14:val="tx1"/>
            </w14:solidFill>
          </w14:textFill>
        </w:rPr>
      </w:pPr>
      <w:r>
        <w:rPr>
          <w:rFonts w:hint="eastAsia" w:ascii="仿宋" w:hAnsi="仿宋" w:eastAsia="仿宋" w:cs="仿宋"/>
          <w:b/>
          <w:bCs/>
          <w:color w:val="000000" w:themeColor="text1"/>
          <w:sz w:val="30"/>
          <w:szCs w:val="30"/>
          <w:highlight w:val="none"/>
          <w14:textFill>
            <w14:solidFill>
              <w14:schemeClr w14:val="tx1"/>
            </w14:solidFill>
          </w14:textFill>
        </w:rPr>
        <w:t>（由投标人自行编制）</w:t>
      </w:r>
    </w:p>
    <w:p w14:paraId="1664FFCE">
      <w:pPr>
        <w:pStyle w:val="19"/>
        <w:pageBreakBefore w:val="0"/>
        <w:kinsoku/>
        <w:overflowPunct/>
        <w:topLinePunct w:val="0"/>
        <w:bidi w:val="0"/>
        <w:adjustRightInd/>
        <w:snapToGrid/>
        <w:rPr>
          <w:rFonts w:hint="eastAsia" w:ascii="仿宋" w:hAnsi="仿宋" w:eastAsia="仿宋" w:cs="仿宋"/>
          <w:color w:val="000000" w:themeColor="text1"/>
          <w:highlight w:val="none"/>
          <w14:textFill>
            <w14:solidFill>
              <w14:schemeClr w14:val="tx1"/>
            </w14:solidFill>
          </w14:textFill>
        </w:rPr>
      </w:pPr>
    </w:p>
    <w:p w14:paraId="0EC5D6C1">
      <w:pPr>
        <w:pStyle w:val="28"/>
        <w:pageBreakBefore w:val="0"/>
        <w:kinsoku/>
        <w:overflowPunct/>
        <w:topLinePunct w:val="0"/>
        <w:bidi w:val="0"/>
        <w:adjustRightInd/>
        <w:snapToGrid/>
        <w:ind w:left="5250"/>
        <w:rPr>
          <w:rFonts w:hint="eastAsia" w:ascii="仿宋" w:hAnsi="仿宋" w:eastAsia="仿宋" w:cs="仿宋"/>
          <w:color w:val="000000" w:themeColor="text1"/>
          <w:highlight w:val="none"/>
          <w14:textFill>
            <w14:solidFill>
              <w14:schemeClr w14:val="tx1"/>
            </w14:solidFill>
          </w14:textFill>
        </w:rPr>
      </w:pPr>
    </w:p>
    <w:p w14:paraId="7FA6BB4C">
      <w:pPr>
        <w:pageBreakBefore w:val="0"/>
        <w:kinsoku/>
        <w:overflowPunct/>
        <w:topLinePunct w:val="0"/>
        <w:bidi w:val="0"/>
        <w:adjustRightInd/>
        <w:snapToGrid/>
        <w:rPr>
          <w:rFonts w:hint="eastAsia" w:ascii="仿宋" w:hAnsi="仿宋" w:eastAsia="仿宋" w:cs="仿宋"/>
          <w:color w:val="000000" w:themeColor="text1"/>
          <w:highlight w:val="none"/>
          <w14:textFill>
            <w14:solidFill>
              <w14:schemeClr w14:val="tx1"/>
            </w14:solidFill>
          </w14:textFill>
        </w:rPr>
      </w:pPr>
    </w:p>
    <w:p w14:paraId="310F89B0">
      <w:pPr>
        <w:pStyle w:val="2"/>
        <w:pageBreakBefore w:val="0"/>
        <w:kinsoku/>
        <w:overflowPunct/>
        <w:topLinePunct w:val="0"/>
        <w:bidi w:val="0"/>
        <w:adjustRightInd/>
        <w:snapToGrid/>
        <w:rPr>
          <w:rFonts w:hint="eastAsia" w:ascii="仿宋" w:hAnsi="仿宋" w:eastAsia="仿宋" w:cs="仿宋"/>
          <w:highlight w:val="none"/>
          <w:lang w:eastAsia="zh-CN"/>
        </w:rPr>
      </w:pPr>
    </w:p>
    <w:p w14:paraId="322D921C">
      <w:pPr>
        <w:pStyle w:val="2"/>
        <w:pageBreakBefore w:val="0"/>
        <w:kinsoku/>
        <w:overflowPunct/>
        <w:topLinePunct w:val="0"/>
        <w:bidi w:val="0"/>
        <w:adjustRightInd/>
        <w:snapToGrid/>
        <w:rPr>
          <w:rFonts w:hint="eastAsia" w:ascii="仿宋" w:hAnsi="仿宋" w:eastAsia="仿宋" w:cs="仿宋"/>
          <w:highlight w:val="none"/>
          <w:lang w:eastAsia="zh-CN"/>
        </w:rPr>
      </w:pPr>
    </w:p>
    <w:p w14:paraId="32D72AA7">
      <w:pPr>
        <w:pStyle w:val="2"/>
        <w:pageBreakBefore w:val="0"/>
        <w:kinsoku/>
        <w:overflowPunct/>
        <w:topLinePunct w:val="0"/>
        <w:bidi w:val="0"/>
        <w:adjustRightInd/>
        <w:snapToGrid/>
        <w:rPr>
          <w:rFonts w:hint="eastAsia" w:ascii="仿宋" w:hAnsi="仿宋" w:eastAsia="仿宋" w:cs="仿宋"/>
          <w:highlight w:val="none"/>
          <w:lang w:eastAsia="zh-CN"/>
        </w:rPr>
      </w:pPr>
    </w:p>
    <w:p w14:paraId="0B4B98F4">
      <w:pPr>
        <w:pStyle w:val="2"/>
        <w:pageBreakBefore w:val="0"/>
        <w:kinsoku/>
        <w:overflowPunct/>
        <w:topLinePunct w:val="0"/>
        <w:bidi w:val="0"/>
        <w:adjustRightInd/>
        <w:snapToGrid/>
        <w:rPr>
          <w:rFonts w:hint="eastAsia" w:ascii="仿宋" w:hAnsi="仿宋" w:eastAsia="仿宋" w:cs="仿宋"/>
          <w:highlight w:val="none"/>
          <w:lang w:eastAsia="zh-CN"/>
        </w:rPr>
      </w:pPr>
    </w:p>
    <w:p w14:paraId="33B62F60">
      <w:pPr>
        <w:pStyle w:val="2"/>
        <w:pageBreakBefore w:val="0"/>
        <w:kinsoku/>
        <w:overflowPunct/>
        <w:topLinePunct w:val="0"/>
        <w:bidi w:val="0"/>
        <w:adjustRightInd/>
        <w:snapToGrid/>
        <w:rPr>
          <w:rFonts w:hint="eastAsia" w:ascii="仿宋" w:hAnsi="仿宋" w:eastAsia="仿宋" w:cs="仿宋"/>
          <w:highlight w:val="none"/>
          <w:lang w:eastAsia="zh-CN"/>
        </w:rPr>
      </w:pPr>
    </w:p>
    <w:p w14:paraId="00C73EF4">
      <w:pPr>
        <w:pStyle w:val="2"/>
        <w:pageBreakBefore w:val="0"/>
        <w:kinsoku/>
        <w:overflowPunct/>
        <w:topLinePunct w:val="0"/>
        <w:bidi w:val="0"/>
        <w:adjustRightInd/>
        <w:snapToGrid/>
        <w:rPr>
          <w:rFonts w:hint="eastAsia" w:ascii="仿宋" w:hAnsi="仿宋" w:eastAsia="仿宋" w:cs="仿宋"/>
          <w:highlight w:val="none"/>
          <w:lang w:eastAsia="zh-CN"/>
        </w:rPr>
      </w:pPr>
    </w:p>
    <w:p w14:paraId="0236CE8E">
      <w:pPr>
        <w:pStyle w:val="2"/>
        <w:pageBreakBefore w:val="0"/>
        <w:kinsoku/>
        <w:overflowPunct/>
        <w:topLinePunct w:val="0"/>
        <w:bidi w:val="0"/>
        <w:adjustRightInd/>
        <w:snapToGrid/>
        <w:rPr>
          <w:rFonts w:hint="eastAsia" w:ascii="仿宋" w:hAnsi="仿宋" w:eastAsia="仿宋" w:cs="仿宋"/>
          <w:highlight w:val="none"/>
          <w:lang w:eastAsia="zh-CN"/>
        </w:rPr>
      </w:pPr>
    </w:p>
    <w:p w14:paraId="60BD0EC0">
      <w:pPr>
        <w:pStyle w:val="2"/>
        <w:pageBreakBefore w:val="0"/>
        <w:kinsoku/>
        <w:overflowPunct/>
        <w:topLinePunct w:val="0"/>
        <w:bidi w:val="0"/>
        <w:adjustRightInd/>
        <w:snapToGrid/>
        <w:rPr>
          <w:rFonts w:hint="eastAsia" w:ascii="仿宋" w:hAnsi="仿宋" w:eastAsia="仿宋" w:cs="仿宋"/>
          <w:highlight w:val="none"/>
          <w:lang w:eastAsia="zh-CN"/>
        </w:rPr>
      </w:pPr>
    </w:p>
    <w:p w14:paraId="0725D026">
      <w:pPr>
        <w:pageBreakBefore w:val="0"/>
        <w:kinsoku/>
        <w:overflowPunct/>
        <w:topLinePunct w:val="0"/>
        <w:bidi w:val="0"/>
        <w:adjustRightInd/>
        <w:snapToGrid/>
        <w:spacing w:line="360" w:lineRule="auto"/>
        <w:ind w:right="1204"/>
        <w:jc w:val="center"/>
        <w:rPr>
          <w:rFonts w:hint="eastAsia" w:ascii="仿宋" w:hAnsi="仿宋" w:eastAsia="仿宋" w:cs="仿宋"/>
          <w:bCs/>
          <w:color w:val="000000" w:themeColor="text1"/>
          <w:sz w:val="44"/>
          <w:szCs w:val="32"/>
          <w:highlight w:val="none"/>
          <w14:textFill>
            <w14:solidFill>
              <w14:schemeClr w14:val="tx1"/>
            </w14:solidFill>
          </w14:textFill>
        </w:rPr>
      </w:pPr>
      <w:bookmarkStart w:id="89" w:name="_Toc524682807"/>
    </w:p>
    <w:p w14:paraId="32E37A87">
      <w:pPr>
        <w:rPr>
          <w:rFonts w:hint="eastAsia" w:ascii="仿宋" w:hAnsi="仿宋" w:eastAsia="仿宋" w:cs="仿宋"/>
          <w:bCs/>
          <w:color w:val="000000" w:themeColor="text1"/>
          <w:sz w:val="44"/>
          <w:szCs w:val="32"/>
          <w:highlight w:val="none"/>
          <w14:textFill>
            <w14:solidFill>
              <w14:schemeClr w14:val="tx1"/>
            </w14:solidFill>
          </w14:textFill>
        </w:rPr>
      </w:pPr>
      <w:r>
        <w:rPr>
          <w:rFonts w:hint="eastAsia" w:ascii="仿宋" w:hAnsi="仿宋" w:eastAsia="仿宋" w:cs="仿宋"/>
          <w:bCs/>
          <w:color w:val="000000" w:themeColor="text1"/>
          <w:sz w:val="44"/>
          <w:szCs w:val="32"/>
          <w:highlight w:val="none"/>
          <w14:textFill>
            <w14:solidFill>
              <w14:schemeClr w14:val="tx1"/>
            </w14:solidFill>
          </w14:textFill>
        </w:rPr>
        <w:br w:type="page"/>
      </w:r>
    </w:p>
    <w:p w14:paraId="63E53837">
      <w:pPr>
        <w:keepNext w:val="0"/>
        <w:keepLines w:val="0"/>
        <w:pageBreakBefore w:val="0"/>
        <w:widowControl w:val="0"/>
        <w:kinsoku/>
        <w:wordWrap/>
        <w:overflowPunct/>
        <w:topLinePunct w:val="0"/>
        <w:autoSpaceDE/>
        <w:autoSpaceDN/>
        <w:bidi w:val="0"/>
        <w:adjustRightInd/>
        <w:snapToGrid/>
        <w:spacing w:line="360" w:lineRule="auto"/>
        <w:ind w:right="0"/>
        <w:jc w:val="center"/>
        <w:textAlignment w:val="auto"/>
        <w:rPr>
          <w:rFonts w:hint="eastAsia" w:ascii="仿宋" w:hAnsi="仿宋" w:eastAsia="仿宋" w:cs="仿宋"/>
          <w:bCs/>
          <w:color w:val="000000" w:themeColor="text1"/>
          <w:sz w:val="44"/>
          <w:szCs w:val="32"/>
          <w:highlight w:val="none"/>
          <w14:textFill>
            <w14:solidFill>
              <w14:schemeClr w14:val="tx1"/>
            </w14:solidFill>
          </w14:textFill>
        </w:rPr>
      </w:pPr>
      <w:r>
        <w:rPr>
          <w:rFonts w:hint="eastAsia" w:ascii="仿宋" w:hAnsi="仿宋" w:eastAsia="仿宋" w:cs="仿宋"/>
          <w:bCs/>
          <w:color w:val="000000" w:themeColor="text1"/>
          <w:sz w:val="44"/>
          <w:szCs w:val="32"/>
          <w:highlight w:val="none"/>
          <w14:textFill>
            <w14:solidFill>
              <w14:schemeClr w14:val="tx1"/>
            </w14:solidFill>
          </w14:textFill>
        </w:rPr>
        <w:t>投标承诺函</w:t>
      </w:r>
      <w:bookmarkEnd w:id="89"/>
    </w:p>
    <w:p w14:paraId="1859CD29">
      <w:pPr>
        <w:pageBreakBefore w:val="0"/>
        <w:kinsoku/>
        <w:overflowPunct/>
        <w:topLinePunct w:val="0"/>
        <w:bidi w:val="0"/>
        <w:adjustRightInd/>
        <w:snapToGrid/>
        <w:spacing w:line="360" w:lineRule="auto"/>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eastAsia="zh-CN"/>
          <w14:textFill>
            <w14:solidFill>
              <w14:schemeClr w14:val="tx1"/>
            </w14:solidFill>
          </w14:textFill>
        </w:rPr>
        <w:t>山东同力建设项目管理有限公司</w:t>
      </w:r>
      <w:r>
        <w:rPr>
          <w:rFonts w:hint="eastAsia" w:ascii="仿宋" w:hAnsi="仿宋" w:eastAsia="仿宋" w:cs="仿宋"/>
          <w:color w:val="000000" w:themeColor="text1"/>
          <w:kern w:val="0"/>
          <w:sz w:val="28"/>
          <w:szCs w:val="28"/>
          <w:highlight w:val="none"/>
          <w14:textFill>
            <w14:solidFill>
              <w14:schemeClr w14:val="tx1"/>
            </w14:solidFill>
          </w14:textFill>
        </w:rPr>
        <w:t>：</w:t>
      </w:r>
    </w:p>
    <w:p w14:paraId="7FA2EDD2">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我方根据编号为PURM202605250003的招标文件的要求，经详细研究决定参加投标。</w:t>
      </w:r>
    </w:p>
    <w:p w14:paraId="24AA6D1A">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1.我方接受本招标文件中关于电子招投标的各项规定，遵守《中华人民共和国电子签名法》关于电子签名的各项规定。我方愿意按照招标文件的规定和要求提供货物，报价详见《投标（报价）一览表》。</w:t>
      </w:r>
    </w:p>
    <w:p w14:paraId="2BAD8AD0">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2.我方同意90天的投标有效期，严格遵守投标文件的各项承诺。在此期限届满之前，本投标文件始终对我方具有约束力，并随时接受中标。我方承诺在投标有效期内不修改、撤销投标文件。</w:t>
      </w:r>
    </w:p>
    <w:p w14:paraId="27FB9ADB">
      <w:pPr>
        <w:pageBreakBefore w:val="0"/>
        <w:kinsoku/>
        <w:overflowPunct/>
        <w:topLinePunct w:val="0"/>
        <w:bidi w:val="0"/>
        <w:adjustRightInd/>
        <w:snapToGrid/>
        <w:spacing w:line="360" w:lineRule="auto"/>
        <w:ind w:firstLine="560" w:firstLineChars="200"/>
        <w:rPr>
          <w:rFonts w:hint="eastAsia" w:ascii="仿宋" w:hAnsi="仿宋" w:eastAsia="仿宋" w:cs="仿宋"/>
          <w:b/>
          <w:strike/>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3.我方愿意遵守本招标文件的规定和要求并提供招标文件中要求的所有资料，若投标文件中存在虚假资料的，则视为我方隐瞒真实情况、提供虚假资料，我方愿意接受主管部门做出的行政处罚。</w:t>
      </w:r>
    </w:p>
    <w:p w14:paraId="11301CBC">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4.如果我方中标：</w:t>
      </w:r>
    </w:p>
    <w:p w14:paraId="625C9093">
      <w:pPr>
        <w:pageBreakBefore w:val="0"/>
        <w:kinsoku/>
        <w:overflowPunct/>
        <w:topLinePunct w:val="0"/>
        <w:bidi w:val="0"/>
        <w:adjustRightInd/>
        <w:snapToGrid/>
        <w:spacing w:line="360" w:lineRule="auto"/>
        <w:ind w:firstLine="420" w:firstLineChars="15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（1）我方承诺在中标通知书发出后，在规定期限内与招标人签订合同；</w:t>
      </w:r>
    </w:p>
    <w:p w14:paraId="5AF431BF">
      <w:pPr>
        <w:pageBreakBefore w:val="0"/>
        <w:kinsoku/>
        <w:overflowPunct/>
        <w:topLinePunct w:val="0"/>
        <w:bidi w:val="0"/>
        <w:adjustRightInd/>
        <w:snapToGrid/>
        <w:spacing w:line="360" w:lineRule="auto"/>
        <w:ind w:firstLine="420" w:firstLineChars="15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（2）我方承诺在合同约定的期限内，按期、保质、保量完成项目任务；</w:t>
      </w:r>
    </w:p>
    <w:p w14:paraId="7D071705">
      <w:pPr>
        <w:pageBreakBefore w:val="0"/>
        <w:kinsoku/>
        <w:overflowPunct/>
        <w:topLinePunct w:val="0"/>
        <w:bidi w:val="0"/>
        <w:adjustRightInd/>
        <w:snapToGrid/>
        <w:spacing w:line="360" w:lineRule="auto"/>
        <w:ind w:firstLine="420" w:firstLineChars="15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（3）我方承诺将按照招标文件的规定全额交纳代理服务费。</w:t>
      </w:r>
    </w:p>
    <w:p w14:paraId="26DE99BF">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5.我方在此声明，所提交的投标文件及有关资料内容完整、真实和准确，如有弄虚作假，一旦中标将取消中标资格。</w:t>
      </w:r>
    </w:p>
    <w:p w14:paraId="75B08B11">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6.所有有关本投标的函电，请按下列地址联系：</w:t>
      </w:r>
    </w:p>
    <w:p w14:paraId="0A2BBB94">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单位：                     邮政编码：</w:t>
      </w:r>
    </w:p>
    <w:p w14:paraId="6C175EDF">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地址：                     联系人：</w:t>
      </w:r>
    </w:p>
    <w:p w14:paraId="169C690F">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电话：                     传真：</w:t>
      </w:r>
    </w:p>
    <w:p w14:paraId="6B75E9C2">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开户名称：</w:t>
      </w:r>
    </w:p>
    <w:p w14:paraId="17E1F0FE">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开户银行：</w:t>
      </w:r>
    </w:p>
    <w:p w14:paraId="6D457024">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开户账号：</w:t>
      </w:r>
    </w:p>
    <w:p w14:paraId="04D4E9B4">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投标人（盖章）：</w:t>
      </w:r>
    </w:p>
    <w:p w14:paraId="1F38214B">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法定代表人（签字或盖章）：</w:t>
      </w:r>
    </w:p>
    <w:p w14:paraId="736706BC">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报价日期：</w:t>
      </w: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 xml:space="preserve">    </w:t>
      </w:r>
      <w:r>
        <w:rPr>
          <w:rFonts w:hint="eastAsia" w:ascii="仿宋" w:hAnsi="仿宋" w:eastAsia="仿宋" w:cs="仿宋"/>
          <w:color w:val="000000" w:themeColor="text1"/>
          <w:kern w:val="0"/>
          <w:sz w:val="28"/>
          <w:szCs w:val="28"/>
          <w:highlight w:val="none"/>
          <w14:textFill>
            <w14:solidFill>
              <w14:schemeClr w14:val="tx1"/>
            </w14:solidFill>
          </w14:textFill>
        </w:rPr>
        <w:t>年</w:t>
      </w: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 xml:space="preserve">  </w:t>
      </w:r>
      <w:r>
        <w:rPr>
          <w:rFonts w:hint="eastAsia" w:ascii="仿宋" w:hAnsi="仿宋" w:eastAsia="仿宋" w:cs="仿宋"/>
          <w:color w:val="000000" w:themeColor="text1"/>
          <w:kern w:val="0"/>
          <w:sz w:val="28"/>
          <w:szCs w:val="28"/>
          <w:highlight w:val="none"/>
          <w14:textFill>
            <w14:solidFill>
              <w14:schemeClr w14:val="tx1"/>
            </w14:solidFill>
          </w14:textFill>
        </w:rPr>
        <w:t>月</w:t>
      </w: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 xml:space="preserve">  </w:t>
      </w:r>
      <w:r>
        <w:rPr>
          <w:rFonts w:hint="eastAsia" w:ascii="仿宋" w:hAnsi="仿宋" w:eastAsia="仿宋" w:cs="仿宋"/>
          <w:color w:val="000000" w:themeColor="text1"/>
          <w:kern w:val="0"/>
          <w:sz w:val="28"/>
          <w:szCs w:val="28"/>
          <w:highlight w:val="none"/>
          <w14:textFill>
            <w14:solidFill>
              <w14:schemeClr w14:val="tx1"/>
            </w14:solidFill>
          </w14:textFill>
        </w:rPr>
        <w:t>日</w:t>
      </w:r>
    </w:p>
    <w:p w14:paraId="3B0DC9AD">
      <w:pPr>
        <w:pageBreakBefore w:val="0"/>
        <w:kinsoku/>
        <w:overflowPunct/>
        <w:topLinePunct w:val="0"/>
        <w:bidi w:val="0"/>
        <w:adjustRightInd/>
        <w:snapToGrid/>
        <w:spacing w:line="360" w:lineRule="auto"/>
        <w:ind w:firstLine="640"/>
        <w:rPr>
          <w:rFonts w:hint="eastAsia" w:ascii="仿宋" w:hAnsi="仿宋" w:eastAsia="仿宋" w:cs="仿宋"/>
          <w:color w:val="000000" w:themeColor="text1"/>
          <w:kern w:val="0"/>
          <w:sz w:val="28"/>
          <w:szCs w:val="28"/>
          <w:highlight w:val="none"/>
          <w14:textFill>
            <w14:solidFill>
              <w14:schemeClr w14:val="tx1"/>
            </w14:solidFill>
          </w14:textFill>
        </w:rPr>
      </w:pPr>
    </w:p>
    <w:bookmarkEnd w:id="87"/>
    <w:p w14:paraId="1EE20B98">
      <w:pPr>
        <w:pageBreakBefore w:val="0"/>
        <w:kinsoku/>
        <w:overflowPunct/>
        <w:topLinePunct w:val="0"/>
        <w:bidi w:val="0"/>
        <w:adjustRightInd/>
        <w:snapToGrid/>
        <w:spacing w:line="520" w:lineRule="exact"/>
        <w:rPr>
          <w:rFonts w:hint="eastAsia" w:ascii="仿宋" w:hAnsi="仿宋" w:eastAsia="仿宋" w:cs="仿宋"/>
          <w:color w:val="000000" w:themeColor="text1"/>
          <w:sz w:val="30"/>
          <w:szCs w:val="30"/>
          <w:highlight w:val="none"/>
          <w14:textFill>
            <w14:solidFill>
              <w14:schemeClr w14:val="tx1"/>
            </w14:solidFill>
          </w14:textFill>
        </w:rPr>
      </w:pPr>
      <w:bookmarkStart w:id="90" w:name="_Toc523388132"/>
    </w:p>
    <w:p w14:paraId="193845C6">
      <w:pPr>
        <w:pStyle w:val="26"/>
        <w:pageBreakBefore w:val="0"/>
        <w:kinsoku/>
        <w:overflowPunct/>
        <w:topLinePunct w:val="0"/>
        <w:bidi w:val="0"/>
        <w:adjustRightInd/>
        <w:snapToGrid/>
        <w:jc w:val="center"/>
        <w:rPr>
          <w:rFonts w:hint="eastAsia" w:ascii="仿宋" w:hAnsi="仿宋" w:eastAsia="仿宋" w:cs="仿宋"/>
          <w:bCs/>
          <w:color w:val="000000" w:themeColor="text1"/>
          <w:kern w:val="2"/>
          <w:sz w:val="44"/>
          <w:szCs w:val="32"/>
          <w:highlight w:val="none"/>
          <w14:textFill>
            <w14:solidFill>
              <w14:schemeClr w14:val="tx1"/>
            </w14:solidFill>
          </w14:textFill>
        </w:rPr>
        <w:sectPr>
          <w:headerReference r:id="rId9" w:type="first"/>
          <w:headerReference r:id="rId8" w:type="even"/>
          <w:pgSz w:w="11906" w:h="16838"/>
          <w:pgMar w:top="1440" w:right="1083" w:bottom="1440" w:left="1083" w:header="850" w:footer="1134" w:gutter="0"/>
          <w:cols w:space="720" w:num="1"/>
          <w:docGrid w:type="lines" w:linePitch="314" w:charSpace="0"/>
        </w:sectPr>
      </w:pPr>
    </w:p>
    <w:p w14:paraId="18E6D248">
      <w:pPr>
        <w:pStyle w:val="26"/>
        <w:pageBreakBefore w:val="0"/>
        <w:kinsoku/>
        <w:overflowPunct/>
        <w:topLinePunct w:val="0"/>
        <w:bidi w:val="0"/>
        <w:adjustRightInd/>
        <w:snapToGrid/>
        <w:jc w:val="center"/>
        <w:rPr>
          <w:rFonts w:hint="eastAsia" w:ascii="仿宋" w:hAnsi="仿宋" w:eastAsia="仿宋" w:cs="仿宋"/>
          <w:bCs/>
          <w:color w:val="000000" w:themeColor="text1"/>
          <w:kern w:val="2"/>
          <w:sz w:val="44"/>
          <w:szCs w:val="32"/>
          <w:highlight w:val="none"/>
          <w:lang w:val="en-US" w:eastAsia="zh-CN"/>
          <w14:textFill>
            <w14:solidFill>
              <w14:schemeClr w14:val="tx1"/>
            </w14:solidFill>
          </w14:textFill>
        </w:rPr>
      </w:pPr>
      <w:r>
        <w:rPr>
          <w:rFonts w:hint="eastAsia" w:ascii="仿宋" w:hAnsi="仿宋" w:eastAsia="仿宋" w:cs="仿宋"/>
          <w:bCs/>
          <w:color w:val="000000" w:themeColor="text1"/>
          <w:kern w:val="2"/>
          <w:sz w:val="44"/>
          <w:szCs w:val="32"/>
          <w:highlight w:val="none"/>
          <w:lang w:val="en-US" w:eastAsia="zh-CN"/>
          <w14:textFill>
            <w14:solidFill>
              <w14:schemeClr w14:val="tx1"/>
            </w14:solidFill>
          </w14:textFill>
        </w:rPr>
        <w:t>数据文件填写说明</w:t>
      </w:r>
    </w:p>
    <w:tbl>
      <w:tblPr>
        <w:tblStyle w:val="52"/>
        <w:tblW w:w="141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889"/>
        <w:gridCol w:w="3206"/>
        <w:gridCol w:w="1233"/>
        <w:gridCol w:w="2416"/>
        <w:gridCol w:w="2489"/>
        <w:gridCol w:w="2867"/>
      </w:tblGrid>
      <w:tr w14:paraId="47DE4D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3" w:hRule="atLeast"/>
        </w:trPr>
        <w:tc>
          <w:tcPr>
            <w:tcW w:w="14100" w:type="dxa"/>
            <w:gridSpan w:val="6"/>
            <w:tcBorders>
              <w:top w:val="nil"/>
              <w:left w:val="nil"/>
              <w:bottom w:val="nil"/>
              <w:right w:val="nil"/>
            </w:tcBorders>
            <w:shd w:val="clear" w:color="auto" w:fill="auto"/>
            <w:vAlign w:val="center"/>
          </w:tcPr>
          <w:p w14:paraId="55D3D991">
            <w:pPr>
              <w:keepNext w:val="0"/>
              <w:keepLines w:val="0"/>
              <w:widowControl/>
              <w:suppressLineNumbers w:val="0"/>
              <w:jc w:val="center"/>
              <w:textAlignment w:val="center"/>
              <w:rPr>
                <w:rFonts w:ascii="仿宋_GB2312" w:hAnsi="宋体" w:eastAsia="仿宋_GB2312" w:cs="仿宋_GB2312"/>
                <w:b/>
                <w:bCs/>
                <w:i w:val="0"/>
                <w:iCs w:val="0"/>
                <w:color w:val="000000"/>
                <w:sz w:val="48"/>
                <w:szCs w:val="48"/>
                <w:highlight w:val="none"/>
                <w:u w:val="none"/>
              </w:rPr>
            </w:pPr>
            <w:r>
              <w:rPr>
                <w:rFonts w:hint="eastAsia" w:ascii="仿宋_GB2312" w:hAnsi="宋体" w:eastAsia="仿宋_GB2312" w:cs="仿宋_GB2312"/>
                <w:b/>
                <w:bCs/>
                <w:i w:val="0"/>
                <w:iCs w:val="0"/>
                <w:color w:val="000000"/>
                <w:kern w:val="0"/>
                <w:sz w:val="48"/>
                <w:szCs w:val="48"/>
                <w:highlight w:val="none"/>
                <w:u w:val="none"/>
                <w:lang w:val="en-US" w:eastAsia="zh-CN" w:bidi="ar"/>
              </w:rPr>
              <w:t>投标报价一览表</w:t>
            </w:r>
          </w:p>
        </w:tc>
      </w:tr>
      <w:tr w14:paraId="3D9FCA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4" w:hRule="atLeast"/>
        </w:trPr>
        <w:tc>
          <w:tcPr>
            <w:tcW w:w="1889" w:type="dxa"/>
            <w:tcBorders>
              <w:top w:val="single" w:color="000000" w:sz="4" w:space="0"/>
              <w:left w:val="single" w:color="000000" w:sz="4" w:space="0"/>
              <w:bottom w:val="single" w:color="000000" w:sz="4" w:space="0"/>
              <w:right w:val="single" w:color="000000" w:sz="4" w:space="0"/>
            </w:tcBorders>
            <w:shd w:val="clear" w:color="auto" w:fill="BFBFBF"/>
            <w:vAlign w:val="center"/>
          </w:tcPr>
          <w:p w14:paraId="26580510">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highlight w:val="none"/>
                <w:u w:val="none"/>
              </w:rPr>
            </w:pPr>
            <w:r>
              <w:rPr>
                <w:rFonts w:hint="eastAsia" w:ascii="仿宋_GB2312" w:hAnsi="宋体" w:eastAsia="仿宋_GB2312" w:cs="仿宋_GB2312"/>
                <w:b/>
                <w:bCs/>
                <w:i w:val="0"/>
                <w:iCs w:val="0"/>
                <w:color w:val="000000"/>
                <w:kern w:val="0"/>
                <w:sz w:val="24"/>
                <w:szCs w:val="24"/>
                <w:highlight w:val="none"/>
                <w:u w:val="none"/>
                <w:lang w:val="en-US" w:eastAsia="zh-CN" w:bidi="ar"/>
              </w:rPr>
              <w:t>项目编号</w:t>
            </w:r>
          </w:p>
        </w:tc>
        <w:tc>
          <w:tcPr>
            <w:tcW w:w="934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A31BCFA">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PURM202605250003</w:t>
            </w:r>
          </w:p>
        </w:tc>
        <w:tc>
          <w:tcPr>
            <w:tcW w:w="28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9BAE62">
            <w:pPr>
              <w:keepNext w:val="0"/>
              <w:keepLines w:val="0"/>
              <w:widowControl/>
              <w:suppressLineNumbers w:val="0"/>
              <w:jc w:val="center"/>
              <w:textAlignment w:val="center"/>
              <w:rPr>
                <w:rFonts w:hint="eastAsia" w:ascii="仿宋_GB2312" w:hAnsi="宋体" w:eastAsia="仿宋_GB2312" w:cs="仿宋_GB2312"/>
                <w:b/>
                <w:bCs/>
                <w:i w:val="0"/>
                <w:iCs w:val="0"/>
                <w:color w:val="A6A6A6"/>
                <w:sz w:val="24"/>
                <w:szCs w:val="24"/>
                <w:highlight w:val="none"/>
                <w:u w:val="none"/>
              </w:rPr>
            </w:pPr>
            <w:r>
              <w:rPr>
                <w:rFonts w:hint="eastAsia" w:ascii="仿宋_GB2312" w:hAnsi="宋体" w:eastAsia="仿宋_GB2312" w:cs="仿宋_GB2312"/>
                <w:b/>
                <w:bCs/>
                <w:i w:val="0"/>
                <w:iCs w:val="0"/>
                <w:color w:val="A6A6A6"/>
                <w:kern w:val="0"/>
                <w:sz w:val="24"/>
                <w:szCs w:val="24"/>
                <w:highlight w:val="none"/>
                <w:u w:val="none"/>
                <w:lang w:val="en-US" w:eastAsia="zh-CN" w:bidi="ar"/>
              </w:rPr>
              <w:t>（电子公章）</w:t>
            </w:r>
          </w:p>
        </w:tc>
      </w:tr>
      <w:tr w14:paraId="0776B7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4" w:hRule="atLeast"/>
        </w:trPr>
        <w:tc>
          <w:tcPr>
            <w:tcW w:w="1889" w:type="dxa"/>
            <w:tcBorders>
              <w:top w:val="single" w:color="000000" w:sz="4" w:space="0"/>
              <w:left w:val="single" w:color="000000" w:sz="4" w:space="0"/>
              <w:bottom w:val="single" w:color="000000" w:sz="4" w:space="0"/>
              <w:right w:val="single" w:color="000000" w:sz="4" w:space="0"/>
            </w:tcBorders>
            <w:shd w:val="clear" w:color="auto" w:fill="BFBFBF"/>
            <w:vAlign w:val="center"/>
          </w:tcPr>
          <w:p w14:paraId="21E1B308">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highlight w:val="none"/>
                <w:u w:val="none"/>
              </w:rPr>
            </w:pPr>
            <w:r>
              <w:rPr>
                <w:rFonts w:hint="eastAsia" w:ascii="仿宋_GB2312" w:hAnsi="宋体" w:eastAsia="仿宋_GB2312" w:cs="仿宋_GB2312"/>
                <w:b/>
                <w:bCs/>
                <w:i w:val="0"/>
                <w:iCs w:val="0"/>
                <w:color w:val="000000"/>
                <w:kern w:val="0"/>
                <w:sz w:val="24"/>
                <w:szCs w:val="24"/>
                <w:highlight w:val="none"/>
                <w:u w:val="none"/>
                <w:lang w:val="en-US" w:eastAsia="zh-CN" w:bidi="ar"/>
              </w:rPr>
              <w:t>项目名称</w:t>
            </w:r>
          </w:p>
        </w:tc>
        <w:tc>
          <w:tcPr>
            <w:tcW w:w="934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1EF32DC">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选定五金杂品及劳保用品供应单位</w:t>
            </w:r>
          </w:p>
        </w:tc>
        <w:tc>
          <w:tcPr>
            <w:tcW w:w="28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3210D8">
            <w:pPr>
              <w:jc w:val="center"/>
              <w:rPr>
                <w:rFonts w:hint="eastAsia" w:ascii="仿宋_GB2312" w:hAnsi="宋体" w:eastAsia="仿宋_GB2312" w:cs="仿宋_GB2312"/>
                <w:b/>
                <w:bCs/>
                <w:i w:val="0"/>
                <w:iCs w:val="0"/>
                <w:color w:val="A6A6A6"/>
                <w:sz w:val="24"/>
                <w:szCs w:val="24"/>
                <w:highlight w:val="none"/>
                <w:u w:val="none"/>
              </w:rPr>
            </w:pPr>
          </w:p>
        </w:tc>
      </w:tr>
      <w:tr w14:paraId="56CD1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4" w:hRule="atLeast"/>
        </w:trPr>
        <w:tc>
          <w:tcPr>
            <w:tcW w:w="1889" w:type="dxa"/>
            <w:tcBorders>
              <w:top w:val="single" w:color="000000" w:sz="4" w:space="0"/>
              <w:left w:val="single" w:color="000000" w:sz="4" w:space="0"/>
              <w:bottom w:val="single" w:color="000000" w:sz="4" w:space="0"/>
              <w:right w:val="single" w:color="000000" w:sz="4" w:space="0"/>
            </w:tcBorders>
            <w:shd w:val="clear" w:color="auto" w:fill="BFBFBF"/>
            <w:vAlign w:val="center"/>
          </w:tcPr>
          <w:p w14:paraId="67FE8A23">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highlight w:val="none"/>
                <w:u w:val="none"/>
              </w:rPr>
            </w:pPr>
            <w:r>
              <w:rPr>
                <w:rFonts w:hint="eastAsia" w:ascii="仿宋_GB2312" w:hAnsi="宋体" w:eastAsia="仿宋_GB2312" w:cs="仿宋_GB2312"/>
                <w:b/>
                <w:bCs/>
                <w:i w:val="0"/>
                <w:iCs w:val="0"/>
                <w:color w:val="000000"/>
                <w:kern w:val="0"/>
                <w:sz w:val="24"/>
                <w:szCs w:val="24"/>
                <w:highlight w:val="none"/>
                <w:u w:val="none"/>
                <w:lang w:val="en-US" w:eastAsia="zh-CN" w:bidi="ar"/>
              </w:rPr>
              <w:t>包段编号</w:t>
            </w:r>
          </w:p>
        </w:tc>
        <w:tc>
          <w:tcPr>
            <w:tcW w:w="32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BFB85">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001</w:t>
            </w:r>
          </w:p>
        </w:tc>
        <w:tc>
          <w:tcPr>
            <w:tcW w:w="1233" w:type="dxa"/>
            <w:tcBorders>
              <w:top w:val="single" w:color="000000" w:sz="4" w:space="0"/>
              <w:left w:val="single" w:color="000000" w:sz="4" w:space="0"/>
              <w:bottom w:val="single" w:color="000000" w:sz="4" w:space="0"/>
              <w:right w:val="single" w:color="000000" w:sz="4" w:space="0"/>
            </w:tcBorders>
            <w:shd w:val="clear" w:color="auto" w:fill="BFBFBF"/>
            <w:vAlign w:val="center"/>
          </w:tcPr>
          <w:p w14:paraId="0B1680AD">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highlight w:val="none"/>
                <w:u w:val="none"/>
              </w:rPr>
            </w:pPr>
            <w:r>
              <w:rPr>
                <w:rFonts w:hint="eastAsia" w:ascii="仿宋_GB2312" w:hAnsi="宋体" w:eastAsia="仿宋_GB2312" w:cs="仿宋_GB2312"/>
                <w:b/>
                <w:bCs/>
                <w:i w:val="0"/>
                <w:iCs w:val="0"/>
                <w:color w:val="000000"/>
                <w:kern w:val="0"/>
                <w:sz w:val="24"/>
                <w:szCs w:val="24"/>
                <w:highlight w:val="none"/>
                <w:u w:val="none"/>
                <w:lang w:val="en-US" w:eastAsia="zh-CN" w:bidi="ar"/>
              </w:rPr>
              <w:t>包段名称</w:t>
            </w:r>
          </w:p>
        </w:tc>
        <w:tc>
          <w:tcPr>
            <w:tcW w:w="49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6D4D64">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第一包</w:t>
            </w:r>
          </w:p>
        </w:tc>
        <w:tc>
          <w:tcPr>
            <w:tcW w:w="28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C9BB3F">
            <w:pPr>
              <w:jc w:val="center"/>
              <w:rPr>
                <w:rFonts w:hint="eastAsia" w:ascii="仿宋_GB2312" w:hAnsi="宋体" w:eastAsia="仿宋_GB2312" w:cs="仿宋_GB2312"/>
                <w:b/>
                <w:bCs/>
                <w:i w:val="0"/>
                <w:iCs w:val="0"/>
                <w:color w:val="A6A6A6"/>
                <w:sz w:val="24"/>
                <w:szCs w:val="24"/>
                <w:highlight w:val="none"/>
                <w:u w:val="none"/>
              </w:rPr>
            </w:pPr>
          </w:p>
        </w:tc>
      </w:tr>
      <w:tr w14:paraId="088CBE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4" w:hRule="atLeast"/>
        </w:trPr>
        <w:tc>
          <w:tcPr>
            <w:tcW w:w="1889" w:type="dxa"/>
            <w:tcBorders>
              <w:top w:val="single" w:color="000000" w:sz="4" w:space="0"/>
              <w:left w:val="single" w:color="000000" w:sz="4" w:space="0"/>
              <w:bottom w:val="single" w:color="000000" w:sz="4" w:space="0"/>
              <w:right w:val="single" w:color="000000" w:sz="4" w:space="0"/>
            </w:tcBorders>
            <w:shd w:val="clear" w:color="auto" w:fill="BFBFBF"/>
            <w:vAlign w:val="center"/>
          </w:tcPr>
          <w:p w14:paraId="0465E6AF">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highlight w:val="none"/>
                <w:u w:val="none"/>
              </w:rPr>
            </w:pPr>
            <w:r>
              <w:rPr>
                <w:rFonts w:hint="eastAsia" w:ascii="仿宋_GB2312" w:hAnsi="宋体" w:eastAsia="仿宋_GB2312" w:cs="仿宋_GB2312"/>
                <w:b/>
                <w:bCs/>
                <w:i w:val="0"/>
                <w:iCs w:val="0"/>
                <w:color w:val="000000"/>
                <w:kern w:val="0"/>
                <w:sz w:val="24"/>
                <w:szCs w:val="24"/>
                <w:highlight w:val="none"/>
                <w:u w:val="none"/>
                <w:lang w:val="en-US" w:eastAsia="zh-CN" w:bidi="ar"/>
              </w:rPr>
              <w:t>交付期</w:t>
            </w:r>
            <w:r>
              <w:rPr>
                <w:rStyle w:val="507"/>
                <w:rFonts w:hAnsi="宋体"/>
                <w:highlight w:val="none"/>
                <w:lang w:val="en-US" w:eastAsia="zh-CN" w:bidi="ar"/>
              </w:rPr>
              <w:t>*</w:t>
            </w:r>
          </w:p>
        </w:tc>
        <w:tc>
          <w:tcPr>
            <w:tcW w:w="3206" w:type="dxa"/>
            <w:tcBorders>
              <w:top w:val="single" w:color="000000" w:sz="4" w:space="0"/>
              <w:left w:val="single" w:color="000000" w:sz="4" w:space="0"/>
              <w:bottom w:val="single" w:color="000000" w:sz="4" w:space="0"/>
              <w:right w:val="single" w:color="000000" w:sz="4" w:space="0"/>
            </w:tcBorders>
            <w:shd w:val="clear" w:color="auto" w:fill="B7DEE8"/>
            <w:vAlign w:val="center"/>
          </w:tcPr>
          <w:p w14:paraId="396A8EAF">
            <w:pPr>
              <w:jc w:val="left"/>
              <w:rPr>
                <w:rFonts w:hint="eastAsia" w:ascii="仿宋_GB2312" w:hAnsi="宋体" w:eastAsia="仿宋_GB2312" w:cs="仿宋_GB2312"/>
                <w:i w:val="0"/>
                <w:iCs w:val="0"/>
                <w:color w:val="000000"/>
                <w:sz w:val="24"/>
                <w:szCs w:val="24"/>
                <w:highlight w:val="none"/>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BFBFBF"/>
            <w:vAlign w:val="center"/>
          </w:tcPr>
          <w:p w14:paraId="373E70B9">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highlight w:val="none"/>
                <w:u w:val="none"/>
              </w:rPr>
            </w:pPr>
            <w:r>
              <w:rPr>
                <w:rFonts w:hint="eastAsia" w:ascii="仿宋_GB2312" w:hAnsi="宋体" w:eastAsia="仿宋_GB2312" w:cs="仿宋_GB2312"/>
                <w:b/>
                <w:bCs/>
                <w:i w:val="0"/>
                <w:iCs w:val="0"/>
                <w:color w:val="000000"/>
                <w:kern w:val="0"/>
                <w:sz w:val="24"/>
                <w:szCs w:val="24"/>
                <w:highlight w:val="none"/>
                <w:u w:val="none"/>
                <w:lang w:val="en-US" w:eastAsia="zh-CN" w:bidi="ar"/>
              </w:rPr>
              <w:t>服务期</w:t>
            </w:r>
            <w:r>
              <w:rPr>
                <w:rStyle w:val="507"/>
                <w:rFonts w:hAnsi="宋体"/>
                <w:highlight w:val="none"/>
                <w:lang w:val="en-US" w:eastAsia="zh-CN" w:bidi="ar"/>
              </w:rPr>
              <w:t>*</w:t>
            </w:r>
          </w:p>
        </w:tc>
        <w:tc>
          <w:tcPr>
            <w:tcW w:w="4905" w:type="dxa"/>
            <w:gridSpan w:val="2"/>
            <w:tcBorders>
              <w:top w:val="single" w:color="000000" w:sz="4" w:space="0"/>
              <w:left w:val="single" w:color="000000" w:sz="4" w:space="0"/>
              <w:bottom w:val="single" w:color="000000" w:sz="4" w:space="0"/>
              <w:right w:val="single" w:color="000000" w:sz="4" w:space="0"/>
            </w:tcBorders>
            <w:shd w:val="clear" w:color="auto" w:fill="B7DEE8"/>
            <w:vAlign w:val="center"/>
          </w:tcPr>
          <w:p w14:paraId="34909B6B">
            <w:pPr>
              <w:jc w:val="left"/>
              <w:rPr>
                <w:rFonts w:hint="eastAsia" w:ascii="仿宋_GB2312" w:hAnsi="宋体" w:eastAsia="仿宋_GB2312" w:cs="仿宋_GB2312"/>
                <w:i w:val="0"/>
                <w:iCs w:val="0"/>
                <w:color w:val="000000"/>
                <w:sz w:val="24"/>
                <w:szCs w:val="24"/>
                <w:highlight w:val="none"/>
                <w:u w:val="none"/>
              </w:rPr>
            </w:pPr>
          </w:p>
        </w:tc>
        <w:tc>
          <w:tcPr>
            <w:tcW w:w="28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06CE49">
            <w:pPr>
              <w:jc w:val="center"/>
              <w:rPr>
                <w:rFonts w:hint="eastAsia" w:ascii="仿宋_GB2312" w:hAnsi="宋体" w:eastAsia="仿宋_GB2312" w:cs="仿宋_GB2312"/>
                <w:b/>
                <w:bCs/>
                <w:i w:val="0"/>
                <w:iCs w:val="0"/>
                <w:color w:val="A6A6A6"/>
                <w:sz w:val="24"/>
                <w:szCs w:val="24"/>
                <w:highlight w:val="none"/>
                <w:u w:val="none"/>
              </w:rPr>
            </w:pPr>
          </w:p>
        </w:tc>
      </w:tr>
      <w:tr w14:paraId="1FA45E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4" w:hRule="atLeast"/>
        </w:trPr>
        <w:tc>
          <w:tcPr>
            <w:tcW w:w="1889" w:type="dxa"/>
            <w:tcBorders>
              <w:top w:val="single" w:color="000000" w:sz="4" w:space="0"/>
              <w:left w:val="single" w:color="000000" w:sz="4" w:space="0"/>
              <w:bottom w:val="single" w:color="000000" w:sz="4" w:space="0"/>
              <w:right w:val="single" w:color="000000" w:sz="4" w:space="0"/>
            </w:tcBorders>
            <w:shd w:val="clear" w:color="auto" w:fill="BFBFBF"/>
            <w:vAlign w:val="center"/>
          </w:tcPr>
          <w:p w14:paraId="37332DB2">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highlight w:val="none"/>
                <w:u w:val="none"/>
              </w:rPr>
            </w:pPr>
            <w:r>
              <w:rPr>
                <w:rFonts w:hint="eastAsia" w:ascii="仿宋_GB2312" w:hAnsi="宋体" w:eastAsia="仿宋_GB2312" w:cs="仿宋_GB2312"/>
                <w:b/>
                <w:bCs/>
                <w:i w:val="0"/>
                <w:iCs w:val="0"/>
                <w:color w:val="000000"/>
                <w:kern w:val="0"/>
                <w:sz w:val="24"/>
                <w:szCs w:val="24"/>
                <w:highlight w:val="none"/>
                <w:u w:val="none"/>
                <w:lang w:val="en-US" w:eastAsia="zh-CN" w:bidi="ar"/>
              </w:rPr>
              <w:t>预算价</w:t>
            </w:r>
          </w:p>
        </w:tc>
        <w:tc>
          <w:tcPr>
            <w:tcW w:w="32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ACF66">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 xml:space="preserve">0.0000 </w:t>
            </w:r>
          </w:p>
        </w:tc>
        <w:tc>
          <w:tcPr>
            <w:tcW w:w="1233" w:type="dxa"/>
            <w:tcBorders>
              <w:top w:val="single" w:color="000000" w:sz="4" w:space="0"/>
              <w:left w:val="single" w:color="000000" w:sz="4" w:space="0"/>
              <w:bottom w:val="single" w:color="000000" w:sz="4" w:space="0"/>
              <w:right w:val="single" w:color="000000" w:sz="4" w:space="0"/>
            </w:tcBorders>
            <w:shd w:val="clear" w:color="auto" w:fill="BFBFBF"/>
            <w:vAlign w:val="center"/>
          </w:tcPr>
          <w:p w14:paraId="3986006F">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highlight w:val="none"/>
                <w:u w:val="none"/>
              </w:rPr>
            </w:pPr>
            <w:r>
              <w:rPr>
                <w:rFonts w:hint="eastAsia" w:ascii="仿宋_GB2312" w:hAnsi="宋体" w:eastAsia="仿宋_GB2312" w:cs="仿宋_GB2312"/>
                <w:b/>
                <w:bCs/>
                <w:i w:val="0"/>
                <w:iCs w:val="0"/>
                <w:color w:val="000000"/>
                <w:kern w:val="0"/>
                <w:sz w:val="24"/>
                <w:szCs w:val="24"/>
                <w:highlight w:val="none"/>
                <w:u w:val="none"/>
                <w:lang w:val="en-US" w:eastAsia="zh-CN" w:bidi="ar"/>
              </w:rPr>
              <w:t>投标总价</w:t>
            </w:r>
          </w:p>
        </w:tc>
        <w:tc>
          <w:tcPr>
            <w:tcW w:w="2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44B1E">
            <w:pPr>
              <w:keepNext w:val="0"/>
              <w:keepLines w:val="0"/>
              <w:widowControl/>
              <w:suppressLineNumbers w:val="0"/>
              <w:jc w:val="center"/>
              <w:textAlignment w:val="center"/>
              <w:rPr>
                <w:rFonts w:hint="eastAsia" w:ascii="仿宋_GB2312" w:hAnsi="宋体" w:eastAsia="仿宋_GB2312" w:cs="仿宋_GB2312"/>
                <w:b/>
                <w:bCs/>
                <w:i w:val="0"/>
                <w:iCs w:val="0"/>
                <w:color w:val="538DD5"/>
                <w:sz w:val="24"/>
                <w:szCs w:val="24"/>
                <w:highlight w:val="none"/>
                <w:u w:val="none"/>
              </w:rPr>
            </w:pPr>
            <w:r>
              <w:rPr>
                <w:rFonts w:hint="eastAsia" w:ascii="仿宋_GB2312" w:hAnsi="宋体" w:eastAsia="仿宋_GB2312" w:cs="仿宋_GB2312"/>
                <w:b/>
                <w:bCs/>
                <w:i w:val="0"/>
                <w:iCs w:val="0"/>
                <w:color w:val="538DD5"/>
                <w:kern w:val="0"/>
                <w:sz w:val="24"/>
                <w:szCs w:val="24"/>
                <w:highlight w:val="none"/>
                <w:u w:val="none"/>
                <w:lang w:val="en-US" w:eastAsia="zh-CN" w:bidi="ar"/>
              </w:rPr>
              <w:t xml:space="preserve">0.0000 </w:t>
            </w:r>
          </w:p>
        </w:tc>
        <w:tc>
          <w:tcPr>
            <w:tcW w:w="5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C42069">
            <w:pPr>
              <w:keepNext w:val="0"/>
              <w:keepLines w:val="0"/>
              <w:widowControl/>
              <w:suppressLineNumbers w:val="0"/>
              <w:jc w:val="left"/>
              <w:textAlignment w:val="center"/>
              <w:rPr>
                <w:rFonts w:hint="eastAsia" w:ascii="仿宋_GB2312" w:hAnsi="宋体" w:eastAsia="仿宋_GB2312" w:cs="仿宋_GB2312"/>
                <w:b/>
                <w:bCs/>
                <w:i w:val="0"/>
                <w:iCs w:val="0"/>
                <w:color w:val="538DD5"/>
                <w:sz w:val="24"/>
                <w:szCs w:val="24"/>
                <w:highlight w:val="none"/>
                <w:u w:val="none"/>
              </w:rPr>
            </w:pPr>
            <w:r>
              <w:rPr>
                <w:rFonts w:hint="eastAsia" w:ascii="仿宋_GB2312" w:hAnsi="宋体" w:eastAsia="仿宋_GB2312" w:cs="仿宋_GB2312"/>
                <w:b/>
                <w:bCs/>
                <w:i w:val="0"/>
                <w:iCs w:val="0"/>
                <w:color w:val="538DD5"/>
                <w:kern w:val="0"/>
                <w:sz w:val="24"/>
                <w:szCs w:val="24"/>
                <w:highlight w:val="none"/>
                <w:u w:val="none"/>
                <w:lang w:val="en-US" w:eastAsia="zh-CN" w:bidi="ar"/>
              </w:rPr>
              <w:t xml:space="preserve">大写: </w:t>
            </w:r>
          </w:p>
        </w:tc>
      </w:tr>
      <w:tr w14:paraId="161359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2" w:hRule="atLeast"/>
        </w:trPr>
        <w:tc>
          <w:tcPr>
            <w:tcW w:w="1889" w:type="dxa"/>
            <w:tcBorders>
              <w:top w:val="single" w:color="000000" w:sz="4" w:space="0"/>
              <w:left w:val="single" w:color="000000" w:sz="4" w:space="0"/>
              <w:bottom w:val="single" w:color="000000" w:sz="4" w:space="0"/>
              <w:right w:val="single" w:color="000000" w:sz="4" w:space="0"/>
            </w:tcBorders>
            <w:shd w:val="clear" w:color="auto" w:fill="BFBFBF"/>
            <w:vAlign w:val="center"/>
          </w:tcPr>
          <w:p w14:paraId="36E62D64">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highlight w:val="none"/>
                <w:u w:val="none"/>
              </w:rPr>
            </w:pPr>
            <w:r>
              <w:rPr>
                <w:rStyle w:val="507"/>
                <w:rFonts w:hAnsi="宋体"/>
                <w:highlight w:val="none"/>
                <w:lang w:val="en-US" w:eastAsia="zh-CN" w:bidi="ar"/>
              </w:rPr>
              <w:t>*</w:t>
            </w:r>
            <w:r>
              <w:rPr>
                <w:rFonts w:hint="eastAsia" w:ascii="仿宋_GB2312" w:hAnsi="宋体" w:eastAsia="仿宋_GB2312" w:cs="仿宋_GB2312"/>
                <w:b/>
                <w:bCs/>
                <w:i w:val="0"/>
                <w:iCs w:val="0"/>
                <w:color w:val="000000"/>
                <w:kern w:val="0"/>
                <w:sz w:val="24"/>
                <w:szCs w:val="24"/>
                <w:highlight w:val="none"/>
                <w:u w:val="none"/>
                <w:lang w:val="en-US" w:eastAsia="zh-CN" w:bidi="ar"/>
              </w:rPr>
              <w:t>服务地点</w:t>
            </w:r>
          </w:p>
        </w:tc>
        <w:tc>
          <w:tcPr>
            <w:tcW w:w="12211" w:type="dxa"/>
            <w:gridSpan w:val="5"/>
            <w:tcBorders>
              <w:top w:val="single" w:color="000000" w:sz="4" w:space="0"/>
              <w:left w:val="single" w:color="000000" w:sz="4" w:space="0"/>
              <w:bottom w:val="single" w:color="000000" w:sz="4" w:space="0"/>
              <w:right w:val="single" w:color="000000" w:sz="4" w:space="0"/>
            </w:tcBorders>
            <w:shd w:val="clear" w:color="auto" w:fill="B7DEE8"/>
            <w:vAlign w:val="center"/>
          </w:tcPr>
          <w:p w14:paraId="64B1C60C">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采购文件要求地址</w:t>
            </w:r>
          </w:p>
        </w:tc>
      </w:tr>
      <w:tr w14:paraId="3521FF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7" w:hRule="atLeast"/>
        </w:trPr>
        <w:tc>
          <w:tcPr>
            <w:tcW w:w="1889" w:type="dxa"/>
            <w:tcBorders>
              <w:top w:val="single" w:color="000000" w:sz="4" w:space="0"/>
              <w:left w:val="single" w:color="000000" w:sz="4" w:space="0"/>
              <w:bottom w:val="single" w:color="000000" w:sz="4" w:space="0"/>
              <w:right w:val="single" w:color="000000" w:sz="4" w:space="0"/>
            </w:tcBorders>
            <w:shd w:val="clear" w:color="auto" w:fill="BFBFBF"/>
            <w:vAlign w:val="center"/>
          </w:tcPr>
          <w:p w14:paraId="069F459E">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highlight w:val="none"/>
                <w:u w:val="none"/>
              </w:rPr>
            </w:pPr>
            <w:r>
              <w:rPr>
                <w:rFonts w:hint="eastAsia" w:ascii="仿宋_GB2312" w:hAnsi="宋体" w:eastAsia="仿宋_GB2312" w:cs="仿宋_GB2312"/>
                <w:b/>
                <w:bCs/>
                <w:i w:val="0"/>
                <w:iCs w:val="0"/>
                <w:color w:val="000000"/>
                <w:kern w:val="0"/>
                <w:sz w:val="24"/>
                <w:szCs w:val="24"/>
                <w:highlight w:val="none"/>
                <w:u w:val="none"/>
                <w:lang w:val="en-US" w:eastAsia="zh-CN" w:bidi="ar"/>
              </w:rPr>
              <w:t>投标报价</w:t>
            </w:r>
            <w:r>
              <w:rPr>
                <w:rFonts w:hint="eastAsia" w:ascii="仿宋_GB2312" w:hAnsi="宋体" w:eastAsia="仿宋_GB2312" w:cs="仿宋_GB2312"/>
                <w:b/>
                <w:bCs/>
                <w:i w:val="0"/>
                <w:iCs w:val="0"/>
                <w:color w:val="000000"/>
                <w:kern w:val="0"/>
                <w:sz w:val="24"/>
                <w:szCs w:val="24"/>
                <w:highlight w:val="none"/>
                <w:u w:val="none"/>
                <w:lang w:val="en-US" w:eastAsia="zh-CN" w:bidi="ar"/>
              </w:rPr>
              <w:br w:type="textWrapping"/>
            </w:r>
            <w:r>
              <w:rPr>
                <w:rFonts w:hint="eastAsia" w:ascii="仿宋_GB2312" w:hAnsi="宋体" w:eastAsia="仿宋_GB2312" w:cs="仿宋_GB2312"/>
                <w:b/>
                <w:bCs/>
                <w:i w:val="0"/>
                <w:iCs w:val="0"/>
                <w:color w:val="000000"/>
                <w:kern w:val="0"/>
                <w:sz w:val="24"/>
                <w:szCs w:val="24"/>
                <w:highlight w:val="none"/>
                <w:u w:val="none"/>
                <w:lang w:val="en-US" w:eastAsia="zh-CN" w:bidi="ar"/>
              </w:rPr>
              <w:t>说明</w:t>
            </w:r>
          </w:p>
        </w:tc>
        <w:tc>
          <w:tcPr>
            <w:tcW w:w="12211" w:type="dxa"/>
            <w:gridSpan w:val="5"/>
            <w:tcBorders>
              <w:top w:val="single" w:color="000000" w:sz="4" w:space="0"/>
              <w:left w:val="single" w:color="000000" w:sz="4" w:space="0"/>
              <w:bottom w:val="single" w:color="000000" w:sz="4" w:space="0"/>
              <w:right w:val="single" w:color="000000" w:sz="4" w:space="0"/>
            </w:tcBorders>
            <w:shd w:val="clear" w:color="auto" w:fill="B7DEE8"/>
            <w:vAlign w:val="center"/>
          </w:tcPr>
          <w:p w14:paraId="506DF6CE">
            <w:pPr>
              <w:jc w:val="left"/>
              <w:rPr>
                <w:rFonts w:hint="eastAsia" w:ascii="仿宋_GB2312" w:hAnsi="宋体" w:eastAsia="仿宋_GB2312" w:cs="仿宋_GB2312"/>
                <w:i w:val="0"/>
                <w:iCs w:val="0"/>
                <w:color w:val="000000"/>
                <w:sz w:val="24"/>
                <w:szCs w:val="24"/>
                <w:highlight w:val="none"/>
                <w:u w:val="none"/>
              </w:rPr>
            </w:pPr>
          </w:p>
        </w:tc>
      </w:tr>
      <w:tr w14:paraId="4A1C95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4100" w:type="dxa"/>
            <w:gridSpan w:val="6"/>
            <w:tcBorders>
              <w:top w:val="nil"/>
              <w:left w:val="nil"/>
              <w:bottom w:val="nil"/>
              <w:right w:val="nil"/>
            </w:tcBorders>
            <w:shd w:val="clear" w:color="auto" w:fill="auto"/>
            <w:vAlign w:val="center"/>
          </w:tcPr>
          <w:p w14:paraId="4A57EA28">
            <w:pPr>
              <w:keepNext w:val="0"/>
              <w:keepLines w:val="0"/>
              <w:widowControl/>
              <w:suppressLineNumbers w:val="0"/>
              <w:jc w:val="center"/>
              <w:textAlignment w:val="center"/>
              <w:rPr>
                <w:rFonts w:hint="eastAsia" w:ascii="仿宋_GB2312" w:hAnsi="宋体" w:eastAsia="仿宋_GB2312" w:cs="仿宋_GB2312"/>
                <w:b/>
                <w:bCs/>
                <w:i w:val="0"/>
                <w:iCs w:val="0"/>
                <w:color w:val="000000"/>
                <w:sz w:val="36"/>
                <w:szCs w:val="36"/>
                <w:highlight w:val="none"/>
                <w:u w:val="none"/>
              </w:rPr>
            </w:pPr>
            <w:r>
              <w:rPr>
                <w:rFonts w:hint="eastAsia" w:ascii="仿宋_GB2312" w:hAnsi="宋体" w:eastAsia="仿宋_GB2312" w:cs="仿宋_GB2312"/>
                <w:b/>
                <w:bCs/>
                <w:i w:val="0"/>
                <w:iCs w:val="0"/>
                <w:color w:val="000000"/>
                <w:kern w:val="0"/>
                <w:sz w:val="36"/>
                <w:szCs w:val="36"/>
                <w:highlight w:val="none"/>
                <w:u w:val="none"/>
                <w:lang w:val="en-US" w:eastAsia="zh-CN" w:bidi="ar"/>
              </w:rPr>
              <w:t>报价明细表</w:t>
            </w:r>
          </w:p>
        </w:tc>
      </w:tr>
      <w:tr w14:paraId="5E78E3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9" w:hRule="atLeast"/>
        </w:trPr>
        <w:tc>
          <w:tcPr>
            <w:tcW w:w="1889" w:type="dxa"/>
            <w:vMerge w:val="restart"/>
            <w:tcBorders>
              <w:top w:val="single" w:color="000000" w:sz="4" w:space="0"/>
              <w:left w:val="single" w:color="000000" w:sz="4" w:space="0"/>
              <w:bottom w:val="single" w:color="000000" w:sz="4" w:space="0"/>
              <w:right w:val="single" w:color="000000" w:sz="4" w:space="0"/>
            </w:tcBorders>
            <w:shd w:val="clear" w:color="auto" w:fill="BFBFBF"/>
            <w:vAlign w:val="center"/>
          </w:tcPr>
          <w:p w14:paraId="19EB0906">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highlight w:val="none"/>
                <w:u w:val="none"/>
              </w:rPr>
            </w:pPr>
            <w:r>
              <w:rPr>
                <w:rFonts w:hint="eastAsia" w:ascii="仿宋_GB2312" w:hAnsi="宋体" w:eastAsia="仿宋_GB2312" w:cs="仿宋_GB2312"/>
                <w:b/>
                <w:bCs/>
                <w:i w:val="0"/>
                <w:iCs w:val="0"/>
                <w:color w:val="000000"/>
                <w:kern w:val="0"/>
                <w:sz w:val="24"/>
                <w:szCs w:val="24"/>
                <w:highlight w:val="none"/>
                <w:u w:val="none"/>
                <w:lang w:val="en-US" w:eastAsia="zh-CN" w:bidi="ar"/>
              </w:rPr>
              <w:t>序号</w:t>
            </w:r>
          </w:p>
        </w:tc>
        <w:tc>
          <w:tcPr>
            <w:tcW w:w="4439" w:type="dxa"/>
            <w:gridSpan w:val="2"/>
            <w:tcBorders>
              <w:top w:val="single" w:color="000000" w:sz="4" w:space="0"/>
              <w:left w:val="single" w:color="000000" w:sz="4" w:space="0"/>
              <w:bottom w:val="single" w:color="000000" w:sz="4" w:space="0"/>
              <w:right w:val="single" w:color="000000" w:sz="4" w:space="0"/>
            </w:tcBorders>
            <w:shd w:val="clear" w:color="auto" w:fill="BFBFBF"/>
            <w:vAlign w:val="center"/>
          </w:tcPr>
          <w:p w14:paraId="288FC146">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highlight w:val="none"/>
                <w:u w:val="none"/>
              </w:rPr>
            </w:pPr>
            <w:r>
              <w:rPr>
                <w:rFonts w:hint="eastAsia" w:ascii="仿宋_GB2312" w:hAnsi="宋体" w:eastAsia="仿宋_GB2312" w:cs="仿宋_GB2312"/>
                <w:b/>
                <w:bCs/>
                <w:i w:val="0"/>
                <w:iCs w:val="0"/>
                <w:color w:val="000000"/>
                <w:kern w:val="0"/>
                <w:sz w:val="24"/>
                <w:szCs w:val="24"/>
                <w:highlight w:val="none"/>
                <w:u w:val="none"/>
                <w:lang w:val="en-US" w:eastAsia="zh-CN" w:bidi="ar"/>
              </w:rPr>
              <w:t>招标要求</w:t>
            </w:r>
          </w:p>
        </w:tc>
        <w:tc>
          <w:tcPr>
            <w:tcW w:w="7772" w:type="dxa"/>
            <w:gridSpan w:val="3"/>
            <w:tcBorders>
              <w:top w:val="single" w:color="000000" w:sz="4" w:space="0"/>
              <w:left w:val="single" w:color="000000" w:sz="4" w:space="0"/>
              <w:bottom w:val="single" w:color="000000" w:sz="4" w:space="0"/>
              <w:right w:val="single" w:color="000000" w:sz="4" w:space="0"/>
            </w:tcBorders>
            <w:shd w:val="clear" w:color="auto" w:fill="BFBFBF"/>
            <w:vAlign w:val="center"/>
          </w:tcPr>
          <w:p w14:paraId="48D65E90">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highlight w:val="none"/>
                <w:u w:val="none"/>
              </w:rPr>
            </w:pPr>
            <w:r>
              <w:rPr>
                <w:rFonts w:hint="eastAsia" w:ascii="仿宋_GB2312" w:hAnsi="宋体" w:eastAsia="仿宋_GB2312" w:cs="仿宋_GB2312"/>
                <w:b/>
                <w:bCs/>
                <w:i w:val="0"/>
                <w:iCs w:val="0"/>
                <w:color w:val="000000"/>
                <w:kern w:val="0"/>
                <w:sz w:val="24"/>
                <w:szCs w:val="24"/>
                <w:highlight w:val="none"/>
                <w:u w:val="none"/>
                <w:lang w:val="en-US" w:eastAsia="zh-CN" w:bidi="ar"/>
              </w:rPr>
              <w:t>投标响应</w:t>
            </w:r>
          </w:p>
        </w:tc>
      </w:tr>
      <w:tr w14:paraId="7C8683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4" w:hRule="atLeast"/>
        </w:trPr>
        <w:tc>
          <w:tcPr>
            <w:tcW w:w="1889" w:type="dxa"/>
            <w:vMerge w:val="continue"/>
            <w:tcBorders>
              <w:top w:val="single" w:color="000000" w:sz="4" w:space="0"/>
              <w:left w:val="single" w:color="000000" w:sz="4" w:space="0"/>
              <w:bottom w:val="single" w:color="000000" w:sz="4" w:space="0"/>
              <w:right w:val="single" w:color="000000" w:sz="4" w:space="0"/>
            </w:tcBorders>
            <w:shd w:val="clear" w:color="auto" w:fill="BFBFBF"/>
            <w:vAlign w:val="center"/>
          </w:tcPr>
          <w:p w14:paraId="10B59C57">
            <w:pPr>
              <w:jc w:val="center"/>
              <w:rPr>
                <w:rFonts w:hint="eastAsia" w:ascii="仿宋_GB2312" w:hAnsi="宋体" w:eastAsia="仿宋_GB2312" w:cs="仿宋_GB2312"/>
                <w:b/>
                <w:bCs/>
                <w:i w:val="0"/>
                <w:iCs w:val="0"/>
                <w:color w:val="000000"/>
                <w:sz w:val="24"/>
                <w:szCs w:val="24"/>
                <w:highlight w:val="none"/>
                <w:u w:val="none"/>
              </w:rPr>
            </w:pPr>
          </w:p>
        </w:tc>
        <w:tc>
          <w:tcPr>
            <w:tcW w:w="3206" w:type="dxa"/>
            <w:tcBorders>
              <w:top w:val="single" w:color="000000" w:sz="4" w:space="0"/>
              <w:left w:val="single" w:color="000000" w:sz="4" w:space="0"/>
              <w:bottom w:val="single" w:color="000000" w:sz="4" w:space="0"/>
              <w:right w:val="nil"/>
            </w:tcBorders>
            <w:shd w:val="clear" w:color="auto" w:fill="BFBFBF"/>
            <w:vAlign w:val="center"/>
          </w:tcPr>
          <w:p w14:paraId="7AFE6228">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highlight w:val="none"/>
                <w:u w:val="none"/>
              </w:rPr>
            </w:pPr>
            <w:r>
              <w:rPr>
                <w:rFonts w:hint="eastAsia" w:ascii="仿宋_GB2312" w:hAnsi="宋体" w:eastAsia="仿宋_GB2312" w:cs="仿宋_GB2312"/>
                <w:b/>
                <w:bCs/>
                <w:i w:val="0"/>
                <w:iCs w:val="0"/>
                <w:color w:val="000000"/>
                <w:kern w:val="0"/>
                <w:sz w:val="24"/>
                <w:szCs w:val="24"/>
                <w:highlight w:val="none"/>
                <w:u w:val="none"/>
                <w:lang w:val="en-US" w:eastAsia="zh-CN" w:bidi="ar"/>
              </w:rPr>
              <w:t>服务名称</w:t>
            </w:r>
          </w:p>
        </w:tc>
        <w:tc>
          <w:tcPr>
            <w:tcW w:w="1233" w:type="dxa"/>
            <w:tcBorders>
              <w:top w:val="single" w:color="000000" w:sz="4" w:space="0"/>
              <w:left w:val="single" w:color="000000" w:sz="4" w:space="0"/>
              <w:bottom w:val="single" w:color="000000" w:sz="4" w:space="0"/>
              <w:right w:val="single" w:color="000000" w:sz="4" w:space="0"/>
            </w:tcBorders>
            <w:shd w:val="clear" w:color="auto" w:fill="BFBFBF"/>
            <w:vAlign w:val="center"/>
          </w:tcPr>
          <w:p w14:paraId="377397D3">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highlight w:val="none"/>
                <w:u w:val="none"/>
              </w:rPr>
            </w:pPr>
            <w:r>
              <w:rPr>
                <w:rFonts w:hint="eastAsia" w:ascii="仿宋_GB2312" w:hAnsi="宋体" w:eastAsia="仿宋_GB2312" w:cs="仿宋_GB2312"/>
                <w:b/>
                <w:bCs/>
                <w:i w:val="0"/>
                <w:iCs w:val="0"/>
                <w:color w:val="000000"/>
                <w:kern w:val="0"/>
                <w:sz w:val="24"/>
                <w:szCs w:val="24"/>
                <w:highlight w:val="none"/>
                <w:u w:val="none"/>
                <w:lang w:val="en-US" w:eastAsia="zh-CN" w:bidi="ar"/>
              </w:rPr>
              <w:t>数量</w:t>
            </w:r>
          </w:p>
        </w:tc>
        <w:tc>
          <w:tcPr>
            <w:tcW w:w="2416" w:type="dxa"/>
            <w:tcBorders>
              <w:top w:val="single" w:color="000000" w:sz="4" w:space="0"/>
              <w:left w:val="single" w:color="000000" w:sz="4" w:space="0"/>
              <w:bottom w:val="single" w:color="000000" w:sz="4" w:space="0"/>
              <w:right w:val="nil"/>
            </w:tcBorders>
            <w:shd w:val="clear" w:color="auto" w:fill="BFBFBF"/>
            <w:vAlign w:val="center"/>
          </w:tcPr>
          <w:p w14:paraId="5005D5F8">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highlight w:val="none"/>
                <w:u w:val="none"/>
              </w:rPr>
            </w:pPr>
            <w:r>
              <w:rPr>
                <w:rFonts w:hint="eastAsia" w:ascii="仿宋_GB2312" w:hAnsi="宋体" w:eastAsia="仿宋_GB2312" w:cs="仿宋_GB2312"/>
                <w:b/>
                <w:bCs/>
                <w:i w:val="0"/>
                <w:iCs w:val="0"/>
                <w:color w:val="000000"/>
                <w:kern w:val="0"/>
                <w:sz w:val="24"/>
                <w:szCs w:val="24"/>
                <w:highlight w:val="none"/>
                <w:u w:val="none"/>
                <w:lang w:val="en-US" w:eastAsia="zh-CN" w:bidi="ar"/>
              </w:rPr>
              <w:t>单位</w:t>
            </w:r>
          </w:p>
        </w:tc>
        <w:tc>
          <w:tcPr>
            <w:tcW w:w="2489" w:type="dxa"/>
            <w:tcBorders>
              <w:top w:val="single" w:color="000000" w:sz="4" w:space="0"/>
              <w:left w:val="single" w:color="000000" w:sz="4" w:space="0"/>
              <w:bottom w:val="single" w:color="000000" w:sz="4" w:space="0"/>
              <w:right w:val="nil"/>
            </w:tcBorders>
            <w:shd w:val="clear" w:color="auto" w:fill="BFBFBF"/>
            <w:vAlign w:val="center"/>
          </w:tcPr>
          <w:p w14:paraId="2C489F14">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highlight w:val="none"/>
                <w:u w:val="none"/>
              </w:rPr>
            </w:pPr>
            <w:r>
              <w:rPr>
                <w:rFonts w:hint="eastAsia" w:ascii="仿宋_GB2312" w:hAnsi="宋体" w:eastAsia="仿宋_GB2312" w:cs="仿宋_GB2312"/>
                <w:b/>
                <w:bCs/>
                <w:i w:val="0"/>
                <w:iCs w:val="0"/>
                <w:color w:val="000000"/>
                <w:kern w:val="0"/>
                <w:sz w:val="24"/>
                <w:szCs w:val="24"/>
                <w:highlight w:val="none"/>
                <w:u w:val="none"/>
                <w:lang w:val="en-US" w:eastAsia="zh-CN" w:bidi="ar"/>
              </w:rPr>
              <w:t>单价（元）</w:t>
            </w:r>
            <w:r>
              <w:rPr>
                <w:rStyle w:val="507"/>
                <w:rFonts w:hAnsi="宋体"/>
                <w:highlight w:val="none"/>
                <w:lang w:val="en-US" w:eastAsia="zh-CN" w:bidi="ar"/>
              </w:rPr>
              <w:t>*</w:t>
            </w:r>
          </w:p>
        </w:tc>
        <w:tc>
          <w:tcPr>
            <w:tcW w:w="2867" w:type="dxa"/>
            <w:tcBorders>
              <w:top w:val="single" w:color="000000" w:sz="4" w:space="0"/>
              <w:left w:val="single" w:color="000000" w:sz="4" w:space="0"/>
              <w:bottom w:val="single" w:color="000000" w:sz="4" w:space="0"/>
              <w:right w:val="single" w:color="000000" w:sz="4" w:space="0"/>
            </w:tcBorders>
            <w:shd w:val="clear" w:color="auto" w:fill="BFBFBF"/>
            <w:vAlign w:val="center"/>
          </w:tcPr>
          <w:p w14:paraId="19A68B4D">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highlight w:val="none"/>
                <w:u w:val="none"/>
              </w:rPr>
            </w:pPr>
            <w:r>
              <w:rPr>
                <w:rFonts w:hint="eastAsia" w:ascii="仿宋_GB2312" w:hAnsi="宋体" w:eastAsia="仿宋_GB2312" w:cs="仿宋_GB2312"/>
                <w:b/>
                <w:bCs/>
                <w:i w:val="0"/>
                <w:iCs w:val="0"/>
                <w:color w:val="000000"/>
                <w:kern w:val="0"/>
                <w:sz w:val="24"/>
                <w:szCs w:val="24"/>
                <w:highlight w:val="none"/>
                <w:u w:val="none"/>
                <w:lang w:val="en-US" w:eastAsia="zh-CN" w:bidi="ar"/>
              </w:rPr>
              <w:t>合价</w:t>
            </w:r>
          </w:p>
        </w:tc>
      </w:tr>
      <w:tr w14:paraId="575FC7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rPr>
        <w:tc>
          <w:tcPr>
            <w:tcW w:w="1889" w:type="dxa"/>
            <w:tcBorders>
              <w:top w:val="single" w:color="000000" w:sz="4" w:space="0"/>
              <w:left w:val="single" w:color="000000" w:sz="4" w:space="0"/>
              <w:bottom w:val="single" w:color="000000" w:sz="4" w:space="0"/>
              <w:right w:val="nil"/>
            </w:tcBorders>
            <w:shd w:val="clear" w:color="auto" w:fill="auto"/>
            <w:vAlign w:val="center"/>
          </w:tcPr>
          <w:p w14:paraId="02E42FA2">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32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FA1E7">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选定五金杂品及劳保用品供应单位</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E4BE0">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1.0000</w:t>
            </w:r>
          </w:p>
        </w:tc>
        <w:tc>
          <w:tcPr>
            <w:tcW w:w="2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318A3">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宗</w:t>
            </w:r>
          </w:p>
        </w:tc>
        <w:tc>
          <w:tcPr>
            <w:tcW w:w="2489" w:type="dxa"/>
            <w:tcBorders>
              <w:top w:val="single" w:color="000000" w:sz="4" w:space="0"/>
              <w:left w:val="single" w:color="000000" w:sz="4" w:space="0"/>
              <w:bottom w:val="single" w:color="000000" w:sz="4" w:space="0"/>
              <w:right w:val="single" w:color="000000" w:sz="4" w:space="0"/>
            </w:tcBorders>
            <w:shd w:val="clear" w:color="auto" w:fill="B7DEE8"/>
            <w:vAlign w:val="center"/>
          </w:tcPr>
          <w:p w14:paraId="6C1DA148">
            <w:pPr>
              <w:jc w:val="center"/>
              <w:rPr>
                <w:rFonts w:hint="eastAsia" w:ascii="仿宋_GB2312" w:hAnsi="宋体" w:eastAsia="仿宋_GB2312" w:cs="仿宋_GB2312"/>
                <w:i w:val="0"/>
                <w:iCs w:val="0"/>
                <w:color w:val="000000"/>
                <w:sz w:val="24"/>
                <w:szCs w:val="24"/>
                <w:highlight w:val="none"/>
                <w:u w:val="none"/>
              </w:rPr>
            </w:pPr>
          </w:p>
        </w:tc>
        <w:tc>
          <w:tcPr>
            <w:tcW w:w="2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145DF">
            <w:pPr>
              <w:keepNext w:val="0"/>
              <w:keepLines w:val="0"/>
              <w:widowControl/>
              <w:suppressLineNumbers w:val="0"/>
              <w:jc w:val="center"/>
              <w:textAlignment w:val="center"/>
              <w:rPr>
                <w:rFonts w:hint="eastAsia" w:ascii="仿宋_GB2312" w:hAnsi="宋体" w:eastAsia="仿宋_GB2312" w:cs="仿宋_GB2312"/>
                <w:b/>
                <w:bCs/>
                <w:i w:val="0"/>
                <w:iCs w:val="0"/>
                <w:color w:val="538DD5"/>
                <w:sz w:val="24"/>
                <w:szCs w:val="24"/>
                <w:highlight w:val="none"/>
                <w:u w:val="none"/>
              </w:rPr>
            </w:pPr>
            <w:r>
              <w:rPr>
                <w:rFonts w:hint="eastAsia" w:ascii="仿宋_GB2312" w:hAnsi="宋体" w:eastAsia="仿宋_GB2312" w:cs="仿宋_GB2312"/>
                <w:b/>
                <w:bCs/>
                <w:i w:val="0"/>
                <w:iCs w:val="0"/>
                <w:color w:val="538DD5"/>
                <w:kern w:val="0"/>
                <w:sz w:val="24"/>
                <w:szCs w:val="24"/>
                <w:highlight w:val="none"/>
                <w:u w:val="none"/>
                <w:lang w:val="en-US" w:eastAsia="zh-CN" w:bidi="ar"/>
              </w:rPr>
              <w:t xml:space="preserve">0.0000 </w:t>
            </w:r>
          </w:p>
        </w:tc>
      </w:tr>
      <w:tr w14:paraId="1189D1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07" w:hRule="atLeast"/>
        </w:trPr>
        <w:tc>
          <w:tcPr>
            <w:tcW w:w="1410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DCE37B3">
            <w:pPr>
              <w:keepNext w:val="0"/>
              <w:keepLines w:val="0"/>
              <w:widowControl/>
              <w:suppressLineNumbers w:val="0"/>
              <w:jc w:val="left"/>
              <w:textAlignment w:val="center"/>
              <w:rPr>
                <w:rFonts w:hint="eastAsia" w:ascii="仿宋_GB2312" w:hAnsi="宋体" w:eastAsia="仿宋_GB2312" w:cs="仿宋_GB2312"/>
                <w:b/>
                <w:bCs/>
                <w:i w:val="0"/>
                <w:iCs w:val="0"/>
                <w:color w:val="FF0000"/>
                <w:sz w:val="20"/>
                <w:szCs w:val="20"/>
                <w:highlight w:val="none"/>
                <w:u w:val="none"/>
              </w:rPr>
            </w:pPr>
            <w:r>
              <w:rPr>
                <w:rFonts w:hint="eastAsia" w:ascii="仿宋_GB2312" w:hAnsi="宋体" w:eastAsia="仿宋_GB2312" w:cs="仿宋_GB2312"/>
                <w:i w:val="0"/>
                <w:iCs w:val="0"/>
                <w:color w:val="FF0000"/>
                <w:kern w:val="0"/>
                <w:sz w:val="20"/>
                <w:szCs w:val="20"/>
                <w:highlight w:val="none"/>
                <w:u w:val="none"/>
                <w:lang w:val="en-US" w:eastAsia="zh-CN" w:bidi="ar"/>
              </w:rPr>
              <w:t>注意:</w:t>
            </w:r>
            <w:r>
              <w:rPr>
                <w:rFonts w:hint="eastAsia" w:ascii="仿宋_GB2312" w:hAnsi="宋体" w:eastAsia="仿宋_GB2312" w:cs="仿宋_GB2312"/>
                <w:b/>
                <w:bCs/>
                <w:i w:val="0"/>
                <w:iCs w:val="0"/>
                <w:color w:val="FF0000"/>
                <w:kern w:val="0"/>
                <w:sz w:val="20"/>
                <w:szCs w:val="20"/>
                <w:highlight w:val="none"/>
                <w:u w:val="none"/>
                <w:lang w:val="en-US" w:eastAsia="zh-CN" w:bidi="ar"/>
              </w:rPr>
              <w:br w:type="textWrapping"/>
            </w:r>
            <w:r>
              <w:rPr>
                <w:rStyle w:val="508"/>
                <w:rFonts w:hAnsi="宋体"/>
                <w:highlight w:val="none"/>
                <w:lang w:val="en-US" w:eastAsia="zh-CN" w:bidi="ar"/>
              </w:rPr>
              <w:t>1.有底色标识的单元格可填写，“</w:t>
            </w:r>
            <w:r>
              <w:rPr>
                <w:rFonts w:hint="eastAsia" w:ascii="仿宋_GB2312" w:hAnsi="宋体" w:eastAsia="仿宋_GB2312" w:cs="仿宋_GB2312"/>
                <w:i w:val="0"/>
                <w:iCs w:val="0"/>
                <w:color w:val="FF0000"/>
                <w:kern w:val="0"/>
                <w:sz w:val="20"/>
                <w:szCs w:val="20"/>
                <w:highlight w:val="none"/>
                <w:u w:val="none"/>
                <w:lang w:val="en-US" w:eastAsia="zh-CN" w:bidi="ar"/>
              </w:rPr>
              <w:t>*</w:t>
            </w:r>
            <w:r>
              <w:rPr>
                <w:rStyle w:val="508"/>
                <w:rFonts w:hAnsi="宋体"/>
                <w:highlight w:val="none"/>
                <w:lang w:val="en-US" w:eastAsia="zh-CN" w:bidi="ar"/>
              </w:rPr>
              <w:t>”项是必输项，任何有底色的必输项为空都可能导致您本次</w:t>
            </w:r>
            <w:r>
              <w:rPr>
                <w:rFonts w:hint="eastAsia" w:ascii="仿宋_GB2312" w:hAnsi="宋体" w:eastAsia="仿宋_GB2312" w:cs="仿宋_GB2312"/>
                <w:i w:val="0"/>
                <w:iCs w:val="0"/>
                <w:color w:val="FF0000"/>
                <w:kern w:val="0"/>
                <w:sz w:val="20"/>
                <w:szCs w:val="20"/>
                <w:highlight w:val="none"/>
                <w:u w:val="none"/>
                <w:lang w:val="en-US" w:eastAsia="zh-CN" w:bidi="ar"/>
              </w:rPr>
              <w:t>投标无效</w:t>
            </w:r>
            <w:r>
              <w:rPr>
                <w:rStyle w:val="508"/>
                <w:rFonts w:hAnsi="宋体"/>
                <w:highlight w:val="none"/>
                <w:lang w:val="en-US" w:eastAsia="zh-CN" w:bidi="ar"/>
              </w:rPr>
              <w:t>（若无此项内容，可填写无）；</w:t>
            </w:r>
            <w:r>
              <w:rPr>
                <w:rFonts w:hint="eastAsia" w:ascii="仿宋_GB2312" w:hAnsi="宋体" w:eastAsia="仿宋_GB2312" w:cs="仿宋_GB2312"/>
                <w:i w:val="0"/>
                <w:iCs w:val="0"/>
                <w:color w:val="FF0000"/>
                <w:kern w:val="0"/>
                <w:sz w:val="20"/>
                <w:szCs w:val="20"/>
                <w:highlight w:val="none"/>
                <w:u w:val="none"/>
                <w:lang w:val="en-US" w:eastAsia="zh-CN" w:bidi="ar"/>
              </w:rPr>
              <w:br w:type="textWrapping"/>
            </w:r>
            <w:r>
              <w:rPr>
                <w:rStyle w:val="508"/>
                <w:rFonts w:hAnsi="宋体"/>
                <w:highlight w:val="none"/>
                <w:lang w:val="en-US" w:eastAsia="zh-CN" w:bidi="ar"/>
              </w:rPr>
              <w:t>2.如想拷贝数据到某个待填写单元格，应采用选择性粘贴(只粘贴文本)，否则单元格填写</w:t>
            </w:r>
            <w:r>
              <w:rPr>
                <w:rFonts w:hint="eastAsia" w:ascii="仿宋_GB2312" w:hAnsi="宋体" w:eastAsia="仿宋_GB2312" w:cs="仿宋_GB2312"/>
                <w:i w:val="0"/>
                <w:iCs w:val="0"/>
                <w:color w:val="FF0000"/>
                <w:kern w:val="0"/>
                <w:sz w:val="20"/>
                <w:szCs w:val="20"/>
                <w:highlight w:val="none"/>
                <w:u w:val="none"/>
                <w:lang w:val="en-US" w:eastAsia="zh-CN" w:bidi="ar"/>
              </w:rPr>
              <w:t>无效或被锁死；</w:t>
            </w:r>
            <w:r>
              <w:rPr>
                <w:rFonts w:hint="eastAsia" w:ascii="仿宋_GB2312" w:hAnsi="宋体" w:eastAsia="仿宋_GB2312" w:cs="仿宋_GB2312"/>
                <w:i w:val="0"/>
                <w:iCs w:val="0"/>
                <w:color w:val="FF0000"/>
                <w:kern w:val="0"/>
                <w:sz w:val="20"/>
                <w:szCs w:val="20"/>
                <w:highlight w:val="none"/>
                <w:u w:val="none"/>
                <w:lang w:val="en-US" w:eastAsia="zh-CN" w:bidi="ar"/>
              </w:rPr>
              <w:br w:type="textWrapping"/>
            </w:r>
            <w:r>
              <w:rPr>
                <w:rStyle w:val="508"/>
                <w:rFonts w:hAnsi="宋体"/>
                <w:highlight w:val="none"/>
                <w:lang w:val="en-US" w:eastAsia="zh-CN" w:bidi="ar"/>
              </w:rPr>
              <w:t>3.</w:t>
            </w:r>
            <w:r>
              <w:rPr>
                <w:rFonts w:hint="eastAsia" w:ascii="仿宋_GB2312" w:hAnsi="宋体" w:eastAsia="仿宋_GB2312" w:cs="仿宋_GB2312"/>
                <w:i w:val="0"/>
                <w:iCs w:val="0"/>
                <w:color w:val="FF0000"/>
                <w:kern w:val="0"/>
                <w:sz w:val="20"/>
                <w:szCs w:val="20"/>
                <w:highlight w:val="none"/>
                <w:u w:val="none"/>
                <w:lang w:val="en-US" w:eastAsia="zh-CN" w:bidi="ar"/>
              </w:rPr>
              <w:t>按照本表显示位置加盖一个电子印章；</w:t>
            </w:r>
            <w:r>
              <w:rPr>
                <w:rFonts w:hint="eastAsia" w:ascii="仿宋_GB2312" w:hAnsi="宋体" w:eastAsia="仿宋_GB2312" w:cs="仿宋_GB2312"/>
                <w:i w:val="0"/>
                <w:iCs w:val="0"/>
                <w:color w:val="FF0000"/>
                <w:kern w:val="0"/>
                <w:sz w:val="20"/>
                <w:szCs w:val="20"/>
                <w:highlight w:val="none"/>
                <w:u w:val="none"/>
                <w:lang w:val="en-US" w:eastAsia="zh-CN" w:bidi="ar"/>
              </w:rPr>
              <w:br w:type="textWrapping"/>
            </w:r>
            <w:r>
              <w:rPr>
                <w:rStyle w:val="508"/>
                <w:rFonts w:hAnsi="宋体"/>
                <w:highlight w:val="none"/>
                <w:lang w:val="en-US" w:eastAsia="zh-CN" w:bidi="ar"/>
              </w:rPr>
              <w:t>4.本表为固定格式且有数字指纹，必须在原表上填写，填写完毕后只可保存不可另存。</w:t>
            </w:r>
            <w:r>
              <w:rPr>
                <w:rStyle w:val="508"/>
                <w:rFonts w:hAnsi="宋体"/>
                <w:highlight w:val="none"/>
                <w:lang w:val="en-US" w:eastAsia="zh-CN" w:bidi="ar"/>
              </w:rPr>
              <w:br w:type="textWrapping"/>
            </w:r>
            <w:r>
              <w:rPr>
                <w:rStyle w:val="508"/>
                <w:rFonts w:hAnsi="宋体"/>
                <w:highlight w:val="none"/>
                <w:lang w:val="en-US" w:eastAsia="zh-CN" w:bidi="ar"/>
              </w:rPr>
              <w:t>5.删除本表、增加本表、增加行列、删除行列、对固定格式的任何改动均会导致</w:t>
            </w:r>
            <w:r>
              <w:rPr>
                <w:rFonts w:hint="eastAsia" w:ascii="仿宋_GB2312" w:hAnsi="宋体" w:eastAsia="仿宋_GB2312" w:cs="仿宋_GB2312"/>
                <w:i w:val="0"/>
                <w:iCs w:val="0"/>
                <w:color w:val="FF0000"/>
                <w:kern w:val="0"/>
                <w:sz w:val="20"/>
                <w:szCs w:val="20"/>
                <w:highlight w:val="none"/>
                <w:u w:val="none"/>
                <w:lang w:val="en-US" w:eastAsia="zh-CN" w:bidi="ar"/>
              </w:rPr>
              <w:t>无效投标；</w:t>
            </w:r>
          </w:p>
        </w:tc>
      </w:tr>
    </w:tbl>
    <w:p w14:paraId="636635BF">
      <w:pPr>
        <w:pStyle w:val="26"/>
        <w:pageBreakBefore w:val="0"/>
        <w:kinsoku/>
        <w:overflowPunct/>
        <w:topLinePunct w:val="0"/>
        <w:bidi w:val="0"/>
        <w:adjustRightInd/>
        <w:snapToGrid/>
        <w:jc w:val="both"/>
        <w:rPr>
          <w:rFonts w:hint="eastAsia" w:ascii="仿宋" w:hAnsi="仿宋" w:eastAsia="仿宋" w:cs="仿宋"/>
          <w:bCs/>
          <w:color w:val="000000" w:themeColor="text1"/>
          <w:kern w:val="2"/>
          <w:sz w:val="28"/>
          <w:szCs w:val="28"/>
          <w:highlight w:val="none"/>
          <w:lang w:val="en-US" w:eastAsia="zh-CN"/>
          <w14:textFill>
            <w14:solidFill>
              <w14:schemeClr w14:val="tx1"/>
            </w14:solidFill>
          </w14:textFill>
        </w:rPr>
      </w:pPr>
      <w:r>
        <w:rPr>
          <w:rFonts w:hint="eastAsia" w:ascii="仿宋" w:hAnsi="仿宋" w:eastAsia="仿宋" w:cs="仿宋"/>
          <w:bCs/>
          <w:color w:val="000000" w:themeColor="text1"/>
          <w:kern w:val="2"/>
          <w:sz w:val="28"/>
          <w:szCs w:val="28"/>
          <w:highlight w:val="none"/>
          <w:lang w:val="en-US" w:eastAsia="zh-CN"/>
          <w14:textFill>
            <w14:solidFill>
              <w14:schemeClr w14:val="tx1"/>
            </w14:solidFill>
          </w14:textFill>
        </w:rPr>
        <w:t>1.交付期、服务期可填写响应招标文件要求；</w:t>
      </w:r>
    </w:p>
    <w:p w14:paraId="19B88B46">
      <w:pPr>
        <w:pStyle w:val="26"/>
        <w:pageBreakBefore w:val="0"/>
        <w:kinsoku/>
        <w:overflowPunct/>
        <w:topLinePunct w:val="0"/>
        <w:bidi w:val="0"/>
        <w:adjustRightInd/>
        <w:snapToGrid/>
        <w:jc w:val="both"/>
        <w:rPr>
          <w:rFonts w:hint="eastAsia" w:ascii="仿宋" w:hAnsi="仿宋" w:eastAsia="仿宋" w:cs="仿宋"/>
          <w:bCs/>
          <w:color w:val="000000" w:themeColor="text1"/>
          <w:kern w:val="2"/>
          <w:sz w:val="44"/>
          <w:szCs w:val="32"/>
          <w:highlight w:val="none"/>
          <w:lang w:val="en-US" w:eastAsia="zh-CN"/>
          <w14:textFill>
            <w14:solidFill>
              <w14:schemeClr w14:val="tx1"/>
            </w14:solidFill>
          </w14:textFill>
        </w:rPr>
      </w:pPr>
      <w:r>
        <w:rPr>
          <w:rFonts w:hint="eastAsia" w:ascii="仿宋" w:hAnsi="仿宋" w:eastAsia="仿宋" w:cs="仿宋"/>
          <w:bCs/>
          <w:color w:val="000000" w:themeColor="text1"/>
          <w:kern w:val="2"/>
          <w:sz w:val="28"/>
          <w:szCs w:val="28"/>
          <w:highlight w:val="none"/>
          <w:lang w:val="en-US" w:eastAsia="zh-CN"/>
          <w14:textFill>
            <w14:solidFill>
              <w14:schemeClr w14:val="tx1"/>
            </w14:solidFill>
          </w14:textFill>
        </w:rPr>
        <w:t>2.单价填写“0”</w:t>
      </w:r>
    </w:p>
    <w:p w14:paraId="4559A538">
      <w:pPr>
        <w:pStyle w:val="26"/>
        <w:pageBreakBefore w:val="0"/>
        <w:kinsoku/>
        <w:overflowPunct/>
        <w:topLinePunct w:val="0"/>
        <w:bidi w:val="0"/>
        <w:adjustRightInd/>
        <w:snapToGrid/>
        <w:jc w:val="center"/>
        <w:rPr>
          <w:rFonts w:hint="default" w:ascii="仿宋" w:hAnsi="仿宋" w:eastAsia="仿宋" w:cs="仿宋"/>
          <w:bCs/>
          <w:color w:val="000000" w:themeColor="text1"/>
          <w:kern w:val="2"/>
          <w:sz w:val="44"/>
          <w:szCs w:val="32"/>
          <w:highlight w:val="none"/>
          <w:lang w:val="en-US" w:eastAsia="zh-CN"/>
          <w14:textFill>
            <w14:solidFill>
              <w14:schemeClr w14:val="tx1"/>
            </w14:solidFill>
          </w14:textFill>
        </w:rPr>
        <w:sectPr>
          <w:footerReference r:id="rId10" w:type="default"/>
          <w:pgSz w:w="16838" w:h="11906" w:orient="landscape"/>
          <w:pgMar w:top="1083" w:right="1440" w:bottom="1083" w:left="1440" w:header="850" w:footer="1134" w:gutter="0"/>
          <w:cols w:space="720" w:num="1"/>
          <w:docGrid w:type="lines" w:linePitch="314" w:charSpace="0"/>
        </w:sectPr>
      </w:pPr>
    </w:p>
    <w:bookmarkEnd w:id="90"/>
    <w:p w14:paraId="25CC320D">
      <w:pPr>
        <w:pStyle w:val="26"/>
        <w:pageBreakBefore w:val="0"/>
        <w:kinsoku/>
        <w:overflowPunct/>
        <w:topLinePunct w:val="0"/>
        <w:bidi w:val="0"/>
        <w:adjustRightInd/>
        <w:snapToGrid/>
        <w:jc w:val="center"/>
        <w:rPr>
          <w:rFonts w:hint="eastAsia" w:ascii="仿宋" w:hAnsi="仿宋" w:eastAsia="仿宋" w:cs="仿宋"/>
          <w:bCs/>
          <w:color w:val="000000" w:themeColor="text1"/>
          <w:kern w:val="2"/>
          <w:sz w:val="44"/>
          <w:szCs w:val="32"/>
          <w:highlight w:val="none"/>
          <w14:textFill>
            <w14:solidFill>
              <w14:schemeClr w14:val="tx1"/>
            </w14:solidFill>
          </w14:textFill>
        </w:rPr>
      </w:pPr>
      <w:bookmarkStart w:id="91" w:name="_Toc66864055"/>
      <w:r>
        <w:rPr>
          <w:rFonts w:hint="eastAsia" w:ascii="仿宋" w:hAnsi="仿宋" w:eastAsia="仿宋" w:cs="仿宋"/>
          <w:bCs/>
          <w:color w:val="000000" w:themeColor="text1"/>
          <w:kern w:val="2"/>
          <w:sz w:val="44"/>
          <w:szCs w:val="32"/>
          <w:highlight w:val="none"/>
          <w14:textFill>
            <w14:solidFill>
              <w14:schemeClr w14:val="tx1"/>
            </w14:solidFill>
          </w14:textFill>
        </w:rPr>
        <w:t>投标偏离表</w:t>
      </w:r>
    </w:p>
    <w:p w14:paraId="5308DE38">
      <w:pPr>
        <w:pageBreakBefore w:val="0"/>
        <w:kinsoku/>
        <w:overflowPunct/>
        <w:topLinePunct w:val="0"/>
        <w:bidi w:val="0"/>
        <w:adjustRightInd/>
        <w:snapToGrid/>
        <w:spacing w:line="360" w:lineRule="exact"/>
        <w:jc w:val="center"/>
        <w:rPr>
          <w:rFonts w:hint="eastAsia" w:ascii="仿宋" w:hAnsi="仿宋" w:eastAsia="仿宋" w:cs="仿宋"/>
          <w:bCs/>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z w:val="28"/>
          <w:szCs w:val="28"/>
          <w:highlight w:val="none"/>
          <w14:textFill>
            <w14:solidFill>
              <w14:schemeClr w14:val="tx1"/>
            </w14:solidFill>
          </w14:textFill>
        </w:rPr>
        <w:t>（</w:t>
      </w:r>
      <w:r>
        <w:rPr>
          <w:rFonts w:hint="eastAsia" w:ascii="仿宋" w:hAnsi="仿宋" w:eastAsia="仿宋" w:cs="仿宋"/>
          <w:bCs/>
          <w:sz w:val="28"/>
          <w:szCs w:val="28"/>
          <w:highlight w:val="none"/>
        </w:rPr>
        <w:t>包括技术规格、参数和商务条款偏离</w:t>
      </w:r>
      <w:r>
        <w:rPr>
          <w:rFonts w:hint="eastAsia" w:ascii="仿宋" w:hAnsi="仿宋" w:eastAsia="仿宋" w:cs="仿宋"/>
          <w:bCs/>
          <w:color w:val="000000" w:themeColor="text1"/>
          <w:sz w:val="28"/>
          <w:szCs w:val="28"/>
          <w:highlight w:val="none"/>
          <w14:textFill>
            <w14:solidFill>
              <w14:schemeClr w14:val="tx1"/>
            </w14:solidFill>
          </w14:textFill>
        </w:rPr>
        <w:t>）</w:t>
      </w:r>
    </w:p>
    <w:tbl>
      <w:tblPr>
        <w:tblStyle w:val="52"/>
        <w:tblW w:w="99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371"/>
        <w:gridCol w:w="2857"/>
        <w:gridCol w:w="1323"/>
        <w:gridCol w:w="2636"/>
        <w:gridCol w:w="850"/>
      </w:tblGrid>
      <w:tr w14:paraId="59310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jc w:val="center"/>
        </w:trPr>
        <w:tc>
          <w:tcPr>
            <w:tcW w:w="900" w:type="dxa"/>
            <w:vMerge w:val="restart"/>
            <w:vAlign w:val="center"/>
          </w:tcPr>
          <w:p w14:paraId="70678F86">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序号</w:t>
            </w:r>
          </w:p>
        </w:tc>
        <w:tc>
          <w:tcPr>
            <w:tcW w:w="4228" w:type="dxa"/>
            <w:gridSpan w:val="2"/>
            <w:vAlign w:val="center"/>
          </w:tcPr>
          <w:p w14:paraId="6EE2EEF7">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招标文件条款</w:t>
            </w:r>
          </w:p>
        </w:tc>
        <w:tc>
          <w:tcPr>
            <w:tcW w:w="3959" w:type="dxa"/>
            <w:gridSpan w:val="2"/>
            <w:vAlign w:val="center"/>
          </w:tcPr>
          <w:p w14:paraId="5C919466">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投标文件条款</w:t>
            </w:r>
          </w:p>
        </w:tc>
        <w:tc>
          <w:tcPr>
            <w:tcW w:w="850" w:type="dxa"/>
            <w:vMerge w:val="restart"/>
            <w:vAlign w:val="center"/>
          </w:tcPr>
          <w:p w14:paraId="212AF82F">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偏离</w:t>
            </w:r>
          </w:p>
          <w:p w14:paraId="5521152C">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情况</w:t>
            </w:r>
          </w:p>
        </w:tc>
      </w:tr>
      <w:tr w14:paraId="09E97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3" w:hRule="atLeast"/>
          <w:jc w:val="center"/>
        </w:trPr>
        <w:tc>
          <w:tcPr>
            <w:tcW w:w="900" w:type="dxa"/>
            <w:vMerge w:val="continue"/>
            <w:vAlign w:val="center"/>
          </w:tcPr>
          <w:p w14:paraId="6047713D">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1371" w:type="dxa"/>
            <w:vAlign w:val="center"/>
          </w:tcPr>
          <w:p w14:paraId="41047881">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条款号</w:t>
            </w:r>
          </w:p>
        </w:tc>
        <w:tc>
          <w:tcPr>
            <w:tcW w:w="2857" w:type="dxa"/>
            <w:vAlign w:val="center"/>
          </w:tcPr>
          <w:p w14:paraId="066E2340">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招标文件的内容</w:t>
            </w:r>
          </w:p>
        </w:tc>
        <w:tc>
          <w:tcPr>
            <w:tcW w:w="1323" w:type="dxa"/>
            <w:vAlign w:val="center"/>
          </w:tcPr>
          <w:p w14:paraId="18872CFB">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条款号</w:t>
            </w:r>
          </w:p>
        </w:tc>
        <w:tc>
          <w:tcPr>
            <w:tcW w:w="2636" w:type="dxa"/>
            <w:vAlign w:val="center"/>
          </w:tcPr>
          <w:p w14:paraId="59529204">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投标文件偏离内容</w:t>
            </w:r>
          </w:p>
        </w:tc>
        <w:tc>
          <w:tcPr>
            <w:tcW w:w="850" w:type="dxa"/>
            <w:vMerge w:val="continue"/>
          </w:tcPr>
          <w:p w14:paraId="5C987EC3">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r>
      <w:tr w14:paraId="37751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vAlign w:val="center"/>
          </w:tcPr>
          <w:p w14:paraId="186B845F">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1371" w:type="dxa"/>
            <w:vAlign w:val="center"/>
          </w:tcPr>
          <w:p w14:paraId="21F661EE">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2857" w:type="dxa"/>
            <w:vAlign w:val="center"/>
          </w:tcPr>
          <w:p w14:paraId="7D072E0F">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1323" w:type="dxa"/>
            <w:vAlign w:val="center"/>
          </w:tcPr>
          <w:p w14:paraId="385E09FF">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2636" w:type="dxa"/>
            <w:vAlign w:val="center"/>
          </w:tcPr>
          <w:p w14:paraId="0EE00819">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850" w:type="dxa"/>
            <w:vAlign w:val="center"/>
          </w:tcPr>
          <w:p w14:paraId="405D0AEB">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r>
      <w:tr w14:paraId="3FBEE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vAlign w:val="center"/>
          </w:tcPr>
          <w:p w14:paraId="6BD605F2">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1371" w:type="dxa"/>
            <w:vAlign w:val="center"/>
          </w:tcPr>
          <w:p w14:paraId="5B726234">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2857" w:type="dxa"/>
            <w:vAlign w:val="center"/>
          </w:tcPr>
          <w:p w14:paraId="54E60D58">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1323" w:type="dxa"/>
            <w:vAlign w:val="center"/>
          </w:tcPr>
          <w:p w14:paraId="6A9A4389">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2636" w:type="dxa"/>
            <w:vAlign w:val="center"/>
          </w:tcPr>
          <w:p w14:paraId="05B490D8">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850" w:type="dxa"/>
            <w:vAlign w:val="center"/>
          </w:tcPr>
          <w:p w14:paraId="3B15533F">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r>
      <w:tr w14:paraId="00A99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vAlign w:val="center"/>
          </w:tcPr>
          <w:p w14:paraId="63538FE1">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1371" w:type="dxa"/>
            <w:vAlign w:val="center"/>
          </w:tcPr>
          <w:p w14:paraId="4BD277E5">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2857" w:type="dxa"/>
            <w:vAlign w:val="center"/>
          </w:tcPr>
          <w:p w14:paraId="04EB205F">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1323" w:type="dxa"/>
            <w:vAlign w:val="center"/>
          </w:tcPr>
          <w:p w14:paraId="049288CC">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2636" w:type="dxa"/>
            <w:vAlign w:val="center"/>
          </w:tcPr>
          <w:p w14:paraId="077348C3">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850" w:type="dxa"/>
            <w:vAlign w:val="center"/>
          </w:tcPr>
          <w:p w14:paraId="2D7B759C">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r>
      <w:tr w14:paraId="01FB5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vAlign w:val="center"/>
          </w:tcPr>
          <w:p w14:paraId="099CEDAC">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1371" w:type="dxa"/>
            <w:vAlign w:val="center"/>
          </w:tcPr>
          <w:p w14:paraId="56CB947F">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2857" w:type="dxa"/>
            <w:vAlign w:val="center"/>
          </w:tcPr>
          <w:p w14:paraId="13E2397E">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1323" w:type="dxa"/>
            <w:vAlign w:val="center"/>
          </w:tcPr>
          <w:p w14:paraId="5E2D68CF">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2636" w:type="dxa"/>
            <w:vAlign w:val="center"/>
          </w:tcPr>
          <w:p w14:paraId="672170F1">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850" w:type="dxa"/>
            <w:vAlign w:val="center"/>
          </w:tcPr>
          <w:p w14:paraId="7DC31492">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r>
      <w:tr w14:paraId="7376B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vAlign w:val="center"/>
          </w:tcPr>
          <w:p w14:paraId="0F25CFD3">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1371" w:type="dxa"/>
            <w:vAlign w:val="center"/>
          </w:tcPr>
          <w:p w14:paraId="7CDF3012">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2857" w:type="dxa"/>
            <w:vAlign w:val="center"/>
          </w:tcPr>
          <w:p w14:paraId="13B65027">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1323" w:type="dxa"/>
            <w:vAlign w:val="center"/>
          </w:tcPr>
          <w:p w14:paraId="0D5840BB">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2636" w:type="dxa"/>
            <w:vAlign w:val="center"/>
          </w:tcPr>
          <w:p w14:paraId="4AE8983B">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850" w:type="dxa"/>
            <w:vAlign w:val="center"/>
          </w:tcPr>
          <w:p w14:paraId="1B000517">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r>
      <w:tr w14:paraId="16F93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900" w:type="dxa"/>
            <w:vAlign w:val="center"/>
          </w:tcPr>
          <w:p w14:paraId="28C2A126">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1371" w:type="dxa"/>
            <w:vAlign w:val="center"/>
          </w:tcPr>
          <w:p w14:paraId="483B6F5F">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2857" w:type="dxa"/>
            <w:vAlign w:val="center"/>
          </w:tcPr>
          <w:p w14:paraId="147973AD">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1323" w:type="dxa"/>
            <w:vAlign w:val="center"/>
          </w:tcPr>
          <w:p w14:paraId="7BFF9B43">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2636" w:type="dxa"/>
            <w:vAlign w:val="center"/>
          </w:tcPr>
          <w:p w14:paraId="5AF7FC21">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850" w:type="dxa"/>
            <w:vAlign w:val="center"/>
          </w:tcPr>
          <w:p w14:paraId="72AE8B72">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r>
      <w:tr w14:paraId="59626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900" w:type="dxa"/>
            <w:vAlign w:val="center"/>
          </w:tcPr>
          <w:p w14:paraId="1EE43205">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1371" w:type="dxa"/>
            <w:vAlign w:val="center"/>
          </w:tcPr>
          <w:p w14:paraId="6027B641">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2857" w:type="dxa"/>
            <w:vAlign w:val="center"/>
          </w:tcPr>
          <w:p w14:paraId="68B9B9F7">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1323" w:type="dxa"/>
            <w:vAlign w:val="center"/>
          </w:tcPr>
          <w:p w14:paraId="07B6A698">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2636" w:type="dxa"/>
            <w:vAlign w:val="center"/>
          </w:tcPr>
          <w:p w14:paraId="66A5BDAC">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850" w:type="dxa"/>
            <w:vAlign w:val="center"/>
          </w:tcPr>
          <w:p w14:paraId="3FE667F3">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r>
      <w:tr w14:paraId="18980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900" w:type="dxa"/>
            <w:vAlign w:val="center"/>
          </w:tcPr>
          <w:p w14:paraId="6F4748DA">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1371" w:type="dxa"/>
            <w:vAlign w:val="center"/>
          </w:tcPr>
          <w:p w14:paraId="677436B7">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2857" w:type="dxa"/>
            <w:vAlign w:val="center"/>
          </w:tcPr>
          <w:p w14:paraId="011C1542">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1323" w:type="dxa"/>
            <w:vAlign w:val="center"/>
          </w:tcPr>
          <w:p w14:paraId="5E445536">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2636" w:type="dxa"/>
            <w:vAlign w:val="center"/>
          </w:tcPr>
          <w:p w14:paraId="3EA517E0">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850" w:type="dxa"/>
            <w:vAlign w:val="center"/>
          </w:tcPr>
          <w:p w14:paraId="608FAC05">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r>
      <w:tr w14:paraId="10CCA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900" w:type="dxa"/>
            <w:vAlign w:val="center"/>
          </w:tcPr>
          <w:p w14:paraId="587B26EE">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p>
          <w:p w14:paraId="63242966">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1371" w:type="dxa"/>
            <w:vAlign w:val="center"/>
          </w:tcPr>
          <w:p w14:paraId="5E3E8967">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2857" w:type="dxa"/>
            <w:vAlign w:val="center"/>
          </w:tcPr>
          <w:p w14:paraId="73DA038E">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1323" w:type="dxa"/>
            <w:vAlign w:val="center"/>
          </w:tcPr>
          <w:p w14:paraId="51711E2C">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2636" w:type="dxa"/>
            <w:vAlign w:val="center"/>
          </w:tcPr>
          <w:p w14:paraId="5DE590FC">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850" w:type="dxa"/>
            <w:vAlign w:val="center"/>
          </w:tcPr>
          <w:p w14:paraId="5371879A">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r>
    </w:tbl>
    <w:p w14:paraId="36DF12A8">
      <w:pPr>
        <w:pStyle w:val="26"/>
        <w:pageBreakBefore w:val="0"/>
        <w:kinsoku/>
        <w:overflowPunct/>
        <w:topLinePunct w:val="0"/>
        <w:bidi w:val="0"/>
        <w:adjustRightInd/>
        <w:snapToGrid/>
        <w:spacing w:line="360"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t>注：无偏离可填写“无”字，有偏离必须在本表列明，实际存在负偏离而在本表内没有列明的，视为虚假投标。</w:t>
      </w:r>
    </w:p>
    <w:p w14:paraId="400A23FE">
      <w:pPr>
        <w:pStyle w:val="19"/>
        <w:pageBreakBefore w:val="0"/>
        <w:kinsoku/>
        <w:overflowPunct/>
        <w:topLinePunct w:val="0"/>
        <w:bidi w:val="0"/>
        <w:adjustRightInd/>
        <w:snapToGrid/>
        <w:spacing w:line="360" w:lineRule="auto"/>
        <w:rPr>
          <w:rFonts w:hint="eastAsia" w:ascii="仿宋" w:hAnsi="仿宋" w:eastAsia="仿宋" w:cs="仿宋"/>
          <w:color w:val="000000" w:themeColor="text1"/>
          <w:highlight w:val="none"/>
          <w14:textFill>
            <w14:solidFill>
              <w14:schemeClr w14:val="tx1"/>
            </w14:solidFill>
          </w14:textFill>
        </w:rPr>
      </w:pPr>
    </w:p>
    <w:p w14:paraId="5CC3C9FB">
      <w:pPr>
        <w:pageBreakBefore w:val="0"/>
        <w:kinsoku/>
        <w:overflowPunct/>
        <w:topLinePunct w:val="0"/>
        <w:bidi w:val="0"/>
        <w:adjustRightInd/>
        <w:snapToGrid/>
        <w:spacing w:line="360" w:lineRule="auto"/>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投标人(盖章):</w:t>
      </w:r>
    </w:p>
    <w:p w14:paraId="6B675C38">
      <w:pPr>
        <w:pStyle w:val="26"/>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法定代表人（签字或盖章）：</w:t>
      </w:r>
    </w:p>
    <w:p w14:paraId="03D4ED0E">
      <w:pPr>
        <w:rPr>
          <w:rFonts w:hint="eastAsia" w:ascii="仿宋" w:hAnsi="仿宋" w:eastAsia="仿宋" w:cs="仿宋"/>
          <w:bCs/>
          <w:color w:val="000000" w:themeColor="text1"/>
          <w:kern w:val="2"/>
          <w:sz w:val="44"/>
          <w:szCs w:val="32"/>
          <w:highlight w:val="none"/>
          <w14:textFill>
            <w14:solidFill>
              <w14:schemeClr w14:val="tx1"/>
            </w14:solidFill>
          </w14:textFill>
        </w:rPr>
      </w:pPr>
      <w:r>
        <w:rPr>
          <w:rFonts w:hint="eastAsia" w:ascii="仿宋" w:hAnsi="仿宋" w:eastAsia="仿宋" w:cs="仿宋"/>
          <w:bCs/>
          <w:color w:val="000000" w:themeColor="text1"/>
          <w:kern w:val="2"/>
          <w:sz w:val="44"/>
          <w:szCs w:val="32"/>
          <w:highlight w:val="none"/>
          <w14:textFill>
            <w14:solidFill>
              <w14:schemeClr w14:val="tx1"/>
            </w14:solidFill>
          </w14:textFill>
        </w:rPr>
        <w:br w:type="page"/>
      </w:r>
    </w:p>
    <w:p w14:paraId="11387176">
      <w:pPr>
        <w:pStyle w:val="26"/>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Cs/>
          <w:color w:val="000000" w:themeColor="text1"/>
          <w:kern w:val="2"/>
          <w:sz w:val="44"/>
          <w:szCs w:val="32"/>
          <w:highlight w:val="none"/>
          <w14:textFill>
            <w14:solidFill>
              <w14:schemeClr w14:val="tx1"/>
            </w14:solidFill>
          </w14:textFill>
        </w:rPr>
      </w:pPr>
      <w:r>
        <w:rPr>
          <w:rFonts w:hint="eastAsia" w:ascii="仿宋" w:hAnsi="仿宋" w:eastAsia="仿宋" w:cs="仿宋"/>
          <w:bCs/>
          <w:color w:val="000000" w:themeColor="text1"/>
          <w:kern w:val="2"/>
          <w:sz w:val="44"/>
          <w:szCs w:val="32"/>
          <w:highlight w:val="none"/>
          <w14:textFill>
            <w14:solidFill>
              <w14:schemeClr w14:val="tx1"/>
            </w14:solidFill>
          </w14:textFill>
        </w:rPr>
        <w:t>投标人信用承诺书</w:t>
      </w:r>
    </w:p>
    <w:p w14:paraId="1F23C8A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为营造公平竞争、规范有序的市场环境，树立诚信守法经营形象。本单位郑重承诺：</w:t>
      </w:r>
    </w:p>
    <w:p w14:paraId="1C700940">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一、我方在此声明，本次采购活动中申报的所有资料都是真实、准确完整的，如发现提供虚假资料，或与事实不符而导致投标（报价）无效，甚至造成任何法律和经济责任，完全由我方负责。</w:t>
      </w:r>
    </w:p>
    <w:p w14:paraId="56FCBA9B">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二、我方在本次采购活动中绝无资质挂靠、串标、围标情形，若经贵方查出，立即取消我方中标（成交）资格并承担相应的法律责任。</w:t>
      </w:r>
    </w:p>
    <w:p w14:paraId="6C30BB35">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三、我方在以往的采购活动中，无重大违法、违规的不良记录；或虽有不良记录，但已超过处理期限。</w:t>
      </w:r>
    </w:p>
    <w:p w14:paraId="34ED6B70">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四、我方一旦中标（成交），将按规定及时与贵方签订合同，严格按照投标（报价）文件中所承诺的报价、质量、服务期等内容组织实施。</w:t>
      </w:r>
    </w:p>
    <w:p w14:paraId="01FC64F0">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五、自觉接受社会各界的监督，依法接受有关行政机关的事中事后监管和执法检查，并如实提供有关情况和材料。</w:t>
      </w:r>
    </w:p>
    <w:p w14:paraId="4119A767">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六、严格遵守国家法律、法规、规章和相关政策的规定，积极参与社会信用体系建设，倡导树立以信笃行，以诚兴业的传统美德，争当信用市民，争创信用企业。</w:t>
      </w:r>
    </w:p>
    <w:p w14:paraId="0139230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七、我方承诺我单位、法定代表人、授权委托人近三年内（若单位成立时间不足三年，则自成立时间至今）无行贿犯罪记录。如有不实，愿意承担一切后果。</w:t>
      </w:r>
    </w:p>
    <w:p w14:paraId="23FDB161">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八</w:t>
      </w:r>
      <w:r>
        <w:rPr>
          <w:rFonts w:hint="eastAsia" w:ascii="仿宋" w:hAnsi="仿宋" w:eastAsia="仿宋" w:cs="仿宋"/>
          <w:color w:val="000000" w:themeColor="text1"/>
          <w:kern w:val="0"/>
          <w:sz w:val="28"/>
          <w:szCs w:val="28"/>
          <w:highlight w:val="none"/>
          <w14:textFill>
            <w14:solidFill>
              <w14:schemeClr w14:val="tx1"/>
            </w14:solidFill>
          </w14:textFill>
        </w:rPr>
        <w:t>、本《信用承诺书》同意向社会公开。</w:t>
      </w:r>
    </w:p>
    <w:p w14:paraId="135F6DB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特别声明：上述《信用承诺书》系我单位真实意思表示，我单位已仔细阅读，充分理解并认识到须承担的法律责任和义务，自愿承担相应的法律风险。</w:t>
      </w:r>
    </w:p>
    <w:p w14:paraId="5F8230E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themeColor="text1"/>
          <w:kern w:val="0"/>
          <w:sz w:val="28"/>
          <w:szCs w:val="28"/>
          <w:highlight w:val="none"/>
          <w14:textFill>
            <w14:solidFill>
              <w14:schemeClr w14:val="tx1"/>
            </w14:solidFill>
          </w14:textFill>
        </w:rPr>
      </w:pPr>
    </w:p>
    <w:p w14:paraId="5059F770">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themeColor="text1"/>
          <w:kern w:val="0"/>
          <w:sz w:val="28"/>
          <w:szCs w:val="28"/>
          <w:highlight w:val="none"/>
          <w14:textFill>
            <w14:solidFill>
              <w14:schemeClr w14:val="tx1"/>
            </w14:solidFill>
          </w14:textFill>
        </w:rPr>
      </w:pPr>
    </w:p>
    <w:p w14:paraId="065C5747">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承诺单位：                          （盖章）</w:t>
      </w:r>
    </w:p>
    <w:p w14:paraId="2B402256">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themeColor="text1"/>
          <w:kern w:val="0"/>
          <w:sz w:val="28"/>
          <w:szCs w:val="28"/>
          <w:highlight w:val="none"/>
          <w14:textFill>
            <w14:solidFill>
              <w14:schemeClr w14:val="tx1"/>
            </w14:solidFill>
          </w14:textFill>
        </w:rPr>
      </w:pPr>
    </w:p>
    <w:p w14:paraId="1F5A0F3B">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 xml:space="preserve">                                     年    月    日</w:t>
      </w:r>
      <w:bookmarkStart w:id="92" w:name="_Toc130651408"/>
    </w:p>
    <w:p w14:paraId="4B6EF8D1">
      <w:pPr>
        <w:rPr>
          <w:rFonts w:hint="eastAsia" w:ascii="仿宋" w:hAnsi="仿宋" w:eastAsia="仿宋" w:cs="仿宋"/>
          <w:color w:val="000000" w:themeColor="text1"/>
          <w:sz w:val="44"/>
          <w:szCs w:val="44"/>
          <w:highlight w:val="none"/>
          <w14:textFill>
            <w14:solidFill>
              <w14:schemeClr w14:val="tx1"/>
            </w14:solidFill>
          </w14:textFill>
        </w:rPr>
      </w:pPr>
      <w:r>
        <w:rPr>
          <w:rFonts w:hint="eastAsia" w:ascii="仿宋" w:hAnsi="仿宋" w:eastAsia="仿宋" w:cs="仿宋"/>
          <w:color w:val="000000" w:themeColor="text1"/>
          <w:sz w:val="44"/>
          <w:szCs w:val="44"/>
          <w:highlight w:val="none"/>
          <w14:textFill>
            <w14:solidFill>
              <w14:schemeClr w14:val="tx1"/>
            </w14:solidFill>
          </w14:textFill>
        </w:rPr>
        <w:br w:type="page"/>
      </w:r>
    </w:p>
    <w:p w14:paraId="3D9C0BE5">
      <w:pPr>
        <w:pStyle w:val="26"/>
        <w:pageBreakBefore w:val="0"/>
        <w:kinsoku/>
        <w:overflowPunct/>
        <w:topLinePunct w:val="0"/>
        <w:bidi w:val="0"/>
        <w:adjustRightInd/>
        <w:snapToGrid/>
        <w:jc w:val="center"/>
        <w:rPr>
          <w:rFonts w:hint="eastAsia" w:ascii="仿宋" w:hAnsi="仿宋" w:eastAsia="仿宋" w:cs="仿宋"/>
          <w:bCs/>
          <w:color w:val="000000" w:themeColor="text1"/>
          <w:kern w:val="2"/>
          <w:sz w:val="44"/>
          <w:szCs w:val="32"/>
          <w:highlight w:val="none"/>
          <w14:textFill>
            <w14:solidFill>
              <w14:schemeClr w14:val="tx1"/>
            </w14:solidFill>
          </w14:textFill>
        </w:rPr>
      </w:pPr>
      <w:r>
        <w:rPr>
          <w:rFonts w:hint="eastAsia" w:ascii="仿宋" w:hAnsi="仿宋" w:eastAsia="仿宋" w:cs="仿宋"/>
          <w:color w:val="000000" w:themeColor="text1"/>
          <w:sz w:val="44"/>
          <w:szCs w:val="44"/>
          <w:highlight w:val="none"/>
          <w14:textFill>
            <w14:solidFill>
              <w14:schemeClr w14:val="tx1"/>
            </w14:solidFill>
          </w14:textFill>
        </w:rPr>
        <w:t>投标人资格证明文件</w:t>
      </w:r>
      <w:bookmarkEnd w:id="91"/>
      <w:bookmarkEnd w:id="92"/>
    </w:p>
    <w:p w14:paraId="2283CCA5">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投标人有效的营业执照扫描件</w:t>
      </w:r>
    </w:p>
    <w:p w14:paraId="03105E7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000000" w:themeColor="text1"/>
          <w:sz w:val="30"/>
          <w:szCs w:val="30"/>
          <w:highlight w:val="none"/>
          <w14:textFill>
            <w14:solidFill>
              <w14:schemeClr w14:val="tx1"/>
            </w14:solidFill>
          </w14:textFill>
        </w:rPr>
      </w:pPr>
    </w:p>
    <w:p w14:paraId="645528E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000000" w:themeColor="text1"/>
          <w:sz w:val="30"/>
          <w:szCs w:val="30"/>
          <w:highlight w:val="none"/>
          <w14:textFill>
            <w14:solidFill>
              <w14:schemeClr w14:val="tx1"/>
            </w14:solidFill>
          </w14:textFill>
        </w:rPr>
      </w:pPr>
    </w:p>
    <w:p w14:paraId="7CEB6623">
      <w:pPr>
        <w:pStyle w:val="19"/>
        <w:keepNext w:val="0"/>
        <w:keepLines w:val="0"/>
        <w:pageBreakBefore w:val="0"/>
        <w:widowControl w:val="0"/>
        <w:kinsoku/>
        <w:wordWrap/>
        <w:overflowPunct/>
        <w:topLinePunct w:val="0"/>
        <w:autoSpaceDE/>
        <w:autoSpaceDN/>
        <w:bidi w:val="0"/>
        <w:adjustRightInd/>
        <w:snapToGrid/>
        <w:spacing w:after="0" w:line="240" w:lineRule="auto"/>
        <w:ind w:firstLine="0" w:firstLineChars="0"/>
        <w:jc w:val="center"/>
        <w:textAlignment w:val="auto"/>
        <w:rPr>
          <w:rFonts w:hint="eastAsia" w:ascii="仿宋" w:hAnsi="仿宋" w:eastAsia="仿宋" w:cs="仿宋"/>
          <w:color w:val="000000" w:themeColor="text1"/>
          <w:highlight w:val="none"/>
          <w14:textFill>
            <w14:solidFill>
              <w14:schemeClr w14:val="tx1"/>
            </w14:solidFill>
          </w14:textFill>
        </w:rPr>
      </w:pPr>
    </w:p>
    <w:p w14:paraId="3FD77B5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000000" w:themeColor="text1"/>
          <w:sz w:val="28"/>
          <w:szCs w:val="28"/>
          <w:highlight w:val="none"/>
          <w14:textFill>
            <w14:solidFill>
              <w14:schemeClr w14:val="tx1"/>
            </w14:solidFill>
          </w14:textFill>
        </w:rPr>
      </w:pPr>
    </w:p>
    <w:p w14:paraId="3107B92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000000" w:themeColor="text1"/>
          <w:sz w:val="28"/>
          <w:szCs w:val="28"/>
          <w:highlight w:val="none"/>
          <w14:textFill>
            <w14:solidFill>
              <w14:schemeClr w14:val="tx1"/>
            </w14:solidFill>
          </w14:textFill>
        </w:rPr>
      </w:pPr>
    </w:p>
    <w:p w14:paraId="06011E0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000000" w:themeColor="text1"/>
          <w:sz w:val="28"/>
          <w:szCs w:val="28"/>
          <w:highlight w:val="none"/>
          <w14:textFill>
            <w14:solidFill>
              <w14:schemeClr w14:val="tx1"/>
            </w14:solidFill>
          </w14:textFill>
        </w:rPr>
      </w:pPr>
    </w:p>
    <w:p w14:paraId="382FA6E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000000" w:themeColor="text1"/>
          <w:sz w:val="28"/>
          <w:szCs w:val="28"/>
          <w:highlight w:val="none"/>
          <w14:textFill>
            <w14:solidFill>
              <w14:schemeClr w14:val="tx1"/>
            </w14:solidFill>
          </w14:textFill>
        </w:rPr>
      </w:pPr>
    </w:p>
    <w:p w14:paraId="11B8AA0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000000" w:themeColor="text1"/>
          <w:sz w:val="28"/>
          <w:szCs w:val="28"/>
          <w:highlight w:val="none"/>
          <w14:textFill>
            <w14:solidFill>
              <w14:schemeClr w14:val="tx1"/>
            </w14:solidFill>
          </w14:textFill>
        </w:rPr>
      </w:pPr>
    </w:p>
    <w:p w14:paraId="1212874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000000" w:themeColor="text1"/>
          <w:sz w:val="28"/>
          <w:szCs w:val="28"/>
          <w:highlight w:val="none"/>
          <w14:textFill>
            <w14:solidFill>
              <w14:schemeClr w14:val="tx1"/>
            </w14:solidFill>
          </w14:textFill>
        </w:rPr>
      </w:pPr>
    </w:p>
    <w:p w14:paraId="6E7B461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000000" w:themeColor="text1"/>
          <w:sz w:val="28"/>
          <w:szCs w:val="28"/>
          <w:highlight w:val="none"/>
          <w14:textFill>
            <w14:solidFill>
              <w14:schemeClr w14:val="tx1"/>
            </w14:solidFill>
          </w14:textFill>
        </w:rPr>
      </w:pPr>
    </w:p>
    <w:p w14:paraId="3F849C1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000000" w:themeColor="text1"/>
          <w:sz w:val="28"/>
          <w:szCs w:val="28"/>
          <w:highlight w:val="none"/>
          <w14:textFill>
            <w14:solidFill>
              <w14:schemeClr w14:val="tx1"/>
            </w14:solidFill>
          </w14:textFill>
        </w:rPr>
      </w:pPr>
    </w:p>
    <w:p w14:paraId="158D9FF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000000" w:themeColor="text1"/>
          <w:sz w:val="28"/>
          <w:szCs w:val="28"/>
          <w:highlight w:val="none"/>
          <w14:textFill>
            <w14:solidFill>
              <w14:schemeClr w14:val="tx1"/>
            </w14:solidFill>
          </w14:textFill>
        </w:rPr>
      </w:pPr>
    </w:p>
    <w:p w14:paraId="7EB30DD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000000" w:themeColor="text1"/>
          <w:sz w:val="28"/>
          <w:szCs w:val="28"/>
          <w:highlight w:val="none"/>
          <w14:textFill>
            <w14:solidFill>
              <w14:schemeClr w14:val="tx1"/>
            </w14:solidFill>
          </w14:textFill>
        </w:rPr>
      </w:pPr>
    </w:p>
    <w:p w14:paraId="207D6DAA">
      <w:pPr>
        <w:pageBreakBefore w:val="0"/>
        <w:kinsoku/>
        <w:overflowPunct/>
        <w:topLinePunct w:val="0"/>
        <w:bidi w:val="0"/>
        <w:adjustRightInd/>
        <w:snapToGrid/>
        <w:spacing w:line="360" w:lineRule="auto"/>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 xml:space="preserve">                                    投标人（盖章）</w:t>
      </w:r>
    </w:p>
    <w:p w14:paraId="2108EE3B">
      <w:pPr>
        <w:pStyle w:val="2"/>
        <w:pageBreakBefore w:val="0"/>
        <w:kinsoku/>
        <w:overflowPunct/>
        <w:topLinePunct w:val="0"/>
        <w:bidi w:val="0"/>
        <w:adjustRightInd/>
        <w:snapToGrid/>
        <w:rPr>
          <w:rFonts w:hint="eastAsia" w:ascii="仿宋" w:hAnsi="仿宋" w:eastAsia="仿宋" w:cs="仿宋"/>
          <w:highlight w:val="none"/>
          <w:lang w:eastAsia="zh-CN"/>
        </w:rPr>
      </w:pPr>
    </w:p>
    <w:p w14:paraId="5F91C2C1">
      <w:pPr>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br w:type="page"/>
      </w:r>
    </w:p>
    <w:p w14:paraId="01312011">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法定代表人身份证明</w:t>
      </w:r>
    </w:p>
    <w:p w14:paraId="78600812">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投标人名称：</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 xml:space="preserve"> </w:t>
      </w:r>
    </w:p>
    <w:p w14:paraId="355216E7">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单位性质：</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 xml:space="preserve"> </w:t>
      </w:r>
    </w:p>
    <w:p w14:paraId="6FD51462">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地址：</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p>
    <w:p w14:paraId="6163CFBB">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成立时间：</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年</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月</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日</w:t>
      </w:r>
    </w:p>
    <w:p w14:paraId="4F709285">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经营期限：</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p>
    <w:p w14:paraId="58AB1065">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姓名：</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 xml:space="preserve"> 性别：</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年龄：</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职务：</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p>
    <w:p w14:paraId="25BDD5EC">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系</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 xml:space="preserve"> （投标人名称）的法定代表人。</w:t>
      </w:r>
    </w:p>
    <w:p w14:paraId="436768C2">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特此证明。</w:t>
      </w:r>
    </w:p>
    <w:p w14:paraId="65BB09F8">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（盖单位章）</w:t>
      </w:r>
    </w:p>
    <w:p w14:paraId="5DBECC51">
      <w:pPr>
        <w:pStyle w:val="26"/>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年</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月</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日</w:t>
      </w:r>
    </w:p>
    <w:p w14:paraId="65E967C6">
      <w:pPr>
        <w:pStyle w:val="26"/>
        <w:pageBreakBefore w:val="0"/>
        <w:kinsoku/>
        <w:overflowPunct/>
        <w:topLinePunct w:val="0"/>
        <w:bidi w:val="0"/>
        <w:adjustRightInd/>
        <w:snapToGrid/>
        <w:spacing w:line="360" w:lineRule="auto"/>
        <w:ind w:firstLine="560" w:firstLineChars="200"/>
        <w:jc w:val="center"/>
        <w:rPr>
          <w:rFonts w:hint="eastAsia" w:ascii="仿宋" w:hAnsi="仿宋" w:eastAsia="仿宋" w:cs="仿宋"/>
          <w:color w:val="000000" w:themeColor="text1"/>
          <w:sz w:val="28"/>
          <w:szCs w:val="28"/>
          <w:highlight w:val="none"/>
          <w14:textFill>
            <w14:solidFill>
              <w14:schemeClr w14:val="tx1"/>
            </w14:solidFill>
          </w14:textFill>
        </w:rPr>
      </w:pPr>
    </w:p>
    <w:p w14:paraId="5B74D529">
      <w:pPr>
        <w:pStyle w:val="26"/>
        <w:pageBreakBefore w:val="0"/>
        <w:kinsoku/>
        <w:overflowPunct/>
        <w:topLinePunct w:val="0"/>
        <w:bidi w:val="0"/>
        <w:adjustRightInd/>
        <w:snapToGrid/>
        <w:spacing w:line="360" w:lineRule="auto"/>
        <w:ind w:firstLine="560" w:firstLineChars="200"/>
        <w:jc w:val="center"/>
        <w:rPr>
          <w:rFonts w:hint="eastAsia" w:ascii="仿宋" w:hAnsi="仿宋" w:eastAsia="仿宋" w:cs="仿宋"/>
          <w:color w:val="000000" w:themeColor="text1"/>
          <w:sz w:val="28"/>
          <w:szCs w:val="28"/>
          <w:highlight w:val="none"/>
          <w14:textFill>
            <w14:solidFill>
              <w14:schemeClr w14:val="tx1"/>
            </w14:solidFill>
          </w14:textFill>
        </w:rPr>
      </w:pPr>
    </w:p>
    <w:tbl>
      <w:tblPr>
        <w:tblStyle w:val="52"/>
        <w:tblpPr w:leftFromText="180" w:rightFromText="18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27"/>
      </w:tblGrid>
      <w:tr w14:paraId="78F99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2" w:hRule="atLeast"/>
        </w:trPr>
        <w:tc>
          <w:tcPr>
            <w:tcW w:w="5827" w:type="dxa"/>
            <w:vAlign w:val="center"/>
          </w:tcPr>
          <w:p w14:paraId="713A7319">
            <w:pPr>
              <w:pStyle w:val="47"/>
              <w:pageBreakBefore w:val="0"/>
              <w:kinsoku/>
              <w:overflowPunct/>
              <w:topLinePunct w:val="0"/>
              <w:bidi w:val="0"/>
              <w:adjustRightInd/>
              <w:snapToGrid/>
              <w:spacing w:beforeAutospacing="0" w:afterAutospacing="0"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有效的</w:t>
            </w:r>
            <w:r>
              <w:rPr>
                <w:rFonts w:hint="eastAsia" w:ascii="仿宋" w:hAnsi="仿宋" w:eastAsia="仿宋" w:cs="仿宋"/>
                <w:color w:val="000000" w:themeColor="text1"/>
                <w:sz w:val="28"/>
                <w:szCs w:val="28"/>
                <w:highlight w:val="none"/>
                <w14:textFill>
                  <w14:solidFill>
                    <w14:schemeClr w14:val="tx1"/>
                  </w14:solidFill>
                </w14:textFill>
              </w:rPr>
              <w:t>法定代表人身份证</w:t>
            </w:r>
            <w:r>
              <w:rPr>
                <w:rFonts w:hint="eastAsia" w:ascii="仿宋" w:hAnsi="仿宋" w:eastAsia="仿宋" w:cs="仿宋"/>
                <w:color w:val="000000" w:themeColor="text1"/>
                <w:sz w:val="28"/>
                <w:szCs w:val="28"/>
                <w:highlight w:val="none"/>
                <w:lang w:val="en-US" w:eastAsia="zh-CN"/>
                <w14:textFill>
                  <w14:solidFill>
                    <w14:schemeClr w14:val="tx1"/>
                  </w14:solidFill>
                </w14:textFill>
              </w:rPr>
              <w:t>双面</w:t>
            </w:r>
            <w:r>
              <w:rPr>
                <w:rFonts w:hint="eastAsia" w:ascii="仿宋" w:hAnsi="仿宋" w:eastAsia="仿宋" w:cs="仿宋"/>
                <w:color w:val="000000" w:themeColor="text1"/>
                <w:sz w:val="28"/>
                <w:szCs w:val="28"/>
                <w:highlight w:val="none"/>
                <w14:textFill>
                  <w14:solidFill>
                    <w14:schemeClr w14:val="tx1"/>
                  </w14:solidFill>
                </w14:textFill>
              </w:rPr>
              <w:t>扫描件）</w:t>
            </w:r>
          </w:p>
        </w:tc>
      </w:tr>
    </w:tbl>
    <w:p w14:paraId="190923B4">
      <w:pPr>
        <w:pStyle w:val="26"/>
        <w:pageBreakBefore w:val="0"/>
        <w:kinsoku/>
        <w:overflowPunct/>
        <w:topLinePunct w:val="0"/>
        <w:bidi w:val="0"/>
        <w:adjustRightInd/>
        <w:snapToGrid/>
        <w:ind w:firstLine="420" w:firstLineChars="200"/>
        <w:jc w:val="center"/>
        <w:rPr>
          <w:rFonts w:hint="eastAsia" w:ascii="仿宋" w:hAnsi="仿宋" w:eastAsia="仿宋" w:cs="仿宋"/>
          <w:color w:val="000000" w:themeColor="text1"/>
          <w:highlight w:val="none"/>
          <w14:textFill>
            <w14:solidFill>
              <w14:schemeClr w14:val="tx1"/>
            </w14:solidFill>
          </w14:textFill>
        </w:rPr>
      </w:pPr>
    </w:p>
    <w:p w14:paraId="795A5523">
      <w:pPr>
        <w:pStyle w:val="26"/>
        <w:pageBreakBefore w:val="0"/>
        <w:kinsoku/>
        <w:overflowPunct/>
        <w:topLinePunct w:val="0"/>
        <w:bidi w:val="0"/>
        <w:adjustRightInd/>
        <w:snapToGrid/>
        <w:ind w:firstLine="420" w:firstLineChars="200"/>
        <w:jc w:val="center"/>
        <w:rPr>
          <w:rFonts w:hint="eastAsia" w:ascii="仿宋" w:hAnsi="仿宋" w:eastAsia="仿宋" w:cs="仿宋"/>
          <w:color w:val="000000" w:themeColor="text1"/>
          <w:highlight w:val="none"/>
          <w14:textFill>
            <w14:solidFill>
              <w14:schemeClr w14:val="tx1"/>
            </w14:solidFill>
          </w14:textFill>
        </w:rPr>
      </w:pPr>
    </w:p>
    <w:p w14:paraId="3156E6EB">
      <w:pPr>
        <w:pStyle w:val="26"/>
        <w:pageBreakBefore w:val="0"/>
        <w:kinsoku/>
        <w:overflowPunct/>
        <w:topLinePunct w:val="0"/>
        <w:bidi w:val="0"/>
        <w:adjustRightInd/>
        <w:snapToGrid/>
        <w:ind w:firstLine="420" w:firstLineChars="200"/>
        <w:jc w:val="center"/>
        <w:rPr>
          <w:rFonts w:hint="eastAsia" w:ascii="仿宋" w:hAnsi="仿宋" w:eastAsia="仿宋" w:cs="仿宋"/>
          <w:color w:val="000000" w:themeColor="text1"/>
          <w:highlight w:val="none"/>
          <w14:textFill>
            <w14:solidFill>
              <w14:schemeClr w14:val="tx1"/>
            </w14:solidFill>
          </w14:textFill>
        </w:rPr>
      </w:pPr>
    </w:p>
    <w:p w14:paraId="72FF1A32">
      <w:pPr>
        <w:pStyle w:val="26"/>
        <w:pageBreakBefore w:val="0"/>
        <w:kinsoku/>
        <w:overflowPunct/>
        <w:topLinePunct w:val="0"/>
        <w:bidi w:val="0"/>
        <w:adjustRightInd/>
        <w:snapToGrid/>
        <w:ind w:firstLine="420" w:firstLineChars="200"/>
        <w:jc w:val="center"/>
        <w:rPr>
          <w:rFonts w:hint="eastAsia" w:ascii="仿宋" w:hAnsi="仿宋" w:eastAsia="仿宋" w:cs="仿宋"/>
          <w:color w:val="000000" w:themeColor="text1"/>
          <w:highlight w:val="none"/>
          <w14:textFill>
            <w14:solidFill>
              <w14:schemeClr w14:val="tx1"/>
            </w14:solidFill>
          </w14:textFill>
        </w:rPr>
      </w:pPr>
    </w:p>
    <w:p w14:paraId="43E28869">
      <w:pPr>
        <w:pageBreakBefore w:val="0"/>
        <w:kinsoku/>
        <w:overflowPunct/>
        <w:topLinePunct w:val="0"/>
        <w:bidi w:val="0"/>
        <w:adjustRightInd/>
        <w:snapToGrid/>
        <w:rPr>
          <w:rFonts w:hint="eastAsia" w:ascii="仿宋" w:hAnsi="仿宋" w:eastAsia="仿宋" w:cs="仿宋"/>
          <w:color w:val="000000" w:themeColor="text1"/>
          <w:highlight w:val="none"/>
          <w14:textFill>
            <w14:solidFill>
              <w14:schemeClr w14:val="tx1"/>
            </w14:solidFill>
          </w14:textFill>
        </w:rPr>
      </w:pPr>
    </w:p>
    <w:p w14:paraId="5917CCC5">
      <w:pPr>
        <w:pageBreakBefore w:val="0"/>
        <w:kinsoku/>
        <w:overflowPunct/>
        <w:topLinePunct w:val="0"/>
        <w:bidi w:val="0"/>
        <w:adjustRightInd/>
        <w:snapToGrid/>
        <w:rPr>
          <w:rFonts w:hint="eastAsia" w:ascii="仿宋" w:hAnsi="仿宋" w:eastAsia="仿宋" w:cs="仿宋"/>
          <w:color w:val="000000" w:themeColor="text1"/>
          <w:highlight w:val="none"/>
          <w14:textFill>
            <w14:solidFill>
              <w14:schemeClr w14:val="tx1"/>
            </w14:solidFill>
          </w14:textFill>
        </w:rPr>
      </w:pPr>
    </w:p>
    <w:p w14:paraId="2808B19B">
      <w:pPr>
        <w:pageBreakBefore w:val="0"/>
        <w:kinsoku/>
        <w:overflowPunct/>
        <w:topLinePunct w:val="0"/>
        <w:bidi w:val="0"/>
        <w:adjustRightInd/>
        <w:snapToGrid/>
        <w:rPr>
          <w:rFonts w:hint="eastAsia" w:ascii="仿宋" w:hAnsi="仿宋" w:eastAsia="仿宋" w:cs="仿宋"/>
          <w:color w:val="000000" w:themeColor="text1"/>
          <w:highlight w:val="none"/>
          <w14:textFill>
            <w14:solidFill>
              <w14:schemeClr w14:val="tx1"/>
            </w14:solidFill>
          </w14:textFill>
        </w:rPr>
      </w:pPr>
    </w:p>
    <w:p w14:paraId="1D6398AB">
      <w:pPr>
        <w:pageBreakBefore w:val="0"/>
        <w:kinsoku/>
        <w:overflowPunct/>
        <w:topLinePunct w:val="0"/>
        <w:bidi w:val="0"/>
        <w:adjustRightInd/>
        <w:snapToGrid/>
        <w:rPr>
          <w:rFonts w:hint="eastAsia" w:ascii="仿宋" w:hAnsi="仿宋" w:eastAsia="仿宋" w:cs="仿宋"/>
          <w:color w:val="000000" w:themeColor="text1"/>
          <w:highlight w:val="none"/>
          <w14:textFill>
            <w14:solidFill>
              <w14:schemeClr w14:val="tx1"/>
            </w14:solidFill>
          </w14:textFill>
        </w:rPr>
      </w:pPr>
    </w:p>
    <w:p w14:paraId="37624C08">
      <w:pPr>
        <w:pageBreakBefore w:val="0"/>
        <w:kinsoku/>
        <w:overflowPunct/>
        <w:topLinePunct w:val="0"/>
        <w:bidi w:val="0"/>
        <w:adjustRightInd/>
        <w:snapToGrid/>
        <w:rPr>
          <w:rFonts w:hint="eastAsia" w:ascii="仿宋" w:hAnsi="仿宋" w:eastAsia="仿宋" w:cs="仿宋"/>
          <w:color w:val="000000" w:themeColor="text1"/>
          <w:highlight w:val="none"/>
          <w14:textFill>
            <w14:solidFill>
              <w14:schemeClr w14:val="tx1"/>
            </w14:solidFill>
          </w14:textFill>
        </w:rPr>
      </w:pPr>
    </w:p>
    <w:p w14:paraId="412BEA15">
      <w:pPr>
        <w:pageBreakBefore w:val="0"/>
        <w:kinsoku/>
        <w:overflowPunct/>
        <w:topLinePunct w:val="0"/>
        <w:bidi w:val="0"/>
        <w:adjustRightInd/>
        <w:snapToGrid/>
        <w:rPr>
          <w:rFonts w:hint="eastAsia" w:ascii="仿宋" w:hAnsi="仿宋" w:eastAsia="仿宋" w:cs="仿宋"/>
          <w:color w:val="000000" w:themeColor="text1"/>
          <w:highlight w:val="none"/>
          <w14:textFill>
            <w14:solidFill>
              <w14:schemeClr w14:val="tx1"/>
            </w14:solidFill>
          </w14:textFill>
        </w:rPr>
      </w:pPr>
    </w:p>
    <w:p w14:paraId="152D5975">
      <w:pPr>
        <w:pageBreakBefore w:val="0"/>
        <w:kinsoku/>
        <w:overflowPunct/>
        <w:topLinePunct w:val="0"/>
        <w:bidi w:val="0"/>
        <w:adjustRightInd/>
        <w:snapToGrid/>
        <w:rPr>
          <w:rFonts w:hint="eastAsia" w:ascii="仿宋" w:hAnsi="仿宋" w:eastAsia="仿宋" w:cs="仿宋"/>
          <w:color w:val="000000" w:themeColor="text1"/>
          <w:highlight w:val="none"/>
          <w14:textFill>
            <w14:solidFill>
              <w14:schemeClr w14:val="tx1"/>
            </w14:solidFill>
          </w14:textFill>
        </w:rPr>
      </w:pPr>
    </w:p>
    <w:p w14:paraId="2886B9E3">
      <w:pPr>
        <w:pageBreakBefore w:val="0"/>
        <w:kinsoku/>
        <w:overflowPunct/>
        <w:topLinePunct w:val="0"/>
        <w:bidi w:val="0"/>
        <w:adjustRightInd/>
        <w:snapToGrid/>
        <w:rPr>
          <w:rFonts w:hint="eastAsia" w:ascii="仿宋" w:hAnsi="仿宋" w:eastAsia="仿宋" w:cs="仿宋"/>
          <w:color w:val="000000" w:themeColor="text1"/>
          <w:highlight w:val="none"/>
          <w14:textFill>
            <w14:solidFill>
              <w14:schemeClr w14:val="tx1"/>
            </w14:solidFill>
          </w14:textFill>
        </w:rPr>
      </w:pPr>
    </w:p>
    <w:p w14:paraId="4BF46FA0">
      <w:pPr>
        <w:pageBreakBefore w:val="0"/>
        <w:kinsoku/>
        <w:overflowPunct/>
        <w:topLinePunct w:val="0"/>
        <w:bidi w:val="0"/>
        <w:adjustRightInd/>
        <w:snapToGrid/>
        <w:rPr>
          <w:rFonts w:hint="eastAsia" w:ascii="仿宋" w:hAnsi="仿宋" w:eastAsia="仿宋" w:cs="仿宋"/>
          <w:color w:val="000000" w:themeColor="text1"/>
          <w:highlight w:val="none"/>
          <w14:textFill>
            <w14:solidFill>
              <w14:schemeClr w14:val="tx1"/>
            </w14:solidFill>
          </w14:textFill>
        </w:rPr>
      </w:pPr>
    </w:p>
    <w:p w14:paraId="2B322D2D">
      <w:pPr>
        <w:pageBreakBefore w:val="0"/>
        <w:kinsoku/>
        <w:overflowPunct/>
        <w:topLinePunct w:val="0"/>
        <w:bidi w:val="0"/>
        <w:adjustRightInd/>
        <w:snapToGrid/>
        <w:rPr>
          <w:rFonts w:hint="eastAsia" w:ascii="仿宋" w:hAnsi="仿宋" w:eastAsia="仿宋" w:cs="仿宋"/>
          <w:color w:val="000000" w:themeColor="text1"/>
          <w:highlight w:val="none"/>
          <w14:textFill>
            <w14:solidFill>
              <w14:schemeClr w14:val="tx1"/>
            </w14:solidFill>
          </w14:textFill>
        </w:rPr>
      </w:pPr>
    </w:p>
    <w:p w14:paraId="43B2748C">
      <w:pPr>
        <w:pageBreakBefore w:val="0"/>
        <w:kinsoku/>
        <w:overflowPunct/>
        <w:topLinePunct w:val="0"/>
        <w:bidi w:val="0"/>
        <w:adjustRightInd/>
        <w:snapToGrid/>
        <w:jc w:val="center"/>
        <w:rPr>
          <w:rFonts w:hint="eastAsia" w:ascii="仿宋" w:hAnsi="仿宋" w:eastAsia="仿宋" w:cs="仿宋"/>
          <w:color w:val="000000" w:themeColor="text1"/>
          <w:highlight w:val="none"/>
          <w14:textFill>
            <w14:solidFill>
              <w14:schemeClr w14:val="tx1"/>
            </w14:solidFill>
          </w14:textFill>
        </w:rPr>
      </w:pPr>
    </w:p>
    <w:p w14:paraId="4D4DF989">
      <w:pPr>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br w:type="page"/>
      </w:r>
    </w:p>
    <w:p w14:paraId="67927724">
      <w:pPr>
        <w:pageBreakBefore w:val="0"/>
        <w:kinsoku/>
        <w:overflowPunct/>
        <w:topLinePunct w:val="0"/>
        <w:bidi w:val="0"/>
        <w:adjustRightInd/>
        <w:snapToGrid/>
        <w:spacing w:line="360" w:lineRule="auto"/>
        <w:jc w:val="center"/>
        <w:rPr>
          <w:rFonts w:hint="eastAsia" w:ascii="仿宋" w:hAnsi="仿宋" w:eastAsia="仿宋" w:cs="仿宋"/>
          <w:bCs/>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法定代表人授权委托书</w:t>
      </w:r>
    </w:p>
    <w:p w14:paraId="6DE8E76F">
      <w:pPr>
        <w:pageBreakBefore w:val="0"/>
        <w:widowControl/>
        <w:kinsoku/>
        <w:overflowPunct/>
        <w:topLinePunct w:val="0"/>
        <w:bidi w:val="0"/>
        <w:adjustRightInd/>
        <w:snapToGrid/>
        <w:spacing w:line="360" w:lineRule="auto"/>
        <w:ind w:firstLine="560" w:firstLineChars="20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本授权书声明：注册于</w:t>
      </w:r>
      <w:r>
        <w:rPr>
          <w:rFonts w:hint="eastAsia" w:ascii="仿宋" w:hAnsi="仿宋" w:eastAsia="仿宋" w:cs="仿宋"/>
          <w:color w:val="000000" w:themeColor="text1"/>
          <w:sz w:val="28"/>
          <w:szCs w:val="28"/>
          <w:highlight w:val="none"/>
          <w:u w:val="single"/>
          <w14:textFill>
            <w14:solidFill>
              <w14:schemeClr w14:val="tx1"/>
            </w14:solidFill>
          </w14:textFill>
        </w:rPr>
        <w:t xml:space="preserve">   （国家或地区的名称）  </w:t>
      </w:r>
      <w:r>
        <w:rPr>
          <w:rFonts w:hint="eastAsia" w:ascii="仿宋" w:hAnsi="仿宋" w:eastAsia="仿宋" w:cs="仿宋"/>
          <w:color w:val="000000" w:themeColor="text1"/>
          <w:sz w:val="28"/>
          <w:szCs w:val="28"/>
          <w:highlight w:val="none"/>
          <w14:textFill>
            <w14:solidFill>
              <w14:schemeClr w14:val="tx1"/>
            </w14:solidFill>
          </w14:textFill>
        </w:rPr>
        <w:t>的</w:t>
      </w:r>
      <w:r>
        <w:rPr>
          <w:rFonts w:hint="eastAsia" w:ascii="仿宋" w:hAnsi="仿宋" w:eastAsia="仿宋" w:cs="仿宋"/>
          <w:color w:val="000000" w:themeColor="text1"/>
          <w:sz w:val="28"/>
          <w:szCs w:val="28"/>
          <w:highlight w:val="none"/>
          <w:u w:val="single"/>
          <w14:textFill>
            <w14:solidFill>
              <w14:schemeClr w14:val="tx1"/>
            </w14:solidFill>
          </w14:textFill>
        </w:rPr>
        <w:t xml:space="preserve">  （公司名称）  </w:t>
      </w:r>
      <w:r>
        <w:rPr>
          <w:rFonts w:hint="eastAsia" w:ascii="仿宋" w:hAnsi="仿宋" w:eastAsia="仿宋" w:cs="仿宋"/>
          <w:color w:val="000000" w:themeColor="text1"/>
          <w:sz w:val="28"/>
          <w:szCs w:val="28"/>
          <w:highlight w:val="none"/>
          <w14:textFill>
            <w14:solidFill>
              <w14:schemeClr w14:val="tx1"/>
            </w14:solidFill>
          </w14:textFill>
        </w:rPr>
        <w:t>的</w:t>
      </w:r>
      <w:r>
        <w:rPr>
          <w:rFonts w:hint="eastAsia" w:ascii="仿宋" w:hAnsi="仿宋" w:eastAsia="仿宋" w:cs="仿宋"/>
          <w:color w:val="000000" w:themeColor="text1"/>
          <w:sz w:val="28"/>
          <w:szCs w:val="28"/>
          <w:highlight w:val="none"/>
          <w:u w:val="single"/>
          <w14:textFill>
            <w14:solidFill>
              <w14:schemeClr w14:val="tx1"/>
            </w14:solidFill>
          </w14:textFill>
        </w:rPr>
        <w:t xml:space="preserve"> （姓名、职务）  </w:t>
      </w:r>
      <w:r>
        <w:rPr>
          <w:rFonts w:hint="eastAsia" w:ascii="仿宋" w:hAnsi="仿宋" w:eastAsia="仿宋" w:cs="仿宋"/>
          <w:color w:val="000000" w:themeColor="text1"/>
          <w:sz w:val="28"/>
          <w:szCs w:val="28"/>
          <w:highlight w:val="none"/>
          <w14:textFill>
            <w14:solidFill>
              <w14:schemeClr w14:val="tx1"/>
            </w14:solidFill>
          </w14:textFill>
        </w:rPr>
        <w:t>，代表本公司授权</w:t>
      </w:r>
      <w:r>
        <w:rPr>
          <w:rFonts w:hint="eastAsia" w:ascii="仿宋" w:hAnsi="仿宋" w:eastAsia="仿宋" w:cs="仿宋"/>
          <w:color w:val="000000" w:themeColor="text1"/>
          <w:sz w:val="28"/>
          <w:szCs w:val="28"/>
          <w:highlight w:val="none"/>
          <w:u w:val="single"/>
          <w14:textFill>
            <w14:solidFill>
              <w14:schemeClr w14:val="tx1"/>
            </w14:solidFill>
          </w14:textFill>
        </w:rPr>
        <w:t xml:space="preserve"> （被授权人的姓名、职务）</w:t>
      </w:r>
      <w:r>
        <w:rPr>
          <w:rFonts w:hint="eastAsia" w:ascii="仿宋" w:hAnsi="仿宋" w:eastAsia="仿宋" w:cs="仿宋"/>
          <w:color w:val="000000" w:themeColor="text1"/>
          <w:sz w:val="28"/>
          <w:szCs w:val="28"/>
          <w:highlight w:val="none"/>
          <w14:textFill>
            <w14:solidFill>
              <w14:schemeClr w14:val="tx1"/>
            </w14:solidFill>
          </w14:textFill>
        </w:rPr>
        <w:t>联系电话为</w:t>
      </w:r>
      <w:r>
        <w:rPr>
          <w:rFonts w:hint="eastAsia" w:ascii="仿宋" w:hAnsi="仿宋" w:eastAsia="仿宋" w:cs="仿宋"/>
          <w:color w:val="000000" w:themeColor="text1"/>
          <w:sz w:val="28"/>
          <w:szCs w:val="28"/>
          <w:highlight w:val="none"/>
          <w:u w:val="single"/>
          <w14:textFill>
            <w14:solidFill>
              <w14:schemeClr w14:val="tx1"/>
            </w14:solidFill>
          </w14:textFill>
        </w:rPr>
        <w:t xml:space="preserve">（手机号码） </w:t>
      </w:r>
      <w:r>
        <w:rPr>
          <w:rFonts w:hint="eastAsia" w:ascii="仿宋" w:hAnsi="仿宋" w:eastAsia="仿宋" w:cs="仿宋"/>
          <w:color w:val="000000" w:themeColor="text1"/>
          <w:sz w:val="28"/>
          <w:szCs w:val="28"/>
          <w:highlight w:val="none"/>
          <w14:textFill>
            <w14:solidFill>
              <w14:schemeClr w14:val="tx1"/>
            </w14:solidFill>
          </w14:textFill>
        </w:rPr>
        <w:t>邮箱号为为本公司的合法代理人，参加编号为PURM202605250003号的采购活动，以本公司名义处理一切与之有关的事宜。</w:t>
      </w:r>
    </w:p>
    <w:p w14:paraId="1F4F3DC8">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如果本公司在此次采购活动中中标，被授权人有权代表本公司签署采购合同。</w:t>
      </w:r>
    </w:p>
    <w:p w14:paraId="7BC3565E">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本授权书于</w:t>
      </w:r>
      <w:r>
        <w:rPr>
          <w:rFonts w:hint="eastAsia" w:ascii="仿宋" w:hAnsi="仿宋" w:eastAsia="仿宋" w:cs="仿宋"/>
          <w:color w:val="000000" w:themeColor="text1"/>
          <w:kern w:val="0"/>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kern w:val="0"/>
          <w:sz w:val="28"/>
          <w:szCs w:val="28"/>
          <w:highlight w:val="none"/>
          <w:u w:val="none"/>
          <w14:textFill>
            <w14:solidFill>
              <w14:schemeClr w14:val="tx1"/>
            </w14:solidFill>
          </w14:textFill>
        </w:rPr>
        <w:t>年</w:t>
      </w:r>
      <w:r>
        <w:rPr>
          <w:rFonts w:hint="eastAsia" w:ascii="仿宋" w:hAnsi="仿宋" w:eastAsia="仿宋" w:cs="仿宋"/>
          <w:color w:val="000000" w:themeColor="text1"/>
          <w:kern w:val="0"/>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kern w:val="0"/>
          <w:sz w:val="28"/>
          <w:szCs w:val="28"/>
          <w:highlight w:val="none"/>
          <w:u w:val="none"/>
          <w14:textFill>
            <w14:solidFill>
              <w14:schemeClr w14:val="tx1"/>
            </w14:solidFill>
          </w14:textFill>
        </w:rPr>
        <w:t>月</w:t>
      </w:r>
      <w:r>
        <w:rPr>
          <w:rFonts w:hint="eastAsia" w:ascii="仿宋" w:hAnsi="仿宋" w:eastAsia="仿宋" w:cs="仿宋"/>
          <w:color w:val="000000" w:themeColor="text1"/>
          <w:kern w:val="0"/>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kern w:val="0"/>
          <w:sz w:val="28"/>
          <w:szCs w:val="28"/>
          <w:highlight w:val="none"/>
          <w:u w:val="none"/>
          <w14:textFill>
            <w14:solidFill>
              <w14:schemeClr w14:val="tx1"/>
            </w14:solidFill>
          </w14:textFill>
        </w:rPr>
        <w:t>日</w:t>
      </w:r>
      <w:r>
        <w:rPr>
          <w:rFonts w:hint="eastAsia" w:ascii="仿宋" w:hAnsi="仿宋" w:eastAsia="仿宋" w:cs="仿宋"/>
          <w:color w:val="000000" w:themeColor="text1"/>
          <w:kern w:val="0"/>
          <w:sz w:val="28"/>
          <w:szCs w:val="28"/>
          <w:highlight w:val="none"/>
          <w14:textFill>
            <w14:solidFill>
              <w14:schemeClr w14:val="tx1"/>
            </w14:solidFill>
          </w14:textFill>
        </w:rPr>
        <w:t>法定代表人签字或盖章并由单位盖章生效，特此声明。</w:t>
      </w:r>
    </w:p>
    <w:p w14:paraId="7F442C4D">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被授权人无转委托权。</w:t>
      </w:r>
    </w:p>
    <w:p w14:paraId="66F20C6F">
      <w:pPr>
        <w:pageBreakBefore w:val="0"/>
        <w:kinsoku/>
        <w:overflowPunct/>
        <w:topLinePunct w:val="0"/>
        <w:bidi w:val="0"/>
        <w:adjustRightInd/>
        <w:snapToGrid/>
        <w:spacing w:line="360" w:lineRule="auto"/>
        <w:ind w:firstLine="560" w:firstLineChars="200"/>
        <w:jc w:val="left"/>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法定代表人签字或盖章：</w:t>
      </w:r>
    </w:p>
    <w:p w14:paraId="59135B1D">
      <w:pPr>
        <w:pageBreakBefore w:val="0"/>
        <w:kinsoku/>
        <w:overflowPunct/>
        <w:topLinePunct w:val="0"/>
        <w:bidi w:val="0"/>
        <w:adjustRightInd/>
        <w:snapToGrid/>
        <w:spacing w:line="360" w:lineRule="auto"/>
        <w:ind w:firstLine="560" w:firstLineChars="200"/>
        <w:jc w:val="left"/>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投标人（公章）:</w:t>
      </w:r>
    </w:p>
    <w:p w14:paraId="7FE6CD3B">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p>
    <w:tbl>
      <w:tblPr>
        <w:tblStyle w:val="52"/>
        <w:tblpPr w:leftFromText="180" w:rightFromText="180" w:vertAnchor="text" w:horzAnchor="margin" w:tblpXSpec="center" w:tblpY="-9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9"/>
      </w:tblGrid>
      <w:tr w14:paraId="538D3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4" w:hRule="atLeast"/>
        </w:trPr>
        <w:tc>
          <w:tcPr>
            <w:tcW w:w="6149" w:type="dxa"/>
            <w:vAlign w:val="center"/>
          </w:tcPr>
          <w:p w14:paraId="647BE1DB">
            <w:pPr>
              <w:pageBreakBefore w:val="0"/>
              <w:widowControl/>
              <w:kinsoku/>
              <w:overflowPunct/>
              <w:topLinePunct w:val="0"/>
              <w:bidi w:val="0"/>
              <w:adjustRightInd/>
              <w:snapToGrid/>
              <w:spacing w:beforeAutospacing="1" w:afterAutospacing="1" w:line="360" w:lineRule="auto"/>
              <w:jc w:val="center"/>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有效的</w:t>
            </w:r>
            <w:r>
              <w:rPr>
                <w:rFonts w:hint="eastAsia" w:ascii="仿宋" w:hAnsi="仿宋" w:eastAsia="仿宋" w:cs="仿宋"/>
                <w:color w:val="000000" w:themeColor="text1"/>
                <w:sz w:val="28"/>
                <w:szCs w:val="28"/>
                <w:highlight w:val="none"/>
                <w14:textFill>
                  <w14:solidFill>
                    <w14:schemeClr w14:val="tx1"/>
                  </w14:solidFill>
                </w14:textFill>
              </w:rPr>
              <w:t>被授权人身份证</w:t>
            </w:r>
            <w:r>
              <w:rPr>
                <w:rFonts w:hint="eastAsia" w:ascii="仿宋" w:hAnsi="仿宋" w:eastAsia="仿宋" w:cs="仿宋"/>
                <w:color w:val="000000" w:themeColor="text1"/>
                <w:sz w:val="28"/>
                <w:szCs w:val="28"/>
                <w:highlight w:val="none"/>
                <w:lang w:val="en-US" w:eastAsia="zh-CN"/>
                <w14:textFill>
                  <w14:solidFill>
                    <w14:schemeClr w14:val="tx1"/>
                  </w14:solidFill>
                </w14:textFill>
              </w:rPr>
              <w:t>双面</w:t>
            </w:r>
            <w:r>
              <w:rPr>
                <w:rFonts w:hint="eastAsia" w:ascii="仿宋" w:hAnsi="仿宋" w:eastAsia="仿宋" w:cs="仿宋"/>
                <w:color w:val="000000" w:themeColor="text1"/>
                <w:sz w:val="28"/>
                <w:szCs w:val="28"/>
                <w:highlight w:val="none"/>
                <w14:textFill>
                  <w14:solidFill>
                    <w14:schemeClr w14:val="tx1"/>
                  </w14:solidFill>
                </w14:textFill>
              </w:rPr>
              <w:t>扫描件）</w:t>
            </w:r>
          </w:p>
        </w:tc>
      </w:tr>
    </w:tbl>
    <w:p w14:paraId="3B9ED067">
      <w:pPr>
        <w:pageBreakBefore w:val="0"/>
        <w:kinsoku/>
        <w:overflowPunct/>
        <w:topLinePunct w:val="0"/>
        <w:bidi w:val="0"/>
        <w:adjustRightInd/>
        <w:snapToGrid/>
        <w:spacing w:line="360" w:lineRule="auto"/>
        <w:rPr>
          <w:rFonts w:hint="eastAsia" w:ascii="仿宋" w:hAnsi="仿宋" w:eastAsia="仿宋" w:cs="仿宋"/>
          <w:color w:val="000000" w:themeColor="text1"/>
          <w:highlight w:val="none"/>
          <w14:textFill>
            <w14:solidFill>
              <w14:schemeClr w14:val="tx1"/>
            </w14:solidFill>
          </w14:textFill>
        </w:rPr>
      </w:pPr>
    </w:p>
    <w:p w14:paraId="1D3EB34F">
      <w:pPr>
        <w:pageBreakBefore w:val="0"/>
        <w:kinsoku/>
        <w:overflowPunct/>
        <w:topLinePunct w:val="0"/>
        <w:bidi w:val="0"/>
        <w:adjustRightInd/>
        <w:snapToGrid/>
        <w:spacing w:line="360" w:lineRule="auto"/>
        <w:rPr>
          <w:rFonts w:hint="eastAsia" w:ascii="仿宋" w:hAnsi="仿宋" w:eastAsia="仿宋" w:cs="仿宋"/>
          <w:color w:val="000000" w:themeColor="text1"/>
          <w:highlight w:val="none"/>
          <w14:textFill>
            <w14:solidFill>
              <w14:schemeClr w14:val="tx1"/>
            </w14:solidFill>
          </w14:textFill>
        </w:rPr>
      </w:pPr>
    </w:p>
    <w:p w14:paraId="0448BE2F">
      <w:pPr>
        <w:pageBreakBefore w:val="0"/>
        <w:kinsoku/>
        <w:overflowPunct/>
        <w:topLinePunct w:val="0"/>
        <w:bidi w:val="0"/>
        <w:adjustRightInd/>
        <w:snapToGrid/>
        <w:spacing w:line="360" w:lineRule="auto"/>
        <w:rPr>
          <w:rFonts w:hint="eastAsia" w:ascii="仿宋" w:hAnsi="仿宋" w:eastAsia="仿宋" w:cs="仿宋"/>
          <w:color w:val="000000" w:themeColor="text1"/>
          <w:highlight w:val="none"/>
          <w14:textFill>
            <w14:solidFill>
              <w14:schemeClr w14:val="tx1"/>
            </w14:solidFill>
          </w14:textFill>
        </w:rPr>
      </w:pPr>
    </w:p>
    <w:p w14:paraId="79E92B79">
      <w:pPr>
        <w:pageBreakBefore w:val="0"/>
        <w:kinsoku/>
        <w:overflowPunct/>
        <w:topLinePunct w:val="0"/>
        <w:bidi w:val="0"/>
        <w:adjustRightInd/>
        <w:snapToGrid/>
        <w:spacing w:line="360" w:lineRule="auto"/>
        <w:rPr>
          <w:rFonts w:hint="eastAsia" w:ascii="仿宋" w:hAnsi="仿宋" w:eastAsia="仿宋" w:cs="仿宋"/>
          <w:color w:val="000000" w:themeColor="text1"/>
          <w:highlight w:val="none"/>
          <w14:textFill>
            <w14:solidFill>
              <w14:schemeClr w14:val="tx1"/>
            </w14:solidFill>
          </w14:textFill>
        </w:rPr>
      </w:pPr>
    </w:p>
    <w:p w14:paraId="525DCCF6">
      <w:pPr>
        <w:pageBreakBefore w:val="0"/>
        <w:kinsoku/>
        <w:overflowPunct/>
        <w:topLinePunct w:val="0"/>
        <w:bidi w:val="0"/>
        <w:adjustRightInd/>
        <w:snapToGrid/>
        <w:spacing w:line="360" w:lineRule="auto"/>
        <w:rPr>
          <w:rFonts w:hint="eastAsia" w:ascii="仿宋" w:hAnsi="仿宋" w:eastAsia="仿宋" w:cs="仿宋"/>
          <w:color w:val="000000" w:themeColor="text1"/>
          <w:highlight w:val="none"/>
          <w14:textFill>
            <w14:solidFill>
              <w14:schemeClr w14:val="tx1"/>
            </w14:solidFill>
          </w14:textFill>
        </w:rPr>
      </w:pPr>
    </w:p>
    <w:p w14:paraId="6632596A">
      <w:pPr>
        <w:pageBreakBefore w:val="0"/>
        <w:kinsoku/>
        <w:overflowPunct/>
        <w:topLinePunct w:val="0"/>
        <w:bidi w:val="0"/>
        <w:adjustRightInd/>
        <w:snapToGrid/>
        <w:spacing w:line="360" w:lineRule="auto"/>
        <w:rPr>
          <w:rFonts w:hint="eastAsia" w:ascii="仿宋" w:hAnsi="仿宋" w:eastAsia="仿宋" w:cs="仿宋"/>
          <w:color w:val="000000" w:themeColor="text1"/>
          <w:highlight w:val="none"/>
          <w14:textFill>
            <w14:solidFill>
              <w14:schemeClr w14:val="tx1"/>
            </w14:solidFill>
          </w14:textFill>
        </w:rPr>
      </w:pPr>
    </w:p>
    <w:p w14:paraId="618A3145">
      <w:pPr>
        <w:pageBreakBefore w:val="0"/>
        <w:kinsoku/>
        <w:overflowPunct/>
        <w:topLinePunct w:val="0"/>
        <w:bidi w:val="0"/>
        <w:adjustRightInd/>
        <w:snapToGrid/>
        <w:spacing w:line="360" w:lineRule="auto"/>
        <w:rPr>
          <w:rFonts w:hint="eastAsia" w:ascii="仿宋" w:hAnsi="仿宋" w:eastAsia="仿宋" w:cs="仿宋"/>
          <w:color w:val="000000" w:themeColor="text1"/>
          <w:highlight w:val="none"/>
          <w14:textFill>
            <w14:solidFill>
              <w14:schemeClr w14:val="tx1"/>
            </w14:solidFill>
          </w14:textFill>
        </w:rPr>
      </w:pPr>
    </w:p>
    <w:p w14:paraId="1A986F7A">
      <w:pPr>
        <w:pStyle w:val="28"/>
        <w:pageBreakBefore w:val="0"/>
        <w:kinsoku/>
        <w:overflowPunct/>
        <w:topLinePunct w:val="0"/>
        <w:bidi w:val="0"/>
        <w:adjustRightInd/>
        <w:snapToGrid/>
        <w:spacing w:line="360" w:lineRule="auto"/>
        <w:ind w:left="5250"/>
        <w:rPr>
          <w:rFonts w:hint="eastAsia" w:ascii="仿宋" w:hAnsi="仿宋" w:eastAsia="仿宋" w:cs="仿宋"/>
          <w:color w:val="000000" w:themeColor="text1"/>
          <w:highlight w:val="none"/>
          <w14:textFill>
            <w14:solidFill>
              <w14:schemeClr w14:val="tx1"/>
            </w14:solidFill>
          </w14:textFill>
        </w:rPr>
      </w:pPr>
    </w:p>
    <w:p w14:paraId="608A3167">
      <w:pPr>
        <w:pageBreakBefore w:val="0"/>
        <w:kinsoku/>
        <w:overflowPunct/>
        <w:topLinePunct w:val="0"/>
        <w:bidi w:val="0"/>
        <w:adjustRightInd/>
        <w:snapToGrid/>
        <w:spacing w:line="360" w:lineRule="auto"/>
        <w:rPr>
          <w:rFonts w:hint="eastAsia" w:ascii="仿宋" w:hAnsi="仿宋" w:eastAsia="仿宋" w:cs="仿宋"/>
          <w:color w:val="000000" w:themeColor="text1"/>
          <w:highlight w:val="none"/>
          <w14:textFill>
            <w14:solidFill>
              <w14:schemeClr w14:val="tx1"/>
            </w14:solidFill>
          </w14:textFill>
        </w:rPr>
      </w:pPr>
    </w:p>
    <w:p w14:paraId="43E08F1A">
      <w:pPr>
        <w:pageBreakBefore w:val="0"/>
        <w:kinsoku/>
        <w:overflowPunct/>
        <w:topLinePunct w:val="0"/>
        <w:bidi w:val="0"/>
        <w:adjustRightInd/>
        <w:snapToGrid/>
        <w:spacing w:line="560" w:lineRule="exact"/>
        <w:ind w:firstLine="562" w:firstLineChars="201"/>
        <w:rPr>
          <w:rFonts w:hint="eastAsia" w:ascii="仿宋" w:hAnsi="仿宋" w:eastAsia="仿宋" w:cs="仿宋"/>
          <w:color w:val="000000"/>
          <w:sz w:val="28"/>
          <w:szCs w:val="28"/>
          <w:highlight w:val="none"/>
        </w:rPr>
      </w:pPr>
      <w:bookmarkStart w:id="93" w:name="_Hlk183433789"/>
      <w:r>
        <w:rPr>
          <w:rFonts w:hint="eastAsia" w:ascii="仿宋" w:hAnsi="仿宋" w:eastAsia="仿宋" w:cs="仿宋"/>
          <w:color w:val="000000"/>
          <w:sz w:val="28"/>
          <w:szCs w:val="28"/>
          <w:highlight w:val="none"/>
        </w:rPr>
        <w:t>注：若由法定代表人亲自签署投标文件并参与相关活动，则无需提供授权委托书；若为授权委托代理人，则需提供授权委托书。</w:t>
      </w:r>
      <w:bookmarkEnd w:id="93"/>
    </w:p>
    <w:p w14:paraId="0B463966">
      <w:pPr>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br w:type="page"/>
      </w:r>
    </w:p>
    <w:p w14:paraId="09DE95BE">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交纳投标保证金的证明材料（两者缺一不可）：</w:t>
      </w:r>
    </w:p>
    <w:p w14:paraId="1B9CF711">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（1）企业银行基本账户开户证明（如开户许可证或银行开户证明等）；</w:t>
      </w:r>
    </w:p>
    <w:p w14:paraId="41E3FB6A">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（2）电汇凭证或电子汇款截图扫描件。</w:t>
      </w:r>
    </w:p>
    <w:p w14:paraId="7FAD8161">
      <w:pPr>
        <w:pStyle w:val="19"/>
        <w:pageBreakBefore w:val="0"/>
        <w:kinsoku/>
        <w:overflowPunct/>
        <w:topLinePunct w:val="0"/>
        <w:bidi w:val="0"/>
        <w:adjustRightInd/>
        <w:snapToGrid/>
        <w:spacing w:line="360" w:lineRule="auto"/>
        <w:rPr>
          <w:rFonts w:hint="eastAsia" w:ascii="仿宋" w:hAnsi="仿宋" w:eastAsia="仿宋" w:cs="仿宋"/>
          <w:color w:val="000000" w:themeColor="text1"/>
          <w:highlight w:val="none"/>
          <w14:textFill>
            <w14:solidFill>
              <w14:schemeClr w14:val="tx1"/>
            </w14:solidFill>
          </w14:textFill>
        </w:rPr>
      </w:pPr>
    </w:p>
    <w:p w14:paraId="75C0136C">
      <w:pPr>
        <w:pStyle w:val="28"/>
        <w:pageBreakBefore w:val="0"/>
        <w:kinsoku/>
        <w:overflowPunct/>
        <w:topLinePunct w:val="0"/>
        <w:bidi w:val="0"/>
        <w:adjustRightInd/>
        <w:snapToGrid/>
        <w:spacing w:line="360" w:lineRule="auto"/>
        <w:ind w:left="5250"/>
        <w:rPr>
          <w:rFonts w:hint="eastAsia" w:ascii="仿宋" w:hAnsi="仿宋" w:eastAsia="仿宋" w:cs="仿宋"/>
          <w:color w:val="000000" w:themeColor="text1"/>
          <w:highlight w:val="none"/>
          <w14:textFill>
            <w14:solidFill>
              <w14:schemeClr w14:val="tx1"/>
            </w14:solidFill>
          </w14:textFill>
        </w:rPr>
      </w:pPr>
    </w:p>
    <w:p w14:paraId="5C14E6E6">
      <w:pPr>
        <w:pageBreakBefore w:val="0"/>
        <w:kinsoku/>
        <w:overflowPunct/>
        <w:topLinePunct w:val="0"/>
        <w:bidi w:val="0"/>
        <w:adjustRightInd/>
        <w:snapToGrid/>
        <w:spacing w:line="360" w:lineRule="auto"/>
        <w:rPr>
          <w:rFonts w:hint="eastAsia" w:ascii="仿宋" w:hAnsi="仿宋" w:eastAsia="仿宋" w:cs="仿宋"/>
          <w:color w:val="000000" w:themeColor="text1"/>
          <w:highlight w:val="none"/>
          <w14:textFill>
            <w14:solidFill>
              <w14:schemeClr w14:val="tx1"/>
            </w14:solidFill>
          </w14:textFill>
        </w:rPr>
      </w:pPr>
    </w:p>
    <w:p w14:paraId="7A5B4B46">
      <w:pPr>
        <w:pStyle w:val="19"/>
        <w:pageBreakBefore w:val="0"/>
        <w:kinsoku/>
        <w:overflowPunct/>
        <w:topLinePunct w:val="0"/>
        <w:bidi w:val="0"/>
        <w:adjustRightInd/>
        <w:snapToGrid/>
        <w:spacing w:line="360" w:lineRule="auto"/>
        <w:rPr>
          <w:rFonts w:hint="eastAsia" w:ascii="仿宋" w:hAnsi="仿宋" w:eastAsia="仿宋" w:cs="仿宋"/>
          <w:color w:val="000000" w:themeColor="text1"/>
          <w:highlight w:val="none"/>
          <w14:textFill>
            <w14:solidFill>
              <w14:schemeClr w14:val="tx1"/>
            </w14:solidFill>
          </w14:textFill>
        </w:rPr>
      </w:pPr>
    </w:p>
    <w:p w14:paraId="750D390D">
      <w:pPr>
        <w:pStyle w:val="28"/>
        <w:pageBreakBefore w:val="0"/>
        <w:kinsoku/>
        <w:overflowPunct/>
        <w:topLinePunct w:val="0"/>
        <w:bidi w:val="0"/>
        <w:adjustRightInd/>
        <w:snapToGrid/>
        <w:spacing w:line="360" w:lineRule="auto"/>
        <w:ind w:left="5250"/>
        <w:rPr>
          <w:rFonts w:hint="eastAsia" w:ascii="仿宋" w:hAnsi="仿宋" w:eastAsia="仿宋" w:cs="仿宋"/>
          <w:color w:val="000000" w:themeColor="text1"/>
          <w:highlight w:val="none"/>
          <w14:textFill>
            <w14:solidFill>
              <w14:schemeClr w14:val="tx1"/>
            </w14:solidFill>
          </w14:textFill>
        </w:rPr>
      </w:pPr>
    </w:p>
    <w:p w14:paraId="5512471E">
      <w:pPr>
        <w:pageBreakBefore w:val="0"/>
        <w:kinsoku/>
        <w:overflowPunct/>
        <w:topLinePunct w:val="0"/>
        <w:bidi w:val="0"/>
        <w:adjustRightInd/>
        <w:snapToGrid/>
        <w:spacing w:line="360" w:lineRule="auto"/>
        <w:rPr>
          <w:rFonts w:hint="eastAsia" w:ascii="仿宋" w:hAnsi="仿宋" w:eastAsia="仿宋" w:cs="仿宋"/>
          <w:color w:val="000000" w:themeColor="text1"/>
          <w:highlight w:val="none"/>
          <w14:textFill>
            <w14:solidFill>
              <w14:schemeClr w14:val="tx1"/>
            </w14:solidFill>
          </w14:textFill>
        </w:rPr>
      </w:pPr>
    </w:p>
    <w:p w14:paraId="3BB252E5">
      <w:pPr>
        <w:pStyle w:val="19"/>
        <w:pageBreakBefore w:val="0"/>
        <w:kinsoku/>
        <w:overflowPunct/>
        <w:topLinePunct w:val="0"/>
        <w:bidi w:val="0"/>
        <w:adjustRightInd/>
        <w:snapToGrid/>
        <w:spacing w:line="360" w:lineRule="auto"/>
        <w:rPr>
          <w:rFonts w:hint="eastAsia" w:ascii="仿宋" w:hAnsi="仿宋" w:eastAsia="仿宋" w:cs="仿宋"/>
          <w:color w:val="000000" w:themeColor="text1"/>
          <w:highlight w:val="none"/>
          <w14:textFill>
            <w14:solidFill>
              <w14:schemeClr w14:val="tx1"/>
            </w14:solidFill>
          </w14:textFill>
        </w:rPr>
      </w:pPr>
    </w:p>
    <w:p w14:paraId="1E26D33B">
      <w:pPr>
        <w:pStyle w:val="28"/>
        <w:pageBreakBefore w:val="0"/>
        <w:kinsoku/>
        <w:overflowPunct/>
        <w:topLinePunct w:val="0"/>
        <w:bidi w:val="0"/>
        <w:adjustRightInd/>
        <w:snapToGrid/>
        <w:spacing w:line="360" w:lineRule="auto"/>
        <w:ind w:left="5250"/>
        <w:rPr>
          <w:rFonts w:hint="eastAsia" w:ascii="仿宋" w:hAnsi="仿宋" w:eastAsia="仿宋" w:cs="仿宋"/>
          <w:color w:val="000000" w:themeColor="text1"/>
          <w:highlight w:val="none"/>
          <w14:textFill>
            <w14:solidFill>
              <w14:schemeClr w14:val="tx1"/>
            </w14:solidFill>
          </w14:textFill>
        </w:rPr>
      </w:pPr>
    </w:p>
    <w:p w14:paraId="07A38AB5">
      <w:pPr>
        <w:pageBreakBefore w:val="0"/>
        <w:kinsoku/>
        <w:overflowPunct/>
        <w:topLinePunct w:val="0"/>
        <w:bidi w:val="0"/>
        <w:adjustRightInd/>
        <w:snapToGrid/>
        <w:spacing w:line="360" w:lineRule="auto"/>
        <w:rPr>
          <w:rFonts w:hint="eastAsia" w:ascii="仿宋" w:hAnsi="仿宋" w:eastAsia="仿宋" w:cs="仿宋"/>
          <w:color w:val="000000" w:themeColor="text1"/>
          <w:highlight w:val="none"/>
          <w14:textFill>
            <w14:solidFill>
              <w14:schemeClr w14:val="tx1"/>
            </w14:solidFill>
          </w14:textFill>
        </w:rPr>
      </w:pPr>
    </w:p>
    <w:p w14:paraId="704C9CDB">
      <w:pPr>
        <w:pStyle w:val="19"/>
        <w:pageBreakBefore w:val="0"/>
        <w:kinsoku/>
        <w:overflowPunct/>
        <w:topLinePunct w:val="0"/>
        <w:bidi w:val="0"/>
        <w:adjustRightInd/>
        <w:snapToGrid/>
        <w:spacing w:line="360" w:lineRule="auto"/>
        <w:rPr>
          <w:rFonts w:hint="eastAsia" w:ascii="仿宋" w:hAnsi="仿宋" w:eastAsia="仿宋" w:cs="仿宋"/>
          <w:color w:val="000000" w:themeColor="text1"/>
          <w:highlight w:val="none"/>
          <w14:textFill>
            <w14:solidFill>
              <w14:schemeClr w14:val="tx1"/>
            </w14:solidFill>
          </w14:textFill>
        </w:rPr>
      </w:pPr>
    </w:p>
    <w:p w14:paraId="38624B06">
      <w:pPr>
        <w:pStyle w:val="28"/>
        <w:pageBreakBefore w:val="0"/>
        <w:kinsoku/>
        <w:overflowPunct/>
        <w:topLinePunct w:val="0"/>
        <w:bidi w:val="0"/>
        <w:adjustRightInd/>
        <w:snapToGrid/>
        <w:spacing w:line="360" w:lineRule="auto"/>
        <w:ind w:left="5250"/>
        <w:jc w:val="right"/>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投标人（盖章）</w:t>
      </w:r>
    </w:p>
    <w:p w14:paraId="5F7A4F89">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p>
    <w:p w14:paraId="2114105A">
      <w:pPr>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br w:type="page"/>
      </w:r>
    </w:p>
    <w:p w14:paraId="165B51B9">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30"/>
          <w:szCs w:val="30"/>
          <w:highlight w:val="none"/>
          <w:lang w:val="en-US" w:eastAsia="zh-CN"/>
          <w14:textFill>
            <w14:solidFill>
              <w14:schemeClr w14:val="tx1"/>
            </w14:solidFill>
          </w14:textFill>
        </w:rPr>
      </w:pPr>
      <w:r>
        <w:rPr>
          <w:rFonts w:hint="eastAsia" w:ascii="仿宋" w:hAnsi="仿宋" w:eastAsia="仿宋" w:cs="仿宋"/>
          <w:color w:val="000000" w:themeColor="text1"/>
          <w:sz w:val="30"/>
          <w:szCs w:val="30"/>
          <w:highlight w:val="none"/>
          <w:lang w:val="en-US" w:eastAsia="zh-CN"/>
          <w14:textFill>
            <w14:solidFill>
              <w14:schemeClr w14:val="tx1"/>
            </w14:solidFill>
          </w14:textFill>
        </w:rPr>
        <w:t>投标人及法定代表人、委托代理人未被最高法院列入失信被执行人</w:t>
      </w:r>
    </w:p>
    <w:p w14:paraId="669CAF4A">
      <w:pPr>
        <w:pageBreakBefore w:val="0"/>
        <w:kinsoku/>
        <w:overflowPunct/>
        <w:topLinePunct w:val="0"/>
        <w:bidi w:val="0"/>
        <w:adjustRightInd/>
        <w:snapToGrid/>
        <w:spacing w:line="360" w:lineRule="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查询网址为：http://zxgk.court.gov.cn/shixin/。投标文件附通过网站查询信息记录，包含投标人及其法定代表人、委托代理人失信被执行人情况网页截图（省份</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全部）</w:t>
      </w:r>
      <w:r>
        <w:rPr>
          <w:rFonts w:hint="eastAsia" w:ascii="仿宋" w:hAnsi="仿宋" w:eastAsia="仿宋" w:cs="仿宋"/>
          <w:color w:val="000000" w:themeColor="text1"/>
          <w:sz w:val="24"/>
          <w:szCs w:val="24"/>
          <w:highlight w:val="none"/>
          <w:lang w:eastAsia="zh-CN"/>
          <w14:textFill>
            <w14:solidFill>
              <w14:schemeClr w14:val="tx1"/>
            </w14:solidFill>
          </w14:textFill>
        </w:rPr>
        <w:t>）</w:t>
      </w:r>
    </w:p>
    <w:p w14:paraId="1644128D">
      <w:pPr>
        <w:rPr>
          <w:rFonts w:hint="eastAsia" w:ascii="仿宋" w:hAnsi="仿宋" w:eastAsia="仿宋" w:cs="仿宋"/>
          <w:color w:val="000000" w:themeColor="text1"/>
          <w:sz w:val="30"/>
          <w:szCs w:val="30"/>
          <w:highlight w:val="none"/>
          <w14:textFill>
            <w14:solidFill>
              <w14:schemeClr w14:val="tx1"/>
            </w14:solidFill>
          </w14:textFill>
        </w:rPr>
      </w:pPr>
    </w:p>
    <w:p w14:paraId="26759A12">
      <w:pPr>
        <w:rPr>
          <w:rFonts w:hint="eastAsia" w:ascii="仿宋" w:hAnsi="仿宋" w:eastAsia="仿宋" w:cs="仿宋"/>
          <w:color w:val="000000" w:themeColor="text1"/>
          <w:sz w:val="30"/>
          <w:szCs w:val="30"/>
          <w:highlight w:val="none"/>
          <w14:textFill>
            <w14:solidFill>
              <w14:schemeClr w14:val="tx1"/>
            </w14:solidFill>
          </w14:textFill>
        </w:rPr>
      </w:pPr>
    </w:p>
    <w:p w14:paraId="0C72FC92">
      <w:pPr>
        <w:rPr>
          <w:rFonts w:hint="eastAsia" w:ascii="仿宋" w:hAnsi="仿宋" w:eastAsia="仿宋" w:cs="仿宋"/>
          <w:color w:val="000000" w:themeColor="text1"/>
          <w:sz w:val="30"/>
          <w:szCs w:val="30"/>
          <w:highlight w:val="none"/>
          <w14:textFill>
            <w14:solidFill>
              <w14:schemeClr w14:val="tx1"/>
            </w14:solidFill>
          </w14:textFill>
        </w:rPr>
      </w:pPr>
    </w:p>
    <w:p w14:paraId="176912E8">
      <w:pPr>
        <w:rPr>
          <w:rFonts w:hint="eastAsia" w:ascii="仿宋" w:hAnsi="仿宋" w:eastAsia="仿宋" w:cs="仿宋"/>
          <w:color w:val="000000" w:themeColor="text1"/>
          <w:sz w:val="30"/>
          <w:szCs w:val="30"/>
          <w:highlight w:val="none"/>
          <w14:textFill>
            <w14:solidFill>
              <w14:schemeClr w14:val="tx1"/>
            </w14:solidFill>
          </w14:textFill>
        </w:rPr>
      </w:pPr>
    </w:p>
    <w:p w14:paraId="62FD23E3">
      <w:pPr>
        <w:rPr>
          <w:rFonts w:hint="eastAsia" w:ascii="仿宋" w:hAnsi="仿宋" w:eastAsia="仿宋" w:cs="仿宋"/>
          <w:color w:val="000000" w:themeColor="text1"/>
          <w:sz w:val="30"/>
          <w:szCs w:val="30"/>
          <w:highlight w:val="none"/>
          <w14:textFill>
            <w14:solidFill>
              <w14:schemeClr w14:val="tx1"/>
            </w14:solidFill>
          </w14:textFill>
        </w:rPr>
      </w:pPr>
    </w:p>
    <w:p w14:paraId="6B6A1FE6">
      <w:pPr>
        <w:pStyle w:val="28"/>
        <w:pageBreakBefore w:val="0"/>
        <w:kinsoku/>
        <w:overflowPunct/>
        <w:topLinePunct w:val="0"/>
        <w:bidi w:val="0"/>
        <w:adjustRightInd/>
        <w:snapToGrid/>
        <w:spacing w:line="360" w:lineRule="auto"/>
        <w:ind w:left="5250"/>
        <w:jc w:val="right"/>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投标人（盖章）</w:t>
      </w:r>
    </w:p>
    <w:p w14:paraId="4D4462B9">
      <w:pPr>
        <w:rPr>
          <w:rFonts w:hint="eastAsia" w:ascii="仿宋" w:hAnsi="仿宋" w:eastAsia="仿宋" w:cs="仿宋"/>
          <w:color w:val="000000" w:themeColor="text1"/>
          <w:sz w:val="30"/>
          <w:szCs w:val="30"/>
          <w:highlight w:val="none"/>
          <w14:textFill>
            <w14:solidFill>
              <w14:schemeClr w14:val="tx1"/>
            </w14:solidFill>
          </w14:textFill>
        </w:rPr>
      </w:pPr>
    </w:p>
    <w:p w14:paraId="5A9A3AC1">
      <w:pPr>
        <w:rPr>
          <w:rFonts w:hint="eastAsia" w:ascii="仿宋" w:hAnsi="仿宋" w:eastAsia="仿宋" w:cs="仿宋"/>
          <w:color w:val="000000" w:themeColor="text1"/>
          <w:sz w:val="30"/>
          <w:szCs w:val="30"/>
          <w:highlight w:val="none"/>
          <w14:textFill>
            <w14:solidFill>
              <w14:schemeClr w14:val="tx1"/>
            </w14:solidFill>
          </w14:textFill>
        </w:rPr>
      </w:pPr>
    </w:p>
    <w:p w14:paraId="2BBDD510">
      <w:pPr>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br w:type="page"/>
      </w:r>
    </w:p>
    <w:p w14:paraId="09DE1C8E">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30"/>
          <w:szCs w:val="30"/>
          <w:highlight w:val="none"/>
          <w:lang w:val="en-US" w:eastAsia="zh-CN"/>
          <w14:textFill>
            <w14:solidFill>
              <w14:schemeClr w14:val="tx1"/>
            </w14:solidFill>
          </w14:textFill>
        </w:rPr>
      </w:pPr>
      <w:r>
        <w:rPr>
          <w:rFonts w:hint="eastAsia" w:ascii="仿宋" w:hAnsi="仿宋" w:eastAsia="仿宋" w:cs="仿宋"/>
          <w:color w:val="000000" w:themeColor="text1"/>
          <w:sz w:val="30"/>
          <w:szCs w:val="30"/>
          <w:highlight w:val="none"/>
          <w:lang w:val="en-US" w:eastAsia="zh-CN"/>
          <w14:textFill>
            <w14:solidFill>
              <w14:schemeClr w14:val="tx1"/>
            </w14:solidFill>
          </w14:textFill>
        </w:rPr>
        <w:t>投标人近一年在“信用中国”或“信用中国（山东）”无严重失信记录</w:t>
      </w:r>
    </w:p>
    <w:p w14:paraId="7F44F6FF">
      <w:pPr>
        <w:shd w:val="clear"/>
        <w:snapToGrid w:val="0"/>
        <w:spacing w:line="50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注：（1）</w:t>
      </w:r>
      <w:r>
        <w:rPr>
          <w:rFonts w:hint="eastAsia" w:ascii="仿宋" w:hAnsi="仿宋" w:eastAsia="仿宋" w:cs="仿宋"/>
          <w:color w:val="auto"/>
          <w:sz w:val="24"/>
          <w:highlight w:val="none"/>
        </w:rPr>
        <w:t>投标人将通过信用中国（查询网址：https://www.creditchina.gov.cn）或信用中国（山东）（查询网址：https://credit.shandong.gov.cn）查询的信用</w:t>
      </w:r>
      <w:r>
        <w:rPr>
          <w:rFonts w:hint="eastAsia" w:ascii="仿宋" w:hAnsi="仿宋" w:eastAsia="仿宋" w:cs="仿宋"/>
          <w:color w:val="auto"/>
          <w:sz w:val="24"/>
          <w:highlight w:val="none"/>
          <w:lang w:val="en-US" w:eastAsia="zh-CN"/>
        </w:rPr>
        <w:t>信息</w:t>
      </w:r>
      <w:r>
        <w:rPr>
          <w:rFonts w:hint="eastAsia" w:ascii="仿宋" w:hAnsi="仿宋" w:eastAsia="仿宋" w:cs="仿宋"/>
          <w:color w:val="auto"/>
          <w:sz w:val="24"/>
          <w:highlight w:val="none"/>
        </w:rPr>
        <w:t>报告附至此处。</w:t>
      </w:r>
    </w:p>
    <w:p w14:paraId="285A477F">
      <w:pPr>
        <w:shd w:val="clear"/>
        <w:spacing w:line="360" w:lineRule="auto"/>
        <w:ind w:firstLine="360" w:firstLineChars="150"/>
        <w:jc w:val="left"/>
        <w:textAlignment w:val="top"/>
        <w:rPr>
          <w:rFonts w:hint="eastAsia" w:ascii="仿宋" w:hAnsi="仿宋" w:eastAsia="仿宋" w:cs="仿宋"/>
          <w:color w:val="auto"/>
          <w:sz w:val="24"/>
          <w:highlight w:val="none"/>
        </w:rPr>
      </w:pPr>
      <w:r>
        <w:rPr>
          <w:rFonts w:hint="eastAsia" w:ascii="仿宋" w:hAnsi="仿宋" w:eastAsia="仿宋" w:cs="仿宋"/>
          <w:color w:val="auto"/>
          <w:sz w:val="24"/>
          <w:highlight w:val="none"/>
        </w:rPr>
        <w:t>（2）个体工商户可提供通过“信用中国”各省级分站网站下载的无“严重失信主体名单”记录的公共信用信息报告或无“失信惩戒信息”记录的公共信用信息报告</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项目投标人若为个体工商户，则法定代表人处均自行默认为负责人，无须一一修改。</w:t>
      </w:r>
    </w:p>
    <w:p w14:paraId="28B49BA6">
      <w:pPr>
        <w:shd w:val="clear"/>
        <w:spacing w:line="360" w:lineRule="auto"/>
        <w:jc w:val="left"/>
        <w:textAlignment w:val="top"/>
        <w:rPr>
          <w:rFonts w:hint="eastAsia" w:ascii="仿宋" w:hAnsi="仿宋" w:eastAsia="仿宋" w:cs="仿宋"/>
          <w:color w:val="auto"/>
          <w:sz w:val="24"/>
          <w:highlight w:val="none"/>
        </w:rPr>
      </w:pPr>
    </w:p>
    <w:p w14:paraId="585A5642">
      <w:pPr>
        <w:rPr>
          <w:rFonts w:hint="eastAsia" w:ascii="仿宋" w:hAnsi="仿宋" w:eastAsia="仿宋" w:cs="仿宋"/>
          <w:color w:val="000000" w:themeColor="text1"/>
          <w:sz w:val="30"/>
          <w:szCs w:val="30"/>
          <w:highlight w:val="none"/>
          <w14:textFill>
            <w14:solidFill>
              <w14:schemeClr w14:val="tx1"/>
            </w14:solidFill>
          </w14:textFill>
        </w:rPr>
      </w:pPr>
    </w:p>
    <w:p w14:paraId="57273E1B">
      <w:pPr>
        <w:rPr>
          <w:rFonts w:hint="eastAsia" w:ascii="仿宋" w:hAnsi="仿宋" w:eastAsia="仿宋" w:cs="仿宋"/>
          <w:color w:val="000000" w:themeColor="text1"/>
          <w:sz w:val="30"/>
          <w:szCs w:val="30"/>
          <w:highlight w:val="none"/>
          <w14:textFill>
            <w14:solidFill>
              <w14:schemeClr w14:val="tx1"/>
            </w14:solidFill>
          </w14:textFill>
        </w:rPr>
      </w:pPr>
    </w:p>
    <w:p w14:paraId="0F6F9D42">
      <w:pPr>
        <w:rPr>
          <w:rFonts w:hint="eastAsia" w:ascii="仿宋" w:hAnsi="仿宋" w:eastAsia="仿宋" w:cs="仿宋"/>
          <w:color w:val="000000" w:themeColor="text1"/>
          <w:sz w:val="30"/>
          <w:szCs w:val="30"/>
          <w:highlight w:val="none"/>
          <w14:textFill>
            <w14:solidFill>
              <w14:schemeClr w14:val="tx1"/>
            </w14:solidFill>
          </w14:textFill>
        </w:rPr>
      </w:pPr>
    </w:p>
    <w:p w14:paraId="46112F0B">
      <w:pPr>
        <w:rPr>
          <w:rFonts w:hint="eastAsia" w:ascii="仿宋" w:hAnsi="仿宋" w:eastAsia="仿宋" w:cs="仿宋"/>
          <w:color w:val="000000" w:themeColor="text1"/>
          <w:sz w:val="30"/>
          <w:szCs w:val="30"/>
          <w:highlight w:val="none"/>
          <w14:textFill>
            <w14:solidFill>
              <w14:schemeClr w14:val="tx1"/>
            </w14:solidFill>
          </w14:textFill>
        </w:rPr>
      </w:pPr>
    </w:p>
    <w:p w14:paraId="5D7FFF02">
      <w:pPr>
        <w:rPr>
          <w:rFonts w:hint="eastAsia" w:ascii="仿宋" w:hAnsi="仿宋" w:eastAsia="仿宋" w:cs="仿宋"/>
          <w:color w:val="000000" w:themeColor="text1"/>
          <w:sz w:val="30"/>
          <w:szCs w:val="30"/>
          <w:highlight w:val="none"/>
          <w14:textFill>
            <w14:solidFill>
              <w14:schemeClr w14:val="tx1"/>
            </w14:solidFill>
          </w14:textFill>
        </w:rPr>
      </w:pPr>
    </w:p>
    <w:p w14:paraId="6BC3BAF7">
      <w:pPr>
        <w:pStyle w:val="28"/>
        <w:pageBreakBefore w:val="0"/>
        <w:kinsoku/>
        <w:overflowPunct/>
        <w:topLinePunct w:val="0"/>
        <w:bidi w:val="0"/>
        <w:adjustRightInd/>
        <w:snapToGrid/>
        <w:spacing w:line="360" w:lineRule="auto"/>
        <w:ind w:left="5250"/>
        <w:jc w:val="right"/>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投标人（盖章）</w:t>
      </w:r>
    </w:p>
    <w:p w14:paraId="66C04DB9">
      <w:pPr>
        <w:rPr>
          <w:rFonts w:hint="eastAsia" w:ascii="仿宋" w:hAnsi="仿宋" w:eastAsia="仿宋" w:cs="仿宋"/>
          <w:color w:val="000000" w:themeColor="text1"/>
          <w:sz w:val="30"/>
          <w:szCs w:val="30"/>
          <w:highlight w:val="none"/>
          <w14:textFill>
            <w14:solidFill>
              <w14:schemeClr w14:val="tx1"/>
            </w14:solidFill>
          </w14:textFill>
        </w:rPr>
      </w:pPr>
    </w:p>
    <w:p w14:paraId="348BE101">
      <w:pPr>
        <w:rPr>
          <w:rFonts w:hint="eastAsia" w:ascii="仿宋" w:hAnsi="仿宋" w:eastAsia="仿宋" w:cs="仿宋"/>
          <w:color w:val="000000" w:themeColor="text1"/>
          <w:sz w:val="30"/>
          <w:szCs w:val="30"/>
          <w:highlight w:val="none"/>
          <w14:textFill>
            <w14:solidFill>
              <w14:schemeClr w14:val="tx1"/>
            </w14:solidFill>
          </w14:textFill>
        </w:rPr>
      </w:pPr>
    </w:p>
    <w:p w14:paraId="1E4DD284">
      <w:pPr>
        <w:rPr>
          <w:rFonts w:hint="eastAsia" w:ascii="仿宋" w:hAnsi="仿宋" w:eastAsia="仿宋" w:cs="仿宋"/>
          <w:color w:val="000000" w:themeColor="text1"/>
          <w:sz w:val="30"/>
          <w:szCs w:val="30"/>
          <w:highlight w:val="none"/>
          <w14:textFill>
            <w14:solidFill>
              <w14:schemeClr w14:val="tx1"/>
            </w14:solidFill>
          </w14:textFill>
        </w:rPr>
      </w:pPr>
    </w:p>
    <w:p w14:paraId="2B78074E">
      <w:pPr>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br w:type="page"/>
      </w:r>
    </w:p>
    <w:p w14:paraId="006D1F4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投标人参与投标的声明函</w:t>
      </w:r>
    </w:p>
    <w:p w14:paraId="390DE102">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本单位郑重承诺如下：</w:t>
      </w:r>
    </w:p>
    <w:p w14:paraId="1052EDD0">
      <w:pPr>
        <w:pageBreakBefore w:val="0"/>
        <w:widowControl/>
        <w:kinsoku/>
        <w:overflowPunct/>
        <w:topLinePunct w:val="0"/>
        <w:bidi w:val="0"/>
        <w:adjustRightInd/>
        <w:snapToGrid/>
        <w:spacing w:line="360" w:lineRule="auto"/>
        <w:ind w:firstLine="560" w:firstLineChars="200"/>
        <w:jc w:val="left"/>
        <w:rPr>
          <w:rFonts w:hint="eastAsia" w:ascii="仿宋" w:hAnsi="仿宋" w:eastAsia="仿宋" w:cs="仿宋"/>
          <w:color w:val="000000" w:themeColor="text1"/>
          <w:kern w:val="0"/>
          <w:sz w:val="28"/>
          <w:szCs w:val="28"/>
          <w:highlight w:val="none"/>
          <w:lang w:val="en-US" w:eastAsia="zh-CN"/>
          <w14:textFill>
            <w14:solidFill>
              <w14:schemeClr w14:val="tx1"/>
            </w14:solidFill>
          </w14:textFill>
        </w:rPr>
      </w:pP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（1）</w:t>
      </w:r>
      <w:r>
        <w:rPr>
          <w:rFonts w:hint="eastAsia" w:ascii="仿宋" w:hAnsi="仿宋" w:eastAsia="仿宋" w:cs="仿宋"/>
          <w:color w:val="000000" w:themeColor="text1"/>
          <w:kern w:val="0"/>
          <w:sz w:val="28"/>
          <w:szCs w:val="28"/>
          <w:highlight w:val="none"/>
          <w14:textFill>
            <w14:solidFill>
              <w14:schemeClr w14:val="tx1"/>
            </w14:solidFill>
          </w14:textFill>
        </w:rPr>
        <w:t>我单位</w:t>
      </w: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具有独立承担民事责任的能力。</w:t>
      </w:r>
    </w:p>
    <w:p w14:paraId="2028A1F3">
      <w:pPr>
        <w:pageBreakBefore w:val="0"/>
        <w:widowControl/>
        <w:kinsoku/>
        <w:overflowPunct/>
        <w:topLinePunct w:val="0"/>
        <w:bidi w:val="0"/>
        <w:adjustRightInd/>
        <w:snapToGrid/>
        <w:spacing w:line="360" w:lineRule="auto"/>
        <w:ind w:firstLine="560" w:firstLineChars="200"/>
        <w:jc w:val="left"/>
        <w:rPr>
          <w:rFonts w:hint="eastAsia" w:ascii="仿宋" w:hAnsi="仿宋" w:eastAsia="仿宋" w:cs="仿宋"/>
          <w:color w:val="000000" w:themeColor="text1"/>
          <w:kern w:val="0"/>
          <w:sz w:val="28"/>
          <w:szCs w:val="28"/>
          <w:highlight w:val="none"/>
          <w:lang w:val="en-US" w:eastAsia="zh-CN"/>
          <w14:textFill>
            <w14:solidFill>
              <w14:schemeClr w14:val="tx1"/>
            </w14:solidFill>
          </w14:textFill>
        </w:rPr>
      </w:pP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（2）</w:t>
      </w:r>
      <w:r>
        <w:rPr>
          <w:rFonts w:hint="eastAsia" w:ascii="仿宋" w:hAnsi="仿宋" w:eastAsia="仿宋" w:cs="仿宋"/>
          <w:color w:val="000000" w:themeColor="text1"/>
          <w:kern w:val="0"/>
          <w:sz w:val="28"/>
          <w:szCs w:val="28"/>
          <w:highlight w:val="none"/>
          <w14:textFill>
            <w14:solidFill>
              <w14:schemeClr w14:val="tx1"/>
            </w14:solidFill>
          </w14:textFill>
        </w:rPr>
        <w:t>我单位</w:t>
      </w: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具有良好的商业信誉和健全的财务会计制度；</w:t>
      </w:r>
    </w:p>
    <w:p w14:paraId="20214586">
      <w:pPr>
        <w:pageBreakBefore w:val="0"/>
        <w:widowControl/>
        <w:kinsoku/>
        <w:overflowPunct/>
        <w:topLinePunct w:val="0"/>
        <w:bidi w:val="0"/>
        <w:adjustRightInd/>
        <w:snapToGrid/>
        <w:spacing w:line="360" w:lineRule="auto"/>
        <w:ind w:firstLine="560" w:firstLineChars="200"/>
        <w:jc w:val="left"/>
        <w:rPr>
          <w:rFonts w:hint="eastAsia" w:ascii="仿宋" w:hAnsi="仿宋" w:eastAsia="仿宋" w:cs="仿宋"/>
          <w:color w:val="000000" w:themeColor="text1"/>
          <w:kern w:val="0"/>
          <w:sz w:val="28"/>
          <w:szCs w:val="28"/>
          <w:highlight w:val="none"/>
          <w:lang w:val="en-US" w:eastAsia="zh-CN"/>
          <w14:textFill>
            <w14:solidFill>
              <w14:schemeClr w14:val="tx1"/>
            </w14:solidFill>
          </w14:textFill>
        </w:rPr>
      </w:pP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（3）</w:t>
      </w:r>
      <w:r>
        <w:rPr>
          <w:rFonts w:hint="eastAsia" w:ascii="仿宋" w:hAnsi="仿宋" w:eastAsia="仿宋" w:cs="仿宋"/>
          <w:color w:val="000000" w:themeColor="text1"/>
          <w:kern w:val="0"/>
          <w:sz w:val="28"/>
          <w:szCs w:val="28"/>
          <w:highlight w:val="none"/>
          <w14:textFill>
            <w14:solidFill>
              <w14:schemeClr w14:val="tx1"/>
            </w14:solidFill>
          </w14:textFill>
        </w:rPr>
        <w:t>我单位</w:t>
      </w: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具有履行合同所必需的设备和专业技术能力；</w:t>
      </w:r>
    </w:p>
    <w:p w14:paraId="30BDFD06">
      <w:pPr>
        <w:pageBreakBefore w:val="0"/>
        <w:widowControl/>
        <w:kinsoku/>
        <w:overflowPunct/>
        <w:topLinePunct w:val="0"/>
        <w:bidi w:val="0"/>
        <w:adjustRightInd/>
        <w:snapToGrid/>
        <w:spacing w:line="360" w:lineRule="auto"/>
        <w:ind w:firstLine="560" w:firstLineChars="200"/>
        <w:jc w:val="left"/>
        <w:rPr>
          <w:rFonts w:hint="eastAsia" w:ascii="仿宋" w:hAnsi="仿宋" w:eastAsia="仿宋" w:cs="仿宋"/>
          <w:color w:val="000000" w:themeColor="text1"/>
          <w:kern w:val="0"/>
          <w:sz w:val="28"/>
          <w:szCs w:val="28"/>
          <w:highlight w:val="none"/>
          <w:lang w:val="en-US" w:eastAsia="zh-CN"/>
          <w14:textFill>
            <w14:solidFill>
              <w14:schemeClr w14:val="tx1"/>
            </w14:solidFill>
          </w14:textFill>
        </w:rPr>
      </w:pP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（4）</w:t>
      </w:r>
      <w:r>
        <w:rPr>
          <w:rFonts w:hint="eastAsia" w:ascii="仿宋" w:hAnsi="仿宋" w:eastAsia="仿宋" w:cs="仿宋"/>
          <w:color w:val="000000" w:themeColor="text1"/>
          <w:kern w:val="0"/>
          <w:sz w:val="28"/>
          <w:szCs w:val="28"/>
          <w:highlight w:val="none"/>
          <w14:textFill>
            <w14:solidFill>
              <w14:schemeClr w14:val="tx1"/>
            </w14:solidFill>
          </w14:textFill>
        </w:rPr>
        <w:t>我单位</w:t>
      </w: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具有依法缴纳税收和社会保障资金的良好记录；</w:t>
      </w:r>
    </w:p>
    <w:p w14:paraId="382771FB">
      <w:pPr>
        <w:pageBreakBefore w:val="0"/>
        <w:widowControl/>
        <w:kinsoku/>
        <w:overflowPunct/>
        <w:topLinePunct w:val="0"/>
        <w:bidi w:val="0"/>
        <w:adjustRightInd/>
        <w:snapToGrid/>
        <w:spacing w:line="360" w:lineRule="auto"/>
        <w:ind w:firstLine="560" w:firstLineChars="200"/>
        <w:jc w:val="left"/>
        <w:rPr>
          <w:rFonts w:hint="eastAsia" w:ascii="仿宋" w:hAnsi="仿宋" w:eastAsia="仿宋" w:cs="仿宋"/>
          <w:color w:val="000000" w:themeColor="text1"/>
          <w:kern w:val="0"/>
          <w:sz w:val="28"/>
          <w:szCs w:val="28"/>
          <w:highlight w:val="none"/>
          <w:lang w:val="en-US" w:eastAsia="zh-CN"/>
          <w14:textFill>
            <w14:solidFill>
              <w14:schemeClr w14:val="tx1"/>
            </w14:solidFill>
          </w14:textFill>
        </w:rPr>
      </w:pP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（5）</w:t>
      </w:r>
      <w:r>
        <w:rPr>
          <w:rFonts w:hint="eastAsia" w:ascii="仿宋" w:hAnsi="仿宋" w:eastAsia="仿宋" w:cs="仿宋"/>
          <w:color w:val="000000" w:themeColor="text1"/>
          <w:kern w:val="0"/>
          <w:sz w:val="28"/>
          <w:szCs w:val="28"/>
          <w:highlight w:val="none"/>
          <w14:textFill>
            <w14:solidFill>
              <w14:schemeClr w14:val="tx1"/>
            </w14:solidFill>
          </w14:textFill>
        </w:rPr>
        <w:t>我单位</w:t>
      </w: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参加本次采购活动前三年内，在经营活动中没有重大违法记录；</w:t>
      </w:r>
    </w:p>
    <w:p w14:paraId="014EEF29">
      <w:pPr>
        <w:pageBreakBefore w:val="0"/>
        <w:widowControl/>
        <w:kinsoku/>
        <w:overflowPunct/>
        <w:topLinePunct w:val="0"/>
        <w:bidi w:val="0"/>
        <w:adjustRightInd/>
        <w:snapToGrid/>
        <w:spacing w:line="360" w:lineRule="auto"/>
        <w:ind w:firstLine="560" w:firstLineChars="200"/>
        <w:jc w:val="left"/>
        <w:rPr>
          <w:rFonts w:hint="eastAsia" w:ascii="仿宋" w:hAnsi="仿宋" w:eastAsia="仿宋" w:cs="仿宋"/>
          <w:color w:val="000000" w:themeColor="text1"/>
          <w:kern w:val="0"/>
          <w:sz w:val="28"/>
          <w:szCs w:val="28"/>
          <w:highlight w:val="none"/>
          <w:lang w:val="en-US" w:eastAsia="zh-CN"/>
          <w14:textFill>
            <w14:solidFill>
              <w14:schemeClr w14:val="tx1"/>
            </w14:solidFill>
          </w14:textFill>
        </w:rPr>
      </w:pP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（6）我单位及法定代表人、委托代理人未被最高法院列入失信被执行人；</w:t>
      </w:r>
    </w:p>
    <w:p w14:paraId="77448C26">
      <w:pPr>
        <w:pageBreakBefore w:val="0"/>
        <w:widowControl/>
        <w:kinsoku/>
        <w:overflowPunct/>
        <w:topLinePunct w:val="0"/>
        <w:bidi w:val="0"/>
        <w:adjustRightInd/>
        <w:snapToGrid/>
        <w:spacing w:line="360" w:lineRule="auto"/>
        <w:ind w:firstLine="560" w:firstLineChars="200"/>
        <w:jc w:val="left"/>
        <w:rPr>
          <w:rFonts w:hint="eastAsia" w:ascii="仿宋" w:hAnsi="仿宋" w:eastAsia="仿宋" w:cs="仿宋"/>
          <w:color w:val="000000" w:themeColor="text1"/>
          <w:kern w:val="0"/>
          <w:sz w:val="28"/>
          <w:szCs w:val="28"/>
          <w:highlight w:val="none"/>
          <w:lang w:val="en-US" w:eastAsia="zh-CN"/>
          <w14:textFill>
            <w14:solidFill>
              <w14:schemeClr w14:val="tx1"/>
            </w14:solidFill>
          </w14:textFill>
        </w:rPr>
      </w:pP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（7）我单位近一年在“信用中国”或“信用中国（山东）”无严重失信记录；</w:t>
      </w:r>
    </w:p>
    <w:p w14:paraId="1CC5E3C0">
      <w:pPr>
        <w:pageBreakBefore w:val="0"/>
        <w:widowControl/>
        <w:kinsoku/>
        <w:overflowPunct/>
        <w:topLinePunct w:val="0"/>
        <w:bidi w:val="0"/>
        <w:adjustRightInd/>
        <w:snapToGrid/>
        <w:spacing w:line="360" w:lineRule="auto"/>
        <w:ind w:firstLine="560" w:firstLineChars="200"/>
        <w:jc w:val="left"/>
        <w:rPr>
          <w:rFonts w:hint="eastAsia" w:ascii="仿宋" w:hAnsi="仿宋" w:eastAsia="仿宋" w:cs="仿宋"/>
          <w:color w:val="000000" w:themeColor="text1"/>
          <w:kern w:val="0"/>
          <w:sz w:val="28"/>
          <w:szCs w:val="28"/>
          <w:highlight w:val="none"/>
          <w:lang w:val="en-US" w:eastAsia="zh-CN"/>
          <w14:textFill>
            <w14:solidFill>
              <w14:schemeClr w14:val="tx1"/>
            </w14:solidFill>
          </w14:textFill>
        </w:rPr>
      </w:pP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（8）我单位及法定代表人、委托代理人近三年内无行贿犯罪行为记录（若投标人成立时间不足三年，则承诺自成立时间至今，无行贿犯罪行为记录）；</w:t>
      </w:r>
    </w:p>
    <w:p w14:paraId="7B577761">
      <w:pPr>
        <w:pageBreakBefore w:val="0"/>
        <w:widowControl/>
        <w:kinsoku/>
        <w:overflowPunct/>
        <w:topLinePunct w:val="0"/>
        <w:bidi w:val="0"/>
        <w:adjustRightInd/>
        <w:snapToGrid/>
        <w:spacing w:line="360" w:lineRule="auto"/>
        <w:ind w:firstLine="560" w:firstLineChars="200"/>
        <w:jc w:val="left"/>
        <w:rPr>
          <w:rFonts w:hint="eastAsia" w:ascii="仿宋" w:hAnsi="仿宋" w:eastAsia="仿宋" w:cs="仿宋"/>
          <w:color w:val="000000" w:themeColor="text1"/>
          <w:kern w:val="0"/>
          <w:sz w:val="28"/>
          <w:szCs w:val="28"/>
          <w:highlight w:val="none"/>
          <w:lang w:val="en-US" w:eastAsia="zh-CN"/>
          <w14:textFill>
            <w14:solidFill>
              <w14:schemeClr w14:val="tx1"/>
            </w14:solidFill>
          </w14:textFill>
        </w:rPr>
      </w:pP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（9）</w:t>
      </w:r>
      <w:r>
        <w:rPr>
          <w:rFonts w:hint="eastAsia" w:ascii="仿宋" w:hAnsi="仿宋" w:eastAsia="仿宋" w:cs="仿宋"/>
          <w:color w:val="000000" w:themeColor="text1"/>
          <w:kern w:val="0"/>
          <w:sz w:val="28"/>
          <w:szCs w:val="28"/>
          <w:highlight w:val="none"/>
          <w14:textFill>
            <w14:solidFill>
              <w14:schemeClr w14:val="tx1"/>
            </w14:solidFill>
          </w14:textFill>
        </w:rPr>
        <w:t>我单位</w:t>
      </w: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符合法律、法规规定的其他条件；</w:t>
      </w:r>
    </w:p>
    <w:p w14:paraId="31A27C97">
      <w:pPr>
        <w:pageBreakBefore w:val="0"/>
        <w:widowControl/>
        <w:kinsoku/>
        <w:overflowPunct/>
        <w:topLinePunct w:val="0"/>
        <w:bidi w:val="0"/>
        <w:adjustRightInd/>
        <w:snapToGrid/>
        <w:spacing w:line="360" w:lineRule="auto"/>
        <w:ind w:firstLine="560" w:firstLineChars="200"/>
        <w:jc w:val="left"/>
        <w:rPr>
          <w:rFonts w:hint="eastAsia" w:ascii="仿宋" w:hAnsi="仿宋" w:eastAsia="仿宋" w:cs="仿宋"/>
          <w:color w:val="000000" w:themeColor="text1"/>
          <w:kern w:val="0"/>
          <w:sz w:val="28"/>
          <w:szCs w:val="28"/>
          <w:highlight w:val="none"/>
          <w:lang w:val="en-US" w:eastAsia="zh-CN"/>
          <w14:textFill>
            <w14:solidFill>
              <w14:schemeClr w14:val="tx1"/>
            </w14:solidFill>
          </w14:textFill>
        </w:rPr>
      </w:pP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（10）我单位本次非联合体投标。</w:t>
      </w:r>
    </w:p>
    <w:p w14:paraId="22E3DBEB">
      <w:pPr>
        <w:pageBreakBefore w:val="0"/>
        <w:widowControl/>
        <w:kinsoku/>
        <w:overflowPunct/>
        <w:topLinePunct w:val="0"/>
        <w:bidi w:val="0"/>
        <w:adjustRightInd/>
        <w:snapToGrid/>
        <w:spacing w:line="360" w:lineRule="auto"/>
        <w:ind w:firstLine="560" w:firstLineChars="200"/>
        <w:jc w:val="left"/>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如我单位中标，我单位承诺不分包或转包本项目。若我单位提供虚假承诺，我单位同意所提交的投标文件作无效处理，并愿意接受通报，按照有关法律法规规定接受处罚，由此造成的一切经济责任和法律责任由我单位自行承担。</w:t>
      </w:r>
    </w:p>
    <w:p w14:paraId="1584AA58">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bookmarkStart w:id="94" w:name="_Hlk72505594"/>
    </w:p>
    <w:p w14:paraId="17BC4A0F">
      <w:pPr>
        <w:pageBreakBefore w:val="0"/>
        <w:kinsoku/>
        <w:overflowPunct/>
        <w:topLinePunct w:val="0"/>
        <w:bidi w:val="0"/>
        <w:adjustRightInd/>
        <w:snapToGrid/>
        <w:spacing w:line="360" w:lineRule="auto"/>
        <w:ind w:firstLine="562" w:firstLineChars="201"/>
        <w:jc w:val="righ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 xml:space="preserve">                       投标人（盖章）</w:t>
      </w:r>
      <w:bookmarkEnd w:id="94"/>
      <w:bookmarkStart w:id="95" w:name="_Toc523388197"/>
    </w:p>
    <w:p w14:paraId="0857EFE1">
      <w:pPr>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br w:type="page"/>
      </w:r>
    </w:p>
    <w:p w14:paraId="10F54A0E">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投标人认为需要提供的资质资格证明文件</w:t>
      </w:r>
    </w:p>
    <w:p w14:paraId="10DA971B">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p>
    <w:p w14:paraId="1B772D72">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p>
    <w:p w14:paraId="694F566C">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p>
    <w:p w14:paraId="4EC56DE7">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p>
    <w:p w14:paraId="2FD4123F">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p>
    <w:p w14:paraId="42B779FE">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p>
    <w:p w14:paraId="3FBC5755">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p>
    <w:p w14:paraId="10140C0D">
      <w:pPr>
        <w:pageBreakBefore w:val="0"/>
        <w:kinsoku/>
        <w:overflowPunct/>
        <w:topLinePunct w:val="0"/>
        <w:bidi w:val="0"/>
        <w:adjustRightInd/>
        <w:snapToGrid/>
        <w:spacing w:line="360" w:lineRule="auto"/>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68A30DDA">
      <w:pPr>
        <w:pageBreakBefore w:val="0"/>
        <w:kinsoku/>
        <w:overflowPunct/>
        <w:topLinePunct w:val="0"/>
        <w:bidi w:val="0"/>
        <w:adjustRightInd/>
        <w:snapToGrid/>
        <w:spacing w:line="360" w:lineRule="auto"/>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64BD16F5">
      <w:pPr>
        <w:pageBreakBefore w:val="0"/>
        <w:kinsoku/>
        <w:overflowPunct/>
        <w:topLinePunct w:val="0"/>
        <w:bidi w:val="0"/>
        <w:adjustRightInd/>
        <w:snapToGrid/>
        <w:spacing w:line="360" w:lineRule="auto"/>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2C12B181">
      <w:pPr>
        <w:pageBreakBefore w:val="0"/>
        <w:kinsoku/>
        <w:overflowPunct/>
        <w:topLinePunct w:val="0"/>
        <w:bidi w:val="0"/>
        <w:adjustRightInd/>
        <w:snapToGrid/>
        <w:spacing w:line="360" w:lineRule="auto"/>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78B643D0">
      <w:pPr>
        <w:pageBreakBefore w:val="0"/>
        <w:kinsoku/>
        <w:overflowPunct/>
        <w:topLinePunct w:val="0"/>
        <w:bidi w:val="0"/>
        <w:adjustRightInd/>
        <w:snapToGrid/>
        <w:spacing w:line="360" w:lineRule="auto"/>
        <w:ind w:firstLine="562" w:firstLineChars="201"/>
        <w:jc w:val="righ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投标人（盖章）</w:t>
      </w:r>
    </w:p>
    <w:p w14:paraId="5E7E3449">
      <w:pPr>
        <w:rPr>
          <w:rFonts w:hint="eastAsia" w:ascii="仿宋" w:hAnsi="仿宋" w:eastAsia="仿宋" w:cs="仿宋"/>
          <w:bCs/>
          <w:color w:val="000000" w:themeColor="text1"/>
          <w:kern w:val="2"/>
          <w:sz w:val="44"/>
          <w:szCs w:val="32"/>
          <w:highlight w:val="none"/>
          <w14:textFill>
            <w14:solidFill>
              <w14:schemeClr w14:val="tx1"/>
            </w14:solidFill>
          </w14:textFill>
        </w:rPr>
      </w:pPr>
      <w:r>
        <w:rPr>
          <w:rFonts w:hint="eastAsia" w:ascii="仿宋" w:hAnsi="仿宋" w:eastAsia="仿宋" w:cs="仿宋"/>
          <w:bCs/>
          <w:color w:val="000000" w:themeColor="text1"/>
          <w:kern w:val="2"/>
          <w:sz w:val="44"/>
          <w:szCs w:val="32"/>
          <w:highlight w:val="none"/>
          <w14:textFill>
            <w14:solidFill>
              <w14:schemeClr w14:val="tx1"/>
            </w14:solidFill>
          </w14:textFill>
        </w:rPr>
        <w:br w:type="page"/>
      </w:r>
    </w:p>
    <w:p w14:paraId="065A68B0">
      <w:pPr>
        <w:pStyle w:val="26"/>
        <w:pageBreakBefore w:val="0"/>
        <w:kinsoku/>
        <w:overflowPunct/>
        <w:topLinePunct w:val="0"/>
        <w:bidi w:val="0"/>
        <w:adjustRightInd/>
        <w:snapToGrid/>
        <w:spacing w:line="360" w:lineRule="auto"/>
        <w:jc w:val="center"/>
        <w:rPr>
          <w:rFonts w:hint="eastAsia" w:ascii="仿宋" w:hAnsi="仿宋" w:eastAsia="仿宋" w:cs="仿宋"/>
          <w:bCs/>
          <w:color w:val="000000" w:themeColor="text1"/>
          <w:kern w:val="2"/>
          <w:sz w:val="44"/>
          <w:szCs w:val="32"/>
          <w:highlight w:val="none"/>
          <w14:textFill>
            <w14:solidFill>
              <w14:schemeClr w14:val="tx1"/>
            </w14:solidFill>
          </w14:textFill>
        </w:rPr>
      </w:pPr>
      <w:r>
        <w:rPr>
          <w:rFonts w:hint="eastAsia" w:ascii="仿宋" w:hAnsi="仿宋" w:eastAsia="仿宋" w:cs="仿宋"/>
          <w:bCs/>
          <w:color w:val="000000" w:themeColor="text1"/>
          <w:kern w:val="2"/>
          <w:sz w:val="44"/>
          <w:szCs w:val="32"/>
          <w:highlight w:val="none"/>
          <w14:textFill>
            <w14:solidFill>
              <w14:schemeClr w14:val="tx1"/>
            </w14:solidFill>
          </w14:textFill>
        </w:rPr>
        <w:t>投标人基本情况表</w:t>
      </w:r>
      <w:bookmarkEnd w:id="95"/>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8"/>
        <w:gridCol w:w="1593"/>
        <w:gridCol w:w="548"/>
        <w:gridCol w:w="1062"/>
        <w:gridCol w:w="548"/>
        <w:gridCol w:w="636"/>
        <w:gridCol w:w="1550"/>
        <w:gridCol w:w="487"/>
        <w:gridCol w:w="2583"/>
      </w:tblGrid>
      <w:tr w14:paraId="0FDC2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1" w:hRule="atLeast"/>
          <w:jc w:val="center"/>
        </w:trPr>
        <w:tc>
          <w:tcPr>
            <w:tcW w:w="2141" w:type="dxa"/>
            <w:gridSpan w:val="2"/>
            <w:vAlign w:val="center"/>
          </w:tcPr>
          <w:p w14:paraId="3ECE9C54">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单位名称</w:t>
            </w:r>
          </w:p>
        </w:tc>
        <w:tc>
          <w:tcPr>
            <w:tcW w:w="2794" w:type="dxa"/>
            <w:gridSpan w:val="4"/>
            <w:vAlign w:val="center"/>
          </w:tcPr>
          <w:p w14:paraId="77E1ED17">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2037" w:type="dxa"/>
            <w:gridSpan w:val="2"/>
            <w:vAlign w:val="center"/>
          </w:tcPr>
          <w:p w14:paraId="34768537">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地址</w:t>
            </w:r>
          </w:p>
        </w:tc>
        <w:tc>
          <w:tcPr>
            <w:tcW w:w="2583" w:type="dxa"/>
            <w:vAlign w:val="center"/>
          </w:tcPr>
          <w:p w14:paraId="128F8E44">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r>
      <w:tr w14:paraId="225E4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2141" w:type="dxa"/>
            <w:gridSpan w:val="2"/>
            <w:vAlign w:val="center"/>
          </w:tcPr>
          <w:p w14:paraId="53BD6E02">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办公电话/传真</w:t>
            </w:r>
          </w:p>
        </w:tc>
        <w:tc>
          <w:tcPr>
            <w:tcW w:w="2794" w:type="dxa"/>
            <w:gridSpan w:val="4"/>
            <w:vAlign w:val="center"/>
          </w:tcPr>
          <w:p w14:paraId="2CF617EA">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2037" w:type="dxa"/>
            <w:gridSpan w:val="2"/>
            <w:vAlign w:val="center"/>
          </w:tcPr>
          <w:p w14:paraId="20DA609F">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联系人</w:t>
            </w:r>
          </w:p>
        </w:tc>
        <w:tc>
          <w:tcPr>
            <w:tcW w:w="2583" w:type="dxa"/>
            <w:vAlign w:val="center"/>
          </w:tcPr>
          <w:p w14:paraId="7CC87D0B">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r>
      <w:tr w14:paraId="5ED43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7" w:hRule="atLeast"/>
          <w:jc w:val="center"/>
        </w:trPr>
        <w:tc>
          <w:tcPr>
            <w:tcW w:w="2141" w:type="dxa"/>
            <w:gridSpan w:val="2"/>
            <w:vAlign w:val="center"/>
          </w:tcPr>
          <w:p w14:paraId="1CA4D4FA">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总经理</w:t>
            </w:r>
          </w:p>
        </w:tc>
        <w:tc>
          <w:tcPr>
            <w:tcW w:w="1610" w:type="dxa"/>
            <w:gridSpan w:val="2"/>
            <w:vAlign w:val="center"/>
          </w:tcPr>
          <w:p w14:paraId="0E262A28">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2734" w:type="dxa"/>
            <w:gridSpan w:val="3"/>
            <w:vAlign w:val="center"/>
          </w:tcPr>
          <w:p w14:paraId="5D96CDA1">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固定办公面积</w:t>
            </w:r>
          </w:p>
          <w:p w14:paraId="7813CECD">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（平米）</w:t>
            </w:r>
          </w:p>
        </w:tc>
        <w:tc>
          <w:tcPr>
            <w:tcW w:w="3070" w:type="dxa"/>
            <w:gridSpan w:val="2"/>
            <w:vAlign w:val="center"/>
          </w:tcPr>
          <w:p w14:paraId="099A5271">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r>
      <w:tr w14:paraId="16D76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4" w:hRule="atLeast"/>
          <w:jc w:val="center"/>
        </w:trPr>
        <w:tc>
          <w:tcPr>
            <w:tcW w:w="548" w:type="dxa"/>
            <w:vMerge w:val="restart"/>
            <w:vAlign w:val="center"/>
          </w:tcPr>
          <w:p w14:paraId="6D1FE04B">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注册情况</w:t>
            </w:r>
          </w:p>
        </w:tc>
        <w:tc>
          <w:tcPr>
            <w:tcW w:w="2141" w:type="dxa"/>
            <w:gridSpan w:val="2"/>
            <w:vAlign w:val="center"/>
          </w:tcPr>
          <w:p w14:paraId="5F69C7FF">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工商注册号</w:t>
            </w:r>
          </w:p>
        </w:tc>
        <w:tc>
          <w:tcPr>
            <w:tcW w:w="6866" w:type="dxa"/>
            <w:gridSpan w:val="6"/>
            <w:vAlign w:val="center"/>
          </w:tcPr>
          <w:p w14:paraId="36240815">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r>
      <w:tr w14:paraId="0451F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7" w:hRule="atLeast"/>
          <w:jc w:val="center"/>
        </w:trPr>
        <w:tc>
          <w:tcPr>
            <w:tcW w:w="548" w:type="dxa"/>
            <w:vMerge w:val="continue"/>
            <w:textDirection w:val="tbRlV"/>
            <w:vAlign w:val="center"/>
          </w:tcPr>
          <w:p w14:paraId="3279F79C">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2141" w:type="dxa"/>
            <w:gridSpan w:val="2"/>
            <w:vAlign w:val="center"/>
          </w:tcPr>
          <w:p w14:paraId="3030A092">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注册资本</w:t>
            </w:r>
          </w:p>
          <w:p w14:paraId="0A7C6262">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（万元）</w:t>
            </w:r>
          </w:p>
        </w:tc>
        <w:tc>
          <w:tcPr>
            <w:tcW w:w="6866" w:type="dxa"/>
            <w:gridSpan w:val="6"/>
            <w:vAlign w:val="center"/>
          </w:tcPr>
          <w:p w14:paraId="2BC41322">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r>
      <w:tr w14:paraId="0C608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3" w:hRule="atLeast"/>
          <w:jc w:val="center"/>
        </w:trPr>
        <w:tc>
          <w:tcPr>
            <w:tcW w:w="548" w:type="dxa"/>
            <w:vMerge w:val="continue"/>
            <w:textDirection w:val="tbRlV"/>
            <w:vAlign w:val="center"/>
          </w:tcPr>
          <w:p w14:paraId="448E95A1">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2141" w:type="dxa"/>
            <w:gridSpan w:val="2"/>
            <w:vAlign w:val="center"/>
          </w:tcPr>
          <w:p w14:paraId="76D12008">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法定代表人</w:t>
            </w:r>
          </w:p>
        </w:tc>
        <w:tc>
          <w:tcPr>
            <w:tcW w:w="1610" w:type="dxa"/>
            <w:gridSpan w:val="2"/>
            <w:vAlign w:val="center"/>
          </w:tcPr>
          <w:p w14:paraId="523A4471">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2186" w:type="dxa"/>
            <w:gridSpan w:val="2"/>
            <w:vAlign w:val="center"/>
          </w:tcPr>
          <w:p w14:paraId="34FBAAE5">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单位类型</w:t>
            </w:r>
          </w:p>
        </w:tc>
        <w:tc>
          <w:tcPr>
            <w:tcW w:w="3070" w:type="dxa"/>
            <w:gridSpan w:val="2"/>
            <w:vAlign w:val="center"/>
          </w:tcPr>
          <w:p w14:paraId="45D26BAB">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r>
      <w:tr w14:paraId="14D99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548" w:type="dxa"/>
            <w:vMerge w:val="continue"/>
            <w:textDirection w:val="tbRlV"/>
            <w:vAlign w:val="center"/>
          </w:tcPr>
          <w:p w14:paraId="4F63F19F">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2141" w:type="dxa"/>
            <w:gridSpan w:val="2"/>
            <w:vAlign w:val="center"/>
          </w:tcPr>
          <w:p w14:paraId="507E9E1F">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成立时间</w:t>
            </w:r>
          </w:p>
        </w:tc>
        <w:tc>
          <w:tcPr>
            <w:tcW w:w="1610" w:type="dxa"/>
            <w:gridSpan w:val="2"/>
            <w:vAlign w:val="center"/>
          </w:tcPr>
          <w:p w14:paraId="3E6FF31E">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2186" w:type="dxa"/>
            <w:gridSpan w:val="2"/>
            <w:vAlign w:val="center"/>
          </w:tcPr>
          <w:p w14:paraId="66C71997">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营业期限</w:t>
            </w:r>
          </w:p>
        </w:tc>
        <w:tc>
          <w:tcPr>
            <w:tcW w:w="3070" w:type="dxa"/>
            <w:gridSpan w:val="2"/>
            <w:vAlign w:val="center"/>
          </w:tcPr>
          <w:p w14:paraId="4FA3117E">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r>
      <w:tr w14:paraId="3E1D0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jc w:val="center"/>
        </w:trPr>
        <w:tc>
          <w:tcPr>
            <w:tcW w:w="548" w:type="dxa"/>
            <w:vMerge w:val="continue"/>
            <w:textDirection w:val="tbRlV"/>
            <w:vAlign w:val="center"/>
          </w:tcPr>
          <w:p w14:paraId="6B08C17C">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2141" w:type="dxa"/>
            <w:gridSpan w:val="2"/>
            <w:vAlign w:val="center"/>
          </w:tcPr>
          <w:p w14:paraId="2256C10F">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经营范围</w:t>
            </w:r>
          </w:p>
        </w:tc>
        <w:tc>
          <w:tcPr>
            <w:tcW w:w="6866" w:type="dxa"/>
            <w:gridSpan w:val="6"/>
            <w:vAlign w:val="center"/>
          </w:tcPr>
          <w:p w14:paraId="65EFF2D1">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r>
      <w:tr w14:paraId="6AA30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jc w:val="center"/>
        </w:trPr>
        <w:tc>
          <w:tcPr>
            <w:tcW w:w="2689" w:type="dxa"/>
            <w:gridSpan w:val="3"/>
            <w:vAlign w:val="center"/>
          </w:tcPr>
          <w:p w14:paraId="1BE9CA86">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与投标人关联单位情况</w:t>
            </w:r>
          </w:p>
        </w:tc>
        <w:tc>
          <w:tcPr>
            <w:tcW w:w="6866" w:type="dxa"/>
            <w:gridSpan w:val="6"/>
            <w:vAlign w:val="center"/>
          </w:tcPr>
          <w:p w14:paraId="6FDF8E05">
            <w:pPr>
              <w:pageBreakBefore w:val="0"/>
              <w:kinsoku/>
              <w:overflowPunct/>
              <w:topLinePunct w:val="0"/>
              <w:bidi w:val="0"/>
              <w:adjustRightInd/>
              <w:snapToGrid/>
              <w:spacing w:line="360" w:lineRule="auto"/>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1.与我单位法定代表人（负责人）为同一人的其他单位为：</w:t>
            </w:r>
          </w:p>
          <w:p w14:paraId="2DE2BEDE">
            <w:pPr>
              <w:pageBreakBefore w:val="0"/>
              <w:kinsoku/>
              <w:overflowPunct/>
              <w:topLinePunct w:val="0"/>
              <w:bidi w:val="0"/>
              <w:adjustRightInd/>
              <w:snapToGrid/>
              <w:spacing w:line="360" w:lineRule="auto"/>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2.与我单位存在直接控股、管理关系的其他单位为：</w:t>
            </w:r>
          </w:p>
        </w:tc>
      </w:tr>
      <w:tr w14:paraId="6405C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jc w:val="center"/>
        </w:trPr>
        <w:tc>
          <w:tcPr>
            <w:tcW w:w="9555" w:type="dxa"/>
            <w:gridSpan w:val="9"/>
            <w:vAlign w:val="center"/>
          </w:tcPr>
          <w:p w14:paraId="402BB326">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投标人情况简介</w:t>
            </w:r>
          </w:p>
        </w:tc>
      </w:tr>
      <w:tr w14:paraId="74CFC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4" w:hRule="atLeast"/>
          <w:jc w:val="center"/>
        </w:trPr>
        <w:tc>
          <w:tcPr>
            <w:tcW w:w="9555" w:type="dxa"/>
            <w:gridSpan w:val="9"/>
          </w:tcPr>
          <w:p w14:paraId="41D8C371">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p>
        </w:tc>
      </w:tr>
    </w:tbl>
    <w:p w14:paraId="68E8ACA4">
      <w:pPr>
        <w:pageBreakBefore w:val="0"/>
        <w:kinsoku/>
        <w:overflowPunct/>
        <w:topLinePunct w:val="0"/>
        <w:bidi w:val="0"/>
        <w:adjustRightInd/>
        <w:snapToGrid/>
        <w:spacing w:line="360" w:lineRule="auto"/>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投标人(盖章):</w:t>
      </w:r>
    </w:p>
    <w:p w14:paraId="0456A92D">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法定代表人（签字或盖章）：</w:t>
      </w:r>
      <w:bookmarkStart w:id="96" w:name="_Toc523388144"/>
    </w:p>
    <w:p w14:paraId="4606F478">
      <w:pPr>
        <w:rPr>
          <w:rFonts w:hint="eastAsia" w:ascii="仿宋" w:hAnsi="仿宋" w:eastAsia="仿宋" w:cs="仿宋"/>
          <w:bCs/>
          <w:color w:val="000000" w:themeColor="text1"/>
          <w:kern w:val="2"/>
          <w:sz w:val="44"/>
          <w:szCs w:val="32"/>
          <w:highlight w:val="none"/>
          <w14:textFill>
            <w14:solidFill>
              <w14:schemeClr w14:val="tx1"/>
            </w14:solidFill>
          </w14:textFill>
        </w:rPr>
      </w:pPr>
      <w:r>
        <w:rPr>
          <w:rFonts w:hint="eastAsia" w:ascii="仿宋" w:hAnsi="仿宋" w:eastAsia="仿宋" w:cs="仿宋"/>
          <w:bCs/>
          <w:color w:val="000000" w:themeColor="text1"/>
          <w:kern w:val="2"/>
          <w:sz w:val="44"/>
          <w:szCs w:val="32"/>
          <w:highlight w:val="none"/>
          <w14:textFill>
            <w14:solidFill>
              <w14:schemeClr w14:val="tx1"/>
            </w14:solidFill>
          </w14:textFill>
        </w:rPr>
        <w:br w:type="page"/>
      </w:r>
    </w:p>
    <w:bookmarkEnd w:id="96"/>
    <w:p w14:paraId="5CE01DB1">
      <w:pPr>
        <w:pStyle w:val="26"/>
        <w:pageBreakBefore w:val="0"/>
        <w:kinsoku/>
        <w:overflowPunct/>
        <w:topLinePunct w:val="0"/>
        <w:bidi w:val="0"/>
        <w:adjustRightInd/>
        <w:snapToGrid/>
        <w:spacing w:line="360" w:lineRule="auto"/>
        <w:jc w:val="center"/>
        <w:rPr>
          <w:rFonts w:hint="eastAsia" w:ascii="仿宋" w:hAnsi="仿宋" w:eastAsia="仿宋" w:cs="仿宋"/>
          <w:bCs/>
          <w:color w:val="000000" w:themeColor="text1"/>
          <w:kern w:val="2"/>
          <w:sz w:val="44"/>
          <w:szCs w:val="32"/>
          <w:highlight w:val="none"/>
          <w14:textFill>
            <w14:solidFill>
              <w14:schemeClr w14:val="tx1"/>
            </w14:solidFill>
          </w14:textFill>
        </w:rPr>
      </w:pPr>
      <w:r>
        <w:rPr>
          <w:rFonts w:hint="eastAsia" w:ascii="仿宋" w:hAnsi="仿宋" w:eastAsia="仿宋" w:cs="仿宋"/>
          <w:bCs/>
          <w:color w:val="000000" w:themeColor="text1"/>
          <w:kern w:val="2"/>
          <w:sz w:val="44"/>
          <w:szCs w:val="32"/>
          <w:highlight w:val="none"/>
          <w14:textFill>
            <w14:solidFill>
              <w14:schemeClr w14:val="tx1"/>
            </w14:solidFill>
          </w14:textFill>
        </w:rPr>
        <w:t>投标人</w:t>
      </w:r>
      <w:r>
        <w:rPr>
          <w:rFonts w:hint="eastAsia" w:ascii="仿宋" w:hAnsi="仿宋" w:eastAsia="仿宋" w:cs="仿宋"/>
          <w:bCs/>
          <w:color w:val="000000" w:themeColor="text1"/>
          <w:kern w:val="2"/>
          <w:sz w:val="44"/>
          <w:szCs w:val="32"/>
          <w:highlight w:val="none"/>
          <w:lang w:val="en-US" w:eastAsia="zh-CN"/>
          <w14:textFill>
            <w14:solidFill>
              <w14:schemeClr w14:val="tx1"/>
            </w14:solidFill>
          </w14:textFill>
        </w:rPr>
        <w:t>2023</w:t>
      </w:r>
      <w:r>
        <w:rPr>
          <w:rFonts w:hint="eastAsia" w:ascii="仿宋" w:hAnsi="仿宋" w:eastAsia="仿宋" w:cs="仿宋"/>
          <w:bCs/>
          <w:color w:val="000000" w:themeColor="text1"/>
          <w:kern w:val="2"/>
          <w:sz w:val="44"/>
          <w:szCs w:val="32"/>
          <w:highlight w:val="none"/>
          <w14:textFill>
            <w14:solidFill>
              <w14:schemeClr w14:val="tx1"/>
            </w14:solidFill>
          </w14:textFill>
        </w:rPr>
        <w:t>年1月1日至今承揽的</w:t>
      </w:r>
    </w:p>
    <w:p w14:paraId="4766D210">
      <w:pPr>
        <w:pStyle w:val="26"/>
        <w:pageBreakBefore w:val="0"/>
        <w:kinsoku/>
        <w:overflowPunct/>
        <w:topLinePunct w:val="0"/>
        <w:bidi w:val="0"/>
        <w:adjustRightInd/>
        <w:snapToGrid/>
        <w:spacing w:line="360" w:lineRule="auto"/>
        <w:jc w:val="center"/>
        <w:rPr>
          <w:rFonts w:hint="eastAsia" w:ascii="仿宋" w:hAnsi="仿宋" w:eastAsia="仿宋" w:cs="仿宋"/>
          <w:bCs/>
          <w:color w:val="000000" w:themeColor="text1"/>
          <w:kern w:val="2"/>
          <w:sz w:val="44"/>
          <w:szCs w:val="32"/>
          <w:highlight w:val="none"/>
          <w14:textFill>
            <w14:solidFill>
              <w14:schemeClr w14:val="tx1"/>
            </w14:solidFill>
          </w14:textFill>
        </w:rPr>
      </w:pPr>
      <w:r>
        <w:rPr>
          <w:rFonts w:hint="eastAsia" w:ascii="仿宋" w:hAnsi="仿宋" w:eastAsia="仿宋" w:cs="仿宋"/>
          <w:bCs/>
          <w:color w:val="000000" w:themeColor="text1"/>
          <w:kern w:val="2"/>
          <w:sz w:val="44"/>
          <w:szCs w:val="32"/>
          <w:highlight w:val="none"/>
          <w14:textFill>
            <w14:solidFill>
              <w14:schemeClr w14:val="tx1"/>
            </w14:solidFill>
          </w14:textFill>
        </w:rPr>
        <w:t>类似项目业绩表</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6"/>
        <w:gridCol w:w="1650"/>
        <w:gridCol w:w="1721"/>
        <w:gridCol w:w="1932"/>
        <w:gridCol w:w="1426"/>
        <w:gridCol w:w="1864"/>
      </w:tblGrid>
      <w:tr w14:paraId="5FDB5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4" w:hRule="atLeast"/>
          <w:jc w:val="center"/>
        </w:trPr>
        <w:tc>
          <w:tcPr>
            <w:tcW w:w="986" w:type="dxa"/>
            <w:vAlign w:val="center"/>
          </w:tcPr>
          <w:p w14:paraId="4207A948">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序号</w:t>
            </w:r>
          </w:p>
        </w:tc>
        <w:tc>
          <w:tcPr>
            <w:tcW w:w="1650" w:type="dxa"/>
            <w:vAlign w:val="center"/>
          </w:tcPr>
          <w:p w14:paraId="36DF6253">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招标人</w:t>
            </w:r>
          </w:p>
        </w:tc>
        <w:tc>
          <w:tcPr>
            <w:tcW w:w="1721" w:type="dxa"/>
            <w:vAlign w:val="center"/>
          </w:tcPr>
          <w:p w14:paraId="28BE3EC3">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项目名称</w:t>
            </w:r>
          </w:p>
        </w:tc>
        <w:tc>
          <w:tcPr>
            <w:tcW w:w="1932" w:type="dxa"/>
            <w:vAlign w:val="center"/>
          </w:tcPr>
          <w:p w14:paraId="28DF088B">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合同签订日期</w:t>
            </w:r>
          </w:p>
        </w:tc>
        <w:tc>
          <w:tcPr>
            <w:tcW w:w="1426" w:type="dxa"/>
            <w:vAlign w:val="center"/>
          </w:tcPr>
          <w:p w14:paraId="0DD304AA">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合同金额</w:t>
            </w:r>
          </w:p>
        </w:tc>
        <w:tc>
          <w:tcPr>
            <w:tcW w:w="1864" w:type="dxa"/>
            <w:vAlign w:val="center"/>
          </w:tcPr>
          <w:p w14:paraId="633E7AA2">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电话/联系人</w:t>
            </w:r>
          </w:p>
        </w:tc>
      </w:tr>
      <w:tr w14:paraId="07984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162E22BD">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1650" w:type="dxa"/>
            <w:vAlign w:val="center"/>
          </w:tcPr>
          <w:p w14:paraId="0EB9020B">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1721" w:type="dxa"/>
            <w:vAlign w:val="center"/>
          </w:tcPr>
          <w:p w14:paraId="5119AFC0">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1932" w:type="dxa"/>
            <w:vAlign w:val="center"/>
          </w:tcPr>
          <w:p w14:paraId="42BDDBD9">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1426" w:type="dxa"/>
            <w:vAlign w:val="center"/>
          </w:tcPr>
          <w:p w14:paraId="014074E0">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1864" w:type="dxa"/>
            <w:vAlign w:val="center"/>
          </w:tcPr>
          <w:p w14:paraId="6E49A42F">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r>
      <w:tr w14:paraId="7E47B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4E540CD9">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1650" w:type="dxa"/>
            <w:vAlign w:val="center"/>
          </w:tcPr>
          <w:p w14:paraId="3F3F75B2">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1721" w:type="dxa"/>
            <w:vAlign w:val="center"/>
          </w:tcPr>
          <w:p w14:paraId="65CC642F">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1932" w:type="dxa"/>
            <w:vAlign w:val="center"/>
          </w:tcPr>
          <w:p w14:paraId="544EE145">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1426" w:type="dxa"/>
            <w:vAlign w:val="center"/>
          </w:tcPr>
          <w:p w14:paraId="5EBD69A5">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1864" w:type="dxa"/>
            <w:vAlign w:val="center"/>
          </w:tcPr>
          <w:p w14:paraId="678F28D3">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r>
      <w:tr w14:paraId="31E4A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29FD9983">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1650" w:type="dxa"/>
            <w:vAlign w:val="center"/>
          </w:tcPr>
          <w:p w14:paraId="31A10448">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1721" w:type="dxa"/>
            <w:vAlign w:val="center"/>
          </w:tcPr>
          <w:p w14:paraId="796C1596">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1932" w:type="dxa"/>
            <w:vAlign w:val="center"/>
          </w:tcPr>
          <w:p w14:paraId="7B172079">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1426" w:type="dxa"/>
            <w:vAlign w:val="center"/>
          </w:tcPr>
          <w:p w14:paraId="0C020090">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1864" w:type="dxa"/>
            <w:vAlign w:val="center"/>
          </w:tcPr>
          <w:p w14:paraId="7BDCA6F6">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r>
      <w:tr w14:paraId="062C5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0EACCE56">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1650" w:type="dxa"/>
            <w:vAlign w:val="center"/>
          </w:tcPr>
          <w:p w14:paraId="28F67D58">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1721" w:type="dxa"/>
            <w:vAlign w:val="center"/>
          </w:tcPr>
          <w:p w14:paraId="6FCE01FF">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1932" w:type="dxa"/>
            <w:vAlign w:val="center"/>
          </w:tcPr>
          <w:p w14:paraId="5359C992">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1426" w:type="dxa"/>
            <w:vAlign w:val="center"/>
          </w:tcPr>
          <w:p w14:paraId="766B7493">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1864" w:type="dxa"/>
            <w:vAlign w:val="center"/>
          </w:tcPr>
          <w:p w14:paraId="7F3B4577">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r>
      <w:tr w14:paraId="22A5C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7C051AA9">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1650" w:type="dxa"/>
            <w:vAlign w:val="center"/>
          </w:tcPr>
          <w:p w14:paraId="7DC5E75C">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1721" w:type="dxa"/>
            <w:vAlign w:val="center"/>
          </w:tcPr>
          <w:p w14:paraId="16956721">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1932" w:type="dxa"/>
            <w:vAlign w:val="center"/>
          </w:tcPr>
          <w:p w14:paraId="6FEF3262">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1426" w:type="dxa"/>
            <w:vAlign w:val="center"/>
          </w:tcPr>
          <w:p w14:paraId="73275EE5">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1864" w:type="dxa"/>
            <w:vAlign w:val="center"/>
          </w:tcPr>
          <w:p w14:paraId="415B7441">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r>
      <w:tr w14:paraId="5ABBA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2691B467">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1650" w:type="dxa"/>
            <w:vAlign w:val="center"/>
          </w:tcPr>
          <w:p w14:paraId="071741DF">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1721" w:type="dxa"/>
            <w:vAlign w:val="center"/>
          </w:tcPr>
          <w:p w14:paraId="7E8780CA">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1932" w:type="dxa"/>
            <w:vAlign w:val="center"/>
          </w:tcPr>
          <w:p w14:paraId="3AC9F387">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1426" w:type="dxa"/>
            <w:vAlign w:val="center"/>
          </w:tcPr>
          <w:p w14:paraId="1D5F43BC">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1864" w:type="dxa"/>
            <w:vAlign w:val="center"/>
          </w:tcPr>
          <w:p w14:paraId="6C85916E">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r>
      <w:tr w14:paraId="738E6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54618B11">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1650" w:type="dxa"/>
            <w:vAlign w:val="center"/>
          </w:tcPr>
          <w:p w14:paraId="151D3517">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1721" w:type="dxa"/>
            <w:vAlign w:val="center"/>
          </w:tcPr>
          <w:p w14:paraId="00C28B43">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1932" w:type="dxa"/>
            <w:vAlign w:val="center"/>
          </w:tcPr>
          <w:p w14:paraId="1508B332">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1426" w:type="dxa"/>
            <w:vAlign w:val="center"/>
          </w:tcPr>
          <w:p w14:paraId="239FB810">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1864" w:type="dxa"/>
            <w:vAlign w:val="center"/>
          </w:tcPr>
          <w:p w14:paraId="24F94FCC">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r>
      <w:tr w14:paraId="492FC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0EF790BB">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1650" w:type="dxa"/>
            <w:vAlign w:val="center"/>
          </w:tcPr>
          <w:p w14:paraId="5822380A">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1721" w:type="dxa"/>
            <w:vAlign w:val="center"/>
          </w:tcPr>
          <w:p w14:paraId="273518B7">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1932" w:type="dxa"/>
            <w:vAlign w:val="center"/>
          </w:tcPr>
          <w:p w14:paraId="3773D71C">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1426" w:type="dxa"/>
            <w:vAlign w:val="center"/>
          </w:tcPr>
          <w:p w14:paraId="4229932A">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1864" w:type="dxa"/>
            <w:vAlign w:val="center"/>
          </w:tcPr>
          <w:p w14:paraId="4E17EB95">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r>
    </w:tbl>
    <w:p w14:paraId="1E121B2A">
      <w:pPr>
        <w:pageBreakBefore w:val="0"/>
        <w:kinsoku/>
        <w:overflowPunct/>
        <w:topLinePunct w:val="0"/>
        <w:bidi w:val="0"/>
        <w:adjustRightInd/>
        <w:snapToGrid/>
        <w:spacing w:line="360" w:lineRule="auto"/>
        <w:jc w:val="left"/>
        <w:rPr>
          <w:rFonts w:hint="eastAsia" w:ascii="仿宋" w:hAnsi="仿宋" w:eastAsia="仿宋" w:cs="仿宋"/>
          <w:bCs/>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z w:val="28"/>
          <w:szCs w:val="28"/>
          <w:highlight w:val="none"/>
          <w14:textFill>
            <w14:solidFill>
              <w14:schemeClr w14:val="tx1"/>
            </w14:solidFill>
          </w14:textFill>
        </w:rPr>
        <w:t>附：</w:t>
      </w:r>
      <w:r>
        <w:rPr>
          <w:rFonts w:hint="eastAsia" w:ascii="仿宋" w:hAnsi="仿宋" w:eastAsia="仿宋" w:cs="仿宋"/>
          <w:bCs/>
          <w:color w:val="000000" w:themeColor="text1"/>
          <w:sz w:val="28"/>
          <w:szCs w:val="28"/>
          <w:highlight w:val="none"/>
          <w:lang w:val="en-US" w:eastAsia="zh-CN"/>
          <w14:textFill>
            <w14:solidFill>
              <w14:schemeClr w14:val="tx1"/>
            </w14:solidFill>
          </w14:textFill>
        </w:rPr>
        <w:t>评标办法要求的</w:t>
      </w:r>
      <w:r>
        <w:rPr>
          <w:rFonts w:hint="eastAsia" w:ascii="仿宋" w:hAnsi="仿宋" w:eastAsia="仿宋" w:cs="仿宋"/>
          <w:bCs/>
          <w:color w:val="000000" w:themeColor="text1"/>
          <w:sz w:val="28"/>
          <w:szCs w:val="28"/>
          <w:highlight w:val="none"/>
          <w14:textFill>
            <w14:solidFill>
              <w14:schemeClr w14:val="tx1"/>
            </w14:solidFill>
          </w14:textFill>
        </w:rPr>
        <w:t>证明材料</w:t>
      </w:r>
      <w:r>
        <w:rPr>
          <w:rFonts w:hint="eastAsia" w:ascii="仿宋" w:hAnsi="仿宋" w:eastAsia="仿宋" w:cs="仿宋"/>
          <w:bCs/>
          <w:color w:val="000000" w:themeColor="text1"/>
          <w:sz w:val="28"/>
          <w:szCs w:val="28"/>
          <w:highlight w:val="none"/>
          <w:lang w:eastAsia="zh-CN"/>
          <w14:textFill>
            <w14:solidFill>
              <w14:schemeClr w14:val="tx1"/>
            </w14:solidFill>
          </w14:textFill>
        </w:rPr>
        <w:t>，</w:t>
      </w:r>
      <w:r>
        <w:rPr>
          <w:rFonts w:hint="eastAsia" w:ascii="仿宋" w:hAnsi="仿宋" w:eastAsia="仿宋" w:cs="仿宋"/>
          <w:bCs/>
          <w:color w:val="000000" w:themeColor="text1"/>
          <w:sz w:val="28"/>
          <w:szCs w:val="28"/>
          <w:highlight w:val="none"/>
          <w:lang w:val="en-US" w:eastAsia="zh-CN"/>
          <w14:textFill>
            <w14:solidFill>
              <w14:schemeClr w14:val="tx1"/>
            </w14:solidFill>
          </w14:textFill>
        </w:rPr>
        <w:t>否则不得分</w:t>
      </w:r>
      <w:r>
        <w:rPr>
          <w:rFonts w:hint="eastAsia" w:ascii="仿宋" w:hAnsi="仿宋" w:eastAsia="仿宋" w:cs="仿宋"/>
          <w:bCs/>
          <w:color w:val="000000" w:themeColor="text1"/>
          <w:sz w:val="28"/>
          <w:szCs w:val="28"/>
          <w:highlight w:val="none"/>
          <w14:textFill>
            <w14:solidFill>
              <w14:schemeClr w14:val="tx1"/>
            </w14:solidFill>
          </w14:textFill>
        </w:rPr>
        <w:t>。</w:t>
      </w:r>
    </w:p>
    <w:p w14:paraId="1333AAE9">
      <w:pPr>
        <w:pageBreakBefore w:val="0"/>
        <w:kinsoku/>
        <w:overflowPunct/>
        <w:topLinePunct w:val="0"/>
        <w:bidi w:val="0"/>
        <w:adjustRightInd/>
        <w:snapToGrid/>
        <w:spacing w:line="360" w:lineRule="auto"/>
        <w:rPr>
          <w:rFonts w:hint="eastAsia" w:ascii="仿宋" w:hAnsi="仿宋" w:eastAsia="仿宋" w:cs="仿宋"/>
          <w:color w:val="000000" w:themeColor="text1"/>
          <w:sz w:val="24"/>
          <w:highlight w:val="none"/>
          <w14:textFill>
            <w14:solidFill>
              <w14:schemeClr w14:val="tx1"/>
            </w14:solidFill>
          </w14:textFill>
        </w:rPr>
      </w:pPr>
    </w:p>
    <w:p w14:paraId="2906E01D">
      <w:pPr>
        <w:pageBreakBefore w:val="0"/>
        <w:kinsoku/>
        <w:overflowPunct/>
        <w:topLinePunct w:val="0"/>
        <w:bidi w:val="0"/>
        <w:adjustRightInd/>
        <w:snapToGrid/>
        <w:spacing w:line="360" w:lineRule="auto"/>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投标人(盖章):</w:t>
      </w:r>
    </w:p>
    <w:p w14:paraId="3DE5B966">
      <w:pPr>
        <w:pageBreakBefore w:val="0"/>
        <w:kinsoku/>
        <w:overflowPunct/>
        <w:topLinePunct w:val="0"/>
        <w:bidi w:val="0"/>
        <w:adjustRightInd/>
        <w:snapToGrid/>
        <w:spacing w:line="360" w:lineRule="auto"/>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法定代表人（签字或盖章）：</w:t>
      </w:r>
    </w:p>
    <w:p w14:paraId="55EE4365">
      <w:pPr>
        <w:rPr>
          <w:rFonts w:hint="eastAsia" w:ascii="仿宋" w:hAnsi="仿宋" w:eastAsia="仿宋" w:cs="仿宋"/>
          <w:bCs/>
          <w:color w:val="000000" w:themeColor="text1"/>
          <w:sz w:val="44"/>
          <w:szCs w:val="32"/>
          <w:highlight w:val="none"/>
          <w14:textFill>
            <w14:solidFill>
              <w14:schemeClr w14:val="tx1"/>
            </w14:solidFill>
          </w14:textFill>
        </w:rPr>
      </w:pPr>
      <w:r>
        <w:rPr>
          <w:rFonts w:hint="eastAsia" w:ascii="仿宋" w:hAnsi="仿宋" w:eastAsia="仿宋" w:cs="仿宋"/>
          <w:bCs/>
          <w:color w:val="000000" w:themeColor="text1"/>
          <w:sz w:val="44"/>
          <w:szCs w:val="32"/>
          <w:highlight w:val="none"/>
          <w14:textFill>
            <w14:solidFill>
              <w14:schemeClr w14:val="tx1"/>
            </w14:solidFill>
          </w14:textFill>
        </w:rPr>
        <w:br w:type="page"/>
      </w:r>
    </w:p>
    <w:p w14:paraId="1A3133C9">
      <w:pPr>
        <w:pStyle w:val="26"/>
        <w:pageBreakBefore w:val="0"/>
        <w:kinsoku/>
        <w:overflowPunct/>
        <w:topLinePunct w:val="0"/>
        <w:bidi w:val="0"/>
        <w:adjustRightInd/>
        <w:snapToGrid/>
        <w:spacing w:line="360" w:lineRule="auto"/>
        <w:jc w:val="center"/>
        <w:rPr>
          <w:rFonts w:hint="eastAsia" w:ascii="仿宋" w:hAnsi="仿宋" w:eastAsia="仿宋" w:cs="仿宋"/>
          <w:bCs/>
          <w:color w:val="000000" w:themeColor="text1"/>
          <w:sz w:val="44"/>
          <w:szCs w:val="32"/>
          <w:highlight w:val="none"/>
          <w14:textFill>
            <w14:solidFill>
              <w14:schemeClr w14:val="tx1"/>
            </w14:solidFill>
          </w14:textFill>
        </w:rPr>
      </w:pPr>
      <w:r>
        <w:rPr>
          <w:rFonts w:hint="eastAsia" w:ascii="仿宋" w:hAnsi="仿宋" w:eastAsia="仿宋" w:cs="仿宋"/>
          <w:bCs/>
          <w:color w:val="000000" w:themeColor="text1"/>
          <w:sz w:val="44"/>
          <w:szCs w:val="32"/>
          <w:highlight w:val="none"/>
          <w14:textFill>
            <w14:solidFill>
              <w14:schemeClr w14:val="tx1"/>
            </w14:solidFill>
          </w14:textFill>
        </w:rPr>
        <w:t>产品质量性能</w:t>
      </w:r>
    </w:p>
    <w:p w14:paraId="3BBACC2F">
      <w:pPr>
        <w:keepNext w:val="0"/>
        <w:keepLines w:val="0"/>
        <w:pageBreakBefore w:val="0"/>
        <w:widowControl w:val="0"/>
        <w:kinsoku/>
        <w:wordWrap w:val="0"/>
        <w:overflowPunct/>
        <w:topLinePunct w:val="0"/>
        <w:autoSpaceDE/>
        <w:autoSpaceDN/>
        <w:bidi w:val="0"/>
        <w:adjustRightInd/>
        <w:snapToGrid/>
        <w:spacing w:line="240" w:lineRule="auto"/>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p>
    <w:p w14:paraId="6152A6BC">
      <w:pPr>
        <w:keepNext w:val="0"/>
        <w:keepLines w:val="0"/>
        <w:pageBreakBefore w:val="0"/>
        <w:widowControl w:val="0"/>
        <w:kinsoku/>
        <w:wordWrap w:val="0"/>
        <w:overflowPunct/>
        <w:topLinePunct w:val="0"/>
        <w:autoSpaceDE/>
        <w:autoSpaceDN/>
        <w:bidi w:val="0"/>
        <w:adjustRightInd/>
        <w:snapToGrid/>
        <w:spacing w:line="240" w:lineRule="auto"/>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注：按评标办法要求编制</w:t>
      </w:r>
    </w:p>
    <w:p w14:paraId="5AFCCA78">
      <w:pPr>
        <w:pageBreakBefore w:val="0"/>
        <w:kinsoku/>
        <w:overflowPunct/>
        <w:topLinePunct w:val="0"/>
        <w:bidi w:val="0"/>
        <w:adjustRightInd/>
        <w:snapToGrid/>
        <w:rPr>
          <w:rFonts w:hint="eastAsia" w:ascii="仿宋" w:hAnsi="仿宋" w:eastAsia="仿宋" w:cs="仿宋"/>
          <w:highlight w:val="none"/>
        </w:rPr>
      </w:pPr>
    </w:p>
    <w:p w14:paraId="3F171483">
      <w:pPr>
        <w:pageBreakBefore w:val="0"/>
        <w:kinsoku/>
        <w:overflowPunct/>
        <w:topLinePunct w:val="0"/>
        <w:bidi w:val="0"/>
        <w:adjustRightInd/>
        <w:snapToGrid/>
        <w:rPr>
          <w:rFonts w:hint="eastAsia" w:ascii="仿宋" w:hAnsi="仿宋" w:eastAsia="仿宋" w:cs="仿宋"/>
          <w:highlight w:val="none"/>
        </w:rPr>
      </w:pPr>
    </w:p>
    <w:p w14:paraId="6FB04954">
      <w:pPr>
        <w:rPr>
          <w:rFonts w:hint="eastAsia" w:ascii="仿宋" w:hAnsi="仿宋" w:eastAsia="仿宋" w:cs="仿宋"/>
          <w:color w:val="000000" w:themeColor="text1"/>
          <w:highlight w:val="none"/>
          <w14:textFill>
            <w14:solidFill>
              <w14:schemeClr w14:val="tx1"/>
            </w14:solidFill>
          </w14:textFill>
        </w:rPr>
      </w:pPr>
      <w:bookmarkStart w:id="97" w:name="_Toc851"/>
      <w:bookmarkStart w:id="98" w:name="_Toc66864056"/>
      <w:r>
        <w:rPr>
          <w:rFonts w:hint="eastAsia" w:ascii="仿宋" w:hAnsi="仿宋" w:eastAsia="仿宋" w:cs="仿宋"/>
          <w:color w:val="000000" w:themeColor="text1"/>
          <w:highlight w:val="none"/>
          <w14:textFill>
            <w14:solidFill>
              <w14:schemeClr w14:val="tx1"/>
            </w14:solidFill>
          </w14:textFill>
        </w:rPr>
        <w:br w:type="page"/>
      </w:r>
    </w:p>
    <w:p w14:paraId="00197AEB">
      <w:pPr>
        <w:pStyle w:val="26"/>
        <w:pageBreakBefore w:val="0"/>
        <w:kinsoku/>
        <w:overflowPunct/>
        <w:topLinePunct w:val="0"/>
        <w:bidi w:val="0"/>
        <w:adjustRightInd/>
        <w:snapToGrid/>
        <w:spacing w:line="360" w:lineRule="auto"/>
        <w:jc w:val="center"/>
        <w:rPr>
          <w:rFonts w:hint="eastAsia" w:ascii="仿宋" w:hAnsi="仿宋" w:eastAsia="仿宋" w:cs="仿宋"/>
          <w:bCs/>
          <w:color w:val="000000" w:themeColor="text1"/>
          <w:sz w:val="44"/>
          <w:szCs w:val="32"/>
          <w:highlight w:val="none"/>
          <w14:textFill>
            <w14:solidFill>
              <w14:schemeClr w14:val="tx1"/>
            </w14:solidFill>
          </w14:textFill>
        </w:rPr>
      </w:pPr>
      <w:r>
        <w:rPr>
          <w:rFonts w:hint="eastAsia" w:ascii="仿宋" w:hAnsi="仿宋" w:eastAsia="仿宋" w:cs="仿宋"/>
          <w:bCs/>
          <w:color w:val="000000" w:themeColor="text1"/>
          <w:sz w:val="44"/>
          <w:szCs w:val="32"/>
          <w:highlight w:val="none"/>
          <w14:textFill>
            <w14:solidFill>
              <w14:schemeClr w14:val="tx1"/>
            </w14:solidFill>
          </w14:textFill>
        </w:rPr>
        <w:t>供货方案</w:t>
      </w:r>
    </w:p>
    <w:p w14:paraId="4F4EE51E">
      <w:pPr>
        <w:spacing w:line="360" w:lineRule="auto"/>
        <w:rPr>
          <w:rFonts w:hint="eastAsia" w:ascii="仿宋" w:hAnsi="仿宋" w:eastAsia="仿宋" w:cs="仿宋"/>
          <w:color w:val="000000" w:themeColor="text1"/>
          <w:sz w:val="28"/>
          <w:szCs w:val="28"/>
          <w:highlight w:val="none"/>
          <w:lang w:val="en-US" w:eastAsia="zh-CN"/>
          <w14:textFill>
            <w14:solidFill>
              <w14:schemeClr w14:val="tx1"/>
            </w14:solidFill>
          </w14:textFill>
        </w:rPr>
      </w:pPr>
    </w:p>
    <w:p w14:paraId="01DDA3E4">
      <w:pPr>
        <w:spacing w:line="360" w:lineRule="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注：按评标办法要求编制</w:t>
      </w:r>
    </w:p>
    <w:p w14:paraId="103E08E5">
      <w:pPr>
        <w:pageBreakBefore w:val="0"/>
        <w:kinsoku/>
        <w:overflowPunct/>
        <w:topLinePunct w:val="0"/>
        <w:bidi w:val="0"/>
        <w:adjustRightInd/>
        <w:snapToGrid/>
        <w:rPr>
          <w:rFonts w:hint="eastAsia" w:ascii="仿宋" w:hAnsi="仿宋" w:eastAsia="仿宋" w:cs="仿宋"/>
          <w:highlight w:val="none"/>
        </w:rPr>
      </w:pPr>
    </w:p>
    <w:p w14:paraId="2E72E6A8">
      <w:pPr>
        <w:pageBreakBefore w:val="0"/>
        <w:kinsoku/>
        <w:overflowPunct/>
        <w:topLinePunct w:val="0"/>
        <w:bidi w:val="0"/>
        <w:adjustRightInd/>
        <w:snapToGrid/>
        <w:rPr>
          <w:rFonts w:hint="eastAsia" w:ascii="仿宋" w:hAnsi="仿宋" w:eastAsia="仿宋" w:cs="仿宋"/>
          <w:highlight w:val="none"/>
        </w:rPr>
      </w:pPr>
    </w:p>
    <w:p w14:paraId="373B4561">
      <w:pP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br w:type="page"/>
      </w:r>
    </w:p>
    <w:p w14:paraId="0BEE4B3D">
      <w:pPr>
        <w:pStyle w:val="26"/>
        <w:pageBreakBefore w:val="0"/>
        <w:kinsoku/>
        <w:overflowPunct/>
        <w:topLinePunct w:val="0"/>
        <w:bidi w:val="0"/>
        <w:adjustRightInd/>
        <w:snapToGrid/>
        <w:spacing w:line="360" w:lineRule="auto"/>
        <w:jc w:val="center"/>
        <w:rPr>
          <w:rFonts w:hint="eastAsia" w:ascii="仿宋" w:hAnsi="仿宋" w:eastAsia="仿宋" w:cs="仿宋"/>
          <w:bCs/>
          <w:color w:val="000000" w:themeColor="text1"/>
          <w:sz w:val="44"/>
          <w:szCs w:val="32"/>
          <w:highlight w:val="none"/>
          <w14:textFill>
            <w14:solidFill>
              <w14:schemeClr w14:val="tx1"/>
            </w14:solidFill>
          </w14:textFill>
        </w:rPr>
      </w:pPr>
      <w:r>
        <w:rPr>
          <w:rFonts w:hint="eastAsia" w:ascii="仿宋" w:hAnsi="仿宋" w:eastAsia="仿宋" w:cs="仿宋"/>
          <w:bCs/>
          <w:color w:val="000000" w:themeColor="text1"/>
          <w:sz w:val="44"/>
          <w:szCs w:val="32"/>
          <w:highlight w:val="none"/>
          <w14:textFill>
            <w14:solidFill>
              <w14:schemeClr w14:val="tx1"/>
            </w14:solidFill>
          </w14:textFill>
        </w:rPr>
        <w:t>售后及应急服务承诺</w:t>
      </w:r>
    </w:p>
    <w:p w14:paraId="327323A2">
      <w:pPr>
        <w:spacing w:line="360" w:lineRule="auto"/>
        <w:rPr>
          <w:rFonts w:hint="eastAsia" w:ascii="仿宋" w:hAnsi="仿宋" w:eastAsia="仿宋" w:cs="仿宋"/>
          <w:color w:val="000000" w:themeColor="text1"/>
          <w:sz w:val="28"/>
          <w:szCs w:val="28"/>
          <w:highlight w:val="none"/>
          <w14:textFill>
            <w14:solidFill>
              <w14:schemeClr w14:val="tx1"/>
            </w14:solidFill>
          </w14:textFill>
        </w:rPr>
      </w:pPr>
    </w:p>
    <w:p w14:paraId="76D31EAF">
      <w:pPr>
        <w:spacing w:line="360" w:lineRule="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注：按评标办法要求编制</w:t>
      </w:r>
    </w:p>
    <w:p w14:paraId="0C13A868">
      <w:pPr>
        <w:pageBreakBefore w:val="0"/>
        <w:kinsoku/>
        <w:overflowPunct/>
        <w:topLinePunct w:val="0"/>
        <w:bidi w:val="0"/>
        <w:adjustRightInd/>
        <w:snapToGrid/>
        <w:rPr>
          <w:rFonts w:hint="eastAsia" w:ascii="仿宋" w:hAnsi="仿宋" w:eastAsia="仿宋" w:cs="仿宋"/>
          <w:highlight w:val="none"/>
        </w:rPr>
      </w:pPr>
    </w:p>
    <w:p w14:paraId="546CE7F8">
      <w:pPr>
        <w:pageBreakBefore w:val="0"/>
        <w:kinsoku/>
        <w:overflowPunct/>
        <w:topLinePunct w:val="0"/>
        <w:bidi w:val="0"/>
        <w:adjustRightInd/>
        <w:snapToGrid/>
        <w:rPr>
          <w:rFonts w:hint="eastAsia" w:ascii="仿宋" w:hAnsi="仿宋" w:eastAsia="仿宋" w:cs="仿宋"/>
          <w:highlight w:val="none"/>
        </w:rPr>
      </w:pPr>
    </w:p>
    <w:p w14:paraId="205CC8B9">
      <w:pPr>
        <w:rPr>
          <w:rFonts w:hint="eastAsia" w:ascii="仿宋" w:hAnsi="仿宋" w:eastAsia="仿宋" w:cs="仿宋"/>
          <w:bCs/>
          <w:color w:val="000000" w:themeColor="text1"/>
          <w:sz w:val="44"/>
          <w:szCs w:val="32"/>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br w:type="page"/>
      </w:r>
    </w:p>
    <w:p w14:paraId="1C855B93">
      <w:pPr>
        <w:pStyle w:val="3"/>
        <w:pageBreakBefore w:val="0"/>
        <w:kinsoku/>
        <w:overflowPunct/>
        <w:topLinePunct w:val="0"/>
        <w:bidi w:val="0"/>
        <w:adjustRightInd/>
        <w:snapToGrid/>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第六章  合同（范本）</w:t>
      </w:r>
      <w:bookmarkEnd w:id="97"/>
      <w:bookmarkEnd w:id="98"/>
    </w:p>
    <w:p w14:paraId="2E9D118B">
      <w:pPr>
        <w:autoSpaceDE w:val="0"/>
        <w:autoSpaceDN w:val="0"/>
        <w:adjustRightInd w:val="0"/>
        <w:spacing w:line="460" w:lineRule="exact"/>
        <w:ind w:leftChars="1800"/>
        <w:jc w:val="center"/>
        <w:outlineLvl w:val="9"/>
        <w:rPr>
          <w:rFonts w:hint="eastAsia" w:ascii="仿宋" w:hAnsi="仿宋" w:eastAsia="仿宋" w:cs="仿宋"/>
          <w:b/>
          <w:sz w:val="32"/>
          <w:szCs w:val="32"/>
          <w:highlight w:val="none"/>
        </w:rPr>
      </w:pPr>
      <w:r>
        <w:rPr>
          <w:rFonts w:hint="eastAsia" w:ascii="仿宋" w:hAnsi="仿宋" w:eastAsia="仿宋" w:cs="仿宋"/>
          <w:b/>
          <w:sz w:val="32"/>
          <w:szCs w:val="32"/>
          <w:highlight w:val="none"/>
        </w:rPr>
        <w:t>合同编号：</w:t>
      </w:r>
    </w:p>
    <w:p w14:paraId="7817C5C1">
      <w:pPr>
        <w:autoSpaceDE w:val="0"/>
        <w:autoSpaceDN w:val="0"/>
        <w:adjustRightInd w:val="0"/>
        <w:spacing w:line="460" w:lineRule="exact"/>
        <w:jc w:val="center"/>
        <w:outlineLvl w:val="9"/>
        <w:rPr>
          <w:rFonts w:hint="eastAsia" w:ascii="仿宋" w:hAnsi="仿宋" w:eastAsia="仿宋" w:cs="仿宋"/>
          <w:b/>
          <w:sz w:val="32"/>
          <w:szCs w:val="32"/>
          <w:highlight w:val="none"/>
        </w:rPr>
      </w:pPr>
    </w:p>
    <w:p w14:paraId="63960147">
      <w:pPr>
        <w:autoSpaceDE w:val="0"/>
        <w:autoSpaceDN w:val="0"/>
        <w:adjustRightInd w:val="0"/>
        <w:spacing w:line="460" w:lineRule="exact"/>
        <w:jc w:val="center"/>
        <w:outlineLvl w:val="9"/>
        <w:rPr>
          <w:rFonts w:hint="eastAsia" w:ascii="仿宋" w:hAnsi="仿宋" w:eastAsia="仿宋" w:cs="仿宋"/>
          <w:b/>
          <w:sz w:val="32"/>
          <w:szCs w:val="32"/>
          <w:highlight w:val="none"/>
        </w:rPr>
      </w:pPr>
    </w:p>
    <w:p w14:paraId="039D6C24">
      <w:pPr>
        <w:autoSpaceDE w:val="0"/>
        <w:autoSpaceDN w:val="0"/>
        <w:adjustRightInd w:val="0"/>
        <w:spacing w:line="460" w:lineRule="exact"/>
        <w:jc w:val="center"/>
        <w:outlineLvl w:val="9"/>
        <w:rPr>
          <w:rFonts w:hint="eastAsia" w:ascii="仿宋" w:hAnsi="仿宋" w:eastAsia="仿宋" w:cs="仿宋"/>
          <w:b/>
          <w:sz w:val="32"/>
          <w:szCs w:val="32"/>
          <w:highlight w:val="none"/>
        </w:rPr>
      </w:pPr>
    </w:p>
    <w:p w14:paraId="4BB877FA">
      <w:pPr>
        <w:autoSpaceDE w:val="0"/>
        <w:autoSpaceDN w:val="0"/>
        <w:adjustRightInd w:val="0"/>
        <w:spacing w:line="460" w:lineRule="exact"/>
        <w:jc w:val="center"/>
        <w:outlineLvl w:val="9"/>
        <w:rPr>
          <w:rFonts w:hint="eastAsia" w:ascii="仿宋" w:hAnsi="仿宋" w:eastAsia="仿宋" w:cs="仿宋"/>
          <w:b/>
          <w:sz w:val="32"/>
          <w:szCs w:val="32"/>
          <w:highlight w:val="none"/>
        </w:rPr>
      </w:pPr>
    </w:p>
    <w:p w14:paraId="429B9E04">
      <w:pPr>
        <w:autoSpaceDE w:val="0"/>
        <w:autoSpaceDN w:val="0"/>
        <w:adjustRightInd w:val="0"/>
        <w:spacing w:line="460" w:lineRule="exact"/>
        <w:jc w:val="center"/>
        <w:outlineLvl w:val="9"/>
        <w:rPr>
          <w:rFonts w:hint="eastAsia" w:ascii="仿宋" w:hAnsi="仿宋" w:eastAsia="仿宋" w:cs="仿宋"/>
          <w:b/>
          <w:sz w:val="32"/>
          <w:szCs w:val="32"/>
          <w:highlight w:val="none"/>
        </w:rPr>
      </w:pPr>
    </w:p>
    <w:p w14:paraId="41C7E225">
      <w:pPr>
        <w:autoSpaceDE w:val="0"/>
        <w:autoSpaceDN w:val="0"/>
        <w:adjustRightInd w:val="0"/>
        <w:spacing w:line="640" w:lineRule="exact"/>
        <w:jc w:val="center"/>
        <w:outlineLvl w:val="9"/>
        <w:rPr>
          <w:rFonts w:hint="eastAsia" w:ascii="仿宋" w:hAnsi="仿宋" w:eastAsia="仿宋" w:cs="仿宋"/>
          <w:b/>
          <w:sz w:val="44"/>
          <w:szCs w:val="44"/>
          <w:highlight w:val="none"/>
          <w:lang w:val="zh-CN"/>
        </w:rPr>
      </w:pPr>
      <w:r>
        <w:rPr>
          <w:rFonts w:hint="eastAsia" w:ascii="仿宋" w:hAnsi="仿宋" w:eastAsia="仿宋" w:cs="仿宋"/>
          <w:b/>
          <w:sz w:val="44"/>
          <w:szCs w:val="44"/>
          <w:highlight w:val="none"/>
          <w:lang w:eastAsia="zh-CN"/>
        </w:rPr>
        <w:t>选定五金杂品及劳保用品供应单位</w:t>
      </w:r>
      <w:r>
        <w:rPr>
          <w:rFonts w:hint="eastAsia" w:ascii="仿宋" w:hAnsi="仿宋" w:eastAsia="仿宋" w:cs="仿宋"/>
          <w:b/>
          <w:sz w:val="44"/>
          <w:szCs w:val="44"/>
          <w:highlight w:val="none"/>
        </w:rPr>
        <w:t>入围合同</w:t>
      </w:r>
    </w:p>
    <w:p w14:paraId="220AC0E3">
      <w:pPr>
        <w:spacing w:line="480" w:lineRule="exact"/>
        <w:outlineLvl w:val="9"/>
        <w:rPr>
          <w:rFonts w:hint="eastAsia" w:ascii="仿宋" w:hAnsi="仿宋" w:eastAsia="仿宋" w:cs="仿宋"/>
          <w:color w:val="000000"/>
          <w:kern w:val="0"/>
          <w:sz w:val="24"/>
          <w:highlight w:val="none"/>
        </w:rPr>
      </w:pPr>
    </w:p>
    <w:p w14:paraId="5991D8FD">
      <w:pPr>
        <w:pStyle w:val="19"/>
        <w:outlineLvl w:val="9"/>
        <w:rPr>
          <w:rFonts w:hint="eastAsia" w:ascii="仿宋" w:hAnsi="仿宋" w:eastAsia="仿宋" w:cs="仿宋"/>
          <w:highlight w:val="none"/>
        </w:rPr>
      </w:pPr>
    </w:p>
    <w:p w14:paraId="62AD7C67">
      <w:pPr>
        <w:pStyle w:val="19"/>
        <w:outlineLvl w:val="9"/>
        <w:rPr>
          <w:rFonts w:hint="eastAsia" w:ascii="仿宋" w:hAnsi="仿宋" w:eastAsia="仿宋" w:cs="仿宋"/>
          <w:highlight w:val="none"/>
        </w:rPr>
      </w:pPr>
    </w:p>
    <w:p w14:paraId="5DCB0C94">
      <w:pPr>
        <w:pStyle w:val="19"/>
        <w:outlineLvl w:val="9"/>
        <w:rPr>
          <w:rFonts w:hint="eastAsia" w:ascii="仿宋" w:hAnsi="仿宋" w:eastAsia="仿宋" w:cs="仿宋"/>
          <w:highlight w:val="none"/>
        </w:rPr>
      </w:pPr>
    </w:p>
    <w:p w14:paraId="170241C8">
      <w:pPr>
        <w:pStyle w:val="19"/>
        <w:outlineLvl w:val="9"/>
        <w:rPr>
          <w:rFonts w:hint="eastAsia" w:ascii="仿宋" w:hAnsi="仿宋" w:eastAsia="仿宋" w:cs="仿宋"/>
          <w:highlight w:val="none"/>
        </w:rPr>
      </w:pPr>
    </w:p>
    <w:p w14:paraId="6F0EECF1">
      <w:pPr>
        <w:pStyle w:val="19"/>
        <w:outlineLvl w:val="9"/>
        <w:rPr>
          <w:rFonts w:hint="eastAsia" w:ascii="仿宋" w:hAnsi="仿宋" w:eastAsia="仿宋" w:cs="仿宋"/>
          <w:highlight w:val="none"/>
        </w:rPr>
      </w:pPr>
    </w:p>
    <w:p w14:paraId="387BBC76">
      <w:pPr>
        <w:pStyle w:val="19"/>
        <w:outlineLvl w:val="9"/>
        <w:rPr>
          <w:rFonts w:hint="eastAsia" w:ascii="仿宋" w:hAnsi="仿宋" w:eastAsia="仿宋" w:cs="仿宋"/>
          <w:highlight w:val="none"/>
        </w:rPr>
      </w:pPr>
    </w:p>
    <w:p w14:paraId="49491D6A">
      <w:pPr>
        <w:pStyle w:val="19"/>
        <w:outlineLvl w:val="9"/>
        <w:rPr>
          <w:rFonts w:hint="eastAsia" w:ascii="仿宋" w:hAnsi="仿宋" w:eastAsia="仿宋" w:cs="仿宋"/>
          <w:highlight w:val="none"/>
        </w:rPr>
      </w:pPr>
    </w:p>
    <w:p w14:paraId="71443DAC">
      <w:pPr>
        <w:pStyle w:val="19"/>
        <w:outlineLvl w:val="9"/>
        <w:rPr>
          <w:rFonts w:hint="eastAsia" w:ascii="仿宋" w:hAnsi="仿宋" w:eastAsia="仿宋" w:cs="仿宋"/>
          <w:highlight w:val="none"/>
        </w:rPr>
      </w:pPr>
    </w:p>
    <w:p w14:paraId="1F42C057">
      <w:pPr>
        <w:pStyle w:val="19"/>
        <w:outlineLvl w:val="9"/>
        <w:rPr>
          <w:rFonts w:hint="eastAsia" w:ascii="仿宋" w:hAnsi="仿宋" w:eastAsia="仿宋" w:cs="仿宋"/>
          <w:highlight w:val="none"/>
        </w:rPr>
      </w:pPr>
    </w:p>
    <w:p w14:paraId="06E92C04">
      <w:pPr>
        <w:pStyle w:val="19"/>
        <w:outlineLvl w:val="9"/>
        <w:rPr>
          <w:rFonts w:hint="eastAsia" w:ascii="仿宋" w:hAnsi="仿宋" w:eastAsia="仿宋" w:cs="仿宋"/>
          <w:highlight w:val="none"/>
        </w:rPr>
      </w:pPr>
    </w:p>
    <w:p w14:paraId="477043A9">
      <w:pPr>
        <w:pStyle w:val="19"/>
        <w:outlineLvl w:val="9"/>
        <w:rPr>
          <w:rFonts w:hint="eastAsia" w:ascii="仿宋" w:hAnsi="仿宋" w:eastAsia="仿宋" w:cs="仿宋"/>
          <w:highlight w:val="none"/>
        </w:rPr>
      </w:pPr>
    </w:p>
    <w:p w14:paraId="78365C7D">
      <w:pPr>
        <w:spacing w:line="480" w:lineRule="exact"/>
        <w:ind w:left="2205" w:leftChars="1050"/>
        <w:outlineLvl w:val="9"/>
        <w:rPr>
          <w:rFonts w:hint="eastAsia" w:ascii="仿宋" w:hAnsi="仿宋" w:eastAsia="仿宋" w:cs="仿宋"/>
          <w:color w:val="000000"/>
          <w:kern w:val="0"/>
          <w:sz w:val="32"/>
          <w:szCs w:val="32"/>
          <w:highlight w:val="none"/>
        </w:rPr>
      </w:pPr>
      <w:r>
        <w:rPr>
          <w:rFonts w:hint="eastAsia" w:ascii="仿宋" w:hAnsi="仿宋" w:eastAsia="仿宋" w:cs="仿宋"/>
          <w:color w:val="000000"/>
          <w:kern w:val="0"/>
          <w:sz w:val="32"/>
          <w:szCs w:val="32"/>
          <w:highlight w:val="none"/>
        </w:rPr>
        <w:t>甲方：威海市环翠园林工程有限公司</w:t>
      </w:r>
    </w:p>
    <w:p w14:paraId="16006522">
      <w:pPr>
        <w:pStyle w:val="19"/>
        <w:outlineLvl w:val="9"/>
        <w:rPr>
          <w:rFonts w:hint="eastAsia" w:ascii="仿宋" w:hAnsi="仿宋" w:eastAsia="仿宋" w:cs="仿宋"/>
          <w:highlight w:val="none"/>
        </w:rPr>
      </w:pPr>
    </w:p>
    <w:p w14:paraId="3A0F0BC7">
      <w:pPr>
        <w:spacing w:line="480" w:lineRule="exact"/>
        <w:ind w:left="2205" w:leftChars="1050"/>
        <w:outlineLvl w:val="9"/>
        <w:rPr>
          <w:rFonts w:hint="eastAsia" w:ascii="仿宋" w:hAnsi="仿宋" w:eastAsia="仿宋" w:cs="仿宋"/>
          <w:color w:val="000000"/>
          <w:kern w:val="0"/>
          <w:sz w:val="32"/>
          <w:szCs w:val="32"/>
          <w:highlight w:val="none"/>
        </w:rPr>
      </w:pPr>
      <w:r>
        <w:rPr>
          <w:rFonts w:hint="eastAsia" w:ascii="仿宋" w:hAnsi="仿宋" w:eastAsia="仿宋" w:cs="仿宋"/>
          <w:color w:val="000000"/>
          <w:kern w:val="0"/>
          <w:sz w:val="32"/>
          <w:szCs w:val="32"/>
          <w:highlight w:val="none"/>
        </w:rPr>
        <w:t>乙方：</w:t>
      </w:r>
    </w:p>
    <w:p w14:paraId="361D6BF6">
      <w:pPr>
        <w:widowControl/>
        <w:jc w:val="left"/>
        <w:outlineLvl w:val="9"/>
        <w:rPr>
          <w:rFonts w:hint="eastAsia" w:ascii="仿宋" w:hAnsi="仿宋" w:eastAsia="仿宋" w:cs="仿宋"/>
          <w:b/>
          <w:sz w:val="32"/>
          <w:szCs w:val="32"/>
          <w:highlight w:val="none"/>
        </w:rPr>
      </w:pPr>
      <w:r>
        <w:rPr>
          <w:rFonts w:hint="eastAsia" w:ascii="仿宋" w:hAnsi="仿宋" w:eastAsia="仿宋" w:cs="仿宋"/>
          <w:b/>
          <w:sz w:val="32"/>
          <w:szCs w:val="32"/>
          <w:highlight w:val="none"/>
        </w:rPr>
        <w:br w:type="page"/>
      </w:r>
    </w:p>
    <w:p w14:paraId="2990EFB4">
      <w:pPr>
        <w:pStyle w:val="19"/>
        <w:jc w:val="center"/>
        <w:outlineLvl w:val="9"/>
        <w:rPr>
          <w:rFonts w:hint="eastAsia" w:ascii="仿宋" w:hAnsi="仿宋" w:eastAsia="仿宋" w:cs="仿宋"/>
          <w:sz w:val="36"/>
          <w:szCs w:val="36"/>
          <w:highlight w:val="none"/>
        </w:rPr>
      </w:pPr>
      <w:r>
        <w:rPr>
          <w:rFonts w:hint="eastAsia" w:ascii="仿宋" w:hAnsi="仿宋" w:eastAsia="仿宋" w:cs="仿宋"/>
          <w:b/>
          <w:sz w:val="36"/>
          <w:szCs w:val="36"/>
          <w:highlight w:val="none"/>
          <w:lang w:eastAsia="zh-CN"/>
        </w:rPr>
        <w:t>选定五金杂品及劳保用品供应单位</w:t>
      </w:r>
      <w:r>
        <w:rPr>
          <w:rFonts w:hint="eastAsia" w:ascii="仿宋" w:hAnsi="仿宋" w:eastAsia="仿宋" w:cs="仿宋"/>
          <w:b/>
          <w:sz w:val="36"/>
          <w:szCs w:val="36"/>
          <w:highlight w:val="none"/>
        </w:rPr>
        <w:t>入围合同</w:t>
      </w:r>
    </w:p>
    <w:p w14:paraId="19E7FCEF">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outlineLvl w:val="9"/>
        <w:rPr>
          <w:rFonts w:hint="eastAsia" w:ascii="仿宋" w:hAnsi="仿宋" w:eastAsia="仿宋" w:cs="仿宋"/>
          <w:sz w:val="28"/>
          <w:szCs w:val="28"/>
          <w:highlight w:val="none"/>
        </w:rPr>
      </w:pPr>
    </w:p>
    <w:p w14:paraId="2876E27A">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采购方（甲方）：</w:t>
      </w:r>
      <w:r>
        <w:rPr>
          <w:rFonts w:hint="eastAsia" w:ascii="仿宋" w:hAnsi="仿宋" w:eastAsia="仿宋" w:cs="仿宋"/>
          <w:sz w:val="28"/>
          <w:szCs w:val="28"/>
          <w:highlight w:val="none"/>
          <w:u w:val="single"/>
        </w:rPr>
        <w:t xml:space="preserve">  </w:t>
      </w:r>
      <w:r>
        <w:rPr>
          <w:rFonts w:hint="eastAsia" w:ascii="仿宋" w:hAnsi="仿宋" w:eastAsia="仿宋" w:cs="仿宋"/>
          <w:b/>
          <w:sz w:val="28"/>
          <w:szCs w:val="28"/>
          <w:highlight w:val="none"/>
          <w:u w:val="single"/>
        </w:rPr>
        <w:t>威海市环翠园林工程有限公司</w:t>
      </w:r>
      <w:r>
        <w:rPr>
          <w:rFonts w:hint="eastAsia" w:ascii="仿宋" w:hAnsi="仿宋" w:eastAsia="仿宋" w:cs="仿宋"/>
          <w:sz w:val="28"/>
          <w:szCs w:val="28"/>
          <w:highlight w:val="none"/>
          <w:u w:val="single"/>
        </w:rPr>
        <w:t xml:space="preserve">  </w:t>
      </w:r>
    </w:p>
    <w:p w14:paraId="1E9C08B4">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供货方（乙方）：</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xml:space="preserve">    </w:t>
      </w:r>
    </w:p>
    <w:p w14:paraId="09578DD7">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left"/>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按照《中华人民共和国民法典》及有关法律规定，甲乙双方本着诚实信用、平等互惠、长期合作的原则，经双方友好协商签订协议，就为</w:t>
      </w:r>
      <w:r>
        <w:rPr>
          <w:rFonts w:hint="eastAsia" w:ascii="仿宋" w:hAnsi="仿宋" w:eastAsia="仿宋" w:cs="仿宋"/>
          <w:sz w:val="28"/>
          <w:szCs w:val="28"/>
          <w:highlight w:val="none"/>
          <w:u w:val="single"/>
        </w:rPr>
        <w:t>选定五金杂品</w:t>
      </w:r>
      <w:r>
        <w:rPr>
          <w:rFonts w:hint="eastAsia" w:ascii="仿宋" w:hAnsi="仿宋" w:eastAsia="仿宋" w:cs="仿宋"/>
          <w:sz w:val="28"/>
          <w:szCs w:val="28"/>
          <w:highlight w:val="none"/>
          <w:u w:val="single"/>
          <w:lang w:eastAsia="zh-CN"/>
        </w:rPr>
        <w:t>及劳保用品</w:t>
      </w:r>
      <w:r>
        <w:rPr>
          <w:rFonts w:hint="eastAsia" w:ascii="仿宋" w:hAnsi="仿宋" w:eastAsia="仿宋" w:cs="仿宋"/>
          <w:sz w:val="28"/>
          <w:szCs w:val="28"/>
          <w:highlight w:val="none"/>
          <w:u w:val="single"/>
        </w:rPr>
        <w:t>供应单位</w:t>
      </w:r>
      <w:r>
        <w:rPr>
          <w:rFonts w:hint="eastAsia" w:ascii="仿宋" w:hAnsi="仿宋" w:eastAsia="仿宋" w:cs="仿宋"/>
          <w:sz w:val="28"/>
          <w:szCs w:val="28"/>
          <w:highlight w:val="none"/>
        </w:rPr>
        <w:t>签订以下合同条款：</w:t>
      </w:r>
    </w:p>
    <w:p w14:paraId="06398A1F">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一、入围后五金杂品</w:t>
      </w:r>
      <w:r>
        <w:rPr>
          <w:rFonts w:hint="eastAsia" w:ascii="仿宋" w:hAnsi="仿宋" w:eastAsia="仿宋" w:cs="仿宋"/>
          <w:sz w:val="28"/>
          <w:szCs w:val="28"/>
          <w:highlight w:val="none"/>
          <w:lang w:eastAsia="zh-CN"/>
        </w:rPr>
        <w:t>及劳保用品</w:t>
      </w:r>
      <w:r>
        <w:rPr>
          <w:rFonts w:hint="eastAsia" w:ascii="仿宋" w:hAnsi="仿宋" w:eastAsia="仿宋" w:cs="仿宋"/>
          <w:sz w:val="28"/>
          <w:szCs w:val="28"/>
          <w:highlight w:val="none"/>
        </w:rPr>
        <w:t>供货商的选定：</w:t>
      </w:r>
    </w:p>
    <w:p w14:paraId="272F21E2">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甲方根据</w:t>
      </w:r>
      <w:r>
        <w:rPr>
          <w:rFonts w:hint="eastAsia" w:ascii="仿宋" w:hAnsi="仿宋" w:eastAsia="仿宋" w:cs="仿宋"/>
          <w:sz w:val="28"/>
          <w:szCs w:val="28"/>
          <w:highlight w:val="none"/>
          <w:lang w:eastAsia="zh-CN"/>
        </w:rPr>
        <w:t>自己</w:t>
      </w:r>
      <w:r>
        <w:rPr>
          <w:rFonts w:hint="eastAsia" w:ascii="仿宋" w:hAnsi="仿宋" w:eastAsia="仿宋" w:cs="仿宋"/>
          <w:sz w:val="28"/>
          <w:szCs w:val="28"/>
          <w:highlight w:val="none"/>
        </w:rPr>
        <w:t>的实际需要在询价平台公开询价，入围供应商在平台报价，单价最低者确定为标的供应商。</w:t>
      </w:r>
    </w:p>
    <w:p w14:paraId="358F30C7">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二、付款方式：</w:t>
      </w:r>
    </w:p>
    <w:p w14:paraId="5A8721A1">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1、价款结算：结算时以单价为准，按甲方实际验收数量据实结算。</w:t>
      </w:r>
    </w:p>
    <w:p w14:paraId="60210B09">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2、付款方式：每季度采购的物资全部到场并验收合格后，下一季度最后一个月底前拨付上一季度款项到97%，剩余3%货款于合同服务期结束后12个月内无息付清。</w:t>
      </w:r>
    </w:p>
    <w:p w14:paraId="2C2B3D7D">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3、乙方必须在甲方付款前提供本单位增值税专用发票</w:t>
      </w:r>
      <w:r>
        <w:rPr>
          <w:rFonts w:hint="eastAsia" w:ascii="仿宋" w:hAnsi="仿宋" w:eastAsia="仿宋" w:cs="仿宋"/>
          <w:sz w:val="28"/>
          <w:szCs w:val="28"/>
          <w:highlight w:val="none"/>
        </w:rPr>
        <w:t>。</w:t>
      </w:r>
    </w:p>
    <w:p w14:paraId="4AC5FBB7">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三、合同服务期：自合同签订之日起二年期。</w:t>
      </w:r>
    </w:p>
    <w:p w14:paraId="116F2C08">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供应时间：以甲方通知到场时间要求为准。</w:t>
      </w:r>
    </w:p>
    <w:p w14:paraId="39852A01">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四、采购要求：</w:t>
      </w:r>
    </w:p>
    <w:p w14:paraId="5B88A275">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1.采购及交货要求：甲方将通过特定线上平台进行询价和采购，乙方需在规定时间内在线上平台报价；如在接到甲方询价需求规定时间内未报价的，视为放弃；如季度内超过3次不参与报价的，甲方有权解除合同。乙方要按照甲方要求的时间、地点交付货物；如果有特殊情况导致交货延迟，乙方需提前通知甲方并给出合理解决方案；如季度内超过3次未能准时交付的，甲方有权解除合同。</w:t>
      </w:r>
    </w:p>
    <w:p w14:paraId="3E644961">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2.产品质量及责任要求：乙方所供应的产品需要满足甲方所提参数、规格及相关质量要求，如不符合要求的，甲方有权拒收，乙方需无条件配合甲方进行退、换货；如乙方所供物资超出甲方订单范围，甲方有权退回。</w:t>
      </w:r>
    </w:p>
    <w:p w14:paraId="75147D9E">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3.认证要求：对于某些可能需要特定认证或检测的物品，供货商需具备相应资料（例如产品合格证、产品检测报告等）；如甲方使用过程中，因产品质量发生事故的，经具有国家检验资质的相关部门对产品鉴定出具检验报告后，确定其因质量问题造成的，由乙方承担全部责任。</w:t>
      </w:r>
    </w:p>
    <w:p w14:paraId="3A824981">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4.售后服务要求：乙方需要提供完善的售后服务，对于技术含量较高的物品，乙方需有提供相应的技术支持和培训的能力，帮助甲方更好地使用和维护产品，包括退换货、维修等；需积极响应甲方，如发现故意推脱的，甲方有权解除合同。</w:t>
      </w:r>
    </w:p>
    <w:p w14:paraId="3F1A87F8">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五、双方责任：</w:t>
      </w:r>
    </w:p>
    <w:p w14:paraId="1F5E66DF">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1、甲方在规定期限内按时支付乙方材料款。</w:t>
      </w:r>
    </w:p>
    <w:p w14:paraId="087BC0CA">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2、甲方不承担材料到达指定地点前的任何风险。</w:t>
      </w:r>
    </w:p>
    <w:p w14:paraId="6C31E17D">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3、甲方应及时组织人员与乙方代表进行材料验收及数量的核对确认工作。</w:t>
      </w:r>
    </w:p>
    <w:p w14:paraId="39396581">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4、乙方交付时应按甲方实际指定的时间和地点完成各批次的供货。若因乙方原因，材料不能及时运到甲方指定地点（超过规定时间24小时），对此造成的后果，乙方必须无条件承担，甲方有权解除合同，并且要求乙方赔偿由此造成的全部损失。</w:t>
      </w:r>
    </w:p>
    <w:p w14:paraId="6E681CCB">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5、因甲方原因或不可抗力引起的约定供货日期延误，可办理顺延签证或由双方协商解决。</w:t>
      </w:r>
    </w:p>
    <w:p w14:paraId="5000EF2A">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6、供货商在合同履行过程中若出现违约情形的，甲方有权解除合同；若供货商违约行为给甲方造成损失的(包括但不限于工期延误的费用等)，还需赔偿由此造成的全部损失。上述赔偿金额，甲方有权从供货商结款中直接扣除。</w:t>
      </w:r>
    </w:p>
    <w:p w14:paraId="26A17D29">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7、发生合同纠纷时，甲乙双方应通过友好协商解决；如协商不一致，可向甲方住所地法院，即环翠区法院提起诉讼。违约方应当承担守约方因此所遭受的损失，包括但不限于律师费、诉讼费、保全费、保全保险费等。</w:t>
      </w:r>
    </w:p>
    <w:p w14:paraId="217228F9">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8、本合同一式肆份，乙方持壹份，甲方持叁份。具有平等的法律效力。</w:t>
      </w:r>
    </w:p>
    <w:p w14:paraId="5CDA3A9B">
      <w:pPr>
        <w:pStyle w:val="26"/>
        <w:keepNext w:val="0"/>
        <w:keepLines w:val="0"/>
        <w:pageBreakBefore w:val="0"/>
        <w:widowControl w:val="0"/>
        <w:tabs>
          <w:tab w:val="left" w:pos="900"/>
        </w:tabs>
        <w:kinsoku/>
        <w:wordWrap/>
        <w:overflowPunct/>
        <w:topLinePunct w:val="0"/>
        <w:autoSpaceDE/>
        <w:autoSpaceDN/>
        <w:bidi w:val="0"/>
        <w:adjustRightInd/>
        <w:snapToGrid/>
        <w:spacing w:line="240" w:lineRule="auto"/>
        <w:ind w:left="0" w:leftChars="0" w:firstLine="560" w:firstLineChars="200"/>
        <w:jc w:val="left"/>
        <w:textAlignment w:val="auto"/>
        <w:outlineLvl w:val="9"/>
        <w:rPr>
          <w:rFonts w:hint="eastAsia" w:ascii="仿宋" w:hAnsi="仿宋" w:eastAsia="仿宋" w:cs="仿宋"/>
          <w:sz w:val="28"/>
          <w:szCs w:val="28"/>
          <w:highlight w:val="none"/>
        </w:rPr>
      </w:pPr>
    </w:p>
    <w:p w14:paraId="42CC74A9">
      <w:pPr>
        <w:pStyle w:val="26"/>
        <w:keepNext w:val="0"/>
        <w:keepLines w:val="0"/>
        <w:pageBreakBefore w:val="0"/>
        <w:widowControl w:val="0"/>
        <w:tabs>
          <w:tab w:val="left" w:pos="900"/>
        </w:tabs>
        <w:kinsoku/>
        <w:wordWrap/>
        <w:overflowPunct/>
        <w:topLinePunct w:val="0"/>
        <w:autoSpaceDE/>
        <w:autoSpaceDN/>
        <w:bidi w:val="0"/>
        <w:adjustRightInd/>
        <w:snapToGrid/>
        <w:spacing w:line="240" w:lineRule="auto"/>
        <w:ind w:left="0" w:leftChars="0" w:firstLine="560" w:firstLineChars="200"/>
        <w:jc w:val="left"/>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甲 方: 威海市环翠园林工程有限公司  乙 方: </w:t>
      </w:r>
    </w:p>
    <w:p w14:paraId="3A73EE3D">
      <w:pPr>
        <w:pStyle w:val="26"/>
        <w:keepNext w:val="0"/>
        <w:keepLines w:val="0"/>
        <w:pageBreakBefore w:val="0"/>
        <w:widowControl w:val="0"/>
        <w:tabs>
          <w:tab w:val="left" w:pos="900"/>
        </w:tabs>
        <w:kinsoku/>
        <w:wordWrap/>
        <w:overflowPunct/>
        <w:topLinePunct w:val="0"/>
        <w:autoSpaceDE/>
        <w:autoSpaceDN/>
        <w:bidi w:val="0"/>
        <w:adjustRightInd/>
        <w:snapToGrid/>
        <w:spacing w:line="240" w:lineRule="auto"/>
        <w:ind w:left="0" w:leftChars="0" w:firstLine="560" w:firstLineChars="200"/>
        <w:jc w:val="left"/>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法定代表人或其委托代理人：         法定代表人或其委托代理人：</w:t>
      </w:r>
    </w:p>
    <w:p w14:paraId="29261E44">
      <w:pPr>
        <w:pStyle w:val="26"/>
        <w:keepNext w:val="0"/>
        <w:keepLines w:val="0"/>
        <w:pageBreakBefore w:val="0"/>
        <w:widowControl w:val="0"/>
        <w:tabs>
          <w:tab w:val="left" w:pos="900"/>
        </w:tabs>
        <w:kinsoku/>
        <w:wordWrap/>
        <w:overflowPunct/>
        <w:topLinePunct w:val="0"/>
        <w:autoSpaceDE/>
        <w:autoSpaceDN/>
        <w:bidi w:val="0"/>
        <w:adjustRightInd/>
        <w:snapToGrid/>
        <w:spacing w:line="240" w:lineRule="auto"/>
        <w:ind w:left="0" w:leftChars="0" w:firstLine="560" w:firstLineChars="200"/>
        <w:jc w:val="left"/>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（签字或盖章）                        （签字或盖章）</w:t>
      </w:r>
    </w:p>
    <w:p w14:paraId="29B19E35">
      <w:pPr>
        <w:pStyle w:val="26"/>
        <w:keepNext w:val="0"/>
        <w:keepLines w:val="0"/>
        <w:pageBreakBefore w:val="0"/>
        <w:widowControl w:val="0"/>
        <w:tabs>
          <w:tab w:val="left" w:pos="900"/>
        </w:tabs>
        <w:kinsoku/>
        <w:wordWrap/>
        <w:overflowPunct/>
        <w:topLinePunct w:val="0"/>
        <w:autoSpaceDE/>
        <w:autoSpaceDN/>
        <w:bidi w:val="0"/>
        <w:adjustRightInd/>
        <w:snapToGrid/>
        <w:spacing w:line="240" w:lineRule="auto"/>
        <w:ind w:left="0" w:leftChars="0" w:firstLine="560" w:firstLineChars="200"/>
        <w:jc w:val="left"/>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组织机构代码：91371002MA3F21LU9A   组织机构代码：</w:t>
      </w:r>
    </w:p>
    <w:p w14:paraId="6A9CF097">
      <w:pPr>
        <w:pStyle w:val="26"/>
        <w:keepNext w:val="0"/>
        <w:keepLines w:val="0"/>
        <w:pageBreakBefore w:val="0"/>
        <w:widowControl w:val="0"/>
        <w:tabs>
          <w:tab w:val="left" w:pos="900"/>
        </w:tabs>
        <w:kinsoku/>
        <w:wordWrap/>
        <w:overflowPunct/>
        <w:topLinePunct w:val="0"/>
        <w:autoSpaceDE/>
        <w:autoSpaceDN/>
        <w:bidi w:val="0"/>
        <w:adjustRightInd/>
        <w:snapToGrid/>
        <w:spacing w:line="240" w:lineRule="auto"/>
        <w:ind w:left="0" w:leftChars="0" w:firstLine="560" w:firstLineChars="200"/>
        <w:jc w:val="left"/>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地址：威海市环翠区望岛工业园       地址：</w:t>
      </w:r>
    </w:p>
    <w:p w14:paraId="1782F291">
      <w:pPr>
        <w:pStyle w:val="26"/>
        <w:keepNext w:val="0"/>
        <w:keepLines w:val="0"/>
        <w:pageBreakBefore w:val="0"/>
        <w:widowControl w:val="0"/>
        <w:tabs>
          <w:tab w:val="left" w:pos="900"/>
        </w:tabs>
        <w:kinsoku/>
        <w:wordWrap/>
        <w:overflowPunct/>
        <w:topLinePunct w:val="0"/>
        <w:autoSpaceDE/>
        <w:autoSpaceDN/>
        <w:bidi w:val="0"/>
        <w:adjustRightInd/>
        <w:snapToGrid/>
        <w:spacing w:line="240" w:lineRule="auto"/>
        <w:ind w:left="0" w:leftChars="0" w:firstLine="560" w:firstLineChars="200"/>
        <w:jc w:val="left"/>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电  话：0631-5288292               电  话：</w:t>
      </w:r>
    </w:p>
    <w:p w14:paraId="25CADBDD">
      <w:pPr>
        <w:pStyle w:val="26"/>
        <w:keepNext w:val="0"/>
        <w:keepLines w:val="0"/>
        <w:pageBreakBefore w:val="0"/>
        <w:widowControl w:val="0"/>
        <w:tabs>
          <w:tab w:val="left" w:pos="900"/>
        </w:tabs>
        <w:kinsoku/>
        <w:wordWrap/>
        <w:overflowPunct/>
        <w:topLinePunct w:val="0"/>
        <w:autoSpaceDE/>
        <w:autoSpaceDN/>
        <w:bidi w:val="0"/>
        <w:adjustRightInd/>
        <w:snapToGrid/>
        <w:spacing w:line="240" w:lineRule="auto"/>
        <w:ind w:left="0" w:leftChars="0" w:firstLine="560" w:firstLineChars="200"/>
        <w:jc w:val="left"/>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开户银行：建行威海环翠支行         开户银行：</w:t>
      </w:r>
    </w:p>
    <w:p w14:paraId="78D02D02">
      <w:pPr>
        <w:pStyle w:val="26"/>
        <w:keepNext w:val="0"/>
        <w:keepLines w:val="0"/>
        <w:pageBreakBefore w:val="0"/>
        <w:widowControl w:val="0"/>
        <w:tabs>
          <w:tab w:val="left" w:pos="900"/>
        </w:tabs>
        <w:kinsoku/>
        <w:wordWrap/>
        <w:overflowPunct/>
        <w:topLinePunct w:val="0"/>
        <w:autoSpaceDE/>
        <w:autoSpaceDN/>
        <w:bidi w:val="0"/>
        <w:adjustRightInd/>
        <w:snapToGrid/>
        <w:spacing w:line="240" w:lineRule="auto"/>
        <w:ind w:left="0" w:leftChars="0" w:firstLine="560" w:firstLineChars="200"/>
        <w:jc w:val="left"/>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账  号：37050170610100000336       账  号：</w:t>
      </w:r>
    </w:p>
    <w:p w14:paraId="575C6D11">
      <w:pPr>
        <w:pStyle w:val="26"/>
        <w:keepNext w:val="0"/>
        <w:keepLines w:val="0"/>
        <w:pageBreakBefore w:val="0"/>
        <w:widowControl w:val="0"/>
        <w:tabs>
          <w:tab w:val="left" w:pos="900"/>
        </w:tabs>
        <w:kinsoku/>
        <w:wordWrap/>
        <w:overflowPunct/>
        <w:topLinePunct w:val="0"/>
        <w:autoSpaceDE/>
        <w:autoSpaceDN/>
        <w:bidi w:val="0"/>
        <w:adjustRightInd/>
        <w:snapToGrid/>
        <w:spacing w:line="240" w:lineRule="auto"/>
        <w:ind w:left="0" w:leftChars="0" w:firstLine="560" w:firstLineChars="200"/>
        <w:jc w:val="left"/>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签订日期：</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 xml:space="preserve">年   月  日        </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 xml:space="preserve"> 签订日期：</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 xml:space="preserve"> 年    月   日</w:t>
      </w:r>
    </w:p>
    <w:p w14:paraId="3BAC23DA">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仿宋" w:hAnsi="仿宋" w:eastAsia="仿宋" w:cs="仿宋"/>
          <w:highlight w:val="none"/>
        </w:rPr>
      </w:pPr>
    </w:p>
    <w:p w14:paraId="6808AB56">
      <w:pPr>
        <w:rPr>
          <w:rStyle w:val="55"/>
          <w:rFonts w:hint="eastAsia" w:ascii="仿宋" w:hAnsi="仿宋" w:eastAsia="仿宋" w:cs="仿宋"/>
          <w:sz w:val="28"/>
          <w:szCs w:val="28"/>
          <w:highlight w:val="none"/>
          <w:lang w:eastAsia="zh-CN"/>
        </w:rPr>
      </w:pPr>
      <w:r>
        <w:rPr>
          <w:rStyle w:val="55"/>
          <w:rFonts w:hint="eastAsia" w:ascii="仿宋" w:hAnsi="仿宋" w:eastAsia="仿宋" w:cs="仿宋"/>
          <w:sz w:val="28"/>
          <w:szCs w:val="28"/>
          <w:highlight w:val="none"/>
          <w:lang w:eastAsia="zh-CN"/>
        </w:rPr>
        <w:br w:type="page"/>
      </w:r>
    </w:p>
    <w:p w14:paraId="7B96FE0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kern w:val="2"/>
          <w:sz w:val="36"/>
          <w:szCs w:val="36"/>
          <w:highlight w:val="none"/>
          <w:lang w:val="en-US" w:eastAsia="zh-CN" w:bidi="ar-SA"/>
        </w:rPr>
      </w:pPr>
      <w:r>
        <w:rPr>
          <w:rFonts w:hint="eastAsia" w:ascii="仿宋" w:hAnsi="仿宋" w:eastAsia="仿宋" w:cs="仿宋"/>
          <w:b/>
          <w:kern w:val="2"/>
          <w:sz w:val="36"/>
          <w:szCs w:val="36"/>
          <w:highlight w:val="none"/>
          <w:lang w:val="en-US" w:eastAsia="zh-CN" w:bidi="ar-SA"/>
        </w:rPr>
        <w:t>威海市环翠园林工程有限公司</w:t>
      </w:r>
    </w:p>
    <w:p w14:paraId="276D69F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kern w:val="2"/>
          <w:sz w:val="36"/>
          <w:szCs w:val="36"/>
          <w:highlight w:val="none"/>
          <w:lang w:val="en-US" w:eastAsia="zh-CN" w:bidi="ar-SA"/>
        </w:rPr>
      </w:pPr>
      <w:r>
        <w:rPr>
          <w:rFonts w:hint="eastAsia" w:ascii="仿宋" w:hAnsi="仿宋" w:eastAsia="仿宋" w:cs="仿宋"/>
          <w:b/>
          <w:kern w:val="2"/>
          <w:sz w:val="36"/>
          <w:szCs w:val="36"/>
          <w:highlight w:val="none"/>
          <w:lang w:val="en-US" w:eastAsia="zh-CN" w:bidi="ar-SA"/>
        </w:rPr>
        <w:t>廉洁合作协议</w:t>
      </w:r>
    </w:p>
    <w:p w14:paraId="3CAD7A9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kern w:val="2"/>
          <w:sz w:val="36"/>
          <w:szCs w:val="36"/>
          <w:highlight w:val="none"/>
          <w:lang w:val="en-US" w:eastAsia="zh-CN" w:bidi="ar-SA"/>
        </w:rPr>
      </w:pPr>
    </w:p>
    <w:p w14:paraId="703F6346">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签订方名称：威海市</w:t>
      </w:r>
      <w:r>
        <w:rPr>
          <w:rFonts w:hint="eastAsia" w:ascii="仿宋" w:hAnsi="仿宋" w:eastAsia="仿宋" w:cs="仿宋"/>
          <w:sz w:val="28"/>
          <w:szCs w:val="28"/>
          <w:highlight w:val="none"/>
          <w:lang w:val="en-US" w:eastAsia="zh-CN"/>
        </w:rPr>
        <w:t>环翠园林工程</w:t>
      </w:r>
      <w:r>
        <w:rPr>
          <w:rFonts w:hint="eastAsia" w:ascii="仿宋" w:hAnsi="仿宋" w:eastAsia="仿宋" w:cs="仿宋"/>
          <w:sz w:val="28"/>
          <w:szCs w:val="28"/>
          <w:highlight w:val="none"/>
        </w:rPr>
        <w:t>有限公司（简称</w:t>
      </w:r>
      <w:r>
        <w:rPr>
          <w:rFonts w:hint="eastAsia" w:ascii="仿宋" w:hAnsi="仿宋" w:eastAsia="仿宋" w:cs="仿宋"/>
          <w:sz w:val="28"/>
          <w:szCs w:val="28"/>
          <w:highlight w:val="none"/>
          <w:lang w:val="en-US" w:eastAsia="zh-CN"/>
        </w:rPr>
        <w:t>环翠园林公司</w:t>
      </w:r>
      <w:r>
        <w:rPr>
          <w:rFonts w:hint="eastAsia" w:ascii="仿宋" w:hAnsi="仿宋" w:eastAsia="仿宋" w:cs="仿宋"/>
          <w:sz w:val="28"/>
          <w:szCs w:val="28"/>
          <w:highlight w:val="none"/>
        </w:rPr>
        <w:t>）</w:t>
      </w:r>
    </w:p>
    <w:p w14:paraId="24534FDB">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签订方名称</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 xml:space="preserve">  （简称合作单位）</w:t>
      </w:r>
    </w:p>
    <w:p w14:paraId="5BD806AD">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highlight w:val="none"/>
        </w:rPr>
      </w:pPr>
    </w:p>
    <w:p w14:paraId="2F8A7DEB">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为</w:t>
      </w:r>
      <w:r>
        <w:rPr>
          <w:rFonts w:hint="eastAsia" w:ascii="仿宋" w:hAnsi="仿宋" w:eastAsia="仿宋" w:cs="仿宋"/>
          <w:sz w:val="28"/>
          <w:szCs w:val="28"/>
          <w:highlight w:val="none"/>
          <w:lang w:val="en-US" w:eastAsia="zh-CN"/>
        </w:rPr>
        <w:t>促进</w:t>
      </w:r>
      <w:r>
        <w:rPr>
          <w:rFonts w:hint="eastAsia" w:ascii="仿宋" w:hAnsi="仿宋" w:eastAsia="仿宋" w:cs="仿宋"/>
          <w:sz w:val="28"/>
          <w:szCs w:val="28"/>
          <w:highlight w:val="none"/>
        </w:rPr>
        <w:t>双方廉洁高效合作、双方工作人员廉洁从业，经双方共同协商，就业务往来中的廉洁事宜达成一致意见，签订如下协议：</w:t>
      </w:r>
    </w:p>
    <w:p w14:paraId="14D5ABC4">
      <w:pPr>
        <w:keepNext w:val="0"/>
        <w:keepLines w:val="0"/>
        <w:pageBreakBefore w:val="0"/>
        <w:widowControl w:val="0"/>
        <w:kinsoku/>
        <w:wordWrap/>
        <w:overflowPunct/>
        <w:topLinePunct w:val="0"/>
        <w:autoSpaceDE/>
        <w:autoSpaceDN/>
        <w:bidi w:val="0"/>
        <w:adjustRightInd/>
        <w:snapToGrid/>
        <w:spacing w:line="240" w:lineRule="auto"/>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第一条 双方的责任</w:t>
      </w:r>
    </w:p>
    <w:p w14:paraId="06255C6C">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（一）严格遵守党和国家有关法律法规及</w:t>
      </w:r>
      <w:r>
        <w:rPr>
          <w:rFonts w:hint="eastAsia" w:ascii="仿宋" w:hAnsi="仿宋" w:eastAsia="仿宋" w:cs="仿宋"/>
          <w:sz w:val="28"/>
          <w:szCs w:val="28"/>
          <w:highlight w:val="none"/>
          <w:lang w:val="en-US" w:eastAsia="zh-CN"/>
        </w:rPr>
        <w:t>环翠园林</w:t>
      </w:r>
      <w:r>
        <w:rPr>
          <w:rFonts w:hint="eastAsia" w:ascii="仿宋" w:hAnsi="仿宋" w:eastAsia="仿宋" w:cs="仿宋"/>
          <w:sz w:val="28"/>
          <w:szCs w:val="28"/>
          <w:highlight w:val="none"/>
        </w:rPr>
        <w:t>公司有关廉洁从业的制度规定。</w:t>
      </w:r>
    </w:p>
    <w:p w14:paraId="7EF03A09">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（二）双方本着公开、公平、诚信的原则，自觉</w:t>
      </w:r>
      <w:r>
        <w:rPr>
          <w:rFonts w:hint="eastAsia" w:ascii="仿宋" w:hAnsi="仿宋" w:eastAsia="仿宋" w:cs="仿宋"/>
          <w:sz w:val="28"/>
          <w:szCs w:val="28"/>
          <w:highlight w:val="none"/>
          <w:lang w:val="en-US" w:eastAsia="zh-CN"/>
        </w:rPr>
        <w:t>遵守协议约定</w:t>
      </w:r>
      <w:r>
        <w:rPr>
          <w:rFonts w:hint="eastAsia" w:ascii="仿宋" w:hAnsi="仿宋" w:eastAsia="仿宋" w:cs="仿宋"/>
          <w:sz w:val="28"/>
          <w:szCs w:val="28"/>
          <w:highlight w:val="none"/>
        </w:rPr>
        <w:t>，不得损害国家、集体利益以及个人合法权益。</w:t>
      </w:r>
    </w:p>
    <w:p w14:paraId="1757BE1C">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（三）双方要加强互相监督，对违反协议行为及时提醒并予以纠正，发现违法违纪行为及时</w:t>
      </w:r>
      <w:r>
        <w:rPr>
          <w:rFonts w:hint="eastAsia" w:ascii="仿宋" w:hAnsi="仿宋" w:eastAsia="仿宋" w:cs="仿宋"/>
          <w:sz w:val="28"/>
          <w:szCs w:val="28"/>
          <w:highlight w:val="none"/>
          <w:lang w:val="en-US" w:eastAsia="zh-CN"/>
        </w:rPr>
        <w:t>告知</w:t>
      </w:r>
      <w:r>
        <w:rPr>
          <w:rFonts w:hint="eastAsia" w:ascii="仿宋" w:hAnsi="仿宋" w:eastAsia="仿宋" w:cs="仿宋"/>
          <w:sz w:val="28"/>
          <w:szCs w:val="28"/>
          <w:highlight w:val="none"/>
        </w:rPr>
        <w:t>区城投公司纪检监察机构（</w:t>
      </w:r>
      <w:r>
        <w:rPr>
          <w:rFonts w:hint="eastAsia" w:ascii="仿宋" w:hAnsi="仿宋" w:eastAsia="仿宋" w:cs="仿宋"/>
          <w:sz w:val="28"/>
          <w:szCs w:val="28"/>
          <w:highlight w:val="none"/>
          <w:lang w:val="en-US" w:eastAsia="zh-CN"/>
        </w:rPr>
        <w:t>详见第四条</w:t>
      </w:r>
      <w:r>
        <w:rPr>
          <w:rFonts w:hint="eastAsia" w:ascii="仿宋" w:hAnsi="仿宋" w:eastAsia="仿宋" w:cs="仿宋"/>
          <w:sz w:val="28"/>
          <w:szCs w:val="28"/>
          <w:highlight w:val="none"/>
        </w:rPr>
        <w:t>）。</w:t>
      </w:r>
    </w:p>
    <w:p w14:paraId="666FCCAE">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（四）对违反《廉洁合作协议》约定的行为，</w:t>
      </w:r>
      <w:r>
        <w:rPr>
          <w:rFonts w:hint="eastAsia" w:ascii="仿宋" w:hAnsi="仿宋" w:eastAsia="仿宋" w:cs="仿宋"/>
          <w:sz w:val="28"/>
          <w:szCs w:val="28"/>
          <w:highlight w:val="none"/>
          <w:lang w:val="en-US" w:eastAsia="zh-CN"/>
        </w:rPr>
        <w:t>环翠园林公司</w:t>
      </w:r>
      <w:r>
        <w:rPr>
          <w:rFonts w:hint="eastAsia" w:ascii="仿宋" w:hAnsi="仿宋" w:eastAsia="仿宋" w:cs="仿宋"/>
          <w:sz w:val="28"/>
          <w:szCs w:val="28"/>
          <w:highlight w:val="none"/>
        </w:rPr>
        <w:t>按照有关规定给予本公司相关责任人党纪、政纪处分，涉嫌犯罪的，移交司法机关追究刑事责任；合作单位人员存在</w:t>
      </w:r>
      <w:r>
        <w:rPr>
          <w:rFonts w:hint="eastAsia" w:ascii="仿宋" w:hAnsi="仿宋" w:eastAsia="仿宋" w:cs="仿宋"/>
          <w:sz w:val="28"/>
          <w:szCs w:val="28"/>
          <w:highlight w:val="none"/>
          <w:lang w:val="en-US" w:eastAsia="zh-CN"/>
        </w:rPr>
        <w:t>违反职业操守</w:t>
      </w:r>
      <w:r>
        <w:rPr>
          <w:rFonts w:hint="eastAsia" w:ascii="仿宋" w:hAnsi="仿宋" w:eastAsia="仿宋" w:cs="仿宋"/>
          <w:sz w:val="28"/>
          <w:szCs w:val="28"/>
          <w:highlight w:val="none"/>
        </w:rPr>
        <w:t>行为的，</w:t>
      </w:r>
      <w:r>
        <w:rPr>
          <w:rFonts w:hint="eastAsia" w:ascii="仿宋" w:hAnsi="仿宋" w:eastAsia="仿宋" w:cs="仿宋"/>
          <w:sz w:val="28"/>
          <w:szCs w:val="28"/>
          <w:highlight w:val="none"/>
          <w:lang w:val="en-US" w:eastAsia="zh-CN"/>
        </w:rPr>
        <w:t>环翠园林公司</w:t>
      </w:r>
      <w:r>
        <w:rPr>
          <w:rFonts w:hint="eastAsia" w:ascii="仿宋" w:hAnsi="仿宋" w:eastAsia="仿宋" w:cs="仿宋"/>
          <w:sz w:val="28"/>
          <w:szCs w:val="28"/>
          <w:highlight w:val="none"/>
        </w:rPr>
        <w:t>有权利要求合作单位对</w:t>
      </w:r>
      <w:r>
        <w:rPr>
          <w:rFonts w:hint="eastAsia" w:ascii="仿宋" w:hAnsi="仿宋" w:eastAsia="仿宋" w:cs="仿宋"/>
          <w:sz w:val="28"/>
          <w:szCs w:val="28"/>
          <w:highlight w:val="none"/>
          <w:lang w:val="en-US" w:eastAsia="zh-CN"/>
        </w:rPr>
        <w:t>其</w:t>
      </w:r>
      <w:r>
        <w:rPr>
          <w:rFonts w:hint="eastAsia" w:ascii="仿宋" w:hAnsi="仿宋" w:eastAsia="仿宋" w:cs="仿宋"/>
          <w:sz w:val="28"/>
          <w:szCs w:val="28"/>
          <w:highlight w:val="none"/>
        </w:rPr>
        <w:t>人员进行查处，并保留终止相关合同、将合作单位列入合作伙伴黑名单的权利。</w:t>
      </w:r>
    </w:p>
    <w:p w14:paraId="377E739C">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（五）</w:t>
      </w:r>
      <w:r>
        <w:rPr>
          <w:rFonts w:hint="eastAsia" w:ascii="仿宋" w:hAnsi="仿宋" w:eastAsia="仿宋" w:cs="仿宋"/>
          <w:sz w:val="28"/>
          <w:szCs w:val="28"/>
          <w:highlight w:val="none"/>
          <w:lang w:val="en-US" w:eastAsia="zh-CN"/>
        </w:rPr>
        <w:t>环翠园林公司</w:t>
      </w:r>
      <w:r>
        <w:rPr>
          <w:rFonts w:hint="eastAsia" w:ascii="仿宋" w:hAnsi="仿宋" w:eastAsia="仿宋" w:cs="仿宋"/>
          <w:sz w:val="28"/>
          <w:szCs w:val="28"/>
          <w:highlight w:val="none"/>
        </w:rPr>
        <w:t>的《廉洁合作协议》管理人员或</w:t>
      </w:r>
      <w:r>
        <w:rPr>
          <w:rFonts w:hint="eastAsia" w:ascii="仿宋" w:hAnsi="仿宋" w:eastAsia="仿宋" w:cs="仿宋"/>
          <w:sz w:val="28"/>
          <w:szCs w:val="28"/>
          <w:highlight w:val="none"/>
          <w:lang w:val="en-US" w:eastAsia="zh-CN"/>
        </w:rPr>
        <w:t>区城投公司</w:t>
      </w:r>
      <w:r>
        <w:rPr>
          <w:rFonts w:hint="eastAsia" w:ascii="仿宋" w:hAnsi="仿宋" w:eastAsia="仿宋" w:cs="仿宋"/>
          <w:sz w:val="28"/>
          <w:szCs w:val="28"/>
          <w:highlight w:val="none"/>
        </w:rPr>
        <w:t>纪检监察人员在对合同执行情况进行检查或抽查时，合作单位</w:t>
      </w:r>
      <w:r>
        <w:rPr>
          <w:rFonts w:hint="eastAsia" w:ascii="仿宋" w:hAnsi="仿宋" w:eastAsia="仿宋" w:cs="仿宋"/>
          <w:sz w:val="28"/>
          <w:szCs w:val="28"/>
          <w:highlight w:val="none"/>
          <w:lang w:val="en-US" w:eastAsia="zh-CN"/>
        </w:rPr>
        <w:t>应</w:t>
      </w:r>
      <w:r>
        <w:rPr>
          <w:rFonts w:hint="eastAsia" w:ascii="仿宋" w:hAnsi="仿宋" w:eastAsia="仿宋" w:cs="仿宋"/>
          <w:sz w:val="28"/>
          <w:szCs w:val="28"/>
          <w:highlight w:val="none"/>
        </w:rPr>
        <w:t>给予配合。双方人员存在弄虚作假、玩忽职守、包庇纵容等行为的，双方单位均应对责任人进行</w:t>
      </w:r>
      <w:r>
        <w:rPr>
          <w:rFonts w:hint="eastAsia" w:ascii="仿宋" w:hAnsi="仿宋" w:eastAsia="仿宋" w:cs="仿宋"/>
          <w:sz w:val="28"/>
          <w:szCs w:val="28"/>
          <w:highlight w:val="none"/>
          <w:lang w:val="en-US" w:eastAsia="zh-CN"/>
        </w:rPr>
        <w:t>处置</w:t>
      </w:r>
      <w:r>
        <w:rPr>
          <w:rFonts w:hint="eastAsia" w:ascii="仿宋" w:hAnsi="仿宋" w:eastAsia="仿宋" w:cs="仿宋"/>
          <w:sz w:val="28"/>
          <w:szCs w:val="28"/>
          <w:highlight w:val="none"/>
        </w:rPr>
        <w:t>。</w:t>
      </w:r>
    </w:p>
    <w:p w14:paraId="52432CB2">
      <w:pPr>
        <w:keepNext w:val="0"/>
        <w:keepLines w:val="0"/>
        <w:pageBreakBefore w:val="0"/>
        <w:widowControl w:val="0"/>
        <w:kinsoku/>
        <w:wordWrap/>
        <w:overflowPunct/>
        <w:topLinePunct w:val="0"/>
        <w:autoSpaceDE/>
        <w:autoSpaceDN/>
        <w:bidi w:val="0"/>
        <w:adjustRightInd/>
        <w:snapToGrid/>
        <w:spacing w:line="240" w:lineRule="auto"/>
        <w:ind w:firstLine="562" w:firstLineChars="20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rPr>
        <w:t xml:space="preserve">第二条 </w:t>
      </w:r>
      <w:r>
        <w:rPr>
          <w:rFonts w:hint="eastAsia" w:ascii="仿宋" w:hAnsi="仿宋" w:eastAsia="仿宋" w:cs="仿宋"/>
          <w:b/>
          <w:bCs/>
          <w:sz w:val="28"/>
          <w:szCs w:val="28"/>
          <w:highlight w:val="none"/>
          <w:lang w:val="en-US" w:eastAsia="zh-CN"/>
        </w:rPr>
        <w:t>环翠园林公司</w:t>
      </w:r>
      <w:r>
        <w:rPr>
          <w:rFonts w:hint="eastAsia" w:ascii="仿宋" w:hAnsi="仿宋" w:eastAsia="仿宋" w:cs="仿宋"/>
          <w:b/>
          <w:bCs/>
          <w:sz w:val="28"/>
          <w:szCs w:val="28"/>
          <w:highlight w:val="none"/>
        </w:rPr>
        <w:t>义务</w:t>
      </w:r>
    </w:p>
    <w:p w14:paraId="6BD61268">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（一）</w:t>
      </w:r>
      <w:r>
        <w:rPr>
          <w:rFonts w:hint="eastAsia" w:ascii="仿宋" w:hAnsi="仿宋" w:eastAsia="仿宋" w:cs="仿宋"/>
          <w:sz w:val="28"/>
          <w:szCs w:val="28"/>
          <w:highlight w:val="none"/>
          <w:lang w:val="en-US" w:eastAsia="zh-CN"/>
        </w:rPr>
        <w:t>环翠园林公司</w:t>
      </w:r>
      <w:r>
        <w:rPr>
          <w:rFonts w:hint="eastAsia" w:ascii="仿宋" w:hAnsi="仿宋" w:eastAsia="仿宋" w:cs="仿宋"/>
          <w:sz w:val="28"/>
          <w:szCs w:val="28"/>
          <w:highlight w:val="none"/>
        </w:rPr>
        <w:t>在业务委托过程中，应做到公平、公正、公开，禁止暗箱操作</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不得泄露应当保密的项目信息。</w:t>
      </w:r>
    </w:p>
    <w:p w14:paraId="260DB68B">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（二）</w:t>
      </w:r>
      <w:r>
        <w:rPr>
          <w:rFonts w:hint="eastAsia" w:ascii="仿宋" w:hAnsi="仿宋" w:eastAsia="仿宋" w:cs="仿宋"/>
          <w:sz w:val="28"/>
          <w:szCs w:val="28"/>
          <w:highlight w:val="none"/>
          <w:lang w:val="en-US" w:eastAsia="zh-CN"/>
        </w:rPr>
        <w:t>环翠园林公司</w:t>
      </w:r>
      <w:r>
        <w:rPr>
          <w:rFonts w:hint="eastAsia" w:ascii="仿宋" w:hAnsi="仿宋" w:eastAsia="仿宋" w:cs="仿宋"/>
          <w:sz w:val="28"/>
          <w:szCs w:val="28"/>
          <w:highlight w:val="none"/>
        </w:rPr>
        <w:t>人员及其配偶、子女、特定关系人不得与合作单位人员发生任何非工作的往来，包括但不限于以下内容：不得收受对方馈送的任何现金、贵重物品、有价证券等；不得要求或接受对方为其住房建修、婚丧嫁娶、出国等提供资助；不得介绍亲友从事与双方合作有关的业务活动；不得收受回扣；不得参加合作单位组织的宴请、娱乐、旅游等活动；不</w:t>
      </w:r>
      <w:r>
        <w:rPr>
          <w:rFonts w:hint="eastAsia" w:ascii="仿宋" w:hAnsi="仿宋" w:eastAsia="仿宋" w:cs="仿宋"/>
          <w:sz w:val="28"/>
          <w:szCs w:val="28"/>
          <w:highlight w:val="none"/>
          <w:lang w:val="en-US" w:eastAsia="zh-CN"/>
        </w:rPr>
        <w:t>得</w:t>
      </w:r>
      <w:r>
        <w:rPr>
          <w:rFonts w:hint="eastAsia" w:ascii="仿宋" w:hAnsi="仿宋" w:eastAsia="仿宋" w:cs="仿宋"/>
          <w:sz w:val="28"/>
          <w:szCs w:val="28"/>
          <w:highlight w:val="none"/>
        </w:rPr>
        <w:t>要求对方报销应由本人支付的费用等；不得吃拿卡要或变相吃拿卡要。</w:t>
      </w:r>
    </w:p>
    <w:p w14:paraId="09DBC835">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（三）</w:t>
      </w:r>
      <w:r>
        <w:rPr>
          <w:rFonts w:hint="eastAsia" w:ascii="仿宋" w:hAnsi="仿宋" w:eastAsia="仿宋" w:cs="仿宋"/>
          <w:sz w:val="28"/>
          <w:szCs w:val="28"/>
          <w:highlight w:val="none"/>
          <w:lang w:val="en-US" w:eastAsia="zh-CN"/>
        </w:rPr>
        <w:t>环翠园林公司</w:t>
      </w:r>
      <w:r>
        <w:rPr>
          <w:rFonts w:hint="eastAsia" w:ascii="仿宋" w:hAnsi="仿宋" w:eastAsia="仿宋" w:cs="仿宋"/>
          <w:sz w:val="28"/>
          <w:szCs w:val="28"/>
          <w:highlight w:val="none"/>
        </w:rPr>
        <w:t>人员若违反《廉洁合作协议》约定，按照有关规定给予党纪政务处分；涉嫌犯罪的，按照有关程序移送司法机关处理。</w:t>
      </w:r>
    </w:p>
    <w:p w14:paraId="7829BAEB">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（四）</w:t>
      </w:r>
      <w:r>
        <w:rPr>
          <w:rFonts w:hint="eastAsia" w:ascii="仿宋" w:hAnsi="仿宋" w:eastAsia="仿宋" w:cs="仿宋"/>
          <w:sz w:val="28"/>
          <w:szCs w:val="28"/>
          <w:highlight w:val="none"/>
          <w:lang w:val="en-US" w:eastAsia="zh-CN"/>
        </w:rPr>
        <w:t>环翠园林公司</w:t>
      </w:r>
      <w:r>
        <w:rPr>
          <w:rFonts w:hint="eastAsia" w:ascii="仿宋" w:hAnsi="仿宋" w:eastAsia="仿宋" w:cs="仿宋"/>
          <w:sz w:val="28"/>
          <w:szCs w:val="28"/>
          <w:highlight w:val="none"/>
        </w:rPr>
        <w:t>人员不得为合作单位</w:t>
      </w:r>
      <w:r>
        <w:rPr>
          <w:rFonts w:hint="eastAsia" w:ascii="仿宋" w:hAnsi="仿宋" w:eastAsia="仿宋" w:cs="仿宋"/>
          <w:sz w:val="28"/>
          <w:szCs w:val="28"/>
          <w:highlight w:val="none"/>
          <w:lang w:val="en-US" w:eastAsia="zh-CN"/>
        </w:rPr>
        <w:t>超合同约定比例结算款项</w:t>
      </w:r>
      <w:r>
        <w:rPr>
          <w:rFonts w:hint="eastAsia" w:ascii="仿宋" w:hAnsi="仿宋" w:eastAsia="仿宋" w:cs="仿宋"/>
          <w:sz w:val="28"/>
          <w:szCs w:val="28"/>
          <w:highlight w:val="none"/>
        </w:rPr>
        <w:t>、多计量、多签证或故意降低验收标准，并从中谋取私利。</w:t>
      </w:r>
    </w:p>
    <w:p w14:paraId="4D740812">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（五）</w:t>
      </w:r>
      <w:r>
        <w:rPr>
          <w:rFonts w:hint="eastAsia" w:ascii="仿宋" w:hAnsi="仿宋" w:eastAsia="仿宋" w:cs="仿宋"/>
          <w:sz w:val="28"/>
          <w:szCs w:val="28"/>
          <w:highlight w:val="none"/>
          <w:lang w:val="en-US" w:eastAsia="zh-CN"/>
        </w:rPr>
        <w:t>环翠园林公司</w:t>
      </w:r>
      <w:r>
        <w:rPr>
          <w:rFonts w:hint="eastAsia" w:ascii="仿宋" w:hAnsi="仿宋" w:eastAsia="仿宋" w:cs="仿宋"/>
          <w:sz w:val="28"/>
          <w:szCs w:val="28"/>
          <w:highlight w:val="none"/>
        </w:rPr>
        <w:t>人员不得利用计量、结算、支付等职务权利，故意刁难合作单位以谋取私利。</w:t>
      </w:r>
    </w:p>
    <w:p w14:paraId="0146BB82">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（六）</w:t>
      </w:r>
      <w:r>
        <w:rPr>
          <w:rFonts w:hint="eastAsia" w:ascii="仿宋" w:hAnsi="仿宋" w:eastAsia="仿宋" w:cs="仿宋"/>
          <w:sz w:val="28"/>
          <w:szCs w:val="28"/>
          <w:highlight w:val="none"/>
          <w:lang w:val="en-US" w:eastAsia="zh-CN"/>
        </w:rPr>
        <w:t>环翠园林公司</w:t>
      </w:r>
      <w:r>
        <w:rPr>
          <w:rFonts w:hint="eastAsia" w:ascii="仿宋" w:hAnsi="仿宋" w:eastAsia="仿宋" w:cs="仿宋"/>
          <w:sz w:val="28"/>
          <w:szCs w:val="28"/>
          <w:highlight w:val="none"/>
        </w:rPr>
        <w:t>人员发现合作单位人员行贿以及其他违反《廉洁合作协议》的行为，有义务向区城投公司纪检监察机构或其他相关部门举报。</w:t>
      </w:r>
    </w:p>
    <w:p w14:paraId="6B451B04">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（七）对合作单位所属机构和人员存在违反 《廉洁合作协议》约定的行为，</w:t>
      </w:r>
      <w:r>
        <w:rPr>
          <w:rFonts w:hint="eastAsia" w:ascii="仿宋" w:hAnsi="仿宋" w:eastAsia="仿宋" w:cs="仿宋"/>
          <w:sz w:val="28"/>
          <w:szCs w:val="28"/>
          <w:highlight w:val="none"/>
          <w:lang w:val="en-US" w:eastAsia="zh-CN"/>
        </w:rPr>
        <w:t>环翠园林公司</w:t>
      </w:r>
      <w:r>
        <w:rPr>
          <w:rFonts w:hint="eastAsia" w:ascii="仿宋" w:hAnsi="仿宋" w:eastAsia="仿宋" w:cs="仿宋"/>
          <w:sz w:val="28"/>
          <w:szCs w:val="28"/>
          <w:highlight w:val="none"/>
        </w:rPr>
        <w:t>应收集汇总有关违规证据，</w:t>
      </w:r>
      <w:r>
        <w:rPr>
          <w:rFonts w:hint="eastAsia" w:ascii="仿宋" w:hAnsi="仿宋" w:eastAsia="仿宋" w:cs="仿宋"/>
          <w:sz w:val="28"/>
          <w:szCs w:val="28"/>
          <w:highlight w:val="none"/>
          <w:lang w:val="en-US" w:eastAsia="zh-CN"/>
        </w:rPr>
        <w:t>配合合作单位调查处置</w:t>
      </w:r>
      <w:r>
        <w:rPr>
          <w:rFonts w:hint="eastAsia" w:ascii="仿宋" w:hAnsi="仿宋" w:eastAsia="仿宋" w:cs="仿宋"/>
          <w:sz w:val="28"/>
          <w:szCs w:val="28"/>
          <w:highlight w:val="none"/>
        </w:rPr>
        <w:t>。</w:t>
      </w:r>
    </w:p>
    <w:p w14:paraId="6F518E2C">
      <w:pPr>
        <w:keepNext w:val="0"/>
        <w:keepLines w:val="0"/>
        <w:pageBreakBefore w:val="0"/>
        <w:widowControl w:val="0"/>
        <w:kinsoku/>
        <w:wordWrap/>
        <w:overflowPunct/>
        <w:topLinePunct w:val="0"/>
        <w:autoSpaceDE/>
        <w:autoSpaceDN/>
        <w:bidi w:val="0"/>
        <w:adjustRightInd/>
        <w:snapToGrid/>
        <w:spacing w:line="240" w:lineRule="auto"/>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第三条 合作单位义务</w:t>
      </w:r>
    </w:p>
    <w:p w14:paraId="16E6541E">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（一）合作单位不得有围标、串标、泄露双方机密，排挤其他经营者的公平竞争，在预决算、招投标和商务报价中弄虚作假、恶意高估冒算或故意以低价扰乱招投标等违反商业道德、扰乱正常竞争秩序等行为。</w:t>
      </w:r>
    </w:p>
    <w:p w14:paraId="6CBA782F">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（二）合作单位人员不得为获取合作利益</w:t>
      </w:r>
      <w:r>
        <w:rPr>
          <w:rFonts w:hint="eastAsia" w:ascii="仿宋" w:hAnsi="仿宋" w:eastAsia="仿宋" w:cs="仿宋"/>
          <w:sz w:val="28"/>
          <w:szCs w:val="28"/>
          <w:highlight w:val="none"/>
          <w:lang w:val="en-US" w:eastAsia="zh-CN"/>
        </w:rPr>
        <w:t>环翠园林公司</w:t>
      </w:r>
      <w:r>
        <w:rPr>
          <w:rFonts w:hint="eastAsia" w:ascii="仿宋" w:hAnsi="仿宋" w:eastAsia="仿宋" w:cs="仿宋"/>
          <w:sz w:val="28"/>
          <w:szCs w:val="28"/>
          <w:highlight w:val="none"/>
        </w:rPr>
        <w:t>人员送礼、行贿，不得有向</w:t>
      </w:r>
      <w:r>
        <w:rPr>
          <w:rFonts w:hint="eastAsia" w:ascii="仿宋" w:hAnsi="仿宋" w:eastAsia="仿宋" w:cs="仿宋"/>
          <w:sz w:val="28"/>
          <w:szCs w:val="28"/>
          <w:highlight w:val="none"/>
          <w:lang w:val="en-US" w:eastAsia="zh-CN"/>
        </w:rPr>
        <w:t>环翠园林公司</w:t>
      </w:r>
      <w:r>
        <w:rPr>
          <w:rFonts w:hint="eastAsia" w:ascii="仿宋" w:hAnsi="仿宋" w:eastAsia="仿宋" w:cs="仿宋"/>
          <w:sz w:val="28"/>
          <w:szCs w:val="28"/>
          <w:highlight w:val="none"/>
        </w:rPr>
        <w:t>人员提供宴请和娱乐活动及其他有违反法律法规和廉洁从业规定、影响公平交易的行为。</w:t>
      </w:r>
    </w:p>
    <w:p w14:paraId="286BA660">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（三）合作单位应对其所属机构和人员严格执行《廉洁合作协议》提出明确的要求，并加强监督和管理。</w:t>
      </w:r>
    </w:p>
    <w:p w14:paraId="36EB5A99">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（四）合作单位应积极配合区城投公司纪检监察机构开展各项检查、核实工作</w:t>
      </w:r>
      <w:r>
        <w:rPr>
          <w:rFonts w:hint="eastAsia" w:ascii="仿宋" w:hAnsi="仿宋" w:eastAsia="仿宋" w:cs="仿宋"/>
          <w:sz w:val="28"/>
          <w:szCs w:val="28"/>
          <w:highlight w:val="none"/>
          <w:lang w:eastAsia="zh-CN"/>
        </w:rPr>
        <w:t>。</w:t>
      </w:r>
    </w:p>
    <w:p w14:paraId="2606F4FE">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（五）合作单位发现</w:t>
      </w:r>
      <w:r>
        <w:rPr>
          <w:rFonts w:hint="eastAsia" w:ascii="仿宋" w:hAnsi="仿宋" w:eastAsia="仿宋" w:cs="仿宋"/>
          <w:sz w:val="28"/>
          <w:szCs w:val="28"/>
          <w:highlight w:val="none"/>
          <w:lang w:val="en-US" w:eastAsia="zh-CN"/>
        </w:rPr>
        <w:t>环翠园林公司</w:t>
      </w:r>
      <w:r>
        <w:rPr>
          <w:rFonts w:hint="eastAsia" w:ascii="仿宋" w:hAnsi="仿宋" w:eastAsia="仿宋" w:cs="仿宋"/>
          <w:sz w:val="28"/>
          <w:szCs w:val="28"/>
          <w:highlight w:val="none"/>
        </w:rPr>
        <w:t>人员有索贿行为、受贿行为及其他不廉洁行为时，应向区城投公司纪检监察机构或其他相关部门举报，并有义务提供</w:t>
      </w:r>
      <w:r>
        <w:rPr>
          <w:rFonts w:hint="eastAsia" w:ascii="仿宋" w:hAnsi="仿宋" w:eastAsia="仿宋" w:cs="仿宋"/>
          <w:sz w:val="28"/>
          <w:szCs w:val="28"/>
          <w:highlight w:val="none"/>
          <w:lang w:val="en-US" w:eastAsia="zh-CN"/>
        </w:rPr>
        <w:t>相</w:t>
      </w:r>
      <w:r>
        <w:rPr>
          <w:rFonts w:hint="eastAsia" w:ascii="仿宋" w:hAnsi="仿宋" w:eastAsia="仿宋" w:cs="仿宋"/>
          <w:sz w:val="28"/>
          <w:szCs w:val="28"/>
          <w:highlight w:val="none"/>
        </w:rPr>
        <w:t>关证据。</w:t>
      </w:r>
    </w:p>
    <w:p w14:paraId="3B4F9BE7">
      <w:pPr>
        <w:keepNext w:val="0"/>
        <w:keepLines w:val="0"/>
        <w:pageBreakBefore w:val="0"/>
        <w:widowControl w:val="0"/>
        <w:kinsoku/>
        <w:wordWrap/>
        <w:overflowPunct/>
        <w:topLinePunct w:val="0"/>
        <w:autoSpaceDE/>
        <w:autoSpaceDN/>
        <w:bidi w:val="0"/>
        <w:adjustRightInd/>
        <w:snapToGrid/>
        <w:spacing w:line="240" w:lineRule="auto"/>
        <w:ind w:firstLine="562" w:firstLineChars="20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rPr>
        <w:t>第四条</w:t>
      </w:r>
      <w:r>
        <w:rPr>
          <w:rFonts w:hint="eastAsia" w:ascii="仿宋" w:hAnsi="仿宋" w:eastAsia="仿宋" w:cs="仿宋"/>
          <w:b/>
          <w:bCs/>
          <w:sz w:val="28"/>
          <w:szCs w:val="28"/>
          <w:highlight w:val="none"/>
          <w:lang w:val="en-US" w:eastAsia="zh-CN"/>
        </w:rPr>
        <w:t xml:space="preserve"> </w:t>
      </w:r>
      <w:r>
        <w:rPr>
          <w:rFonts w:hint="eastAsia" w:ascii="仿宋" w:hAnsi="仿宋" w:eastAsia="仿宋" w:cs="仿宋"/>
          <w:sz w:val="28"/>
          <w:szCs w:val="28"/>
          <w:highlight w:val="none"/>
        </w:rPr>
        <w:t>区城投公司纪检监察机构受理举报电话：</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0631-5239953  </w:t>
      </w:r>
      <w:r>
        <w:rPr>
          <w:rFonts w:hint="eastAsia" w:ascii="仿宋" w:hAnsi="仿宋" w:eastAsia="仿宋" w:cs="仿宋"/>
          <w:sz w:val="28"/>
          <w:szCs w:val="28"/>
          <w:highlight w:val="none"/>
          <w:u w:val="none"/>
        </w:rPr>
        <w:t>。</w:t>
      </w:r>
    </w:p>
    <w:p w14:paraId="603CA0D0">
      <w:pPr>
        <w:keepNext w:val="0"/>
        <w:keepLines w:val="0"/>
        <w:pageBreakBefore w:val="0"/>
        <w:widowControl w:val="0"/>
        <w:kinsoku/>
        <w:wordWrap/>
        <w:overflowPunct/>
        <w:topLinePunct w:val="0"/>
        <w:autoSpaceDE/>
        <w:autoSpaceDN/>
        <w:bidi w:val="0"/>
        <w:adjustRightInd/>
        <w:snapToGrid/>
        <w:spacing w:line="240" w:lineRule="auto"/>
        <w:ind w:firstLine="562" w:firstLineChars="20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rPr>
        <w:t>第五条</w:t>
      </w:r>
      <w:r>
        <w:rPr>
          <w:rFonts w:hint="eastAsia" w:ascii="仿宋" w:hAnsi="仿宋" w:eastAsia="仿宋" w:cs="仿宋"/>
          <w:b/>
          <w:bCs/>
          <w:sz w:val="28"/>
          <w:szCs w:val="28"/>
          <w:highlight w:val="none"/>
          <w:lang w:val="en-US" w:eastAsia="zh-CN"/>
        </w:rPr>
        <w:t xml:space="preserve"> </w:t>
      </w:r>
      <w:r>
        <w:rPr>
          <w:rFonts w:hint="eastAsia" w:ascii="仿宋" w:hAnsi="仿宋" w:eastAsia="仿宋" w:cs="仿宋"/>
          <w:sz w:val="28"/>
          <w:szCs w:val="28"/>
          <w:highlight w:val="none"/>
        </w:rPr>
        <w:t>本协议双方签字盖章后生效，有效期与</w:t>
      </w:r>
      <w:r>
        <w:rPr>
          <w:rFonts w:hint="eastAsia" w:ascii="仿宋" w:hAnsi="仿宋" w:eastAsia="仿宋" w:cs="仿宋"/>
          <w:sz w:val="28"/>
          <w:szCs w:val="28"/>
          <w:highlight w:val="none"/>
          <w:lang w:val="en-US" w:eastAsia="zh-CN"/>
        </w:rPr>
        <w:t>主</w:t>
      </w:r>
      <w:r>
        <w:rPr>
          <w:rFonts w:hint="eastAsia" w:ascii="仿宋" w:hAnsi="仿宋" w:eastAsia="仿宋" w:cs="仿宋"/>
          <w:sz w:val="28"/>
          <w:szCs w:val="28"/>
          <w:highlight w:val="none"/>
        </w:rPr>
        <w:t>合同一致。</w:t>
      </w:r>
    </w:p>
    <w:p w14:paraId="423B1890">
      <w:pPr>
        <w:keepNext w:val="0"/>
        <w:keepLines w:val="0"/>
        <w:pageBreakBefore w:val="0"/>
        <w:widowControl w:val="0"/>
        <w:kinsoku/>
        <w:wordWrap/>
        <w:overflowPunct/>
        <w:topLinePunct w:val="0"/>
        <w:autoSpaceDE/>
        <w:autoSpaceDN/>
        <w:bidi w:val="0"/>
        <w:adjustRightInd/>
        <w:snapToGrid/>
        <w:spacing w:line="240" w:lineRule="auto"/>
        <w:ind w:firstLine="562" w:firstLineChars="20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lang w:val="en-US" w:eastAsia="zh-CN"/>
        </w:rPr>
        <w:t>第六条</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本协议一式两份，双方各执一份。</w:t>
      </w:r>
    </w:p>
    <w:p w14:paraId="69517F52">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sz w:val="28"/>
          <w:szCs w:val="28"/>
          <w:highlight w:val="none"/>
        </w:rPr>
      </w:pPr>
    </w:p>
    <w:p w14:paraId="066DEA80">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威海市环翠</w:t>
      </w:r>
      <w:r>
        <w:rPr>
          <w:rFonts w:hint="eastAsia" w:ascii="仿宋" w:hAnsi="仿宋" w:eastAsia="仿宋" w:cs="仿宋"/>
          <w:sz w:val="28"/>
          <w:szCs w:val="28"/>
          <w:highlight w:val="none"/>
          <w:lang w:val="en-US" w:eastAsia="zh-CN"/>
        </w:rPr>
        <w:t>园林工程</w:t>
      </w:r>
      <w:r>
        <w:rPr>
          <w:rFonts w:hint="eastAsia" w:ascii="仿宋" w:hAnsi="仿宋" w:eastAsia="仿宋" w:cs="仿宋"/>
          <w:sz w:val="28"/>
          <w:szCs w:val="28"/>
          <w:highlight w:val="none"/>
        </w:rPr>
        <w:t>有限公司（公章）</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（公章）</w:t>
      </w:r>
    </w:p>
    <w:p w14:paraId="38E36FEE">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sz w:val="28"/>
          <w:szCs w:val="28"/>
          <w:highlight w:val="none"/>
        </w:rPr>
      </w:pPr>
    </w:p>
    <w:p w14:paraId="1A2127BC">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负责人或授权人：（签字）</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合作单位负责人：（签字）</w:t>
      </w:r>
    </w:p>
    <w:p w14:paraId="3B9607F8">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年</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 xml:space="preserve"> 月 </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日</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 xml:space="preserve"> 月</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 xml:space="preserve"> 日</w:t>
      </w:r>
    </w:p>
    <w:p w14:paraId="3538AC4C">
      <w:pPr>
        <w:pStyle w:val="47"/>
        <w:pageBreakBefore w:val="0"/>
        <w:kinsoku/>
        <w:overflowPunct/>
        <w:topLinePunct w:val="0"/>
        <w:bidi w:val="0"/>
        <w:adjustRightInd/>
        <w:snapToGrid/>
        <w:spacing w:before="0" w:beforeAutospacing="0" w:after="0" w:afterAutospacing="0" w:line="360" w:lineRule="auto"/>
        <w:rPr>
          <w:rStyle w:val="55"/>
          <w:rFonts w:hint="eastAsia" w:ascii="仿宋" w:hAnsi="仿宋" w:eastAsia="仿宋" w:cs="仿宋"/>
          <w:sz w:val="28"/>
          <w:szCs w:val="28"/>
          <w:highlight w:val="none"/>
          <w:lang w:eastAsia="zh-CN"/>
        </w:rPr>
      </w:pPr>
    </w:p>
    <w:sectPr>
      <w:footerReference r:id="rId11" w:type="default"/>
      <w:pgSz w:w="11906" w:h="16838"/>
      <w:pgMar w:top="1440" w:right="1083" w:bottom="1440" w:left="1083" w:header="851" w:footer="992" w:gutter="0"/>
      <w:cols w:space="720" w:num="1"/>
      <w:docGrid w:type="lines" w:linePitch="31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楷体简体">
    <w:altName w:val="宋体"/>
    <w:panose1 w:val="00000000000000000000"/>
    <w:charset w:val="00"/>
    <w:family w:val="auto"/>
    <w:pitch w:val="default"/>
    <w:sig w:usb0="00000000" w:usb1="00000000" w:usb2="0000001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Verdana">
    <w:panose1 w:val="020B0604030504040204"/>
    <w:charset w:val="00"/>
    <w:family w:val="swiss"/>
    <w:pitch w:val="default"/>
    <w:sig w:usb0="A00006FF" w:usb1="4000205B" w:usb2="00000010" w:usb3="00000000" w:csb0="2000019F" w:csb1="00000000"/>
  </w:font>
  <w:font w:name="KSOFE44F9426">
    <w:panose1 w:val="02010609060101010101"/>
    <w:charset w:val="86"/>
    <w:family w:val="auto"/>
    <w:pitch w:val="default"/>
    <w:sig w:usb0="00000001"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B22244">
    <w:pPr>
      <w:keepNext w:val="0"/>
      <w:keepLines w:val="0"/>
      <w:pageBreakBefore w:val="0"/>
      <w:widowControl w:val="0"/>
      <w:pBdr>
        <w:top w:val="single" w:color="auto" w:sz="4" w:space="1"/>
      </w:pBdr>
      <w:tabs>
        <w:tab w:val="left" w:pos="3165"/>
        <w:tab w:val="center" w:pos="4876"/>
      </w:tabs>
      <w:kinsoku/>
      <w:wordWrap w:val="0"/>
      <w:overflowPunct/>
      <w:topLinePunct w:val="0"/>
      <w:bidi w:val="0"/>
      <w:adjustRightInd/>
      <w:snapToGrid/>
      <w:jc w:val="center"/>
      <w:textAlignment w:val="auto"/>
      <w:rPr>
        <w:rFonts w:hint="default" w:eastAsia="仿宋"/>
        <w:lang w:val="en-US" w:eastAsia="zh-CN"/>
      </w:rPr>
    </w:pPr>
    <w:r>
      <w:rPr>
        <w:rFonts w:hint="eastAsia" w:ascii="仿宋" w:hAnsi="仿宋" w:eastAsia="仿宋"/>
      </w:rPr>
      <w:t xml:space="preserve">山东同力建设项目管理有限公司 </w:t>
    </w:r>
    <w:r>
      <w:rPr>
        <w:rFonts w:ascii="仿宋" w:hAnsi="仿宋" w:eastAsia="仿宋"/>
      </w:rPr>
      <w:t xml:space="preserve">         </w:t>
    </w:r>
    <w:r>
      <w:rPr>
        <w:rFonts w:hint="eastAsia" w:ascii="仿宋" w:hAnsi="仿宋" w:eastAsia="仿宋"/>
        <w:lang w:val="en-US" w:eastAsia="zh-CN"/>
      </w:rPr>
      <w:t xml:space="preserve">  </w:t>
    </w:r>
    <w:r>
      <w:rPr>
        <w:rFonts w:ascii="仿宋" w:hAnsi="仿宋" w:eastAsia="仿宋"/>
      </w:rPr>
      <w:t xml:space="preserve"> </w:t>
    </w:r>
    <w:r>
      <w:rPr>
        <w:rFonts w:hint="eastAsia" w:ascii="仿宋" w:hAnsi="仿宋" w:eastAsia="仿宋"/>
        <w:lang w:val="en-US" w:eastAsia="zh-CN"/>
      </w:rPr>
      <w:t xml:space="preserve">   </w:t>
    </w:r>
    <w:r>
      <w:rPr>
        <w:rFonts w:ascii="仿宋" w:hAnsi="仿宋" w:eastAsia="仿宋"/>
      </w:rPr>
      <w:t xml:space="preserve"> </w:t>
    </w:r>
    <w:r>
      <w:rPr>
        <w:rFonts w:hint="eastAsia" w:ascii="仿宋" w:hAnsi="仿宋" w:eastAsia="仿宋"/>
      </w:rPr>
      <w:t xml:space="preserve"> </w:t>
    </w:r>
    <w:r>
      <w:fldChar w:fldCharType="begin"/>
    </w:r>
    <w:r>
      <w:instrText xml:space="preserve"> PAGE   \* MERGEFORMAT </w:instrText>
    </w:r>
    <w:r>
      <w:fldChar w:fldCharType="separate"/>
    </w:r>
    <w:r>
      <w:rPr>
        <w:lang w:val="zh-CN"/>
      </w:rPr>
      <w:t>1</w:t>
    </w:r>
    <w:r>
      <w:rPr>
        <w:lang w:val="zh-CN"/>
      </w:rPr>
      <w:fldChar w:fldCharType="end"/>
    </w:r>
    <w:r>
      <w:rPr>
        <w:lang w:val="zh-CN"/>
      </w:rPr>
      <w:t xml:space="preserve">          </w:t>
    </w:r>
    <w:r>
      <w:rPr>
        <w:rFonts w:hint="eastAsia"/>
        <w:lang w:val="en-US" w:eastAsia="zh-CN"/>
      </w:rPr>
      <w:t xml:space="preserve">  </w:t>
    </w:r>
    <w:r>
      <w:rPr>
        <w:lang w:val="zh-CN"/>
      </w:rPr>
      <w:t xml:space="preserve">        </w:t>
    </w:r>
    <w:r>
      <w:rPr>
        <w:rFonts w:hint="eastAsia"/>
        <w:lang w:val="en-US" w:eastAsia="zh-CN"/>
      </w:rPr>
      <w:t xml:space="preserve">        </w:t>
    </w:r>
    <w:r>
      <w:rPr>
        <w:lang w:val="zh-CN"/>
      </w:rPr>
      <w:t xml:space="preserve">    </w:t>
    </w:r>
    <w:r>
      <w:rPr>
        <w:rFonts w:ascii="仿宋" w:hAnsi="仿宋" w:eastAsia="仿宋"/>
      </w:rPr>
      <w:t>0631-</w:t>
    </w:r>
    <w:r>
      <w:rPr>
        <w:rFonts w:hint="eastAsia" w:ascii="仿宋" w:hAnsi="仿宋" w:eastAsia="仿宋"/>
      </w:rPr>
      <w:t>5</w:t>
    </w:r>
    <w:r>
      <w:rPr>
        <w:rFonts w:ascii="仿宋" w:hAnsi="仿宋" w:eastAsia="仿宋"/>
      </w:rPr>
      <w:t>8</w:t>
    </w:r>
    <w:r>
      <w:rPr>
        <w:rFonts w:hint="eastAsia" w:ascii="仿宋" w:hAnsi="仿宋" w:eastAsia="仿宋"/>
        <w:lang w:val="en-US" w:eastAsia="zh-CN"/>
      </w:rPr>
      <w:t>12098</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6CD4A3">
    <w:pPr>
      <w:keepNext w:val="0"/>
      <w:keepLines w:val="0"/>
      <w:pageBreakBefore w:val="0"/>
      <w:widowControl w:val="0"/>
      <w:pBdr>
        <w:top w:val="single" w:color="auto" w:sz="4" w:space="1"/>
      </w:pBdr>
      <w:tabs>
        <w:tab w:val="left" w:pos="3165"/>
        <w:tab w:val="center" w:pos="4876"/>
      </w:tabs>
      <w:kinsoku/>
      <w:wordWrap w:val="0"/>
      <w:overflowPunct/>
      <w:topLinePunct w:val="0"/>
      <w:bidi w:val="0"/>
      <w:adjustRightInd/>
      <w:snapToGrid/>
      <w:jc w:val="center"/>
      <w:textAlignment w:val="auto"/>
      <w:rPr>
        <w:rFonts w:hint="default" w:eastAsia="仿宋"/>
        <w:lang w:val="en-US" w:eastAsia="zh-CN"/>
      </w:rPr>
    </w:pPr>
    <w:r>
      <w:rPr>
        <w:rFonts w:hint="eastAsia" w:ascii="仿宋" w:hAnsi="仿宋" w:eastAsia="仿宋"/>
      </w:rPr>
      <w:t xml:space="preserve">山东同力建设项目管理有限公司 </w:t>
    </w:r>
    <w:r>
      <w:rPr>
        <w:rFonts w:ascii="仿宋" w:hAnsi="仿宋" w:eastAsia="仿宋"/>
      </w:rPr>
      <w:t xml:space="preserve">       </w:t>
    </w:r>
    <w:r>
      <w:rPr>
        <w:rFonts w:hint="eastAsia" w:ascii="仿宋" w:hAnsi="仿宋" w:eastAsia="仿宋"/>
        <w:lang w:val="en-US" w:eastAsia="zh-CN"/>
      </w:rPr>
      <w:t xml:space="preserve">                            </w:t>
    </w:r>
    <w:r>
      <w:rPr>
        <w:rFonts w:ascii="仿宋" w:hAnsi="仿宋" w:eastAsia="仿宋"/>
      </w:rPr>
      <w:t xml:space="preserve"> </w:t>
    </w:r>
    <w:r>
      <w:rPr>
        <w:rFonts w:hint="eastAsia" w:ascii="仿宋" w:hAnsi="仿宋" w:eastAsia="仿宋"/>
        <w:lang w:val="en-US" w:eastAsia="zh-CN"/>
      </w:rPr>
      <w:t xml:space="preserve">   </w:t>
    </w:r>
    <w:r>
      <w:rPr>
        <w:rFonts w:ascii="仿宋" w:hAnsi="仿宋" w:eastAsia="仿宋"/>
      </w:rPr>
      <w:t xml:space="preserve"> </w:t>
    </w:r>
    <w:r>
      <w:rPr>
        <w:rFonts w:hint="eastAsia" w:ascii="仿宋" w:hAnsi="仿宋" w:eastAsia="仿宋"/>
      </w:rPr>
      <w:t xml:space="preserve"> </w:t>
    </w:r>
    <w:r>
      <w:fldChar w:fldCharType="begin"/>
    </w:r>
    <w:r>
      <w:instrText xml:space="preserve"> PAGE   \* MERGEFORMAT </w:instrText>
    </w:r>
    <w:r>
      <w:fldChar w:fldCharType="separate"/>
    </w:r>
    <w:r>
      <w:rPr>
        <w:lang w:val="zh-CN"/>
      </w:rPr>
      <w:t>1</w:t>
    </w:r>
    <w:r>
      <w:rPr>
        <w:lang w:val="zh-CN"/>
      </w:rPr>
      <w:fldChar w:fldCharType="end"/>
    </w:r>
    <w:r>
      <w:rPr>
        <w:lang w:val="zh-CN"/>
      </w:rPr>
      <w:t xml:space="preserve">          </w:t>
    </w:r>
    <w:r>
      <w:rPr>
        <w:rFonts w:hint="eastAsia"/>
        <w:lang w:val="en-US" w:eastAsia="zh-CN"/>
      </w:rPr>
      <w:t xml:space="preserve">  </w:t>
    </w:r>
    <w:r>
      <w:rPr>
        <w:lang w:val="zh-CN"/>
      </w:rPr>
      <w:t xml:space="preserve"> </w:t>
    </w:r>
    <w:r>
      <w:rPr>
        <w:rFonts w:hint="eastAsia"/>
        <w:lang w:val="en-US" w:eastAsia="zh-CN"/>
      </w:rPr>
      <w:t xml:space="preserve">                </w:t>
    </w:r>
    <w:r>
      <w:rPr>
        <w:lang w:val="zh-CN"/>
      </w:rPr>
      <w:t xml:space="preserve">       </w:t>
    </w:r>
    <w:r>
      <w:rPr>
        <w:rFonts w:hint="eastAsia"/>
        <w:lang w:val="en-US" w:eastAsia="zh-CN"/>
      </w:rPr>
      <w:t xml:space="preserve">        </w:t>
    </w:r>
    <w:r>
      <w:rPr>
        <w:lang w:val="zh-CN"/>
      </w:rPr>
      <w:t xml:space="preserve">    </w:t>
    </w:r>
    <w:r>
      <w:rPr>
        <w:rFonts w:ascii="仿宋" w:hAnsi="仿宋" w:eastAsia="仿宋"/>
      </w:rPr>
      <w:t>0631-</w:t>
    </w:r>
    <w:r>
      <w:rPr>
        <w:rFonts w:hint="eastAsia" w:ascii="仿宋" w:hAnsi="仿宋" w:eastAsia="仿宋"/>
      </w:rPr>
      <w:t>5</w:t>
    </w:r>
    <w:r>
      <w:rPr>
        <w:rFonts w:ascii="仿宋" w:hAnsi="仿宋" w:eastAsia="仿宋"/>
      </w:rPr>
      <w:t>8</w:t>
    </w:r>
    <w:r>
      <w:rPr>
        <w:rFonts w:hint="eastAsia" w:ascii="仿宋" w:hAnsi="仿宋" w:eastAsia="仿宋"/>
        <w:lang w:val="en-US" w:eastAsia="zh-CN"/>
      </w:rPr>
      <w:t>12098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4049E5">
    <w:pPr>
      <w:keepNext w:val="0"/>
      <w:keepLines w:val="0"/>
      <w:pageBreakBefore w:val="0"/>
      <w:widowControl w:val="0"/>
      <w:pBdr>
        <w:top w:val="single" w:color="auto" w:sz="4" w:space="1"/>
      </w:pBdr>
      <w:tabs>
        <w:tab w:val="left" w:pos="3165"/>
        <w:tab w:val="center" w:pos="4876"/>
      </w:tabs>
      <w:kinsoku/>
      <w:wordWrap w:val="0"/>
      <w:overflowPunct/>
      <w:topLinePunct w:val="0"/>
      <w:bidi w:val="0"/>
      <w:adjustRightInd/>
      <w:snapToGrid/>
      <w:jc w:val="center"/>
      <w:textAlignment w:val="auto"/>
      <w:rPr>
        <w:rFonts w:hint="default" w:eastAsia="仿宋"/>
        <w:lang w:val="en-US" w:eastAsia="zh-CN"/>
      </w:rPr>
    </w:pPr>
    <w:r>
      <w:rPr>
        <w:rFonts w:hint="eastAsia" w:ascii="仿宋" w:hAnsi="仿宋" w:eastAsia="仿宋"/>
      </w:rPr>
      <w:t xml:space="preserve">山东同力建设项目管理有限公司 </w:t>
    </w:r>
    <w:r>
      <w:rPr>
        <w:rFonts w:ascii="仿宋" w:hAnsi="仿宋" w:eastAsia="仿宋"/>
      </w:rPr>
      <w:t xml:space="preserve">      </w:t>
    </w:r>
    <w:r>
      <w:rPr>
        <w:rFonts w:hint="eastAsia" w:ascii="仿宋" w:hAnsi="仿宋" w:eastAsia="仿宋"/>
        <w:lang w:val="en-US" w:eastAsia="zh-CN"/>
      </w:rPr>
      <w:t xml:space="preserve">         </w:t>
    </w:r>
    <w:r>
      <w:rPr>
        <w:rFonts w:ascii="仿宋" w:hAnsi="仿宋" w:eastAsia="仿宋"/>
      </w:rPr>
      <w:t xml:space="preserve"> </w:t>
    </w:r>
    <w:r>
      <w:rPr>
        <w:rFonts w:hint="eastAsia" w:ascii="仿宋" w:hAnsi="仿宋" w:eastAsia="仿宋"/>
      </w:rPr>
      <w:t xml:space="preserve"> </w:t>
    </w:r>
    <w:r>
      <w:fldChar w:fldCharType="begin"/>
    </w:r>
    <w:r>
      <w:instrText xml:space="preserve"> PAGE   \* MERGEFORMAT </w:instrText>
    </w:r>
    <w:r>
      <w:fldChar w:fldCharType="separate"/>
    </w:r>
    <w:r>
      <w:rPr>
        <w:lang w:val="zh-CN"/>
      </w:rPr>
      <w:t>1</w:t>
    </w:r>
    <w:r>
      <w:rPr>
        <w:lang w:val="zh-CN"/>
      </w:rPr>
      <w:fldChar w:fldCharType="end"/>
    </w:r>
    <w:r>
      <w:rPr>
        <w:lang w:val="zh-CN"/>
      </w:rPr>
      <w:t xml:space="preserve">          </w:t>
    </w:r>
    <w:r>
      <w:rPr>
        <w:rFonts w:hint="eastAsia"/>
        <w:lang w:val="en-US" w:eastAsia="zh-CN"/>
      </w:rPr>
      <w:t xml:space="preserve">  </w:t>
    </w:r>
    <w:r>
      <w:rPr>
        <w:lang w:val="zh-CN"/>
      </w:rPr>
      <w:t xml:space="preserve">        </w:t>
    </w:r>
    <w:r>
      <w:rPr>
        <w:rFonts w:hint="eastAsia"/>
        <w:lang w:val="en-US" w:eastAsia="zh-CN"/>
      </w:rPr>
      <w:t xml:space="preserve">        </w:t>
    </w:r>
    <w:r>
      <w:rPr>
        <w:lang w:val="zh-CN"/>
      </w:rPr>
      <w:t xml:space="preserve">    </w:t>
    </w:r>
    <w:r>
      <w:rPr>
        <w:rFonts w:ascii="仿宋" w:hAnsi="仿宋" w:eastAsia="仿宋"/>
      </w:rPr>
      <w:t>0631-</w:t>
    </w:r>
    <w:r>
      <w:rPr>
        <w:rFonts w:hint="eastAsia" w:ascii="仿宋" w:hAnsi="仿宋" w:eastAsia="仿宋"/>
      </w:rPr>
      <w:t>5</w:t>
    </w:r>
    <w:r>
      <w:rPr>
        <w:rFonts w:ascii="仿宋" w:hAnsi="仿宋" w:eastAsia="仿宋"/>
      </w:rPr>
      <w:t>8</w:t>
    </w:r>
    <w:r>
      <w:rPr>
        <w:rFonts w:hint="eastAsia" w:ascii="仿宋" w:hAnsi="仿宋" w:eastAsia="仿宋"/>
        <w:lang w:val="en-US" w:eastAsia="zh-CN"/>
      </w:rPr>
      <w:t>12098</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AB874">
    <w:pPr>
      <w:spacing w:after="120" w:afterLines="50" w:line="360" w:lineRule="auto"/>
      <w:jc w:val="left"/>
      <w:rPr>
        <w:rFonts w:ascii="仿宋" w:hAnsi="仿宋" w:eastAsia="仿宋"/>
        <w:color w:val="80808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DCF392">
    <w:pPr>
      <w:widowControl/>
      <w:pBdr>
        <w:bottom w:val="single" w:color="auto" w:sz="4" w:space="0"/>
      </w:pBdr>
      <w:spacing w:line="240" w:lineRule="auto"/>
      <w:jc w:val="right"/>
      <w:rPr>
        <w:rFonts w:ascii="仿宋" w:hAnsi="仿宋" w:eastAsia="仿宋"/>
        <w:color w:val="808080"/>
        <w:u w:val="none"/>
      </w:rPr>
    </w:pPr>
    <w:r>
      <w:rPr>
        <w:rFonts w:hint="eastAsia" w:ascii="仿宋" w:hAnsi="仿宋" w:eastAsia="仿宋"/>
        <w:color w:val="808080"/>
        <w:u w:val="none"/>
        <w:lang w:eastAsia="zh-CN"/>
      </w:rPr>
      <w:t>选定五金杂品及劳保用品供应单位</w:t>
    </w:r>
    <w:r>
      <w:rPr>
        <w:rFonts w:hint="eastAsia" w:ascii="仿宋" w:hAnsi="仿宋" w:eastAsia="仿宋"/>
        <w:color w:val="808080"/>
        <w:u w:val="none"/>
      </w:rPr>
      <w:t>招标文件</w:t>
    </w:r>
    <w:r>
      <w:rPr>
        <w:rFonts w:hint="eastAsia" w:ascii="仿宋" w:hAnsi="仿宋" w:eastAsia="仿宋"/>
        <w:color w:val="808080"/>
        <w:u w:val="none"/>
      </w:rPr>
      <w:fldChar w:fldCharType="begin"/>
    </w:r>
    <w:r>
      <w:rPr>
        <w:rFonts w:hint="eastAsia" w:ascii="仿宋" w:hAnsi="仿宋" w:eastAsia="仿宋"/>
        <w:color w:val="808080"/>
        <w:u w:val="none"/>
      </w:rPr>
      <w:instrText xml:space="preserve">&lt;MK&gt; org.organname &lt;/MK&gt;</w:instrText>
    </w:r>
    <w:r>
      <w:rPr>
        <w:rFonts w:hint="eastAsia" w:ascii="仿宋" w:hAnsi="仿宋" w:eastAsia="仿宋"/>
        <w:color w:val="808080"/>
        <w:u w:val="none"/>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663E99">
    <w:pPr>
      <w:pStyle w:val="33"/>
    </w:pPr>
  </w:p>
  <w:p w14:paraId="0B653F12"/>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462031">
    <w:pPr>
      <w:pStyle w:val="33"/>
    </w:pPr>
  </w:p>
  <w:p w14:paraId="7BAE6BF3"/>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D0EAE6">
    <w:pPr>
      <w:pStyle w:val="33"/>
    </w:pPr>
  </w:p>
  <w:p w14:paraId="72201A7F"/>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A05E8D">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09497D"/>
    <w:multiLevelType w:val="multilevel"/>
    <w:tmpl w:val="7F09497D"/>
    <w:lvl w:ilvl="0" w:tentative="0">
      <w:start w:val="1"/>
      <w:numFmt w:val="japaneseCounting"/>
      <w:lvlText w:val="第%1章"/>
      <w:lvlJc w:val="left"/>
      <w:pPr>
        <w:ind w:left="1440" w:hanging="1440"/>
      </w:pPr>
      <w:rPr>
        <w:rFonts w:hint="eastAsia" w:ascii="宋体" w:hAnsi="宋体" w:eastAsia="宋体"/>
        <w:b/>
        <w:sz w:val="40"/>
      </w:rPr>
    </w:lvl>
    <w:lvl w:ilvl="1" w:tentative="0">
      <w:start w:val="1"/>
      <w:numFmt w:val="lowerLetter"/>
      <w:pStyle w:val="381"/>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0"/>
  <w:bordersDoNotSurroundFooter w:val="0"/>
  <w:hideSpellingErrors/>
  <w:doNotTrackMoves/>
  <w:documentProtection w:enforcement="0"/>
  <w:defaultTabStop w:val="420"/>
  <w:drawingGridHorizontalSpacing w:val="105"/>
  <w:drawingGridVerticalSpacing w:val="157"/>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MxMzNmNmU5NjQ4MmQxNjZkYzRkNWUwOWQ2YmE3ZGYifQ=="/>
  </w:docVars>
  <w:rsids>
    <w:rsidRoot w:val="00EF492A"/>
    <w:rsid w:val="000002BA"/>
    <w:rsid w:val="00000511"/>
    <w:rsid w:val="00000A67"/>
    <w:rsid w:val="00000EA7"/>
    <w:rsid w:val="00000F14"/>
    <w:rsid w:val="00000FFE"/>
    <w:rsid w:val="00001132"/>
    <w:rsid w:val="000024A8"/>
    <w:rsid w:val="00002CCB"/>
    <w:rsid w:val="00003E1B"/>
    <w:rsid w:val="00004586"/>
    <w:rsid w:val="000045DD"/>
    <w:rsid w:val="00004B4B"/>
    <w:rsid w:val="00004EFA"/>
    <w:rsid w:val="000057DC"/>
    <w:rsid w:val="00006451"/>
    <w:rsid w:val="00007AE7"/>
    <w:rsid w:val="00011721"/>
    <w:rsid w:val="000118A6"/>
    <w:rsid w:val="00011FBC"/>
    <w:rsid w:val="000120E9"/>
    <w:rsid w:val="000125FB"/>
    <w:rsid w:val="00014002"/>
    <w:rsid w:val="00014AEE"/>
    <w:rsid w:val="00015718"/>
    <w:rsid w:val="00015902"/>
    <w:rsid w:val="00017364"/>
    <w:rsid w:val="000173EA"/>
    <w:rsid w:val="00017CF8"/>
    <w:rsid w:val="0002027C"/>
    <w:rsid w:val="00020400"/>
    <w:rsid w:val="00022BD0"/>
    <w:rsid w:val="00023776"/>
    <w:rsid w:val="000246D1"/>
    <w:rsid w:val="00025156"/>
    <w:rsid w:val="0002548D"/>
    <w:rsid w:val="0002561A"/>
    <w:rsid w:val="00025CC5"/>
    <w:rsid w:val="00026D2E"/>
    <w:rsid w:val="00030ABD"/>
    <w:rsid w:val="00031A87"/>
    <w:rsid w:val="00031B64"/>
    <w:rsid w:val="0003236B"/>
    <w:rsid w:val="000339F8"/>
    <w:rsid w:val="00033BEE"/>
    <w:rsid w:val="00033E52"/>
    <w:rsid w:val="0003461A"/>
    <w:rsid w:val="00034D75"/>
    <w:rsid w:val="0003586F"/>
    <w:rsid w:val="00035E0A"/>
    <w:rsid w:val="000360F1"/>
    <w:rsid w:val="0003766E"/>
    <w:rsid w:val="00037B0C"/>
    <w:rsid w:val="00040A2E"/>
    <w:rsid w:val="00040DB1"/>
    <w:rsid w:val="00041068"/>
    <w:rsid w:val="0004135A"/>
    <w:rsid w:val="00041C8B"/>
    <w:rsid w:val="00041D07"/>
    <w:rsid w:val="000425A1"/>
    <w:rsid w:val="0004293F"/>
    <w:rsid w:val="00043604"/>
    <w:rsid w:val="000443D7"/>
    <w:rsid w:val="00044B1F"/>
    <w:rsid w:val="00047A8A"/>
    <w:rsid w:val="00047BB8"/>
    <w:rsid w:val="000501C2"/>
    <w:rsid w:val="000505E3"/>
    <w:rsid w:val="00051160"/>
    <w:rsid w:val="00051346"/>
    <w:rsid w:val="00051A58"/>
    <w:rsid w:val="0005297E"/>
    <w:rsid w:val="00052B78"/>
    <w:rsid w:val="0005302B"/>
    <w:rsid w:val="0005326C"/>
    <w:rsid w:val="000534D4"/>
    <w:rsid w:val="00054096"/>
    <w:rsid w:val="00054EA7"/>
    <w:rsid w:val="00055FF6"/>
    <w:rsid w:val="00060F97"/>
    <w:rsid w:val="000613F0"/>
    <w:rsid w:val="000619F0"/>
    <w:rsid w:val="00061DE2"/>
    <w:rsid w:val="00062667"/>
    <w:rsid w:val="000628BE"/>
    <w:rsid w:val="00062E77"/>
    <w:rsid w:val="00062EDE"/>
    <w:rsid w:val="0006318E"/>
    <w:rsid w:val="00063CBD"/>
    <w:rsid w:val="00063E26"/>
    <w:rsid w:val="00063FC4"/>
    <w:rsid w:val="00064E76"/>
    <w:rsid w:val="000654CC"/>
    <w:rsid w:val="00066330"/>
    <w:rsid w:val="00066985"/>
    <w:rsid w:val="00067ABA"/>
    <w:rsid w:val="000706A2"/>
    <w:rsid w:val="00070BE8"/>
    <w:rsid w:val="000710EA"/>
    <w:rsid w:val="000720DE"/>
    <w:rsid w:val="00072257"/>
    <w:rsid w:val="00072E78"/>
    <w:rsid w:val="000746EB"/>
    <w:rsid w:val="00077B7B"/>
    <w:rsid w:val="00080F28"/>
    <w:rsid w:val="000814DD"/>
    <w:rsid w:val="0008297B"/>
    <w:rsid w:val="000829F0"/>
    <w:rsid w:val="00082C05"/>
    <w:rsid w:val="00083055"/>
    <w:rsid w:val="00083426"/>
    <w:rsid w:val="00083587"/>
    <w:rsid w:val="00083941"/>
    <w:rsid w:val="00083C8B"/>
    <w:rsid w:val="000856F6"/>
    <w:rsid w:val="00086EDB"/>
    <w:rsid w:val="0008723D"/>
    <w:rsid w:val="000873E7"/>
    <w:rsid w:val="000874B5"/>
    <w:rsid w:val="000879CE"/>
    <w:rsid w:val="000913EC"/>
    <w:rsid w:val="00091CF0"/>
    <w:rsid w:val="00092563"/>
    <w:rsid w:val="00092907"/>
    <w:rsid w:val="00092DA3"/>
    <w:rsid w:val="00092DBB"/>
    <w:rsid w:val="00092E1F"/>
    <w:rsid w:val="00094CF1"/>
    <w:rsid w:val="000955B7"/>
    <w:rsid w:val="000977A1"/>
    <w:rsid w:val="00097CDA"/>
    <w:rsid w:val="00097D73"/>
    <w:rsid w:val="000A1BD5"/>
    <w:rsid w:val="000A3010"/>
    <w:rsid w:val="000A3011"/>
    <w:rsid w:val="000A4D68"/>
    <w:rsid w:val="000A5000"/>
    <w:rsid w:val="000A518E"/>
    <w:rsid w:val="000A5591"/>
    <w:rsid w:val="000A725A"/>
    <w:rsid w:val="000A7D27"/>
    <w:rsid w:val="000B214F"/>
    <w:rsid w:val="000B3598"/>
    <w:rsid w:val="000B393B"/>
    <w:rsid w:val="000B3A93"/>
    <w:rsid w:val="000B429A"/>
    <w:rsid w:val="000B4AA1"/>
    <w:rsid w:val="000B4C3B"/>
    <w:rsid w:val="000B5886"/>
    <w:rsid w:val="000B592D"/>
    <w:rsid w:val="000B6543"/>
    <w:rsid w:val="000B6A10"/>
    <w:rsid w:val="000B6E37"/>
    <w:rsid w:val="000B7880"/>
    <w:rsid w:val="000B7FC8"/>
    <w:rsid w:val="000C276A"/>
    <w:rsid w:val="000C3246"/>
    <w:rsid w:val="000C5073"/>
    <w:rsid w:val="000C7C52"/>
    <w:rsid w:val="000D07D4"/>
    <w:rsid w:val="000D0CE7"/>
    <w:rsid w:val="000D1CDD"/>
    <w:rsid w:val="000D2B64"/>
    <w:rsid w:val="000D2EDD"/>
    <w:rsid w:val="000D3539"/>
    <w:rsid w:val="000D3DDE"/>
    <w:rsid w:val="000D4679"/>
    <w:rsid w:val="000D4E44"/>
    <w:rsid w:val="000D4F16"/>
    <w:rsid w:val="000D6186"/>
    <w:rsid w:val="000D72BD"/>
    <w:rsid w:val="000D7751"/>
    <w:rsid w:val="000D7884"/>
    <w:rsid w:val="000E1295"/>
    <w:rsid w:val="000E170A"/>
    <w:rsid w:val="000E1C5A"/>
    <w:rsid w:val="000E2442"/>
    <w:rsid w:val="000E2B93"/>
    <w:rsid w:val="000E3603"/>
    <w:rsid w:val="000E369B"/>
    <w:rsid w:val="000E370D"/>
    <w:rsid w:val="000E3D3C"/>
    <w:rsid w:val="000E3EA5"/>
    <w:rsid w:val="000E41C3"/>
    <w:rsid w:val="000E4B64"/>
    <w:rsid w:val="000E59BA"/>
    <w:rsid w:val="000E61B8"/>
    <w:rsid w:val="000E6BC6"/>
    <w:rsid w:val="000E7911"/>
    <w:rsid w:val="000E7CFD"/>
    <w:rsid w:val="000F067A"/>
    <w:rsid w:val="000F0D7C"/>
    <w:rsid w:val="000F1304"/>
    <w:rsid w:val="000F1A9B"/>
    <w:rsid w:val="000F1FEB"/>
    <w:rsid w:val="000F2C01"/>
    <w:rsid w:val="000F2D7D"/>
    <w:rsid w:val="000F37F9"/>
    <w:rsid w:val="000F5763"/>
    <w:rsid w:val="000F5834"/>
    <w:rsid w:val="000F632C"/>
    <w:rsid w:val="000F7231"/>
    <w:rsid w:val="000F7810"/>
    <w:rsid w:val="001001A2"/>
    <w:rsid w:val="001018A2"/>
    <w:rsid w:val="00102107"/>
    <w:rsid w:val="00102396"/>
    <w:rsid w:val="001054EF"/>
    <w:rsid w:val="00106D70"/>
    <w:rsid w:val="00107FB0"/>
    <w:rsid w:val="001108A2"/>
    <w:rsid w:val="00111B0F"/>
    <w:rsid w:val="00111D50"/>
    <w:rsid w:val="00112845"/>
    <w:rsid w:val="0011307A"/>
    <w:rsid w:val="001133BC"/>
    <w:rsid w:val="00113E4B"/>
    <w:rsid w:val="00113F3A"/>
    <w:rsid w:val="00115310"/>
    <w:rsid w:val="001162AE"/>
    <w:rsid w:val="0011645F"/>
    <w:rsid w:val="00116A7C"/>
    <w:rsid w:val="00116F8A"/>
    <w:rsid w:val="0011707A"/>
    <w:rsid w:val="00117D72"/>
    <w:rsid w:val="00122204"/>
    <w:rsid w:val="0012253B"/>
    <w:rsid w:val="0012273C"/>
    <w:rsid w:val="00122955"/>
    <w:rsid w:val="00123622"/>
    <w:rsid w:val="00123C5D"/>
    <w:rsid w:val="00125308"/>
    <w:rsid w:val="00125BE1"/>
    <w:rsid w:val="00126E4D"/>
    <w:rsid w:val="001279DD"/>
    <w:rsid w:val="00130BAD"/>
    <w:rsid w:val="00131D4D"/>
    <w:rsid w:val="00133549"/>
    <w:rsid w:val="0013466A"/>
    <w:rsid w:val="001350AC"/>
    <w:rsid w:val="00135450"/>
    <w:rsid w:val="00135C1B"/>
    <w:rsid w:val="0013671B"/>
    <w:rsid w:val="00140387"/>
    <w:rsid w:val="001405CC"/>
    <w:rsid w:val="001412E5"/>
    <w:rsid w:val="0014202C"/>
    <w:rsid w:val="00142B56"/>
    <w:rsid w:val="00142C9C"/>
    <w:rsid w:val="00142D2E"/>
    <w:rsid w:val="001430F7"/>
    <w:rsid w:val="00143406"/>
    <w:rsid w:val="00143636"/>
    <w:rsid w:val="0014431E"/>
    <w:rsid w:val="00144538"/>
    <w:rsid w:val="00144652"/>
    <w:rsid w:val="0014507C"/>
    <w:rsid w:val="001469D6"/>
    <w:rsid w:val="00146D5F"/>
    <w:rsid w:val="0014707A"/>
    <w:rsid w:val="0014708E"/>
    <w:rsid w:val="001476D0"/>
    <w:rsid w:val="0015069E"/>
    <w:rsid w:val="00152B94"/>
    <w:rsid w:val="00153012"/>
    <w:rsid w:val="001533FD"/>
    <w:rsid w:val="00153AD0"/>
    <w:rsid w:val="00154100"/>
    <w:rsid w:val="00154754"/>
    <w:rsid w:val="00154CFD"/>
    <w:rsid w:val="00156454"/>
    <w:rsid w:val="00156E92"/>
    <w:rsid w:val="001572F4"/>
    <w:rsid w:val="001579BB"/>
    <w:rsid w:val="00160A63"/>
    <w:rsid w:val="00161C29"/>
    <w:rsid w:val="00164CCE"/>
    <w:rsid w:val="00164D65"/>
    <w:rsid w:val="00165518"/>
    <w:rsid w:val="00165A19"/>
    <w:rsid w:val="00165DB6"/>
    <w:rsid w:val="0016646B"/>
    <w:rsid w:val="001673AA"/>
    <w:rsid w:val="00167451"/>
    <w:rsid w:val="00167C04"/>
    <w:rsid w:val="00170114"/>
    <w:rsid w:val="00170655"/>
    <w:rsid w:val="0017066C"/>
    <w:rsid w:val="00170FEA"/>
    <w:rsid w:val="001717F7"/>
    <w:rsid w:val="00171C65"/>
    <w:rsid w:val="001726B5"/>
    <w:rsid w:val="0017290B"/>
    <w:rsid w:val="00173101"/>
    <w:rsid w:val="00175374"/>
    <w:rsid w:val="00176705"/>
    <w:rsid w:val="0017766C"/>
    <w:rsid w:val="00177729"/>
    <w:rsid w:val="00177ED7"/>
    <w:rsid w:val="00180335"/>
    <w:rsid w:val="00180B3C"/>
    <w:rsid w:val="00181603"/>
    <w:rsid w:val="00181C6E"/>
    <w:rsid w:val="00181F7B"/>
    <w:rsid w:val="001829CB"/>
    <w:rsid w:val="00182B98"/>
    <w:rsid w:val="001831C4"/>
    <w:rsid w:val="00183DAE"/>
    <w:rsid w:val="00185DD4"/>
    <w:rsid w:val="00185DF8"/>
    <w:rsid w:val="00186E4D"/>
    <w:rsid w:val="00187107"/>
    <w:rsid w:val="0018784D"/>
    <w:rsid w:val="001878D7"/>
    <w:rsid w:val="0019057E"/>
    <w:rsid w:val="001918E7"/>
    <w:rsid w:val="00192EE2"/>
    <w:rsid w:val="001947BA"/>
    <w:rsid w:val="00194BA9"/>
    <w:rsid w:val="00195220"/>
    <w:rsid w:val="001957FD"/>
    <w:rsid w:val="00195C7F"/>
    <w:rsid w:val="001A0D4B"/>
    <w:rsid w:val="001A0F3A"/>
    <w:rsid w:val="001A1DC0"/>
    <w:rsid w:val="001A287C"/>
    <w:rsid w:val="001A2FA8"/>
    <w:rsid w:val="001A3483"/>
    <w:rsid w:val="001A37C0"/>
    <w:rsid w:val="001A3ADC"/>
    <w:rsid w:val="001A410F"/>
    <w:rsid w:val="001A4B60"/>
    <w:rsid w:val="001A57A4"/>
    <w:rsid w:val="001A5A07"/>
    <w:rsid w:val="001A653E"/>
    <w:rsid w:val="001A6E98"/>
    <w:rsid w:val="001A7323"/>
    <w:rsid w:val="001A7635"/>
    <w:rsid w:val="001A7A81"/>
    <w:rsid w:val="001B023C"/>
    <w:rsid w:val="001B05A9"/>
    <w:rsid w:val="001B0850"/>
    <w:rsid w:val="001B10A7"/>
    <w:rsid w:val="001B1435"/>
    <w:rsid w:val="001B243F"/>
    <w:rsid w:val="001B4660"/>
    <w:rsid w:val="001B6774"/>
    <w:rsid w:val="001C05F8"/>
    <w:rsid w:val="001C09E7"/>
    <w:rsid w:val="001C146F"/>
    <w:rsid w:val="001C1717"/>
    <w:rsid w:val="001C1975"/>
    <w:rsid w:val="001C1BA2"/>
    <w:rsid w:val="001C1BDF"/>
    <w:rsid w:val="001C1CC7"/>
    <w:rsid w:val="001C2080"/>
    <w:rsid w:val="001C3A6C"/>
    <w:rsid w:val="001C504D"/>
    <w:rsid w:val="001C52CF"/>
    <w:rsid w:val="001C5BFB"/>
    <w:rsid w:val="001C6553"/>
    <w:rsid w:val="001C784F"/>
    <w:rsid w:val="001C7CFC"/>
    <w:rsid w:val="001D064C"/>
    <w:rsid w:val="001D194D"/>
    <w:rsid w:val="001D1ED7"/>
    <w:rsid w:val="001D2E34"/>
    <w:rsid w:val="001D317E"/>
    <w:rsid w:val="001D4FA6"/>
    <w:rsid w:val="001D4FD9"/>
    <w:rsid w:val="001D501D"/>
    <w:rsid w:val="001D50D4"/>
    <w:rsid w:val="001D6505"/>
    <w:rsid w:val="001D65EA"/>
    <w:rsid w:val="001D6A7B"/>
    <w:rsid w:val="001D7A6C"/>
    <w:rsid w:val="001D7ED2"/>
    <w:rsid w:val="001E0378"/>
    <w:rsid w:val="001E0DAE"/>
    <w:rsid w:val="001E101D"/>
    <w:rsid w:val="001E1AD3"/>
    <w:rsid w:val="001E363C"/>
    <w:rsid w:val="001E3DE8"/>
    <w:rsid w:val="001E50AD"/>
    <w:rsid w:val="001E5813"/>
    <w:rsid w:val="001E5DF5"/>
    <w:rsid w:val="001E5E41"/>
    <w:rsid w:val="001E61B2"/>
    <w:rsid w:val="001E75E7"/>
    <w:rsid w:val="001F108F"/>
    <w:rsid w:val="001F173C"/>
    <w:rsid w:val="001F2F91"/>
    <w:rsid w:val="001F367A"/>
    <w:rsid w:val="001F39CA"/>
    <w:rsid w:val="001F3BC0"/>
    <w:rsid w:val="001F3DA9"/>
    <w:rsid w:val="001F52D4"/>
    <w:rsid w:val="001F55C1"/>
    <w:rsid w:val="001F5BE4"/>
    <w:rsid w:val="001F5CD9"/>
    <w:rsid w:val="001F666C"/>
    <w:rsid w:val="001F68A8"/>
    <w:rsid w:val="001F7811"/>
    <w:rsid w:val="00201DFF"/>
    <w:rsid w:val="002021C4"/>
    <w:rsid w:val="002027BC"/>
    <w:rsid w:val="002027CC"/>
    <w:rsid w:val="0020301F"/>
    <w:rsid w:val="002047FE"/>
    <w:rsid w:val="002066D4"/>
    <w:rsid w:val="00206EC9"/>
    <w:rsid w:val="002106CD"/>
    <w:rsid w:val="00210A96"/>
    <w:rsid w:val="00210BBF"/>
    <w:rsid w:val="00211036"/>
    <w:rsid w:val="002118EC"/>
    <w:rsid w:val="002129BA"/>
    <w:rsid w:val="0021329F"/>
    <w:rsid w:val="002143D1"/>
    <w:rsid w:val="00215D55"/>
    <w:rsid w:val="00215DDB"/>
    <w:rsid w:val="00216454"/>
    <w:rsid w:val="0021736B"/>
    <w:rsid w:val="002175DB"/>
    <w:rsid w:val="002178E5"/>
    <w:rsid w:val="002203EB"/>
    <w:rsid w:val="00220732"/>
    <w:rsid w:val="00220817"/>
    <w:rsid w:val="002220A1"/>
    <w:rsid w:val="002225CE"/>
    <w:rsid w:val="002236B2"/>
    <w:rsid w:val="002257A9"/>
    <w:rsid w:val="002261EE"/>
    <w:rsid w:val="00226EFD"/>
    <w:rsid w:val="00230413"/>
    <w:rsid w:val="0023063B"/>
    <w:rsid w:val="00230BED"/>
    <w:rsid w:val="00230EE5"/>
    <w:rsid w:val="00231AF6"/>
    <w:rsid w:val="00231D7F"/>
    <w:rsid w:val="00231E1E"/>
    <w:rsid w:val="00233216"/>
    <w:rsid w:val="00233791"/>
    <w:rsid w:val="00233AD1"/>
    <w:rsid w:val="00233B7B"/>
    <w:rsid w:val="00234F11"/>
    <w:rsid w:val="002352E8"/>
    <w:rsid w:val="00237012"/>
    <w:rsid w:val="0024054B"/>
    <w:rsid w:val="00241927"/>
    <w:rsid w:val="002425CC"/>
    <w:rsid w:val="0024297F"/>
    <w:rsid w:val="00242983"/>
    <w:rsid w:val="0024323D"/>
    <w:rsid w:val="00243B4C"/>
    <w:rsid w:val="00246825"/>
    <w:rsid w:val="002473AF"/>
    <w:rsid w:val="002473D0"/>
    <w:rsid w:val="002473E5"/>
    <w:rsid w:val="002475C4"/>
    <w:rsid w:val="00247C0C"/>
    <w:rsid w:val="002501EB"/>
    <w:rsid w:val="00250651"/>
    <w:rsid w:val="0025069B"/>
    <w:rsid w:val="00250BEA"/>
    <w:rsid w:val="00251662"/>
    <w:rsid w:val="002518E8"/>
    <w:rsid w:val="00253838"/>
    <w:rsid w:val="00253E3F"/>
    <w:rsid w:val="0025400E"/>
    <w:rsid w:val="0025558D"/>
    <w:rsid w:val="00255590"/>
    <w:rsid w:val="002568E4"/>
    <w:rsid w:val="0025695E"/>
    <w:rsid w:val="00257066"/>
    <w:rsid w:val="00260816"/>
    <w:rsid w:val="00260FA9"/>
    <w:rsid w:val="00261356"/>
    <w:rsid w:val="00261890"/>
    <w:rsid w:val="002621D5"/>
    <w:rsid w:val="0026237B"/>
    <w:rsid w:val="002624C1"/>
    <w:rsid w:val="00262596"/>
    <w:rsid w:val="002646F8"/>
    <w:rsid w:val="0026554B"/>
    <w:rsid w:val="00265778"/>
    <w:rsid w:val="00265783"/>
    <w:rsid w:val="00265EF3"/>
    <w:rsid w:val="00266AF5"/>
    <w:rsid w:val="00266FFF"/>
    <w:rsid w:val="00267405"/>
    <w:rsid w:val="002677B9"/>
    <w:rsid w:val="00270A53"/>
    <w:rsid w:val="00270C1A"/>
    <w:rsid w:val="00272A77"/>
    <w:rsid w:val="00273183"/>
    <w:rsid w:val="0027345D"/>
    <w:rsid w:val="00273E63"/>
    <w:rsid w:val="00274280"/>
    <w:rsid w:val="00274E7A"/>
    <w:rsid w:val="00275556"/>
    <w:rsid w:val="002762CB"/>
    <w:rsid w:val="00276558"/>
    <w:rsid w:val="0028108E"/>
    <w:rsid w:val="002811E8"/>
    <w:rsid w:val="00282590"/>
    <w:rsid w:val="00282A44"/>
    <w:rsid w:val="00282D30"/>
    <w:rsid w:val="00285329"/>
    <w:rsid w:val="002863B4"/>
    <w:rsid w:val="0028796B"/>
    <w:rsid w:val="00287AF7"/>
    <w:rsid w:val="00290034"/>
    <w:rsid w:val="0029181A"/>
    <w:rsid w:val="00291DB5"/>
    <w:rsid w:val="00292F2B"/>
    <w:rsid w:val="00293984"/>
    <w:rsid w:val="00294787"/>
    <w:rsid w:val="00294E04"/>
    <w:rsid w:val="00295CA4"/>
    <w:rsid w:val="00297079"/>
    <w:rsid w:val="002972E7"/>
    <w:rsid w:val="00297998"/>
    <w:rsid w:val="002A00C2"/>
    <w:rsid w:val="002A1088"/>
    <w:rsid w:val="002A1BFD"/>
    <w:rsid w:val="002A2834"/>
    <w:rsid w:val="002A2ABA"/>
    <w:rsid w:val="002A3EBB"/>
    <w:rsid w:val="002A40FF"/>
    <w:rsid w:val="002A4727"/>
    <w:rsid w:val="002A4D75"/>
    <w:rsid w:val="002A665E"/>
    <w:rsid w:val="002B1956"/>
    <w:rsid w:val="002B4186"/>
    <w:rsid w:val="002B608A"/>
    <w:rsid w:val="002B6227"/>
    <w:rsid w:val="002B63E9"/>
    <w:rsid w:val="002B6B25"/>
    <w:rsid w:val="002B6CDC"/>
    <w:rsid w:val="002B7202"/>
    <w:rsid w:val="002C12BB"/>
    <w:rsid w:val="002C20FD"/>
    <w:rsid w:val="002C2796"/>
    <w:rsid w:val="002C5F5A"/>
    <w:rsid w:val="002C64B5"/>
    <w:rsid w:val="002C6C66"/>
    <w:rsid w:val="002C6DF1"/>
    <w:rsid w:val="002C7323"/>
    <w:rsid w:val="002C73F1"/>
    <w:rsid w:val="002D0AFD"/>
    <w:rsid w:val="002D0CB4"/>
    <w:rsid w:val="002D1FDE"/>
    <w:rsid w:val="002D2EAE"/>
    <w:rsid w:val="002D34CF"/>
    <w:rsid w:val="002D35ED"/>
    <w:rsid w:val="002D4170"/>
    <w:rsid w:val="002D470C"/>
    <w:rsid w:val="002D49FE"/>
    <w:rsid w:val="002D4C9E"/>
    <w:rsid w:val="002D6C77"/>
    <w:rsid w:val="002E0355"/>
    <w:rsid w:val="002E0E46"/>
    <w:rsid w:val="002E11B4"/>
    <w:rsid w:val="002E1792"/>
    <w:rsid w:val="002E2B13"/>
    <w:rsid w:val="002E3ECF"/>
    <w:rsid w:val="002E3F8E"/>
    <w:rsid w:val="002E4595"/>
    <w:rsid w:val="002E4EF3"/>
    <w:rsid w:val="002E76AE"/>
    <w:rsid w:val="002E79A5"/>
    <w:rsid w:val="002F070F"/>
    <w:rsid w:val="002F0BDA"/>
    <w:rsid w:val="002F0C4E"/>
    <w:rsid w:val="002F0FCB"/>
    <w:rsid w:val="002F31EA"/>
    <w:rsid w:val="002F343A"/>
    <w:rsid w:val="002F3C1D"/>
    <w:rsid w:val="002F3D60"/>
    <w:rsid w:val="002F3E89"/>
    <w:rsid w:val="002F492A"/>
    <w:rsid w:val="002F52A6"/>
    <w:rsid w:val="002F656E"/>
    <w:rsid w:val="002F6E1F"/>
    <w:rsid w:val="002F764B"/>
    <w:rsid w:val="002F7B17"/>
    <w:rsid w:val="00300042"/>
    <w:rsid w:val="003014F1"/>
    <w:rsid w:val="003019F5"/>
    <w:rsid w:val="00301E58"/>
    <w:rsid w:val="00301F2D"/>
    <w:rsid w:val="00301FD6"/>
    <w:rsid w:val="003021BE"/>
    <w:rsid w:val="003027A6"/>
    <w:rsid w:val="0030282D"/>
    <w:rsid w:val="003029FA"/>
    <w:rsid w:val="00302B5B"/>
    <w:rsid w:val="0030422B"/>
    <w:rsid w:val="00304AD3"/>
    <w:rsid w:val="00305AAE"/>
    <w:rsid w:val="00305DAA"/>
    <w:rsid w:val="00307063"/>
    <w:rsid w:val="0031045E"/>
    <w:rsid w:val="003107EB"/>
    <w:rsid w:val="00310A47"/>
    <w:rsid w:val="0031126E"/>
    <w:rsid w:val="00311515"/>
    <w:rsid w:val="00311C38"/>
    <w:rsid w:val="00312135"/>
    <w:rsid w:val="0031240A"/>
    <w:rsid w:val="00312B24"/>
    <w:rsid w:val="00313528"/>
    <w:rsid w:val="003135AC"/>
    <w:rsid w:val="00313781"/>
    <w:rsid w:val="003139B6"/>
    <w:rsid w:val="00313D72"/>
    <w:rsid w:val="00314300"/>
    <w:rsid w:val="003145CC"/>
    <w:rsid w:val="00315685"/>
    <w:rsid w:val="0031601D"/>
    <w:rsid w:val="00316C99"/>
    <w:rsid w:val="00317886"/>
    <w:rsid w:val="00320627"/>
    <w:rsid w:val="00321BA2"/>
    <w:rsid w:val="00322AA3"/>
    <w:rsid w:val="00322C79"/>
    <w:rsid w:val="003235DD"/>
    <w:rsid w:val="00323C00"/>
    <w:rsid w:val="00323C71"/>
    <w:rsid w:val="00323E98"/>
    <w:rsid w:val="00325FBD"/>
    <w:rsid w:val="00326072"/>
    <w:rsid w:val="00326B0F"/>
    <w:rsid w:val="00326F06"/>
    <w:rsid w:val="00327644"/>
    <w:rsid w:val="00327975"/>
    <w:rsid w:val="00330A8F"/>
    <w:rsid w:val="00331258"/>
    <w:rsid w:val="003316A0"/>
    <w:rsid w:val="00331B67"/>
    <w:rsid w:val="00332ACD"/>
    <w:rsid w:val="00332B47"/>
    <w:rsid w:val="00333179"/>
    <w:rsid w:val="00333C89"/>
    <w:rsid w:val="00336B0C"/>
    <w:rsid w:val="00336CD3"/>
    <w:rsid w:val="00337D92"/>
    <w:rsid w:val="00337FB7"/>
    <w:rsid w:val="0034003C"/>
    <w:rsid w:val="003401AC"/>
    <w:rsid w:val="00340388"/>
    <w:rsid w:val="003407FB"/>
    <w:rsid w:val="00340800"/>
    <w:rsid w:val="00341444"/>
    <w:rsid w:val="00341621"/>
    <w:rsid w:val="00342720"/>
    <w:rsid w:val="00342AAC"/>
    <w:rsid w:val="00344C07"/>
    <w:rsid w:val="00344EBD"/>
    <w:rsid w:val="0034524D"/>
    <w:rsid w:val="00346121"/>
    <w:rsid w:val="00347BE8"/>
    <w:rsid w:val="00347F7F"/>
    <w:rsid w:val="00352712"/>
    <w:rsid w:val="00353F58"/>
    <w:rsid w:val="00354413"/>
    <w:rsid w:val="003545E5"/>
    <w:rsid w:val="00355A7B"/>
    <w:rsid w:val="003561D3"/>
    <w:rsid w:val="003565E8"/>
    <w:rsid w:val="00356F30"/>
    <w:rsid w:val="003574ED"/>
    <w:rsid w:val="00357D32"/>
    <w:rsid w:val="00360733"/>
    <w:rsid w:val="0036257D"/>
    <w:rsid w:val="0036279E"/>
    <w:rsid w:val="003630CC"/>
    <w:rsid w:val="00365BF4"/>
    <w:rsid w:val="0036605F"/>
    <w:rsid w:val="00366EA5"/>
    <w:rsid w:val="00367FFC"/>
    <w:rsid w:val="0037048E"/>
    <w:rsid w:val="003708AB"/>
    <w:rsid w:val="00371468"/>
    <w:rsid w:val="0037184E"/>
    <w:rsid w:val="003719E5"/>
    <w:rsid w:val="003730E8"/>
    <w:rsid w:val="00374710"/>
    <w:rsid w:val="003762D7"/>
    <w:rsid w:val="00376572"/>
    <w:rsid w:val="00376C48"/>
    <w:rsid w:val="00376EBE"/>
    <w:rsid w:val="003779B2"/>
    <w:rsid w:val="00377F34"/>
    <w:rsid w:val="003808A0"/>
    <w:rsid w:val="00380BFC"/>
    <w:rsid w:val="00380E21"/>
    <w:rsid w:val="00381CF0"/>
    <w:rsid w:val="00381EBD"/>
    <w:rsid w:val="003830C0"/>
    <w:rsid w:val="003837AF"/>
    <w:rsid w:val="00384425"/>
    <w:rsid w:val="0038482D"/>
    <w:rsid w:val="00384E00"/>
    <w:rsid w:val="00385158"/>
    <w:rsid w:val="00385667"/>
    <w:rsid w:val="003858C1"/>
    <w:rsid w:val="003865F1"/>
    <w:rsid w:val="00386A45"/>
    <w:rsid w:val="003871C9"/>
    <w:rsid w:val="00390E18"/>
    <w:rsid w:val="0039107B"/>
    <w:rsid w:val="003916AD"/>
    <w:rsid w:val="00392C71"/>
    <w:rsid w:val="00393042"/>
    <w:rsid w:val="00394CC2"/>
    <w:rsid w:val="00395954"/>
    <w:rsid w:val="00396E6F"/>
    <w:rsid w:val="003A0050"/>
    <w:rsid w:val="003A11FD"/>
    <w:rsid w:val="003A2110"/>
    <w:rsid w:val="003A2239"/>
    <w:rsid w:val="003A2CA1"/>
    <w:rsid w:val="003A3EAD"/>
    <w:rsid w:val="003A44E1"/>
    <w:rsid w:val="003A4FA9"/>
    <w:rsid w:val="003A503E"/>
    <w:rsid w:val="003A52AF"/>
    <w:rsid w:val="003A5BD5"/>
    <w:rsid w:val="003A618E"/>
    <w:rsid w:val="003A6FAD"/>
    <w:rsid w:val="003A7770"/>
    <w:rsid w:val="003B07F5"/>
    <w:rsid w:val="003B0855"/>
    <w:rsid w:val="003B0BE3"/>
    <w:rsid w:val="003B1583"/>
    <w:rsid w:val="003B15EF"/>
    <w:rsid w:val="003B16FE"/>
    <w:rsid w:val="003B1D7C"/>
    <w:rsid w:val="003B1D9C"/>
    <w:rsid w:val="003B2637"/>
    <w:rsid w:val="003B3292"/>
    <w:rsid w:val="003B42CD"/>
    <w:rsid w:val="003B43B0"/>
    <w:rsid w:val="003B4FA2"/>
    <w:rsid w:val="003B53EA"/>
    <w:rsid w:val="003B53FF"/>
    <w:rsid w:val="003B5B7D"/>
    <w:rsid w:val="003B7AE3"/>
    <w:rsid w:val="003C0C84"/>
    <w:rsid w:val="003C0D66"/>
    <w:rsid w:val="003C1177"/>
    <w:rsid w:val="003C124A"/>
    <w:rsid w:val="003C1B3D"/>
    <w:rsid w:val="003C2CEF"/>
    <w:rsid w:val="003C3A1A"/>
    <w:rsid w:val="003C5454"/>
    <w:rsid w:val="003C5547"/>
    <w:rsid w:val="003C5A8E"/>
    <w:rsid w:val="003C5B7A"/>
    <w:rsid w:val="003C5E04"/>
    <w:rsid w:val="003C66C2"/>
    <w:rsid w:val="003C7B2B"/>
    <w:rsid w:val="003C7CD8"/>
    <w:rsid w:val="003C7CFD"/>
    <w:rsid w:val="003D02CF"/>
    <w:rsid w:val="003D12C3"/>
    <w:rsid w:val="003D16D7"/>
    <w:rsid w:val="003D2527"/>
    <w:rsid w:val="003D2EDA"/>
    <w:rsid w:val="003D300B"/>
    <w:rsid w:val="003D3D77"/>
    <w:rsid w:val="003D51EF"/>
    <w:rsid w:val="003D52D2"/>
    <w:rsid w:val="003D5373"/>
    <w:rsid w:val="003D53BC"/>
    <w:rsid w:val="003D58F4"/>
    <w:rsid w:val="003D5B43"/>
    <w:rsid w:val="003D5C90"/>
    <w:rsid w:val="003D5D73"/>
    <w:rsid w:val="003D6EC7"/>
    <w:rsid w:val="003D797D"/>
    <w:rsid w:val="003D7D37"/>
    <w:rsid w:val="003E0249"/>
    <w:rsid w:val="003E032F"/>
    <w:rsid w:val="003E0FA1"/>
    <w:rsid w:val="003E1B02"/>
    <w:rsid w:val="003E2421"/>
    <w:rsid w:val="003E2F64"/>
    <w:rsid w:val="003E4032"/>
    <w:rsid w:val="003E554F"/>
    <w:rsid w:val="003E6070"/>
    <w:rsid w:val="003E71CB"/>
    <w:rsid w:val="003F0E23"/>
    <w:rsid w:val="003F2397"/>
    <w:rsid w:val="003F2A6A"/>
    <w:rsid w:val="003F2ADA"/>
    <w:rsid w:val="003F3222"/>
    <w:rsid w:val="003F36AA"/>
    <w:rsid w:val="003F3D31"/>
    <w:rsid w:val="003F436E"/>
    <w:rsid w:val="003F43BB"/>
    <w:rsid w:val="003F4D1E"/>
    <w:rsid w:val="003F5072"/>
    <w:rsid w:val="003F5563"/>
    <w:rsid w:val="003F57DB"/>
    <w:rsid w:val="003F5AC4"/>
    <w:rsid w:val="003F67B0"/>
    <w:rsid w:val="003F67D4"/>
    <w:rsid w:val="003F6FB8"/>
    <w:rsid w:val="003F76F5"/>
    <w:rsid w:val="003F7949"/>
    <w:rsid w:val="003F7FA7"/>
    <w:rsid w:val="004006CD"/>
    <w:rsid w:val="004010FE"/>
    <w:rsid w:val="004016E1"/>
    <w:rsid w:val="004016E9"/>
    <w:rsid w:val="0040228C"/>
    <w:rsid w:val="00402AA7"/>
    <w:rsid w:val="00402BBE"/>
    <w:rsid w:val="00403A64"/>
    <w:rsid w:val="00403C14"/>
    <w:rsid w:val="00403F2B"/>
    <w:rsid w:val="00404B55"/>
    <w:rsid w:val="004050B8"/>
    <w:rsid w:val="00406016"/>
    <w:rsid w:val="00406234"/>
    <w:rsid w:val="0040673A"/>
    <w:rsid w:val="00406ACC"/>
    <w:rsid w:val="0040769E"/>
    <w:rsid w:val="0041641A"/>
    <w:rsid w:val="00416560"/>
    <w:rsid w:val="0041666C"/>
    <w:rsid w:val="0041731B"/>
    <w:rsid w:val="00417856"/>
    <w:rsid w:val="00420681"/>
    <w:rsid w:val="004212FC"/>
    <w:rsid w:val="00421CF7"/>
    <w:rsid w:val="00421F66"/>
    <w:rsid w:val="00422591"/>
    <w:rsid w:val="00422CFD"/>
    <w:rsid w:val="00423D20"/>
    <w:rsid w:val="00424212"/>
    <w:rsid w:val="004245B1"/>
    <w:rsid w:val="00424932"/>
    <w:rsid w:val="00427B8B"/>
    <w:rsid w:val="004301B4"/>
    <w:rsid w:val="004304D7"/>
    <w:rsid w:val="00430795"/>
    <w:rsid w:val="0043081F"/>
    <w:rsid w:val="00430ACF"/>
    <w:rsid w:val="00430EBA"/>
    <w:rsid w:val="00431353"/>
    <w:rsid w:val="004313CA"/>
    <w:rsid w:val="00431515"/>
    <w:rsid w:val="004358A0"/>
    <w:rsid w:val="00435F87"/>
    <w:rsid w:val="0043631B"/>
    <w:rsid w:val="0043632A"/>
    <w:rsid w:val="00436EAC"/>
    <w:rsid w:val="004406B3"/>
    <w:rsid w:val="0044424E"/>
    <w:rsid w:val="0044525C"/>
    <w:rsid w:val="004461B9"/>
    <w:rsid w:val="0044679B"/>
    <w:rsid w:val="00446BD2"/>
    <w:rsid w:val="00450694"/>
    <w:rsid w:val="00451648"/>
    <w:rsid w:val="00451AB6"/>
    <w:rsid w:val="00452074"/>
    <w:rsid w:val="00452479"/>
    <w:rsid w:val="004544F5"/>
    <w:rsid w:val="00455177"/>
    <w:rsid w:val="00455221"/>
    <w:rsid w:val="004554FF"/>
    <w:rsid w:val="00456BFE"/>
    <w:rsid w:val="00456E3F"/>
    <w:rsid w:val="00457893"/>
    <w:rsid w:val="00457C0D"/>
    <w:rsid w:val="00460983"/>
    <w:rsid w:val="004623D7"/>
    <w:rsid w:val="00462655"/>
    <w:rsid w:val="00462753"/>
    <w:rsid w:val="0046365B"/>
    <w:rsid w:val="00464417"/>
    <w:rsid w:val="0046466E"/>
    <w:rsid w:val="0046670C"/>
    <w:rsid w:val="00466D76"/>
    <w:rsid w:val="00466D79"/>
    <w:rsid w:val="004670B2"/>
    <w:rsid w:val="0046738B"/>
    <w:rsid w:val="00467BA1"/>
    <w:rsid w:val="00467CFC"/>
    <w:rsid w:val="004708DA"/>
    <w:rsid w:val="00473D90"/>
    <w:rsid w:val="00474CD5"/>
    <w:rsid w:val="00474E4F"/>
    <w:rsid w:val="00475369"/>
    <w:rsid w:val="004766D9"/>
    <w:rsid w:val="00477985"/>
    <w:rsid w:val="00480549"/>
    <w:rsid w:val="00480B43"/>
    <w:rsid w:val="00481F10"/>
    <w:rsid w:val="00483072"/>
    <w:rsid w:val="0048359A"/>
    <w:rsid w:val="00483BE7"/>
    <w:rsid w:val="00484B4C"/>
    <w:rsid w:val="00485236"/>
    <w:rsid w:val="004859EB"/>
    <w:rsid w:val="00486174"/>
    <w:rsid w:val="00486D01"/>
    <w:rsid w:val="00487029"/>
    <w:rsid w:val="004902CC"/>
    <w:rsid w:val="0049052D"/>
    <w:rsid w:val="00490B2F"/>
    <w:rsid w:val="00491A27"/>
    <w:rsid w:val="0049203A"/>
    <w:rsid w:val="00492A2D"/>
    <w:rsid w:val="004933CE"/>
    <w:rsid w:val="00493663"/>
    <w:rsid w:val="00494F27"/>
    <w:rsid w:val="0049531A"/>
    <w:rsid w:val="0049569C"/>
    <w:rsid w:val="0049598A"/>
    <w:rsid w:val="00495CA2"/>
    <w:rsid w:val="00495D97"/>
    <w:rsid w:val="004967C0"/>
    <w:rsid w:val="004978E1"/>
    <w:rsid w:val="00497E5D"/>
    <w:rsid w:val="004A09D5"/>
    <w:rsid w:val="004A10F0"/>
    <w:rsid w:val="004A4978"/>
    <w:rsid w:val="004A4C8E"/>
    <w:rsid w:val="004A623D"/>
    <w:rsid w:val="004A6CA3"/>
    <w:rsid w:val="004A717F"/>
    <w:rsid w:val="004A7182"/>
    <w:rsid w:val="004A78D6"/>
    <w:rsid w:val="004B052B"/>
    <w:rsid w:val="004B0534"/>
    <w:rsid w:val="004B0A30"/>
    <w:rsid w:val="004B0CF1"/>
    <w:rsid w:val="004B0FBF"/>
    <w:rsid w:val="004B14C3"/>
    <w:rsid w:val="004B2539"/>
    <w:rsid w:val="004B30B6"/>
    <w:rsid w:val="004B494C"/>
    <w:rsid w:val="004B53C7"/>
    <w:rsid w:val="004B6634"/>
    <w:rsid w:val="004B6B9B"/>
    <w:rsid w:val="004B76FB"/>
    <w:rsid w:val="004B78AB"/>
    <w:rsid w:val="004B7FBD"/>
    <w:rsid w:val="004C07CB"/>
    <w:rsid w:val="004C1657"/>
    <w:rsid w:val="004C16F1"/>
    <w:rsid w:val="004C2377"/>
    <w:rsid w:val="004C277B"/>
    <w:rsid w:val="004C3922"/>
    <w:rsid w:val="004C4397"/>
    <w:rsid w:val="004C4F8D"/>
    <w:rsid w:val="004C57C4"/>
    <w:rsid w:val="004C6D30"/>
    <w:rsid w:val="004C7E87"/>
    <w:rsid w:val="004D1C5D"/>
    <w:rsid w:val="004D3122"/>
    <w:rsid w:val="004D3234"/>
    <w:rsid w:val="004D3F3C"/>
    <w:rsid w:val="004D433E"/>
    <w:rsid w:val="004D489C"/>
    <w:rsid w:val="004D48DD"/>
    <w:rsid w:val="004D5F0B"/>
    <w:rsid w:val="004D6D06"/>
    <w:rsid w:val="004D7AC8"/>
    <w:rsid w:val="004E101B"/>
    <w:rsid w:val="004E105A"/>
    <w:rsid w:val="004E1528"/>
    <w:rsid w:val="004E194D"/>
    <w:rsid w:val="004E19A4"/>
    <w:rsid w:val="004E1C50"/>
    <w:rsid w:val="004E1F09"/>
    <w:rsid w:val="004E274B"/>
    <w:rsid w:val="004E2BCD"/>
    <w:rsid w:val="004E2E17"/>
    <w:rsid w:val="004E49A7"/>
    <w:rsid w:val="004E521C"/>
    <w:rsid w:val="004E5596"/>
    <w:rsid w:val="004E5E18"/>
    <w:rsid w:val="004E6312"/>
    <w:rsid w:val="004E70F4"/>
    <w:rsid w:val="004F016C"/>
    <w:rsid w:val="004F0326"/>
    <w:rsid w:val="004F187C"/>
    <w:rsid w:val="004F18DD"/>
    <w:rsid w:val="004F1D1E"/>
    <w:rsid w:val="004F2151"/>
    <w:rsid w:val="004F34B3"/>
    <w:rsid w:val="004F3675"/>
    <w:rsid w:val="004F4D1C"/>
    <w:rsid w:val="004F4E51"/>
    <w:rsid w:val="004F53E5"/>
    <w:rsid w:val="004F5637"/>
    <w:rsid w:val="004F57C5"/>
    <w:rsid w:val="004F6A4A"/>
    <w:rsid w:val="004F73EA"/>
    <w:rsid w:val="00500360"/>
    <w:rsid w:val="0050094A"/>
    <w:rsid w:val="0050113B"/>
    <w:rsid w:val="005014AD"/>
    <w:rsid w:val="005018DF"/>
    <w:rsid w:val="0050236E"/>
    <w:rsid w:val="00502BA4"/>
    <w:rsid w:val="00502BB1"/>
    <w:rsid w:val="005037CD"/>
    <w:rsid w:val="0050433B"/>
    <w:rsid w:val="005053A6"/>
    <w:rsid w:val="0050605A"/>
    <w:rsid w:val="00506C43"/>
    <w:rsid w:val="0050751D"/>
    <w:rsid w:val="00507911"/>
    <w:rsid w:val="00507CA4"/>
    <w:rsid w:val="00510F19"/>
    <w:rsid w:val="00511C27"/>
    <w:rsid w:val="00512290"/>
    <w:rsid w:val="00512666"/>
    <w:rsid w:val="00512DFB"/>
    <w:rsid w:val="00514C1B"/>
    <w:rsid w:val="0051509D"/>
    <w:rsid w:val="005158D1"/>
    <w:rsid w:val="00515992"/>
    <w:rsid w:val="0051600E"/>
    <w:rsid w:val="00516B30"/>
    <w:rsid w:val="00521D5F"/>
    <w:rsid w:val="005222F8"/>
    <w:rsid w:val="00522D0D"/>
    <w:rsid w:val="00522ECE"/>
    <w:rsid w:val="005245EB"/>
    <w:rsid w:val="00524CB1"/>
    <w:rsid w:val="00524D2C"/>
    <w:rsid w:val="00524D67"/>
    <w:rsid w:val="00525137"/>
    <w:rsid w:val="0052520F"/>
    <w:rsid w:val="00525323"/>
    <w:rsid w:val="0052607D"/>
    <w:rsid w:val="0052691B"/>
    <w:rsid w:val="00526AC7"/>
    <w:rsid w:val="00526EA3"/>
    <w:rsid w:val="005275C6"/>
    <w:rsid w:val="00527613"/>
    <w:rsid w:val="005276D3"/>
    <w:rsid w:val="00527FBC"/>
    <w:rsid w:val="0053136C"/>
    <w:rsid w:val="00532666"/>
    <w:rsid w:val="0053291C"/>
    <w:rsid w:val="00532B82"/>
    <w:rsid w:val="00533A1A"/>
    <w:rsid w:val="00533C76"/>
    <w:rsid w:val="00534ECE"/>
    <w:rsid w:val="00535186"/>
    <w:rsid w:val="0053594D"/>
    <w:rsid w:val="00537882"/>
    <w:rsid w:val="00537A98"/>
    <w:rsid w:val="00537E3C"/>
    <w:rsid w:val="0054088B"/>
    <w:rsid w:val="00541B41"/>
    <w:rsid w:val="005432E9"/>
    <w:rsid w:val="00543E8F"/>
    <w:rsid w:val="005447B5"/>
    <w:rsid w:val="00545104"/>
    <w:rsid w:val="00545FDF"/>
    <w:rsid w:val="0054772E"/>
    <w:rsid w:val="00547FD0"/>
    <w:rsid w:val="00550276"/>
    <w:rsid w:val="00550371"/>
    <w:rsid w:val="00550437"/>
    <w:rsid w:val="005511B3"/>
    <w:rsid w:val="0055130C"/>
    <w:rsid w:val="00551834"/>
    <w:rsid w:val="00552434"/>
    <w:rsid w:val="0055248C"/>
    <w:rsid w:val="00554FCB"/>
    <w:rsid w:val="005560FC"/>
    <w:rsid w:val="00556D5E"/>
    <w:rsid w:val="005570C3"/>
    <w:rsid w:val="0055745E"/>
    <w:rsid w:val="005575E6"/>
    <w:rsid w:val="005603B2"/>
    <w:rsid w:val="00561BF3"/>
    <w:rsid w:val="00561E48"/>
    <w:rsid w:val="00562396"/>
    <w:rsid w:val="005623CE"/>
    <w:rsid w:val="00562EA4"/>
    <w:rsid w:val="0056353A"/>
    <w:rsid w:val="00563888"/>
    <w:rsid w:val="00563920"/>
    <w:rsid w:val="00563990"/>
    <w:rsid w:val="00563ED2"/>
    <w:rsid w:val="00564BD8"/>
    <w:rsid w:val="00564C74"/>
    <w:rsid w:val="00565135"/>
    <w:rsid w:val="00565A74"/>
    <w:rsid w:val="00565B14"/>
    <w:rsid w:val="0056648B"/>
    <w:rsid w:val="0056663B"/>
    <w:rsid w:val="0057101A"/>
    <w:rsid w:val="00571104"/>
    <w:rsid w:val="00572E09"/>
    <w:rsid w:val="0057368E"/>
    <w:rsid w:val="005740A3"/>
    <w:rsid w:val="00574511"/>
    <w:rsid w:val="0057521C"/>
    <w:rsid w:val="005769A5"/>
    <w:rsid w:val="00577BCC"/>
    <w:rsid w:val="00577EC6"/>
    <w:rsid w:val="0058034B"/>
    <w:rsid w:val="005816CA"/>
    <w:rsid w:val="00581EE6"/>
    <w:rsid w:val="005839FC"/>
    <w:rsid w:val="00584037"/>
    <w:rsid w:val="0058449D"/>
    <w:rsid w:val="00584FF0"/>
    <w:rsid w:val="005850D8"/>
    <w:rsid w:val="005851D0"/>
    <w:rsid w:val="005852D9"/>
    <w:rsid w:val="005867ED"/>
    <w:rsid w:val="005869B3"/>
    <w:rsid w:val="00586FEC"/>
    <w:rsid w:val="00587512"/>
    <w:rsid w:val="00590235"/>
    <w:rsid w:val="005915F3"/>
    <w:rsid w:val="00591C68"/>
    <w:rsid w:val="00591C90"/>
    <w:rsid w:val="005929C3"/>
    <w:rsid w:val="00592EA0"/>
    <w:rsid w:val="00595233"/>
    <w:rsid w:val="005954F5"/>
    <w:rsid w:val="0059576F"/>
    <w:rsid w:val="005963FB"/>
    <w:rsid w:val="005968ED"/>
    <w:rsid w:val="005A0462"/>
    <w:rsid w:val="005A0A34"/>
    <w:rsid w:val="005A0A75"/>
    <w:rsid w:val="005A1084"/>
    <w:rsid w:val="005A11B1"/>
    <w:rsid w:val="005A1946"/>
    <w:rsid w:val="005A2E81"/>
    <w:rsid w:val="005A30F3"/>
    <w:rsid w:val="005A3F11"/>
    <w:rsid w:val="005A4323"/>
    <w:rsid w:val="005A46E9"/>
    <w:rsid w:val="005A47A1"/>
    <w:rsid w:val="005A483A"/>
    <w:rsid w:val="005A6A4F"/>
    <w:rsid w:val="005B00FD"/>
    <w:rsid w:val="005B0941"/>
    <w:rsid w:val="005B0D1A"/>
    <w:rsid w:val="005B1886"/>
    <w:rsid w:val="005B1946"/>
    <w:rsid w:val="005B219E"/>
    <w:rsid w:val="005B23EC"/>
    <w:rsid w:val="005B241D"/>
    <w:rsid w:val="005B2F81"/>
    <w:rsid w:val="005B3014"/>
    <w:rsid w:val="005B3936"/>
    <w:rsid w:val="005B4F39"/>
    <w:rsid w:val="005B53C7"/>
    <w:rsid w:val="005B6415"/>
    <w:rsid w:val="005B73E8"/>
    <w:rsid w:val="005B7D14"/>
    <w:rsid w:val="005C061C"/>
    <w:rsid w:val="005C0973"/>
    <w:rsid w:val="005C135F"/>
    <w:rsid w:val="005C162F"/>
    <w:rsid w:val="005C1EEB"/>
    <w:rsid w:val="005C2155"/>
    <w:rsid w:val="005C2390"/>
    <w:rsid w:val="005C3077"/>
    <w:rsid w:val="005C397E"/>
    <w:rsid w:val="005C39E4"/>
    <w:rsid w:val="005C4B6A"/>
    <w:rsid w:val="005C5B62"/>
    <w:rsid w:val="005C6487"/>
    <w:rsid w:val="005C6C4D"/>
    <w:rsid w:val="005C6F70"/>
    <w:rsid w:val="005C7676"/>
    <w:rsid w:val="005C7931"/>
    <w:rsid w:val="005C7E13"/>
    <w:rsid w:val="005D00E7"/>
    <w:rsid w:val="005D070F"/>
    <w:rsid w:val="005D0BA8"/>
    <w:rsid w:val="005D0F2A"/>
    <w:rsid w:val="005D156C"/>
    <w:rsid w:val="005D191A"/>
    <w:rsid w:val="005D2600"/>
    <w:rsid w:val="005D26F6"/>
    <w:rsid w:val="005D37B5"/>
    <w:rsid w:val="005D3E66"/>
    <w:rsid w:val="005D44C7"/>
    <w:rsid w:val="005D452F"/>
    <w:rsid w:val="005D4FB8"/>
    <w:rsid w:val="005D5713"/>
    <w:rsid w:val="005D588A"/>
    <w:rsid w:val="005D60A9"/>
    <w:rsid w:val="005D6BBA"/>
    <w:rsid w:val="005D7397"/>
    <w:rsid w:val="005D7416"/>
    <w:rsid w:val="005D7C21"/>
    <w:rsid w:val="005D7D2B"/>
    <w:rsid w:val="005D7F5C"/>
    <w:rsid w:val="005D7FBA"/>
    <w:rsid w:val="005E0C2D"/>
    <w:rsid w:val="005E1040"/>
    <w:rsid w:val="005E126D"/>
    <w:rsid w:val="005E2B21"/>
    <w:rsid w:val="005E33A3"/>
    <w:rsid w:val="005E43ED"/>
    <w:rsid w:val="005E681F"/>
    <w:rsid w:val="005E69A2"/>
    <w:rsid w:val="005E7451"/>
    <w:rsid w:val="005E7581"/>
    <w:rsid w:val="005E77FE"/>
    <w:rsid w:val="005E7E9B"/>
    <w:rsid w:val="005F0C72"/>
    <w:rsid w:val="005F14F7"/>
    <w:rsid w:val="005F1F25"/>
    <w:rsid w:val="005F2A80"/>
    <w:rsid w:val="005F2A8D"/>
    <w:rsid w:val="005F2BBE"/>
    <w:rsid w:val="005F414B"/>
    <w:rsid w:val="005F5300"/>
    <w:rsid w:val="005F538F"/>
    <w:rsid w:val="005F5E76"/>
    <w:rsid w:val="005F62E1"/>
    <w:rsid w:val="005F77D8"/>
    <w:rsid w:val="005F7E42"/>
    <w:rsid w:val="00600C74"/>
    <w:rsid w:val="0060204F"/>
    <w:rsid w:val="00602AC3"/>
    <w:rsid w:val="006034E2"/>
    <w:rsid w:val="00603620"/>
    <w:rsid w:val="00603B50"/>
    <w:rsid w:val="00603F5F"/>
    <w:rsid w:val="006040C7"/>
    <w:rsid w:val="00607B45"/>
    <w:rsid w:val="00607C44"/>
    <w:rsid w:val="0061171B"/>
    <w:rsid w:val="006119FB"/>
    <w:rsid w:val="00613450"/>
    <w:rsid w:val="00613D62"/>
    <w:rsid w:val="00613E4F"/>
    <w:rsid w:val="00614D1E"/>
    <w:rsid w:val="00615153"/>
    <w:rsid w:val="00615F5F"/>
    <w:rsid w:val="006163F0"/>
    <w:rsid w:val="0061645A"/>
    <w:rsid w:val="00616AFC"/>
    <w:rsid w:val="00617337"/>
    <w:rsid w:val="00617903"/>
    <w:rsid w:val="0062036B"/>
    <w:rsid w:val="00620541"/>
    <w:rsid w:val="006208D6"/>
    <w:rsid w:val="00620F9D"/>
    <w:rsid w:val="0062176E"/>
    <w:rsid w:val="00622891"/>
    <w:rsid w:val="006230A9"/>
    <w:rsid w:val="00624E8B"/>
    <w:rsid w:val="00625B92"/>
    <w:rsid w:val="00626096"/>
    <w:rsid w:val="00626ED5"/>
    <w:rsid w:val="006302DE"/>
    <w:rsid w:val="00630B3E"/>
    <w:rsid w:val="00631364"/>
    <w:rsid w:val="00633603"/>
    <w:rsid w:val="00633852"/>
    <w:rsid w:val="00635F49"/>
    <w:rsid w:val="0063639D"/>
    <w:rsid w:val="0063648E"/>
    <w:rsid w:val="00636781"/>
    <w:rsid w:val="00637012"/>
    <w:rsid w:val="006373A6"/>
    <w:rsid w:val="00637978"/>
    <w:rsid w:val="00637D87"/>
    <w:rsid w:val="00643035"/>
    <w:rsid w:val="00643A08"/>
    <w:rsid w:val="006451AF"/>
    <w:rsid w:val="006454CA"/>
    <w:rsid w:val="0064568A"/>
    <w:rsid w:val="00645775"/>
    <w:rsid w:val="006466FA"/>
    <w:rsid w:val="00646CAB"/>
    <w:rsid w:val="0065070E"/>
    <w:rsid w:val="00651DAE"/>
    <w:rsid w:val="00651F2F"/>
    <w:rsid w:val="00653A9C"/>
    <w:rsid w:val="00653E43"/>
    <w:rsid w:val="00654131"/>
    <w:rsid w:val="006555CB"/>
    <w:rsid w:val="00655D4F"/>
    <w:rsid w:val="00657C75"/>
    <w:rsid w:val="00660663"/>
    <w:rsid w:val="00660F0F"/>
    <w:rsid w:val="00660FD3"/>
    <w:rsid w:val="00660FF1"/>
    <w:rsid w:val="0066170F"/>
    <w:rsid w:val="00662D59"/>
    <w:rsid w:val="00663216"/>
    <w:rsid w:val="00664288"/>
    <w:rsid w:val="00665032"/>
    <w:rsid w:val="0066599C"/>
    <w:rsid w:val="00665AEC"/>
    <w:rsid w:val="00666958"/>
    <w:rsid w:val="00666A44"/>
    <w:rsid w:val="006674D0"/>
    <w:rsid w:val="00667777"/>
    <w:rsid w:val="00671D87"/>
    <w:rsid w:val="00672B03"/>
    <w:rsid w:val="00673307"/>
    <w:rsid w:val="00673E4F"/>
    <w:rsid w:val="006747BD"/>
    <w:rsid w:val="0067494F"/>
    <w:rsid w:val="006761E1"/>
    <w:rsid w:val="00676E7F"/>
    <w:rsid w:val="00676FD8"/>
    <w:rsid w:val="00677D9B"/>
    <w:rsid w:val="00680FF1"/>
    <w:rsid w:val="0068299C"/>
    <w:rsid w:val="00683261"/>
    <w:rsid w:val="006839DE"/>
    <w:rsid w:val="00683AFF"/>
    <w:rsid w:val="0068480F"/>
    <w:rsid w:val="0068680C"/>
    <w:rsid w:val="006869F8"/>
    <w:rsid w:val="00686D30"/>
    <w:rsid w:val="00687ADB"/>
    <w:rsid w:val="00690952"/>
    <w:rsid w:val="00690C65"/>
    <w:rsid w:val="006911F9"/>
    <w:rsid w:val="006913F6"/>
    <w:rsid w:val="00691D63"/>
    <w:rsid w:val="006921E2"/>
    <w:rsid w:val="0069227B"/>
    <w:rsid w:val="00692A17"/>
    <w:rsid w:val="00692EEF"/>
    <w:rsid w:val="0069389F"/>
    <w:rsid w:val="00694683"/>
    <w:rsid w:val="00694A9C"/>
    <w:rsid w:val="00695C50"/>
    <w:rsid w:val="00696199"/>
    <w:rsid w:val="006977AF"/>
    <w:rsid w:val="00697891"/>
    <w:rsid w:val="00697898"/>
    <w:rsid w:val="00697CFA"/>
    <w:rsid w:val="006A03E0"/>
    <w:rsid w:val="006A0490"/>
    <w:rsid w:val="006A05D2"/>
    <w:rsid w:val="006A0D40"/>
    <w:rsid w:val="006A2AB4"/>
    <w:rsid w:val="006A432F"/>
    <w:rsid w:val="006A5AA7"/>
    <w:rsid w:val="006A5AB9"/>
    <w:rsid w:val="006A6505"/>
    <w:rsid w:val="006A6995"/>
    <w:rsid w:val="006A77D7"/>
    <w:rsid w:val="006B057C"/>
    <w:rsid w:val="006B08CC"/>
    <w:rsid w:val="006B1D78"/>
    <w:rsid w:val="006B379C"/>
    <w:rsid w:val="006B54C4"/>
    <w:rsid w:val="006B5DB4"/>
    <w:rsid w:val="006B639B"/>
    <w:rsid w:val="006B6553"/>
    <w:rsid w:val="006C1CF7"/>
    <w:rsid w:val="006C24B5"/>
    <w:rsid w:val="006C27EC"/>
    <w:rsid w:val="006C400C"/>
    <w:rsid w:val="006C4B32"/>
    <w:rsid w:val="006C4B3C"/>
    <w:rsid w:val="006C5910"/>
    <w:rsid w:val="006D0144"/>
    <w:rsid w:val="006D04E6"/>
    <w:rsid w:val="006D06F3"/>
    <w:rsid w:val="006D2163"/>
    <w:rsid w:val="006D2D30"/>
    <w:rsid w:val="006D4E71"/>
    <w:rsid w:val="006D6118"/>
    <w:rsid w:val="006D6C1E"/>
    <w:rsid w:val="006E1423"/>
    <w:rsid w:val="006E24D9"/>
    <w:rsid w:val="006E2E6F"/>
    <w:rsid w:val="006E3A20"/>
    <w:rsid w:val="006E3C18"/>
    <w:rsid w:val="006E4B47"/>
    <w:rsid w:val="006E4C8C"/>
    <w:rsid w:val="006E4DAB"/>
    <w:rsid w:val="006E5146"/>
    <w:rsid w:val="006E522E"/>
    <w:rsid w:val="006E59E8"/>
    <w:rsid w:val="006E64B8"/>
    <w:rsid w:val="006E7517"/>
    <w:rsid w:val="006E7EA2"/>
    <w:rsid w:val="006F00A3"/>
    <w:rsid w:val="006F049D"/>
    <w:rsid w:val="006F0618"/>
    <w:rsid w:val="006F07F4"/>
    <w:rsid w:val="006F0C46"/>
    <w:rsid w:val="006F13FB"/>
    <w:rsid w:val="006F15E6"/>
    <w:rsid w:val="006F1B2C"/>
    <w:rsid w:val="006F3390"/>
    <w:rsid w:val="006F3EAF"/>
    <w:rsid w:val="006F4A00"/>
    <w:rsid w:val="006F5E23"/>
    <w:rsid w:val="006F65BF"/>
    <w:rsid w:val="006F749A"/>
    <w:rsid w:val="006F7A4B"/>
    <w:rsid w:val="007026FC"/>
    <w:rsid w:val="00702B18"/>
    <w:rsid w:val="00702F51"/>
    <w:rsid w:val="0070332A"/>
    <w:rsid w:val="00703AB2"/>
    <w:rsid w:val="00703B76"/>
    <w:rsid w:val="0070412E"/>
    <w:rsid w:val="00704151"/>
    <w:rsid w:val="00705F1C"/>
    <w:rsid w:val="007069EA"/>
    <w:rsid w:val="00707D48"/>
    <w:rsid w:val="007105DA"/>
    <w:rsid w:val="00710BBD"/>
    <w:rsid w:val="00710F76"/>
    <w:rsid w:val="0071371C"/>
    <w:rsid w:val="00713742"/>
    <w:rsid w:val="00713749"/>
    <w:rsid w:val="00713864"/>
    <w:rsid w:val="00714749"/>
    <w:rsid w:val="00714E7D"/>
    <w:rsid w:val="00715854"/>
    <w:rsid w:val="00715B02"/>
    <w:rsid w:val="00716CAB"/>
    <w:rsid w:val="00717534"/>
    <w:rsid w:val="0071779F"/>
    <w:rsid w:val="00720390"/>
    <w:rsid w:val="0072088F"/>
    <w:rsid w:val="00720CBB"/>
    <w:rsid w:val="00721B9E"/>
    <w:rsid w:val="00721D06"/>
    <w:rsid w:val="00722098"/>
    <w:rsid w:val="007223F3"/>
    <w:rsid w:val="007226B0"/>
    <w:rsid w:val="007231FC"/>
    <w:rsid w:val="00723498"/>
    <w:rsid w:val="00726628"/>
    <w:rsid w:val="00726DB1"/>
    <w:rsid w:val="007271BC"/>
    <w:rsid w:val="007276AC"/>
    <w:rsid w:val="007301ED"/>
    <w:rsid w:val="0073094A"/>
    <w:rsid w:val="00730D1E"/>
    <w:rsid w:val="00731CCB"/>
    <w:rsid w:val="00732D53"/>
    <w:rsid w:val="00733F31"/>
    <w:rsid w:val="00734B38"/>
    <w:rsid w:val="00734E9E"/>
    <w:rsid w:val="00735473"/>
    <w:rsid w:val="00735578"/>
    <w:rsid w:val="007357EC"/>
    <w:rsid w:val="007361C6"/>
    <w:rsid w:val="007422E1"/>
    <w:rsid w:val="00742DDA"/>
    <w:rsid w:val="007437FB"/>
    <w:rsid w:val="00743B51"/>
    <w:rsid w:val="00744188"/>
    <w:rsid w:val="00744742"/>
    <w:rsid w:val="007451ED"/>
    <w:rsid w:val="00745951"/>
    <w:rsid w:val="0074646B"/>
    <w:rsid w:val="00746570"/>
    <w:rsid w:val="00747162"/>
    <w:rsid w:val="0074726C"/>
    <w:rsid w:val="00747A22"/>
    <w:rsid w:val="00747A40"/>
    <w:rsid w:val="0075067F"/>
    <w:rsid w:val="007515D3"/>
    <w:rsid w:val="0075181D"/>
    <w:rsid w:val="007528D3"/>
    <w:rsid w:val="00753249"/>
    <w:rsid w:val="007543AC"/>
    <w:rsid w:val="00754DC8"/>
    <w:rsid w:val="007556DA"/>
    <w:rsid w:val="007560AC"/>
    <w:rsid w:val="007562BC"/>
    <w:rsid w:val="00756FFD"/>
    <w:rsid w:val="007570C5"/>
    <w:rsid w:val="00757E42"/>
    <w:rsid w:val="0076092D"/>
    <w:rsid w:val="00761E69"/>
    <w:rsid w:val="00762612"/>
    <w:rsid w:val="007626D5"/>
    <w:rsid w:val="00762CD1"/>
    <w:rsid w:val="007636D8"/>
    <w:rsid w:val="0076416A"/>
    <w:rsid w:val="00764A83"/>
    <w:rsid w:val="00764BCC"/>
    <w:rsid w:val="00764E8A"/>
    <w:rsid w:val="007650D2"/>
    <w:rsid w:val="007655D2"/>
    <w:rsid w:val="007656FD"/>
    <w:rsid w:val="00765D50"/>
    <w:rsid w:val="00765E30"/>
    <w:rsid w:val="007664A0"/>
    <w:rsid w:val="0076662B"/>
    <w:rsid w:val="00767954"/>
    <w:rsid w:val="00767F33"/>
    <w:rsid w:val="00770C1D"/>
    <w:rsid w:val="007711FF"/>
    <w:rsid w:val="00771A30"/>
    <w:rsid w:val="00773208"/>
    <w:rsid w:val="0077542B"/>
    <w:rsid w:val="00776C54"/>
    <w:rsid w:val="00777923"/>
    <w:rsid w:val="00780054"/>
    <w:rsid w:val="0078138C"/>
    <w:rsid w:val="00781D7A"/>
    <w:rsid w:val="00781DFF"/>
    <w:rsid w:val="00782138"/>
    <w:rsid w:val="00782D39"/>
    <w:rsid w:val="0078349E"/>
    <w:rsid w:val="00784836"/>
    <w:rsid w:val="00785DE0"/>
    <w:rsid w:val="00790653"/>
    <w:rsid w:val="00790E27"/>
    <w:rsid w:val="00791B49"/>
    <w:rsid w:val="00792476"/>
    <w:rsid w:val="00793CB2"/>
    <w:rsid w:val="0079409A"/>
    <w:rsid w:val="00795CC9"/>
    <w:rsid w:val="00796789"/>
    <w:rsid w:val="007A0E38"/>
    <w:rsid w:val="007A0EEF"/>
    <w:rsid w:val="007A11A8"/>
    <w:rsid w:val="007A1947"/>
    <w:rsid w:val="007A2E76"/>
    <w:rsid w:val="007A3508"/>
    <w:rsid w:val="007A36B1"/>
    <w:rsid w:val="007A3973"/>
    <w:rsid w:val="007A48F8"/>
    <w:rsid w:val="007A513B"/>
    <w:rsid w:val="007A5522"/>
    <w:rsid w:val="007A5B8C"/>
    <w:rsid w:val="007A6FD5"/>
    <w:rsid w:val="007A763F"/>
    <w:rsid w:val="007A7BFC"/>
    <w:rsid w:val="007B07CD"/>
    <w:rsid w:val="007B0CAC"/>
    <w:rsid w:val="007B0CF0"/>
    <w:rsid w:val="007B10CF"/>
    <w:rsid w:val="007B178E"/>
    <w:rsid w:val="007B2B36"/>
    <w:rsid w:val="007B382A"/>
    <w:rsid w:val="007B42A1"/>
    <w:rsid w:val="007B43CC"/>
    <w:rsid w:val="007B4BA9"/>
    <w:rsid w:val="007B4D44"/>
    <w:rsid w:val="007B58C6"/>
    <w:rsid w:val="007B5FEA"/>
    <w:rsid w:val="007B6677"/>
    <w:rsid w:val="007B72F8"/>
    <w:rsid w:val="007B7369"/>
    <w:rsid w:val="007B74FA"/>
    <w:rsid w:val="007C12CB"/>
    <w:rsid w:val="007C1399"/>
    <w:rsid w:val="007C1A3E"/>
    <w:rsid w:val="007C1A5C"/>
    <w:rsid w:val="007C1BED"/>
    <w:rsid w:val="007C3635"/>
    <w:rsid w:val="007C53D9"/>
    <w:rsid w:val="007C58FF"/>
    <w:rsid w:val="007C590C"/>
    <w:rsid w:val="007C5E77"/>
    <w:rsid w:val="007C6340"/>
    <w:rsid w:val="007C717D"/>
    <w:rsid w:val="007C7D49"/>
    <w:rsid w:val="007D0181"/>
    <w:rsid w:val="007D03F1"/>
    <w:rsid w:val="007D0431"/>
    <w:rsid w:val="007D0D0E"/>
    <w:rsid w:val="007D145A"/>
    <w:rsid w:val="007D182B"/>
    <w:rsid w:val="007D50A4"/>
    <w:rsid w:val="007D5C3A"/>
    <w:rsid w:val="007D6958"/>
    <w:rsid w:val="007D6E9B"/>
    <w:rsid w:val="007D7CF1"/>
    <w:rsid w:val="007E15C1"/>
    <w:rsid w:val="007E2EF6"/>
    <w:rsid w:val="007E3719"/>
    <w:rsid w:val="007E3D9B"/>
    <w:rsid w:val="007E3DCF"/>
    <w:rsid w:val="007E3E78"/>
    <w:rsid w:val="007E573B"/>
    <w:rsid w:val="007E7567"/>
    <w:rsid w:val="007E7E44"/>
    <w:rsid w:val="007F1416"/>
    <w:rsid w:val="007F2C75"/>
    <w:rsid w:val="007F4BD1"/>
    <w:rsid w:val="007F518A"/>
    <w:rsid w:val="007F6D3F"/>
    <w:rsid w:val="00802EFD"/>
    <w:rsid w:val="00803B24"/>
    <w:rsid w:val="00803EBB"/>
    <w:rsid w:val="008047AA"/>
    <w:rsid w:val="00804F2A"/>
    <w:rsid w:val="00807901"/>
    <w:rsid w:val="00807E3F"/>
    <w:rsid w:val="008105ED"/>
    <w:rsid w:val="00811B5E"/>
    <w:rsid w:val="00812423"/>
    <w:rsid w:val="008135D9"/>
    <w:rsid w:val="00813821"/>
    <w:rsid w:val="00814010"/>
    <w:rsid w:val="008150BD"/>
    <w:rsid w:val="008152EF"/>
    <w:rsid w:val="00815A50"/>
    <w:rsid w:val="00815AFA"/>
    <w:rsid w:val="00815F79"/>
    <w:rsid w:val="00816CD9"/>
    <w:rsid w:val="00820ADF"/>
    <w:rsid w:val="0082127C"/>
    <w:rsid w:val="008214E6"/>
    <w:rsid w:val="0082165F"/>
    <w:rsid w:val="008234B1"/>
    <w:rsid w:val="0082716D"/>
    <w:rsid w:val="008274A3"/>
    <w:rsid w:val="008300E1"/>
    <w:rsid w:val="00830123"/>
    <w:rsid w:val="00830A37"/>
    <w:rsid w:val="00832508"/>
    <w:rsid w:val="0083263C"/>
    <w:rsid w:val="008338E6"/>
    <w:rsid w:val="008346FC"/>
    <w:rsid w:val="008349ED"/>
    <w:rsid w:val="00834E99"/>
    <w:rsid w:val="00835017"/>
    <w:rsid w:val="008358EB"/>
    <w:rsid w:val="008360F2"/>
    <w:rsid w:val="00836678"/>
    <w:rsid w:val="00836736"/>
    <w:rsid w:val="00836EDA"/>
    <w:rsid w:val="00836FC1"/>
    <w:rsid w:val="008372ED"/>
    <w:rsid w:val="008375DA"/>
    <w:rsid w:val="00837EC4"/>
    <w:rsid w:val="0084037F"/>
    <w:rsid w:val="00840AAB"/>
    <w:rsid w:val="00840DA2"/>
    <w:rsid w:val="00841806"/>
    <w:rsid w:val="0084291F"/>
    <w:rsid w:val="0084300B"/>
    <w:rsid w:val="00843D7A"/>
    <w:rsid w:val="00843E3D"/>
    <w:rsid w:val="00844FCA"/>
    <w:rsid w:val="008455DF"/>
    <w:rsid w:val="00846CEC"/>
    <w:rsid w:val="00846F2D"/>
    <w:rsid w:val="00846FAE"/>
    <w:rsid w:val="0084733E"/>
    <w:rsid w:val="00847424"/>
    <w:rsid w:val="00847F03"/>
    <w:rsid w:val="00847FC5"/>
    <w:rsid w:val="008502D6"/>
    <w:rsid w:val="0085078D"/>
    <w:rsid w:val="00852403"/>
    <w:rsid w:val="00853386"/>
    <w:rsid w:val="00854B49"/>
    <w:rsid w:val="008563D1"/>
    <w:rsid w:val="00856CE1"/>
    <w:rsid w:val="00857463"/>
    <w:rsid w:val="0085758F"/>
    <w:rsid w:val="008577B1"/>
    <w:rsid w:val="00857DB2"/>
    <w:rsid w:val="00857DCB"/>
    <w:rsid w:val="00860B04"/>
    <w:rsid w:val="00860D31"/>
    <w:rsid w:val="00861260"/>
    <w:rsid w:val="0086194E"/>
    <w:rsid w:val="00861EFC"/>
    <w:rsid w:val="00862424"/>
    <w:rsid w:val="0086524F"/>
    <w:rsid w:val="00865D3F"/>
    <w:rsid w:val="00866370"/>
    <w:rsid w:val="00866C95"/>
    <w:rsid w:val="00867269"/>
    <w:rsid w:val="00867975"/>
    <w:rsid w:val="00867B3A"/>
    <w:rsid w:val="00870627"/>
    <w:rsid w:val="00870EC7"/>
    <w:rsid w:val="00871E70"/>
    <w:rsid w:val="0087392D"/>
    <w:rsid w:val="0087426D"/>
    <w:rsid w:val="00874ABB"/>
    <w:rsid w:val="00875745"/>
    <w:rsid w:val="00875C7B"/>
    <w:rsid w:val="008761A2"/>
    <w:rsid w:val="00876306"/>
    <w:rsid w:val="00876A6F"/>
    <w:rsid w:val="00877254"/>
    <w:rsid w:val="00877D04"/>
    <w:rsid w:val="008817B4"/>
    <w:rsid w:val="00881921"/>
    <w:rsid w:val="008819C5"/>
    <w:rsid w:val="00881E58"/>
    <w:rsid w:val="008823F2"/>
    <w:rsid w:val="00883A8F"/>
    <w:rsid w:val="0088469F"/>
    <w:rsid w:val="0088606A"/>
    <w:rsid w:val="0088642B"/>
    <w:rsid w:val="00886CC9"/>
    <w:rsid w:val="00887D61"/>
    <w:rsid w:val="00887DBE"/>
    <w:rsid w:val="00887FD0"/>
    <w:rsid w:val="008907BA"/>
    <w:rsid w:val="008911F3"/>
    <w:rsid w:val="00891D7D"/>
    <w:rsid w:val="0089278D"/>
    <w:rsid w:val="008946CB"/>
    <w:rsid w:val="00894959"/>
    <w:rsid w:val="0089495D"/>
    <w:rsid w:val="00895839"/>
    <w:rsid w:val="00895DF4"/>
    <w:rsid w:val="00896086"/>
    <w:rsid w:val="00896AFA"/>
    <w:rsid w:val="00896CAE"/>
    <w:rsid w:val="00896DD8"/>
    <w:rsid w:val="00896F5D"/>
    <w:rsid w:val="0089724B"/>
    <w:rsid w:val="008973CD"/>
    <w:rsid w:val="008974B5"/>
    <w:rsid w:val="008A1C1A"/>
    <w:rsid w:val="008A1E8C"/>
    <w:rsid w:val="008A1FED"/>
    <w:rsid w:val="008A243D"/>
    <w:rsid w:val="008A2AFF"/>
    <w:rsid w:val="008A2CB1"/>
    <w:rsid w:val="008A37E0"/>
    <w:rsid w:val="008A38C2"/>
    <w:rsid w:val="008A3C25"/>
    <w:rsid w:val="008A4072"/>
    <w:rsid w:val="008A49D5"/>
    <w:rsid w:val="008A4A98"/>
    <w:rsid w:val="008A746C"/>
    <w:rsid w:val="008B005D"/>
    <w:rsid w:val="008B02A5"/>
    <w:rsid w:val="008B086D"/>
    <w:rsid w:val="008B0B36"/>
    <w:rsid w:val="008B111D"/>
    <w:rsid w:val="008B2135"/>
    <w:rsid w:val="008B2201"/>
    <w:rsid w:val="008B2596"/>
    <w:rsid w:val="008B27C4"/>
    <w:rsid w:val="008B3DD9"/>
    <w:rsid w:val="008B5C73"/>
    <w:rsid w:val="008B5FE6"/>
    <w:rsid w:val="008B67D4"/>
    <w:rsid w:val="008C0234"/>
    <w:rsid w:val="008C04ED"/>
    <w:rsid w:val="008C0AD5"/>
    <w:rsid w:val="008C0C21"/>
    <w:rsid w:val="008C0FB7"/>
    <w:rsid w:val="008C12DF"/>
    <w:rsid w:val="008C2273"/>
    <w:rsid w:val="008C2364"/>
    <w:rsid w:val="008C23AC"/>
    <w:rsid w:val="008C2B7C"/>
    <w:rsid w:val="008C31E8"/>
    <w:rsid w:val="008C3F9A"/>
    <w:rsid w:val="008C3FC3"/>
    <w:rsid w:val="008C401D"/>
    <w:rsid w:val="008C405E"/>
    <w:rsid w:val="008C58EA"/>
    <w:rsid w:val="008C6069"/>
    <w:rsid w:val="008C6813"/>
    <w:rsid w:val="008C6FDA"/>
    <w:rsid w:val="008C73AB"/>
    <w:rsid w:val="008D0151"/>
    <w:rsid w:val="008D0D9C"/>
    <w:rsid w:val="008D123A"/>
    <w:rsid w:val="008D14BC"/>
    <w:rsid w:val="008D15A5"/>
    <w:rsid w:val="008D2897"/>
    <w:rsid w:val="008D561A"/>
    <w:rsid w:val="008D5A30"/>
    <w:rsid w:val="008D6F4B"/>
    <w:rsid w:val="008D7394"/>
    <w:rsid w:val="008E01C1"/>
    <w:rsid w:val="008E0D14"/>
    <w:rsid w:val="008E13BC"/>
    <w:rsid w:val="008E1A89"/>
    <w:rsid w:val="008E2890"/>
    <w:rsid w:val="008E3874"/>
    <w:rsid w:val="008E492C"/>
    <w:rsid w:val="008E4A1C"/>
    <w:rsid w:val="008E5373"/>
    <w:rsid w:val="008E6578"/>
    <w:rsid w:val="008E68D4"/>
    <w:rsid w:val="008E6C7F"/>
    <w:rsid w:val="008E6E16"/>
    <w:rsid w:val="008F0937"/>
    <w:rsid w:val="008F19D1"/>
    <w:rsid w:val="008F2DF2"/>
    <w:rsid w:val="008F3FF9"/>
    <w:rsid w:val="008F453B"/>
    <w:rsid w:val="008F5482"/>
    <w:rsid w:val="008F690B"/>
    <w:rsid w:val="008F6CE3"/>
    <w:rsid w:val="008F6DAD"/>
    <w:rsid w:val="008F7000"/>
    <w:rsid w:val="008F7C17"/>
    <w:rsid w:val="00900065"/>
    <w:rsid w:val="0090117F"/>
    <w:rsid w:val="0090146F"/>
    <w:rsid w:val="0090166D"/>
    <w:rsid w:val="0090198B"/>
    <w:rsid w:val="00901CF1"/>
    <w:rsid w:val="00902540"/>
    <w:rsid w:val="00902720"/>
    <w:rsid w:val="00903253"/>
    <w:rsid w:val="00903F12"/>
    <w:rsid w:val="0090418B"/>
    <w:rsid w:val="0090537E"/>
    <w:rsid w:val="00905440"/>
    <w:rsid w:val="009071AD"/>
    <w:rsid w:val="00907482"/>
    <w:rsid w:val="00910EC6"/>
    <w:rsid w:val="00911DF7"/>
    <w:rsid w:val="00912745"/>
    <w:rsid w:val="009132B2"/>
    <w:rsid w:val="009134C8"/>
    <w:rsid w:val="009150ED"/>
    <w:rsid w:val="00917149"/>
    <w:rsid w:val="00917440"/>
    <w:rsid w:val="0092140E"/>
    <w:rsid w:val="00921EAA"/>
    <w:rsid w:val="009221D7"/>
    <w:rsid w:val="00922537"/>
    <w:rsid w:val="00923DD7"/>
    <w:rsid w:val="00925C33"/>
    <w:rsid w:val="0092607E"/>
    <w:rsid w:val="0092698D"/>
    <w:rsid w:val="00927079"/>
    <w:rsid w:val="009276A7"/>
    <w:rsid w:val="00932D2D"/>
    <w:rsid w:val="00932D6F"/>
    <w:rsid w:val="00933E10"/>
    <w:rsid w:val="009341F0"/>
    <w:rsid w:val="00934530"/>
    <w:rsid w:val="009348FA"/>
    <w:rsid w:val="00934E33"/>
    <w:rsid w:val="00935539"/>
    <w:rsid w:val="00935877"/>
    <w:rsid w:val="00935B91"/>
    <w:rsid w:val="00936704"/>
    <w:rsid w:val="009368E7"/>
    <w:rsid w:val="00936905"/>
    <w:rsid w:val="009376D2"/>
    <w:rsid w:val="009405D1"/>
    <w:rsid w:val="00940980"/>
    <w:rsid w:val="00941E1C"/>
    <w:rsid w:val="00942C19"/>
    <w:rsid w:val="00942C68"/>
    <w:rsid w:val="00942FD9"/>
    <w:rsid w:val="0094455F"/>
    <w:rsid w:val="00945062"/>
    <w:rsid w:val="00945841"/>
    <w:rsid w:val="0094669F"/>
    <w:rsid w:val="00951645"/>
    <w:rsid w:val="009536B7"/>
    <w:rsid w:val="00953D4B"/>
    <w:rsid w:val="00954942"/>
    <w:rsid w:val="009561BC"/>
    <w:rsid w:val="00956A10"/>
    <w:rsid w:val="009579DF"/>
    <w:rsid w:val="009603FF"/>
    <w:rsid w:val="00960F2E"/>
    <w:rsid w:val="00961881"/>
    <w:rsid w:val="009618ED"/>
    <w:rsid w:val="009627CC"/>
    <w:rsid w:val="0096322F"/>
    <w:rsid w:val="0096397B"/>
    <w:rsid w:val="00966ACE"/>
    <w:rsid w:val="0096763E"/>
    <w:rsid w:val="00967A31"/>
    <w:rsid w:val="00967CF5"/>
    <w:rsid w:val="0097089D"/>
    <w:rsid w:val="00971984"/>
    <w:rsid w:val="00971BE3"/>
    <w:rsid w:val="00971D86"/>
    <w:rsid w:val="00971E70"/>
    <w:rsid w:val="0097296C"/>
    <w:rsid w:val="00972D4D"/>
    <w:rsid w:val="00972FA9"/>
    <w:rsid w:val="009739C3"/>
    <w:rsid w:val="00973D88"/>
    <w:rsid w:val="00973DE6"/>
    <w:rsid w:val="00973E75"/>
    <w:rsid w:val="00974166"/>
    <w:rsid w:val="009748E2"/>
    <w:rsid w:val="00974963"/>
    <w:rsid w:val="00974C27"/>
    <w:rsid w:val="00974E54"/>
    <w:rsid w:val="0097649E"/>
    <w:rsid w:val="00976C81"/>
    <w:rsid w:val="00980A3D"/>
    <w:rsid w:val="00981650"/>
    <w:rsid w:val="009816F5"/>
    <w:rsid w:val="00981F3E"/>
    <w:rsid w:val="009836FE"/>
    <w:rsid w:val="00983D6F"/>
    <w:rsid w:val="0098417B"/>
    <w:rsid w:val="0098428B"/>
    <w:rsid w:val="0098470E"/>
    <w:rsid w:val="00984CD0"/>
    <w:rsid w:val="00986284"/>
    <w:rsid w:val="00986502"/>
    <w:rsid w:val="00987AD5"/>
    <w:rsid w:val="00987C6B"/>
    <w:rsid w:val="00987C70"/>
    <w:rsid w:val="0099062D"/>
    <w:rsid w:val="009916C7"/>
    <w:rsid w:val="00991AF7"/>
    <w:rsid w:val="00992052"/>
    <w:rsid w:val="00993701"/>
    <w:rsid w:val="009946B2"/>
    <w:rsid w:val="009948C2"/>
    <w:rsid w:val="00996186"/>
    <w:rsid w:val="009A05DD"/>
    <w:rsid w:val="009A0B75"/>
    <w:rsid w:val="009A2123"/>
    <w:rsid w:val="009A2DB0"/>
    <w:rsid w:val="009A36A7"/>
    <w:rsid w:val="009A3D68"/>
    <w:rsid w:val="009A4117"/>
    <w:rsid w:val="009A4D4F"/>
    <w:rsid w:val="009A6A02"/>
    <w:rsid w:val="009A6A91"/>
    <w:rsid w:val="009A7F43"/>
    <w:rsid w:val="009B0EAC"/>
    <w:rsid w:val="009B175E"/>
    <w:rsid w:val="009B1947"/>
    <w:rsid w:val="009B1E0C"/>
    <w:rsid w:val="009B23A9"/>
    <w:rsid w:val="009B2E31"/>
    <w:rsid w:val="009B3C64"/>
    <w:rsid w:val="009B3F1C"/>
    <w:rsid w:val="009B3F26"/>
    <w:rsid w:val="009B46EB"/>
    <w:rsid w:val="009B5E49"/>
    <w:rsid w:val="009B6B8B"/>
    <w:rsid w:val="009B6EF6"/>
    <w:rsid w:val="009B70B2"/>
    <w:rsid w:val="009B74CF"/>
    <w:rsid w:val="009B7633"/>
    <w:rsid w:val="009C028B"/>
    <w:rsid w:val="009C03A7"/>
    <w:rsid w:val="009C1468"/>
    <w:rsid w:val="009C1C71"/>
    <w:rsid w:val="009C2A63"/>
    <w:rsid w:val="009C3201"/>
    <w:rsid w:val="009C4FC3"/>
    <w:rsid w:val="009C6B49"/>
    <w:rsid w:val="009C71DC"/>
    <w:rsid w:val="009C72F6"/>
    <w:rsid w:val="009C7BFA"/>
    <w:rsid w:val="009D0848"/>
    <w:rsid w:val="009D1498"/>
    <w:rsid w:val="009D2620"/>
    <w:rsid w:val="009D4668"/>
    <w:rsid w:val="009D7EA2"/>
    <w:rsid w:val="009E0E9C"/>
    <w:rsid w:val="009E1181"/>
    <w:rsid w:val="009E1AA7"/>
    <w:rsid w:val="009E23C6"/>
    <w:rsid w:val="009E3234"/>
    <w:rsid w:val="009E3276"/>
    <w:rsid w:val="009E4E3E"/>
    <w:rsid w:val="009E5ECE"/>
    <w:rsid w:val="009E650B"/>
    <w:rsid w:val="009E69AD"/>
    <w:rsid w:val="009E7115"/>
    <w:rsid w:val="009E722C"/>
    <w:rsid w:val="009E7619"/>
    <w:rsid w:val="009E7917"/>
    <w:rsid w:val="009E7FC2"/>
    <w:rsid w:val="009F0269"/>
    <w:rsid w:val="009F112F"/>
    <w:rsid w:val="009F215E"/>
    <w:rsid w:val="009F21F9"/>
    <w:rsid w:val="009F2800"/>
    <w:rsid w:val="009F285C"/>
    <w:rsid w:val="009F3930"/>
    <w:rsid w:val="009F3A77"/>
    <w:rsid w:val="009F4D74"/>
    <w:rsid w:val="009F5AD2"/>
    <w:rsid w:val="009F5EDB"/>
    <w:rsid w:val="009F6539"/>
    <w:rsid w:val="009F6F46"/>
    <w:rsid w:val="009F7089"/>
    <w:rsid w:val="00A008C2"/>
    <w:rsid w:val="00A00C6C"/>
    <w:rsid w:val="00A00D13"/>
    <w:rsid w:val="00A01C02"/>
    <w:rsid w:val="00A0251F"/>
    <w:rsid w:val="00A03C31"/>
    <w:rsid w:val="00A03E7F"/>
    <w:rsid w:val="00A0405F"/>
    <w:rsid w:val="00A047DA"/>
    <w:rsid w:val="00A05202"/>
    <w:rsid w:val="00A05520"/>
    <w:rsid w:val="00A0626F"/>
    <w:rsid w:val="00A06A72"/>
    <w:rsid w:val="00A07688"/>
    <w:rsid w:val="00A07E79"/>
    <w:rsid w:val="00A110E3"/>
    <w:rsid w:val="00A11DFC"/>
    <w:rsid w:val="00A12861"/>
    <w:rsid w:val="00A12A8B"/>
    <w:rsid w:val="00A13C7A"/>
    <w:rsid w:val="00A1479E"/>
    <w:rsid w:val="00A147FD"/>
    <w:rsid w:val="00A14E44"/>
    <w:rsid w:val="00A15198"/>
    <w:rsid w:val="00A15EFF"/>
    <w:rsid w:val="00A15FF1"/>
    <w:rsid w:val="00A16042"/>
    <w:rsid w:val="00A16967"/>
    <w:rsid w:val="00A17697"/>
    <w:rsid w:val="00A176E9"/>
    <w:rsid w:val="00A17B6F"/>
    <w:rsid w:val="00A21895"/>
    <w:rsid w:val="00A225D3"/>
    <w:rsid w:val="00A24034"/>
    <w:rsid w:val="00A24082"/>
    <w:rsid w:val="00A258C5"/>
    <w:rsid w:val="00A25EC2"/>
    <w:rsid w:val="00A25F8C"/>
    <w:rsid w:val="00A26CA0"/>
    <w:rsid w:val="00A272E7"/>
    <w:rsid w:val="00A2751B"/>
    <w:rsid w:val="00A27651"/>
    <w:rsid w:val="00A27829"/>
    <w:rsid w:val="00A30134"/>
    <w:rsid w:val="00A318E5"/>
    <w:rsid w:val="00A32C4C"/>
    <w:rsid w:val="00A34279"/>
    <w:rsid w:val="00A34404"/>
    <w:rsid w:val="00A34A23"/>
    <w:rsid w:val="00A3511B"/>
    <w:rsid w:val="00A35DFA"/>
    <w:rsid w:val="00A371AB"/>
    <w:rsid w:val="00A372ED"/>
    <w:rsid w:val="00A37BD0"/>
    <w:rsid w:val="00A409B5"/>
    <w:rsid w:val="00A410F5"/>
    <w:rsid w:val="00A4120F"/>
    <w:rsid w:val="00A438C5"/>
    <w:rsid w:val="00A44335"/>
    <w:rsid w:val="00A44DE4"/>
    <w:rsid w:val="00A453D3"/>
    <w:rsid w:val="00A467FE"/>
    <w:rsid w:val="00A47205"/>
    <w:rsid w:val="00A472DE"/>
    <w:rsid w:val="00A477C5"/>
    <w:rsid w:val="00A47CAB"/>
    <w:rsid w:val="00A51500"/>
    <w:rsid w:val="00A520F5"/>
    <w:rsid w:val="00A52405"/>
    <w:rsid w:val="00A5268A"/>
    <w:rsid w:val="00A526A9"/>
    <w:rsid w:val="00A52939"/>
    <w:rsid w:val="00A52F0D"/>
    <w:rsid w:val="00A53E5C"/>
    <w:rsid w:val="00A53FAD"/>
    <w:rsid w:val="00A54818"/>
    <w:rsid w:val="00A55443"/>
    <w:rsid w:val="00A60973"/>
    <w:rsid w:val="00A60DDF"/>
    <w:rsid w:val="00A60E2A"/>
    <w:rsid w:val="00A60F63"/>
    <w:rsid w:val="00A61452"/>
    <w:rsid w:val="00A61D94"/>
    <w:rsid w:val="00A62B1C"/>
    <w:rsid w:val="00A62C21"/>
    <w:rsid w:val="00A62E2C"/>
    <w:rsid w:val="00A6394B"/>
    <w:rsid w:val="00A6434A"/>
    <w:rsid w:val="00A6556E"/>
    <w:rsid w:val="00A65B39"/>
    <w:rsid w:val="00A65C85"/>
    <w:rsid w:val="00A660A0"/>
    <w:rsid w:val="00A664BF"/>
    <w:rsid w:val="00A666B2"/>
    <w:rsid w:val="00A67532"/>
    <w:rsid w:val="00A70150"/>
    <w:rsid w:val="00A7059B"/>
    <w:rsid w:val="00A71578"/>
    <w:rsid w:val="00A72221"/>
    <w:rsid w:val="00A723F0"/>
    <w:rsid w:val="00A731BF"/>
    <w:rsid w:val="00A731F0"/>
    <w:rsid w:val="00A7554A"/>
    <w:rsid w:val="00A76FAA"/>
    <w:rsid w:val="00A77894"/>
    <w:rsid w:val="00A77902"/>
    <w:rsid w:val="00A8033E"/>
    <w:rsid w:val="00A8258D"/>
    <w:rsid w:val="00A8271C"/>
    <w:rsid w:val="00A82CD7"/>
    <w:rsid w:val="00A836D0"/>
    <w:rsid w:val="00A8382B"/>
    <w:rsid w:val="00A83C79"/>
    <w:rsid w:val="00A86260"/>
    <w:rsid w:val="00A86C6C"/>
    <w:rsid w:val="00A87921"/>
    <w:rsid w:val="00A87CF4"/>
    <w:rsid w:val="00A90B55"/>
    <w:rsid w:val="00A90F2F"/>
    <w:rsid w:val="00A91321"/>
    <w:rsid w:val="00A91AB4"/>
    <w:rsid w:val="00A92AB5"/>
    <w:rsid w:val="00A9344D"/>
    <w:rsid w:val="00A93F07"/>
    <w:rsid w:val="00A941C7"/>
    <w:rsid w:val="00A944F9"/>
    <w:rsid w:val="00A962E6"/>
    <w:rsid w:val="00A97C46"/>
    <w:rsid w:val="00AA1E3C"/>
    <w:rsid w:val="00AA22CF"/>
    <w:rsid w:val="00AA286E"/>
    <w:rsid w:val="00AA2CBA"/>
    <w:rsid w:val="00AA34F0"/>
    <w:rsid w:val="00AA3DA6"/>
    <w:rsid w:val="00AA42BE"/>
    <w:rsid w:val="00AA43A9"/>
    <w:rsid w:val="00AA462C"/>
    <w:rsid w:val="00AA6FBC"/>
    <w:rsid w:val="00AA7056"/>
    <w:rsid w:val="00AA72E7"/>
    <w:rsid w:val="00AA7780"/>
    <w:rsid w:val="00AB0B76"/>
    <w:rsid w:val="00AB10F7"/>
    <w:rsid w:val="00AB111F"/>
    <w:rsid w:val="00AB31CE"/>
    <w:rsid w:val="00AB3B91"/>
    <w:rsid w:val="00AB4403"/>
    <w:rsid w:val="00AB4899"/>
    <w:rsid w:val="00AB4A30"/>
    <w:rsid w:val="00AB4D59"/>
    <w:rsid w:val="00AB51BE"/>
    <w:rsid w:val="00AB5638"/>
    <w:rsid w:val="00AB5B15"/>
    <w:rsid w:val="00AB68E4"/>
    <w:rsid w:val="00AB6E77"/>
    <w:rsid w:val="00AB717B"/>
    <w:rsid w:val="00AC0833"/>
    <w:rsid w:val="00AC0893"/>
    <w:rsid w:val="00AC0FF0"/>
    <w:rsid w:val="00AC1588"/>
    <w:rsid w:val="00AC2CFC"/>
    <w:rsid w:val="00AC35CA"/>
    <w:rsid w:val="00AC40BA"/>
    <w:rsid w:val="00AC453F"/>
    <w:rsid w:val="00AC491E"/>
    <w:rsid w:val="00AC530B"/>
    <w:rsid w:val="00AC6309"/>
    <w:rsid w:val="00AC743C"/>
    <w:rsid w:val="00AC7768"/>
    <w:rsid w:val="00AD366E"/>
    <w:rsid w:val="00AD37FF"/>
    <w:rsid w:val="00AD4A7A"/>
    <w:rsid w:val="00AD4B10"/>
    <w:rsid w:val="00AD65B7"/>
    <w:rsid w:val="00AD67EB"/>
    <w:rsid w:val="00AD77E2"/>
    <w:rsid w:val="00AD7F06"/>
    <w:rsid w:val="00AE085A"/>
    <w:rsid w:val="00AE1009"/>
    <w:rsid w:val="00AE10F2"/>
    <w:rsid w:val="00AE1744"/>
    <w:rsid w:val="00AE1A19"/>
    <w:rsid w:val="00AE2362"/>
    <w:rsid w:val="00AE276C"/>
    <w:rsid w:val="00AE295E"/>
    <w:rsid w:val="00AE2D75"/>
    <w:rsid w:val="00AE3767"/>
    <w:rsid w:val="00AE5C78"/>
    <w:rsid w:val="00AE5EC3"/>
    <w:rsid w:val="00AE71AF"/>
    <w:rsid w:val="00AE75DE"/>
    <w:rsid w:val="00AE787D"/>
    <w:rsid w:val="00AF0933"/>
    <w:rsid w:val="00AF1554"/>
    <w:rsid w:val="00AF1779"/>
    <w:rsid w:val="00AF3753"/>
    <w:rsid w:val="00AF38AE"/>
    <w:rsid w:val="00AF42F9"/>
    <w:rsid w:val="00AF4633"/>
    <w:rsid w:val="00AF47A0"/>
    <w:rsid w:val="00AF4980"/>
    <w:rsid w:val="00AF4E61"/>
    <w:rsid w:val="00AF571D"/>
    <w:rsid w:val="00AF5DF7"/>
    <w:rsid w:val="00AF6B21"/>
    <w:rsid w:val="00AF783B"/>
    <w:rsid w:val="00AF7AB7"/>
    <w:rsid w:val="00B005F8"/>
    <w:rsid w:val="00B006F4"/>
    <w:rsid w:val="00B00A3E"/>
    <w:rsid w:val="00B012C1"/>
    <w:rsid w:val="00B017F8"/>
    <w:rsid w:val="00B01E5E"/>
    <w:rsid w:val="00B036A0"/>
    <w:rsid w:val="00B03F29"/>
    <w:rsid w:val="00B04E57"/>
    <w:rsid w:val="00B053C7"/>
    <w:rsid w:val="00B06B58"/>
    <w:rsid w:val="00B07861"/>
    <w:rsid w:val="00B10563"/>
    <w:rsid w:val="00B10667"/>
    <w:rsid w:val="00B10C73"/>
    <w:rsid w:val="00B11BB2"/>
    <w:rsid w:val="00B11E42"/>
    <w:rsid w:val="00B1272D"/>
    <w:rsid w:val="00B12ED9"/>
    <w:rsid w:val="00B138E8"/>
    <w:rsid w:val="00B13AFE"/>
    <w:rsid w:val="00B15E69"/>
    <w:rsid w:val="00B160B5"/>
    <w:rsid w:val="00B16335"/>
    <w:rsid w:val="00B16B42"/>
    <w:rsid w:val="00B17519"/>
    <w:rsid w:val="00B17C60"/>
    <w:rsid w:val="00B20362"/>
    <w:rsid w:val="00B22070"/>
    <w:rsid w:val="00B22432"/>
    <w:rsid w:val="00B25A1B"/>
    <w:rsid w:val="00B25A45"/>
    <w:rsid w:val="00B25CB3"/>
    <w:rsid w:val="00B27138"/>
    <w:rsid w:val="00B273A8"/>
    <w:rsid w:val="00B2749A"/>
    <w:rsid w:val="00B27A7E"/>
    <w:rsid w:val="00B3078C"/>
    <w:rsid w:val="00B30D7C"/>
    <w:rsid w:val="00B30FC4"/>
    <w:rsid w:val="00B311FF"/>
    <w:rsid w:val="00B32200"/>
    <w:rsid w:val="00B328C1"/>
    <w:rsid w:val="00B32BF6"/>
    <w:rsid w:val="00B336C1"/>
    <w:rsid w:val="00B3397F"/>
    <w:rsid w:val="00B33F5D"/>
    <w:rsid w:val="00B34251"/>
    <w:rsid w:val="00B34340"/>
    <w:rsid w:val="00B35607"/>
    <w:rsid w:val="00B35FB9"/>
    <w:rsid w:val="00B361F6"/>
    <w:rsid w:val="00B368D6"/>
    <w:rsid w:val="00B368F0"/>
    <w:rsid w:val="00B40AC2"/>
    <w:rsid w:val="00B4119F"/>
    <w:rsid w:val="00B41550"/>
    <w:rsid w:val="00B41DF8"/>
    <w:rsid w:val="00B4241B"/>
    <w:rsid w:val="00B42E29"/>
    <w:rsid w:val="00B44497"/>
    <w:rsid w:val="00B446E9"/>
    <w:rsid w:val="00B44D5B"/>
    <w:rsid w:val="00B45186"/>
    <w:rsid w:val="00B45E5B"/>
    <w:rsid w:val="00B461DF"/>
    <w:rsid w:val="00B46233"/>
    <w:rsid w:val="00B46483"/>
    <w:rsid w:val="00B46F73"/>
    <w:rsid w:val="00B46FF7"/>
    <w:rsid w:val="00B505BC"/>
    <w:rsid w:val="00B50CDB"/>
    <w:rsid w:val="00B50EFF"/>
    <w:rsid w:val="00B51AD7"/>
    <w:rsid w:val="00B52527"/>
    <w:rsid w:val="00B52D42"/>
    <w:rsid w:val="00B530E1"/>
    <w:rsid w:val="00B53D95"/>
    <w:rsid w:val="00B53F11"/>
    <w:rsid w:val="00B5439F"/>
    <w:rsid w:val="00B546E5"/>
    <w:rsid w:val="00B548DE"/>
    <w:rsid w:val="00B56340"/>
    <w:rsid w:val="00B567DE"/>
    <w:rsid w:val="00B5694E"/>
    <w:rsid w:val="00B569BB"/>
    <w:rsid w:val="00B5735B"/>
    <w:rsid w:val="00B573C7"/>
    <w:rsid w:val="00B57A1D"/>
    <w:rsid w:val="00B57ED1"/>
    <w:rsid w:val="00B611E0"/>
    <w:rsid w:val="00B618A7"/>
    <w:rsid w:val="00B61F29"/>
    <w:rsid w:val="00B627D4"/>
    <w:rsid w:val="00B62C57"/>
    <w:rsid w:val="00B66639"/>
    <w:rsid w:val="00B66944"/>
    <w:rsid w:val="00B66DBA"/>
    <w:rsid w:val="00B67018"/>
    <w:rsid w:val="00B67324"/>
    <w:rsid w:val="00B67339"/>
    <w:rsid w:val="00B67880"/>
    <w:rsid w:val="00B704B7"/>
    <w:rsid w:val="00B70DC4"/>
    <w:rsid w:val="00B719EF"/>
    <w:rsid w:val="00B71FB4"/>
    <w:rsid w:val="00B7211A"/>
    <w:rsid w:val="00B72576"/>
    <w:rsid w:val="00B728D5"/>
    <w:rsid w:val="00B72F0C"/>
    <w:rsid w:val="00B73168"/>
    <w:rsid w:val="00B7340A"/>
    <w:rsid w:val="00B739BD"/>
    <w:rsid w:val="00B73DD2"/>
    <w:rsid w:val="00B73E96"/>
    <w:rsid w:val="00B758F8"/>
    <w:rsid w:val="00B75CFC"/>
    <w:rsid w:val="00B761CA"/>
    <w:rsid w:val="00B770D4"/>
    <w:rsid w:val="00B772EA"/>
    <w:rsid w:val="00B77854"/>
    <w:rsid w:val="00B77B70"/>
    <w:rsid w:val="00B77B99"/>
    <w:rsid w:val="00B816C5"/>
    <w:rsid w:val="00B81D7B"/>
    <w:rsid w:val="00B81DCB"/>
    <w:rsid w:val="00B83DCB"/>
    <w:rsid w:val="00B843DE"/>
    <w:rsid w:val="00B848E6"/>
    <w:rsid w:val="00B849EF"/>
    <w:rsid w:val="00B85939"/>
    <w:rsid w:val="00B85A97"/>
    <w:rsid w:val="00B86D4B"/>
    <w:rsid w:val="00B872CC"/>
    <w:rsid w:val="00B87578"/>
    <w:rsid w:val="00B90A04"/>
    <w:rsid w:val="00B90BCE"/>
    <w:rsid w:val="00B914E5"/>
    <w:rsid w:val="00B921DB"/>
    <w:rsid w:val="00B9260F"/>
    <w:rsid w:val="00B9400B"/>
    <w:rsid w:val="00B953CD"/>
    <w:rsid w:val="00B96237"/>
    <w:rsid w:val="00B962EC"/>
    <w:rsid w:val="00B96465"/>
    <w:rsid w:val="00B96529"/>
    <w:rsid w:val="00B96A5C"/>
    <w:rsid w:val="00B9746A"/>
    <w:rsid w:val="00BA0529"/>
    <w:rsid w:val="00BA0E4E"/>
    <w:rsid w:val="00BA1FED"/>
    <w:rsid w:val="00BA26B4"/>
    <w:rsid w:val="00BA513F"/>
    <w:rsid w:val="00BA540E"/>
    <w:rsid w:val="00BA5894"/>
    <w:rsid w:val="00BA5B90"/>
    <w:rsid w:val="00BA7B80"/>
    <w:rsid w:val="00BB1ABB"/>
    <w:rsid w:val="00BB211E"/>
    <w:rsid w:val="00BB26F8"/>
    <w:rsid w:val="00BB4A81"/>
    <w:rsid w:val="00BB5333"/>
    <w:rsid w:val="00BB5449"/>
    <w:rsid w:val="00BB6BF3"/>
    <w:rsid w:val="00BB77DE"/>
    <w:rsid w:val="00BC3C84"/>
    <w:rsid w:val="00BC407A"/>
    <w:rsid w:val="00BC432D"/>
    <w:rsid w:val="00BC4485"/>
    <w:rsid w:val="00BC48D0"/>
    <w:rsid w:val="00BC53AC"/>
    <w:rsid w:val="00BC5B24"/>
    <w:rsid w:val="00BC71FB"/>
    <w:rsid w:val="00BC7F1C"/>
    <w:rsid w:val="00BD0F47"/>
    <w:rsid w:val="00BD150A"/>
    <w:rsid w:val="00BD16F2"/>
    <w:rsid w:val="00BD3006"/>
    <w:rsid w:val="00BD3D40"/>
    <w:rsid w:val="00BD5ADA"/>
    <w:rsid w:val="00BD60CE"/>
    <w:rsid w:val="00BD71CC"/>
    <w:rsid w:val="00BD7E38"/>
    <w:rsid w:val="00BE0435"/>
    <w:rsid w:val="00BE0874"/>
    <w:rsid w:val="00BE133A"/>
    <w:rsid w:val="00BE17D7"/>
    <w:rsid w:val="00BE1895"/>
    <w:rsid w:val="00BE273E"/>
    <w:rsid w:val="00BE3A1E"/>
    <w:rsid w:val="00BE401C"/>
    <w:rsid w:val="00BE4161"/>
    <w:rsid w:val="00BE455B"/>
    <w:rsid w:val="00BE51BC"/>
    <w:rsid w:val="00BE5660"/>
    <w:rsid w:val="00BE5764"/>
    <w:rsid w:val="00BE5F3D"/>
    <w:rsid w:val="00BE5FAE"/>
    <w:rsid w:val="00BE6A5F"/>
    <w:rsid w:val="00BE6A87"/>
    <w:rsid w:val="00BE75A2"/>
    <w:rsid w:val="00BE763E"/>
    <w:rsid w:val="00BE7E32"/>
    <w:rsid w:val="00BF0557"/>
    <w:rsid w:val="00BF059C"/>
    <w:rsid w:val="00BF0BB5"/>
    <w:rsid w:val="00BF1013"/>
    <w:rsid w:val="00BF246D"/>
    <w:rsid w:val="00BF2A3B"/>
    <w:rsid w:val="00BF3AD2"/>
    <w:rsid w:val="00BF40C9"/>
    <w:rsid w:val="00BF47F7"/>
    <w:rsid w:val="00BF481A"/>
    <w:rsid w:val="00BF57FE"/>
    <w:rsid w:val="00BF6B03"/>
    <w:rsid w:val="00BF7519"/>
    <w:rsid w:val="00BF7A8B"/>
    <w:rsid w:val="00C00641"/>
    <w:rsid w:val="00C00BF8"/>
    <w:rsid w:val="00C00DCD"/>
    <w:rsid w:val="00C0163A"/>
    <w:rsid w:val="00C01D73"/>
    <w:rsid w:val="00C01F04"/>
    <w:rsid w:val="00C01F74"/>
    <w:rsid w:val="00C021AC"/>
    <w:rsid w:val="00C034BA"/>
    <w:rsid w:val="00C0351B"/>
    <w:rsid w:val="00C052B4"/>
    <w:rsid w:val="00C059E8"/>
    <w:rsid w:val="00C05BBB"/>
    <w:rsid w:val="00C05D06"/>
    <w:rsid w:val="00C066B4"/>
    <w:rsid w:val="00C07284"/>
    <w:rsid w:val="00C072B8"/>
    <w:rsid w:val="00C0756C"/>
    <w:rsid w:val="00C10699"/>
    <w:rsid w:val="00C11D11"/>
    <w:rsid w:val="00C11FF6"/>
    <w:rsid w:val="00C1237C"/>
    <w:rsid w:val="00C14366"/>
    <w:rsid w:val="00C14A19"/>
    <w:rsid w:val="00C15D59"/>
    <w:rsid w:val="00C1661A"/>
    <w:rsid w:val="00C17205"/>
    <w:rsid w:val="00C1724E"/>
    <w:rsid w:val="00C20EAE"/>
    <w:rsid w:val="00C21829"/>
    <w:rsid w:val="00C21854"/>
    <w:rsid w:val="00C222DE"/>
    <w:rsid w:val="00C22431"/>
    <w:rsid w:val="00C238F1"/>
    <w:rsid w:val="00C23F8F"/>
    <w:rsid w:val="00C2423B"/>
    <w:rsid w:val="00C244CD"/>
    <w:rsid w:val="00C24AE9"/>
    <w:rsid w:val="00C2550E"/>
    <w:rsid w:val="00C25832"/>
    <w:rsid w:val="00C25DF6"/>
    <w:rsid w:val="00C26012"/>
    <w:rsid w:val="00C27049"/>
    <w:rsid w:val="00C278B5"/>
    <w:rsid w:val="00C27CDD"/>
    <w:rsid w:val="00C30911"/>
    <w:rsid w:val="00C312AA"/>
    <w:rsid w:val="00C31351"/>
    <w:rsid w:val="00C324C6"/>
    <w:rsid w:val="00C32670"/>
    <w:rsid w:val="00C32813"/>
    <w:rsid w:val="00C32DDD"/>
    <w:rsid w:val="00C3511D"/>
    <w:rsid w:val="00C352EB"/>
    <w:rsid w:val="00C3694D"/>
    <w:rsid w:val="00C3758E"/>
    <w:rsid w:val="00C40A48"/>
    <w:rsid w:val="00C40CF8"/>
    <w:rsid w:val="00C416BA"/>
    <w:rsid w:val="00C41C15"/>
    <w:rsid w:val="00C42CED"/>
    <w:rsid w:val="00C4314C"/>
    <w:rsid w:val="00C4448B"/>
    <w:rsid w:val="00C44846"/>
    <w:rsid w:val="00C44C22"/>
    <w:rsid w:val="00C45E23"/>
    <w:rsid w:val="00C45FAA"/>
    <w:rsid w:val="00C461DB"/>
    <w:rsid w:val="00C46970"/>
    <w:rsid w:val="00C476C3"/>
    <w:rsid w:val="00C50592"/>
    <w:rsid w:val="00C518D7"/>
    <w:rsid w:val="00C52494"/>
    <w:rsid w:val="00C52BCE"/>
    <w:rsid w:val="00C53FDC"/>
    <w:rsid w:val="00C5490A"/>
    <w:rsid w:val="00C556E5"/>
    <w:rsid w:val="00C55AE0"/>
    <w:rsid w:val="00C55EA7"/>
    <w:rsid w:val="00C564A3"/>
    <w:rsid w:val="00C56540"/>
    <w:rsid w:val="00C60B08"/>
    <w:rsid w:val="00C613B4"/>
    <w:rsid w:val="00C63971"/>
    <w:rsid w:val="00C63A4C"/>
    <w:rsid w:val="00C64191"/>
    <w:rsid w:val="00C64478"/>
    <w:rsid w:val="00C65DAB"/>
    <w:rsid w:val="00C65ECD"/>
    <w:rsid w:val="00C675F9"/>
    <w:rsid w:val="00C721D7"/>
    <w:rsid w:val="00C72422"/>
    <w:rsid w:val="00C72F39"/>
    <w:rsid w:val="00C7367D"/>
    <w:rsid w:val="00C73FAD"/>
    <w:rsid w:val="00C7444D"/>
    <w:rsid w:val="00C7459D"/>
    <w:rsid w:val="00C76DE5"/>
    <w:rsid w:val="00C77E94"/>
    <w:rsid w:val="00C807C3"/>
    <w:rsid w:val="00C80F12"/>
    <w:rsid w:val="00C82562"/>
    <w:rsid w:val="00C8344F"/>
    <w:rsid w:val="00C837B9"/>
    <w:rsid w:val="00C837DC"/>
    <w:rsid w:val="00C841C4"/>
    <w:rsid w:val="00C841DB"/>
    <w:rsid w:val="00C852AD"/>
    <w:rsid w:val="00C8648C"/>
    <w:rsid w:val="00C86E1C"/>
    <w:rsid w:val="00C87A16"/>
    <w:rsid w:val="00C87D14"/>
    <w:rsid w:val="00C87DBB"/>
    <w:rsid w:val="00C9005B"/>
    <w:rsid w:val="00C907B8"/>
    <w:rsid w:val="00C90F48"/>
    <w:rsid w:val="00C916B6"/>
    <w:rsid w:val="00C918CA"/>
    <w:rsid w:val="00C939A1"/>
    <w:rsid w:val="00C93F76"/>
    <w:rsid w:val="00C953B5"/>
    <w:rsid w:val="00C96CFE"/>
    <w:rsid w:val="00C9712A"/>
    <w:rsid w:val="00C9757B"/>
    <w:rsid w:val="00C97745"/>
    <w:rsid w:val="00CA1383"/>
    <w:rsid w:val="00CA1415"/>
    <w:rsid w:val="00CA1B54"/>
    <w:rsid w:val="00CA2FB6"/>
    <w:rsid w:val="00CA307E"/>
    <w:rsid w:val="00CA33C3"/>
    <w:rsid w:val="00CA3DC0"/>
    <w:rsid w:val="00CA40DB"/>
    <w:rsid w:val="00CA587B"/>
    <w:rsid w:val="00CA6096"/>
    <w:rsid w:val="00CA6C79"/>
    <w:rsid w:val="00CA75E5"/>
    <w:rsid w:val="00CA7844"/>
    <w:rsid w:val="00CB12B8"/>
    <w:rsid w:val="00CB1BAC"/>
    <w:rsid w:val="00CB239B"/>
    <w:rsid w:val="00CB2AEE"/>
    <w:rsid w:val="00CB2AF2"/>
    <w:rsid w:val="00CB2E75"/>
    <w:rsid w:val="00CB4120"/>
    <w:rsid w:val="00CB5C55"/>
    <w:rsid w:val="00CB6F84"/>
    <w:rsid w:val="00CB7A71"/>
    <w:rsid w:val="00CC07B9"/>
    <w:rsid w:val="00CC2C8A"/>
    <w:rsid w:val="00CC3ECC"/>
    <w:rsid w:val="00CC4AD1"/>
    <w:rsid w:val="00CC5089"/>
    <w:rsid w:val="00CC5376"/>
    <w:rsid w:val="00CC656B"/>
    <w:rsid w:val="00CC6CD8"/>
    <w:rsid w:val="00CD06E1"/>
    <w:rsid w:val="00CD0B3B"/>
    <w:rsid w:val="00CD1AB2"/>
    <w:rsid w:val="00CD1C4A"/>
    <w:rsid w:val="00CD3056"/>
    <w:rsid w:val="00CD38F8"/>
    <w:rsid w:val="00CD3FF0"/>
    <w:rsid w:val="00CD4FAC"/>
    <w:rsid w:val="00CD55FB"/>
    <w:rsid w:val="00CD59B4"/>
    <w:rsid w:val="00CD5CFB"/>
    <w:rsid w:val="00CD5EB3"/>
    <w:rsid w:val="00CD7B08"/>
    <w:rsid w:val="00CD7CCD"/>
    <w:rsid w:val="00CE00A7"/>
    <w:rsid w:val="00CE1433"/>
    <w:rsid w:val="00CE218D"/>
    <w:rsid w:val="00CE263D"/>
    <w:rsid w:val="00CE2C88"/>
    <w:rsid w:val="00CE3109"/>
    <w:rsid w:val="00CE35EE"/>
    <w:rsid w:val="00CE39F1"/>
    <w:rsid w:val="00CE438B"/>
    <w:rsid w:val="00CE4DFF"/>
    <w:rsid w:val="00CE4F82"/>
    <w:rsid w:val="00CE5362"/>
    <w:rsid w:val="00CE6D3B"/>
    <w:rsid w:val="00CF0004"/>
    <w:rsid w:val="00CF162E"/>
    <w:rsid w:val="00CF1C14"/>
    <w:rsid w:val="00CF26E5"/>
    <w:rsid w:val="00CF2725"/>
    <w:rsid w:val="00CF2761"/>
    <w:rsid w:val="00CF2CA2"/>
    <w:rsid w:val="00CF2DAF"/>
    <w:rsid w:val="00CF2E91"/>
    <w:rsid w:val="00CF3525"/>
    <w:rsid w:val="00CF3795"/>
    <w:rsid w:val="00CF4F4C"/>
    <w:rsid w:val="00CF544D"/>
    <w:rsid w:val="00CF56FC"/>
    <w:rsid w:val="00CF5A56"/>
    <w:rsid w:val="00CF5D41"/>
    <w:rsid w:val="00CF66FD"/>
    <w:rsid w:val="00CF6FA4"/>
    <w:rsid w:val="00CF7E65"/>
    <w:rsid w:val="00CF7EF1"/>
    <w:rsid w:val="00D003E9"/>
    <w:rsid w:val="00D0179D"/>
    <w:rsid w:val="00D02671"/>
    <w:rsid w:val="00D02B5C"/>
    <w:rsid w:val="00D02F1E"/>
    <w:rsid w:val="00D03C2E"/>
    <w:rsid w:val="00D04A82"/>
    <w:rsid w:val="00D052DC"/>
    <w:rsid w:val="00D060B6"/>
    <w:rsid w:val="00D06280"/>
    <w:rsid w:val="00D0643B"/>
    <w:rsid w:val="00D06C4F"/>
    <w:rsid w:val="00D06E33"/>
    <w:rsid w:val="00D077EE"/>
    <w:rsid w:val="00D10578"/>
    <w:rsid w:val="00D105B0"/>
    <w:rsid w:val="00D10F30"/>
    <w:rsid w:val="00D111BA"/>
    <w:rsid w:val="00D11236"/>
    <w:rsid w:val="00D11753"/>
    <w:rsid w:val="00D119E6"/>
    <w:rsid w:val="00D12077"/>
    <w:rsid w:val="00D124D6"/>
    <w:rsid w:val="00D129D0"/>
    <w:rsid w:val="00D12C88"/>
    <w:rsid w:val="00D13858"/>
    <w:rsid w:val="00D1460C"/>
    <w:rsid w:val="00D1507E"/>
    <w:rsid w:val="00D162EA"/>
    <w:rsid w:val="00D16492"/>
    <w:rsid w:val="00D17289"/>
    <w:rsid w:val="00D1737D"/>
    <w:rsid w:val="00D17A58"/>
    <w:rsid w:val="00D21A0A"/>
    <w:rsid w:val="00D22396"/>
    <w:rsid w:val="00D22D15"/>
    <w:rsid w:val="00D22D96"/>
    <w:rsid w:val="00D22FE8"/>
    <w:rsid w:val="00D24FB8"/>
    <w:rsid w:val="00D2571B"/>
    <w:rsid w:val="00D25F4D"/>
    <w:rsid w:val="00D25F82"/>
    <w:rsid w:val="00D26E98"/>
    <w:rsid w:val="00D30393"/>
    <w:rsid w:val="00D31393"/>
    <w:rsid w:val="00D32C6D"/>
    <w:rsid w:val="00D33A9D"/>
    <w:rsid w:val="00D3495F"/>
    <w:rsid w:val="00D34C7F"/>
    <w:rsid w:val="00D34E80"/>
    <w:rsid w:val="00D35464"/>
    <w:rsid w:val="00D366BC"/>
    <w:rsid w:val="00D37576"/>
    <w:rsid w:val="00D378EC"/>
    <w:rsid w:val="00D4005E"/>
    <w:rsid w:val="00D40214"/>
    <w:rsid w:val="00D405CF"/>
    <w:rsid w:val="00D44480"/>
    <w:rsid w:val="00D449C4"/>
    <w:rsid w:val="00D45BCE"/>
    <w:rsid w:val="00D462A2"/>
    <w:rsid w:val="00D47258"/>
    <w:rsid w:val="00D47468"/>
    <w:rsid w:val="00D47D36"/>
    <w:rsid w:val="00D47F8C"/>
    <w:rsid w:val="00D50B94"/>
    <w:rsid w:val="00D50BF6"/>
    <w:rsid w:val="00D50D4F"/>
    <w:rsid w:val="00D5127F"/>
    <w:rsid w:val="00D513E2"/>
    <w:rsid w:val="00D515A6"/>
    <w:rsid w:val="00D52E97"/>
    <w:rsid w:val="00D53784"/>
    <w:rsid w:val="00D544CA"/>
    <w:rsid w:val="00D54715"/>
    <w:rsid w:val="00D60206"/>
    <w:rsid w:val="00D60616"/>
    <w:rsid w:val="00D60E5B"/>
    <w:rsid w:val="00D6150B"/>
    <w:rsid w:val="00D6208A"/>
    <w:rsid w:val="00D621B5"/>
    <w:rsid w:val="00D624C9"/>
    <w:rsid w:val="00D63376"/>
    <w:rsid w:val="00D63A01"/>
    <w:rsid w:val="00D6406A"/>
    <w:rsid w:val="00D6425A"/>
    <w:rsid w:val="00D64609"/>
    <w:rsid w:val="00D64717"/>
    <w:rsid w:val="00D671B2"/>
    <w:rsid w:val="00D6766A"/>
    <w:rsid w:val="00D706E0"/>
    <w:rsid w:val="00D71559"/>
    <w:rsid w:val="00D71B70"/>
    <w:rsid w:val="00D7270A"/>
    <w:rsid w:val="00D740CA"/>
    <w:rsid w:val="00D7468B"/>
    <w:rsid w:val="00D74749"/>
    <w:rsid w:val="00D75429"/>
    <w:rsid w:val="00D75FA8"/>
    <w:rsid w:val="00D76398"/>
    <w:rsid w:val="00D76C9E"/>
    <w:rsid w:val="00D779E0"/>
    <w:rsid w:val="00D77C6F"/>
    <w:rsid w:val="00D8064F"/>
    <w:rsid w:val="00D809AD"/>
    <w:rsid w:val="00D80D71"/>
    <w:rsid w:val="00D813D0"/>
    <w:rsid w:val="00D8181D"/>
    <w:rsid w:val="00D83558"/>
    <w:rsid w:val="00D835FA"/>
    <w:rsid w:val="00D83773"/>
    <w:rsid w:val="00D84759"/>
    <w:rsid w:val="00D847F4"/>
    <w:rsid w:val="00D85063"/>
    <w:rsid w:val="00D865FE"/>
    <w:rsid w:val="00D87B11"/>
    <w:rsid w:val="00D87DAD"/>
    <w:rsid w:val="00D907A7"/>
    <w:rsid w:val="00D9255F"/>
    <w:rsid w:val="00D9286E"/>
    <w:rsid w:val="00D930E3"/>
    <w:rsid w:val="00D93495"/>
    <w:rsid w:val="00D951D2"/>
    <w:rsid w:val="00D95EF8"/>
    <w:rsid w:val="00D96150"/>
    <w:rsid w:val="00D96456"/>
    <w:rsid w:val="00D971FB"/>
    <w:rsid w:val="00DA005C"/>
    <w:rsid w:val="00DA0253"/>
    <w:rsid w:val="00DA051A"/>
    <w:rsid w:val="00DA0A2A"/>
    <w:rsid w:val="00DA0BFB"/>
    <w:rsid w:val="00DA1681"/>
    <w:rsid w:val="00DA2320"/>
    <w:rsid w:val="00DA2DAC"/>
    <w:rsid w:val="00DA4876"/>
    <w:rsid w:val="00DA4C61"/>
    <w:rsid w:val="00DA4C86"/>
    <w:rsid w:val="00DA5D13"/>
    <w:rsid w:val="00DA61B8"/>
    <w:rsid w:val="00DA6CB3"/>
    <w:rsid w:val="00DA6E0E"/>
    <w:rsid w:val="00DA7758"/>
    <w:rsid w:val="00DB00BB"/>
    <w:rsid w:val="00DB012F"/>
    <w:rsid w:val="00DB04C4"/>
    <w:rsid w:val="00DB0D8F"/>
    <w:rsid w:val="00DB3027"/>
    <w:rsid w:val="00DB31D1"/>
    <w:rsid w:val="00DB35C8"/>
    <w:rsid w:val="00DB3752"/>
    <w:rsid w:val="00DB3FCE"/>
    <w:rsid w:val="00DB4421"/>
    <w:rsid w:val="00DB6110"/>
    <w:rsid w:val="00DB6BFE"/>
    <w:rsid w:val="00DB7549"/>
    <w:rsid w:val="00DC050B"/>
    <w:rsid w:val="00DC1FE4"/>
    <w:rsid w:val="00DC2081"/>
    <w:rsid w:val="00DC3110"/>
    <w:rsid w:val="00DC3246"/>
    <w:rsid w:val="00DC48EC"/>
    <w:rsid w:val="00DC4B8D"/>
    <w:rsid w:val="00DC4CA2"/>
    <w:rsid w:val="00DC514A"/>
    <w:rsid w:val="00DC6282"/>
    <w:rsid w:val="00DC706E"/>
    <w:rsid w:val="00DC7286"/>
    <w:rsid w:val="00DD2916"/>
    <w:rsid w:val="00DD30D3"/>
    <w:rsid w:val="00DD4D11"/>
    <w:rsid w:val="00DD562B"/>
    <w:rsid w:val="00DD568B"/>
    <w:rsid w:val="00DD7783"/>
    <w:rsid w:val="00DD781C"/>
    <w:rsid w:val="00DE0713"/>
    <w:rsid w:val="00DE0F4F"/>
    <w:rsid w:val="00DE2881"/>
    <w:rsid w:val="00DE3D23"/>
    <w:rsid w:val="00DE3F42"/>
    <w:rsid w:val="00DE4AF3"/>
    <w:rsid w:val="00DE4C94"/>
    <w:rsid w:val="00DE5A1D"/>
    <w:rsid w:val="00DE7057"/>
    <w:rsid w:val="00DE7800"/>
    <w:rsid w:val="00DF04F0"/>
    <w:rsid w:val="00DF136E"/>
    <w:rsid w:val="00DF14E8"/>
    <w:rsid w:val="00DF18EC"/>
    <w:rsid w:val="00DF3304"/>
    <w:rsid w:val="00DF33DE"/>
    <w:rsid w:val="00DF4308"/>
    <w:rsid w:val="00DF44F7"/>
    <w:rsid w:val="00DF4AA0"/>
    <w:rsid w:val="00DF4F39"/>
    <w:rsid w:val="00DF6B88"/>
    <w:rsid w:val="00DF7556"/>
    <w:rsid w:val="00DF7A3C"/>
    <w:rsid w:val="00DF7AE6"/>
    <w:rsid w:val="00DF7FED"/>
    <w:rsid w:val="00E01E3B"/>
    <w:rsid w:val="00E0359D"/>
    <w:rsid w:val="00E03EF7"/>
    <w:rsid w:val="00E05AB8"/>
    <w:rsid w:val="00E064E1"/>
    <w:rsid w:val="00E07189"/>
    <w:rsid w:val="00E07996"/>
    <w:rsid w:val="00E07AC1"/>
    <w:rsid w:val="00E07D06"/>
    <w:rsid w:val="00E10270"/>
    <w:rsid w:val="00E10B98"/>
    <w:rsid w:val="00E10F88"/>
    <w:rsid w:val="00E1148D"/>
    <w:rsid w:val="00E125BA"/>
    <w:rsid w:val="00E1281A"/>
    <w:rsid w:val="00E12F43"/>
    <w:rsid w:val="00E13627"/>
    <w:rsid w:val="00E13885"/>
    <w:rsid w:val="00E151F4"/>
    <w:rsid w:val="00E16A35"/>
    <w:rsid w:val="00E16F1A"/>
    <w:rsid w:val="00E179F6"/>
    <w:rsid w:val="00E2019F"/>
    <w:rsid w:val="00E20F47"/>
    <w:rsid w:val="00E21492"/>
    <w:rsid w:val="00E21699"/>
    <w:rsid w:val="00E216D4"/>
    <w:rsid w:val="00E22362"/>
    <w:rsid w:val="00E23EF6"/>
    <w:rsid w:val="00E23FF5"/>
    <w:rsid w:val="00E242D6"/>
    <w:rsid w:val="00E24F0A"/>
    <w:rsid w:val="00E25C89"/>
    <w:rsid w:val="00E26981"/>
    <w:rsid w:val="00E27146"/>
    <w:rsid w:val="00E30482"/>
    <w:rsid w:val="00E3070A"/>
    <w:rsid w:val="00E3077E"/>
    <w:rsid w:val="00E30C14"/>
    <w:rsid w:val="00E30FA2"/>
    <w:rsid w:val="00E3128A"/>
    <w:rsid w:val="00E32358"/>
    <w:rsid w:val="00E365AF"/>
    <w:rsid w:val="00E37ADD"/>
    <w:rsid w:val="00E37E7D"/>
    <w:rsid w:val="00E404F2"/>
    <w:rsid w:val="00E40879"/>
    <w:rsid w:val="00E4196C"/>
    <w:rsid w:val="00E41DAC"/>
    <w:rsid w:val="00E423F4"/>
    <w:rsid w:val="00E4376D"/>
    <w:rsid w:val="00E443EF"/>
    <w:rsid w:val="00E45BF6"/>
    <w:rsid w:val="00E464FC"/>
    <w:rsid w:val="00E4781C"/>
    <w:rsid w:val="00E50240"/>
    <w:rsid w:val="00E50972"/>
    <w:rsid w:val="00E52119"/>
    <w:rsid w:val="00E52971"/>
    <w:rsid w:val="00E52BC7"/>
    <w:rsid w:val="00E53185"/>
    <w:rsid w:val="00E5327B"/>
    <w:rsid w:val="00E536BA"/>
    <w:rsid w:val="00E53FFE"/>
    <w:rsid w:val="00E54DC9"/>
    <w:rsid w:val="00E55E6B"/>
    <w:rsid w:val="00E56D73"/>
    <w:rsid w:val="00E5716F"/>
    <w:rsid w:val="00E6040B"/>
    <w:rsid w:val="00E60F21"/>
    <w:rsid w:val="00E615A8"/>
    <w:rsid w:val="00E61CBF"/>
    <w:rsid w:val="00E62C51"/>
    <w:rsid w:val="00E630B7"/>
    <w:rsid w:val="00E6409F"/>
    <w:rsid w:val="00E64178"/>
    <w:rsid w:val="00E64548"/>
    <w:rsid w:val="00E646B1"/>
    <w:rsid w:val="00E64912"/>
    <w:rsid w:val="00E64959"/>
    <w:rsid w:val="00E64D74"/>
    <w:rsid w:val="00E659A5"/>
    <w:rsid w:val="00E6677A"/>
    <w:rsid w:val="00E66C0A"/>
    <w:rsid w:val="00E71809"/>
    <w:rsid w:val="00E72067"/>
    <w:rsid w:val="00E725DE"/>
    <w:rsid w:val="00E7265B"/>
    <w:rsid w:val="00E7274C"/>
    <w:rsid w:val="00E72E4A"/>
    <w:rsid w:val="00E73625"/>
    <w:rsid w:val="00E74A90"/>
    <w:rsid w:val="00E74E47"/>
    <w:rsid w:val="00E75E3A"/>
    <w:rsid w:val="00E762CC"/>
    <w:rsid w:val="00E77EB2"/>
    <w:rsid w:val="00E82AE1"/>
    <w:rsid w:val="00E8345C"/>
    <w:rsid w:val="00E8401B"/>
    <w:rsid w:val="00E85F40"/>
    <w:rsid w:val="00E8624F"/>
    <w:rsid w:val="00E869C9"/>
    <w:rsid w:val="00E87A8B"/>
    <w:rsid w:val="00E87C26"/>
    <w:rsid w:val="00E90181"/>
    <w:rsid w:val="00E919E3"/>
    <w:rsid w:val="00E92B20"/>
    <w:rsid w:val="00E9325C"/>
    <w:rsid w:val="00E93298"/>
    <w:rsid w:val="00E944CE"/>
    <w:rsid w:val="00E95031"/>
    <w:rsid w:val="00E979DC"/>
    <w:rsid w:val="00E97A71"/>
    <w:rsid w:val="00E97AD8"/>
    <w:rsid w:val="00EA031C"/>
    <w:rsid w:val="00EA12BA"/>
    <w:rsid w:val="00EA23EE"/>
    <w:rsid w:val="00EA3115"/>
    <w:rsid w:val="00EA31BA"/>
    <w:rsid w:val="00EA3F37"/>
    <w:rsid w:val="00EA4CA5"/>
    <w:rsid w:val="00EA4F28"/>
    <w:rsid w:val="00EA5171"/>
    <w:rsid w:val="00EA544D"/>
    <w:rsid w:val="00EA587E"/>
    <w:rsid w:val="00EA66D3"/>
    <w:rsid w:val="00EA6AC0"/>
    <w:rsid w:val="00EA6D0E"/>
    <w:rsid w:val="00EB031D"/>
    <w:rsid w:val="00EB0454"/>
    <w:rsid w:val="00EB059A"/>
    <w:rsid w:val="00EB0E38"/>
    <w:rsid w:val="00EB1BAC"/>
    <w:rsid w:val="00EB2004"/>
    <w:rsid w:val="00EB3951"/>
    <w:rsid w:val="00EB3A84"/>
    <w:rsid w:val="00EB3B37"/>
    <w:rsid w:val="00EB4DB7"/>
    <w:rsid w:val="00EB4E82"/>
    <w:rsid w:val="00EB51E4"/>
    <w:rsid w:val="00EB5267"/>
    <w:rsid w:val="00EB5274"/>
    <w:rsid w:val="00EB55E8"/>
    <w:rsid w:val="00EB5847"/>
    <w:rsid w:val="00EB5E8E"/>
    <w:rsid w:val="00EB6121"/>
    <w:rsid w:val="00EB681F"/>
    <w:rsid w:val="00EB6C8E"/>
    <w:rsid w:val="00EB7BE1"/>
    <w:rsid w:val="00EC0504"/>
    <w:rsid w:val="00EC0827"/>
    <w:rsid w:val="00EC238E"/>
    <w:rsid w:val="00EC2BF6"/>
    <w:rsid w:val="00EC3EBB"/>
    <w:rsid w:val="00EC64E6"/>
    <w:rsid w:val="00EC6910"/>
    <w:rsid w:val="00EC6C98"/>
    <w:rsid w:val="00EC6D70"/>
    <w:rsid w:val="00EC6EE3"/>
    <w:rsid w:val="00EC750F"/>
    <w:rsid w:val="00ED022E"/>
    <w:rsid w:val="00ED0500"/>
    <w:rsid w:val="00ED06AC"/>
    <w:rsid w:val="00ED0E9D"/>
    <w:rsid w:val="00ED2A90"/>
    <w:rsid w:val="00ED3494"/>
    <w:rsid w:val="00ED34D8"/>
    <w:rsid w:val="00ED680A"/>
    <w:rsid w:val="00ED7ADF"/>
    <w:rsid w:val="00EE0FAB"/>
    <w:rsid w:val="00EE1159"/>
    <w:rsid w:val="00EE1E90"/>
    <w:rsid w:val="00EE1F08"/>
    <w:rsid w:val="00EE25CD"/>
    <w:rsid w:val="00EE2833"/>
    <w:rsid w:val="00EE2AC2"/>
    <w:rsid w:val="00EE3A21"/>
    <w:rsid w:val="00EE3BCE"/>
    <w:rsid w:val="00EE3C32"/>
    <w:rsid w:val="00EE4939"/>
    <w:rsid w:val="00EE52BF"/>
    <w:rsid w:val="00EE5805"/>
    <w:rsid w:val="00EE63EE"/>
    <w:rsid w:val="00EE7C18"/>
    <w:rsid w:val="00EF0DFF"/>
    <w:rsid w:val="00EF0E36"/>
    <w:rsid w:val="00EF0F26"/>
    <w:rsid w:val="00EF227F"/>
    <w:rsid w:val="00EF245F"/>
    <w:rsid w:val="00EF29B2"/>
    <w:rsid w:val="00EF2C01"/>
    <w:rsid w:val="00EF2E52"/>
    <w:rsid w:val="00EF475A"/>
    <w:rsid w:val="00EF481F"/>
    <w:rsid w:val="00EF492A"/>
    <w:rsid w:val="00EF4DB5"/>
    <w:rsid w:val="00EF5335"/>
    <w:rsid w:val="00EF56AF"/>
    <w:rsid w:val="00EF6E3B"/>
    <w:rsid w:val="00F00BEC"/>
    <w:rsid w:val="00F00C80"/>
    <w:rsid w:val="00F01113"/>
    <w:rsid w:val="00F01A2A"/>
    <w:rsid w:val="00F02108"/>
    <w:rsid w:val="00F0273F"/>
    <w:rsid w:val="00F02E70"/>
    <w:rsid w:val="00F03F80"/>
    <w:rsid w:val="00F045E0"/>
    <w:rsid w:val="00F06AC7"/>
    <w:rsid w:val="00F07567"/>
    <w:rsid w:val="00F078DC"/>
    <w:rsid w:val="00F07C18"/>
    <w:rsid w:val="00F07F39"/>
    <w:rsid w:val="00F10F4B"/>
    <w:rsid w:val="00F10FF4"/>
    <w:rsid w:val="00F12E86"/>
    <w:rsid w:val="00F13C43"/>
    <w:rsid w:val="00F14BB2"/>
    <w:rsid w:val="00F15330"/>
    <w:rsid w:val="00F156E6"/>
    <w:rsid w:val="00F164B0"/>
    <w:rsid w:val="00F16569"/>
    <w:rsid w:val="00F16B9C"/>
    <w:rsid w:val="00F202D6"/>
    <w:rsid w:val="00F207CC"/>
    <w:rsid w:val="00F20D1E"/>
    <w:rsid w:val="00F20FC5"/>
    <w:rsid w:val="00F23053"/>
    <w:rsid w:val="00F232D5"/>
    <w:rsid w:val="00F23D7D"/>
    <w:rsid w:val="00F24B8C"/>
    <w:rsid w:val="00F24FFA"/>
    <w:rsid w:val="00F26363"/>
    <w:rsid w:val="00F26EE0"/>
    <w:rsid w:val="00F276AF"/>
    <w:rsid w:val="00F27741"/>
    <w:rsid w:val="00F305C1"/>
    <w:rsid w:val="00F3084D"/>
    <w:rsid w:val="00F30EF2"/>
    <w:rsid w:val="00F31419"/>
    <w:rsid w:val="00F32BD4"/>
    <w:rsid w:val="00F32E9E"/>
    <w:rsid w:val="00F32EF8"/>
    <w:rsid w:val="00F33C7A"/>
    <w:rsid w:val="00F346D2"/>
    <w:rsid w:val="00F349EB"/>
    <w:rsid w:val="00F35696"/>
    <w:rsid w:val="00F35B17"/>
    <w:rsid w:val="00F36F3F"/>
    <w:rsid w:val="00F36FD7"/>
    <w:rsid w:val="00F37490"/>
    <w:rsid w:val="00F37B8E"/>
    <w:rsid w:val="00F37D5C"/>
    <w:rsid w:val="00F40986"/>
    <w:rsid w:val="00F415BF"/>
    <w:rsid w:val="00F416A3"/>
    <w:rsid w:val="00F437A4"/>
    <w:rsid w:val="00F43F28"/>
    <w:rsid w:val="00F4579D"/>
    <w:rsid w:val="00F457AF"/>
    <w:rsid w:val="00F4624D"/>
    <w:rsid w:val="00F46ED9"/>
    <w:rsid w:val="00F4748A"/>
    <w:rsid w:val="00F507B0"/>
    <w:rsid w:val="00F508E1"/>
    <w:rsid w:val="00F5264A"/>
    <w:rsid w:val="00F52C6C"/>
    <w:rsid w:val="00F549F0"/>
    <w:rsid w:val="00F555DB"/>
    <w:rsid w:val="00F57109"/>
    <w:rsid w:val="00F57604"/>
    <w:rsid w:val="00F57629"/>
    <w:rsid w:val="00F607ED"/>
    <w:rsid w:val="00F60886"/>
    <w:rsid w:val="00F60E63"/>
    <w:rsid w:val="00F617CF"/>
    <w:rsid w:val="00F622C1"/>
    <w:rsid w:val="00F627DC"/>
    <w:rsid w:val="00F64FD7"/>
    <w:rsid w:val="00F650C3"/>
    <w:rsid w:val="00F65211"/>
    <w:rsid w:val="00F657E2"/>
    <w:rsid w:val="00F65869"/>
    <w:rsid w:val="00F658D9"/>
    <w:rsid w:val="00F66ADD"/>
    <w:rsid w:val="00F66B63"/>
    <w:rsid w:val="00F66E56"/>
    <w:rsid w:val="00F679A3"/>
    <w:rsid w:val="00F7060F"/>
    <w:rsid w:val="00F7101F"/>
    <w:rsid w:val="00F735AE"/>
    <w:rsid w:val="00F7396B"/>
    <w:rsid w:val="00F74ABF"/>
    <w:rsid w:val="00F75203"/>
    <w:rsid w:val="00F75810"/>
    <w:rsid w:val="00F75B71"/>
    <w:rsid w:val="00F769D3"/>
    <w:rsid w:val="00F76B13"/>
    <w:rsid w:val="00F77918"/>
    <w:rsid w:val="00F77BBE"/>
    <w:rsid w:val="00F8061A"/>
    <w:rsid w:val="00F8067B"/>
    <w:rsid w:val="00F81D38"/>
    <w:rsid w:val="00F8215A"/>
    <w:rsid w:val="00F82280"/>
    <w:rsid w:val="00F82474"/>
    <w:rsid w:val="00F82A04"/>
    <w:rsid w:val="00F82C50"/>
    <w:rsid w:val="00F82D00"/>
    <w:rsid w:val="00F8349B"/>
    <w:rsid w:val="00F84476"/>
    <w:rsid w:val="00F846D0"/>
    <w:rsid w:val="00F847FB"/>
    <w:rsid w:val="00F849AF"/>
    <w:rsid w:val="00F85017"/>
    <w:rsid w:val="00F8537E"/>
    <w:rsid w:val="00F85A10"/>
    <w:rsid w:val="00F871CD"/>
    <w:rsid w:val="00F87C4A"/>
    <w:rsid w:val="00F87E8F"/>
    <w:rsid w:val="00F904EB"/>
    <w:rsid w:val="00F90533"/>
    <w:rsid w:val="00F9078C"/>
    <w:rsid w:val="00F907DB"/>
    <w:rsid w:val="00F91E1F"/>
    <w:rsid w:val="00F92130"/>
    <w:rsid w:val="00F9247F"/>
    <w:rsid w:val="00F929CE"/>
    <w:rsid w:val="00F9350D"/>
    <w:rsid w:val="00F93696"/>
    <w:rsid w:val="00F938FB"/>
    <w:rsid w:val="00F93BC0"/>
    <w:rsid w:val="00F94C35"/>
    <w:rsid w:val="00F960D5"/>
    <w:rsid w:val="00F966A9"/>
    <w:rsid w:val="00F97052"/>
    <w:rsid w:val="00FA08C9"/>
    <w:rsid w:val="00FA2176"/>
    <w:rsid w:val="00FA2369"/>
    <w:rsid w:val="00FA2568"/>
    <w:rsid w:val="00FA2728"/>
    <w:rsid w:val="00FA2933"/>
    <w:rsid w:val="00FA4AA9"/>
    <w:rsid w:val="00FA61AA"/>
    <w:rsid w:val="00FA64FA"/>
    <w:rsid w:val="00FA70D6"/>
    <w:rsid w:val="00FB04B1"/>
    <w:rsid w:val="00FB0796"/>
    <w:rsid w:val="00FB15BE"/>
    <w:rsid w:val="00FB1B18"/>
    <w:rsid w:val="00FB1C0D"/>
    <w:rsid w:val="00FB1F97"/>
    <w:rsid w:val="00FB2244"/>
    <w:rsid w:val="00FB26A7"/>
    <w:rsid w:val="00FB2EFA"/>
    <w:rsid w:val="00FB3C3D"/>
    <w:rsid w:val="00FB4048"/>
    <w:rsid w:val="00FB433C"/>
    <w:rsid w:val="00FB4E8C"/>
    <w:rsid w:val="00FB609D"/>
    <w:rsid w:val="00FB672C"/>
    <w:rsid w:val="00FB769A"/>
    <w:rsid w:val="00FC01D2"/>
    <w:rsid w:val="00FC3B6D"/>
    <w:rsid w:val="00FC3C4F"/>
    <w:rsid w:val="00FC57A2"/>
    <w:rsid w:val="00FC586A"/>
    <w:rsid w:val="00FC5986"/>
    <w:rsid w:val="00FC6291"/>
    <w:rsid w:val="00FC71BC"/>
    <w:rsid w:val="00FC73F0"/>
    <w:rsid w:val="00FD1A55"/>
    <w:rsid w:val="00FD2E52"/>
    <w:rsid w:val="00FD35D3"/>
    <w:rsid w:val="00FD42E9"/>
    <w:rsid w:val="00FD56FA"/>
    <w:rsid w:val="00FD62FA"/>
    <w:rsid w:val="00FD6793"/>
    <w:rsid w:val="00FD71AC"/>
    <w:rsid w:val="00FE1A1A"/>
    <w:rsid w:val="00FE25D5"/>
    <w:rsid w:val="00FE260C"/>
    <w:rsid w:val="00FE2B44"/>
    <w:rsid w:val="00FE2B71"/>
    <w:rsid w:val="00FE2CDB"/>
    <w:rsid w:val="00FE2F9D"/>
    <w:rsid w:val="00FE30A9"/>
    <w:rsid w:val="00FE44DF"/>
    <w:rsid w:val="00FE488D"/>
    <w:rsid w:val="00FE4F11"/>
    <w:rsid w:val="00FE5D12"/>
    <w:rsid w:val="00FE6151"/>
    <w:rsid w:val="00FE6742"/>
    <w:rsid w:val="00FE69CB"/>
    <w:rsid w:val="00FE6B8C"/>
    <w:rsid w:val="00FE6DC7"/>
    <w:rsid w:val="00FE7499"/>
    <w:rsid w:val="00FF01FD"/>
    <w:rsid w:val="00FF1500"/>
    <w:rsid w:val="00FF2A22"/>
    <w:rsid w:val="00FF315C"/>
    <w:rsid w:val="00FF3B83"/>
    <w:rsid w:val="00FF3E9E"/>
    <w:rsid w:val="00FF408A"/>
    <w:rsid w:val="00FF4308"/>
    <w:rsid w:val="00FF443F"/>
    <w:rsid w:val="00FF48AC"/>
    <w:rsid w:val="00FF4988"/>
    <w:rsid w:val="00FF4FE9"/>
    <w:rsid w:val="00FF5ED2"/>
    <w:rsid w:val="00FF603B"/>
    <w:rsid w:val="00FF664E"/>
    <w:rsid w:val="00FF6ED6"/>
    <w:rsid w:val="010158D6"/>
    <w:rsid w:val="011253ED"/>
    <w:rsid w:val="01353AE6"/>
    <w:rsid w:val="013B22BF"/>
    <w:rsid w:val="014838DC"/>
    <w:rsid w:val="01883182"/>
    <w:rsid w:val="01FC4995"/>
    <w:rsid w:val="01FF4FDA"/>
    <w:rsid w:val="02461F5B"/>
    <w:rsid w:val="0257529A"/>
    <w:rsid w:val="02D436B7"/>
    <w:rsid w:val="030B7DA9"/>
    <w:rsid w:val="03433A17"/>
    <w:rsid w:val="034D0F5A"/>
    <w:rsid w:val="035C75F9"/>
    <w:rsid w:val="03B35391"/>
    <w:rsid w:val="04055467"/>
    <w:rsid w:val="044C2800"/>
    <w:rsid w:val="04692636"/>
    <w:rsid w:val="047B6C88"/>
    <w:rsid w:val="04FE7F15"/>
    <w:rsid w:val="05394B34"/>
    <w:rsid w:val="053A4855"/>
    <w:rsid w:val="05AF02CF"/>
    <w:rsid w:val="05B475CC"/>
    <w:rsid w:val="05C515F4"/>
    <w:rsid w:val="060C2D53"/>
    <w:rsid w:val="061F5354"/>
    <w:rsid w:val="062D4F46"/>
    <w:rsid w:val="06A25842"/>
    <w:rsid w:val="06AF5670"/>
    <w:rsid w:val="06E76218"/>
    <w:rsid w:val="06F86E33"/>
    <w:rsid w:val="073D0B74"/>
    <w:rsid w:val="07635BA6"/>
    <w:rsid w:val="0768045D"/>
    <w:rsid w:val="079A5979"/>
    <w:rsid w:val="07A50A58"/>
    <w:rsid w:val="07A63DF9"/>
    <w:rsid w:val="07B80611"/>
    <w:rsid w:val="080B5DBD"/>
    <w:rsid w:val="085631C9"/>
    <w:rsid w:val="085718C9"/>
    <w:rsid w:val="088257A5"/>
    <w:rsid w:val="08F1113D"/>
    <w:rsid w:val="08F11A25"/>
    <w:rsid w:val="08FE2AB1"/>
    <w:rsid w:val="093B194F"/>
    <w:rsid w:val="093E0880"/>
    <w:rsid w:val="0970461D"/>
    <w:rsid w:val="097F4AD0"/>
    <w:rsid w:val="09A0026F"/>
    <w:rsid w:val="09B41CA1"/>
    <w:rsid w:val="0A051F93"/>
    <w:rsid w:val="0A232419"/>
    <w:rsid w:val="0A545D73"/>
    <w:rsid w:val="0A6601F9"/>
    <w:rsid w:val="0A681C3B"/>
    <w:rsid w:val="0A762A5A"/>
    <w:rsid w:val="0A9E1C57"/>
    <w:rsid w:val="0AFC3827"/>
    <w:rsid w:val="0B1F0E32"/>
    <w:rsid w:val="0B9121BF"/>
    <w:rsid w:val="0BBA6DAD"/>
    <w:rsid w:val="0BCD4AD4"/>
    <w:rsid w:val="0BF95130"/>
    <w:rsid w:val="0C1A6E93"/>
    <w:rsid w:val="0C4501CE"/>
    <w:rsid w:val="0C60163F"/>
    <w:rsid w:val="0C6142E8"/>
    <w:rsid w:val="0C762D39"/>
    <w:rsid w:val="0C822C5E"/>
    <w:rsid w:val="0CBA1E31"/>
    <w:rsid w:val="0CDD0BB5"/>
    <w:rsid w:val="0D374AC5"/>
    <w:rsid w:val="0D4B42C1"/>
    <w:rsid w:val="0D59486D"/>
    <w:rsid w:val="0D942508"/>
    <w:rsid w:val="0E155384"/>
    <w:rsid w:val="0E16317A"/>
    <w:rsid w:val="0E185CCA"/>
    <w:rsid w:val="0E232321"/>
    <w:rsid w:val="0E5232CD"/>
    <w:rsid w:val="0E813BB2"/>
    <w:rsid w:val="0EA8373B"/>
    <w:rsid w:val="0EE8589E"/>
    <w:rsid w:val="0EFB2DE2"/>
    <w:rsid w:val="0F01314F"/>
    <w:rsid w:val="0F0D2F2C"/>
    <w:rsid w:val="0F133F84"/>
    <w:rsid w:val="0F1D3C3E"/>
    <w:rsid w:val="0F9B6860"/>
    <w:rsid w:val="0F9D1F37"/>
    <w:rsid w:val="0FB660D7"/>
    <w:rsid w:val="0FD8210B"/>
    <w:rsid w:val="0FF035AC"/>
    <w:rsid w:val="0FF7237E"/>
    <w:rsid w:val="0FF7412C"/>
    <w:rsid w:val="0FF81642"/>
    <w:rsid w:val="10692390"/>
    <w:rsid w:val="10D21EAF"/>
    <w:rsid w:val="10F0590C"/>
    <w:rsid w:val="10F7015B"/>
    <w:rsid w:val="11397FF2"/>
    <w:rsid w:val="114A39B7"/>
    <w:rsid w:val="11625F1D"/>
    <w:rsid w:val="1167581E"/>
    <w:rsid w:val="116E2B13"/>
    <w:rsid w:val="11CF045F"/>
    <w:rsid w:val="11F50D4C"/>
    <w:rsid w:val="120378C7"/>
    <w:rsid w:val="123F1EBF"/>
    <w:rsid w:val="1254505F"/>
    <w:rsid w:val="12776333"/>
    <w:rsid w:val="1280341C"/>
    <w:rsid w:val="12F059C6"/>
    <w:rsid w:val="136D5594"/>
    <w:rsid w:val="1373149D"/>
    <w:rsid w:val="13CA2479"/>
    <w:rsid w:val="14200447"/>
    <w:rsid w:val="142F6BEC"/>
    <w:rsid w:val="1457163D"/>
    <w:rsid w:val="147E3368"/>
    <w:rsid w:val="14D87C97"/>
    <w:rsid w:val="14E804E7"/>
    <w:rsid w:val="151F2C18"/>
    <w:rsid w:val="15D53161"/>
    <w:rsid w:val="15F64745"/>
    <w:rsid w:val="1601481A"/>
    <w:rsid w:val="16186717"/>
    <w:rsid w:val="16275F57"/>
    <w:rsid w:val="165357D3"/>
    <w:rsid w:val="166C73ED"/>
    <w:rsid w:val="169522D7"/>
    <w:rsid w:val="16A3500D"/>
    <w:rsid w:val="174325C2"/>
    <w:rsid w:val="175554DF"/>
    <w:rsid w:val="175A62B6"/>
    <w:rsid w:val="17810C39"/>
    <w:rsid w:val="178B5F49"/>
    <w:rsid w:val="17B90EAB"/>
    <w:rsid w:val="17C330B1"/>
    <w:rsid w:val="17E1192A"/>
    <w:rsid w:val="17E14091"/>
    <w:rsid w:val="17FC5942"/>
    <w:rsid w:val="189C3747"/>
    <w:rsid w:val="18A64B89"/>
    <w:rsid w:val="18CD2331"/>
    <w:rsid w:val="18D06062"/>
    <w:rsid w:val="19353CD3"/>
    <w:rsid w:val="19F55F5E"/>
    <w:rsid w:val="1A104088"/>
    <w:rsid w:val="1A1D4A30"/>
    <w:rsid w:val="1A203696"/>
    <w:rsid w:val="1A4A28F5"/>
    <w:rsid w:val="1A616039"/>
    <w:rsid w:val="1A8D1E0A"/>
    <w:rsid w:val="1ABB145A"/>
    <w:rsid w:val="1B167EE4"/>
    <w:rsid w:val="1B1C7F55"/>
    <w:rsid w:val="1B474C7C"/>
    <w:rsid w:val="1B5F5A93"/>
    <w:rsid w:val="1B644941"/>
    <w:rsid w:val="1B97028F"/>
    <w:rsid w:val="1BA23AE5"/>
    <w:rsid w:val="1BA34642"/>
    <w:rsid w:val="1BD602AF"/>
    <w:rsid w:val="1BD6553D"/>
    <w:rsid w:val="1C40184B"/>
    <w:rsid w:val="1C504E03"/>
    <w:rsid w:val="1C7B0D9F"/>
    <w:rsid w:val="1CC97D1B"/>
    <w:rsid w:val="1CD67AA5"/>
    <w:rsid w:val="1D6E655D"/>
    <w:rsid w:val="1DAA2521"/>
    <w:rsid w:val="1E1E4201"/>
    <w:rsid w:val="1E234C86"/>
    <w:rsid w:val="1E280FE5"/>
    <w:rsid w:val="1E2B5DA6"/>
    <w:rsid w:val="1E796654"/>
    <w:rsid w:val="1ED513BA"/>
    <w:rsid w:val="1F1F544D"/>
    <w:rsid w:val="1F214722"/>
    <w:rsid w:val="1F3D5393"/>
    <w:rsid w:val="1F576995"/>
    <w:rsid w:val="1F6751C9"/>
    <w:rsid w:val="1FE725CB"/>
    <w:rsid w:val="20224D55"/>
    <w:rsid w:val="20A06EA1"/>
    <w:rsid w:val="20D87EC1"/>
    <w:rsid w:val="21144747"/>
    <w:rsid w:val="21152AEA"/>
    <w:rsid w:val="211F6B56"/>
    <w:rsid w:val="212B5A64"/>
    <w:rsid w:val="21417A0D"/>
    <w:rsid w:val="214379DD"/>
    <w:rsid w:val="21817CF9"/>
    <w:rsid w:val="21F726B1"/>
    <w:rsid w:val="220F481B"/>
    <w:rsid w:val="224B4DCD"/>
    <w:rsid w:val="22531CF7"/>
    <w:rsid w:val="225517D6"/>
    <w:rsid w:val="226E178F"/>
    <w:rsid w:val="227B6E4F"/>
    <w:rsid w:val="22D0340F"/>
    <w:rsid w:val="2302547A"/>
    <w:rsid w:val="2322129E"/>
    <w:rsid w:val="23313782"/>
    <w:rsid w:val="2357354F"/>
    <w:rsid w:val="23A979DB"/>
    <w:rsid w:val="23AE718D"/>
    <w:rsid w:val="23B26BB4"/>
    <w:rsid w:val="23C545F4"/>
    <w:rsid w:val="23CE3F10"/>
    <w:rsid w:val="23E2718D"/>
    <w:rsid w:val="23E71222"/>
    <w:rsid w:val="23EC0881"/>
    <w:rsid w:val="24082FAE"/>
    <w:rsid w:val="241B5456"/>
    <w:rsid w:val="244767C9"/>
    <w:rsid w:val="24677424"/>
    <w:rsid w:val="24DE5462"/>
    <w:rsid w:val="250A129B"/>
    <w:rsid w:val="25175BEE"/>
    <w:rsid w:val="25510CC8"/>
    <w:rsid w:val="2582731D"/>
    <w:rsid w:val="25A0096A"/>
    <w:rsid w:val="26610781"/>
    <w:rsid w:val="27112EF7"/>
    <w:rsid w:val="27133AC9"/>
    <w:rsid w:val="271C714E"/>
    <w:rsid w:val="27873B8F"/>
    <w:rsid w:val="278C10BD"/>
    <w:rsid w:val="27A750B0"/>
    <w:rsid w:val="27FF6E20"/>
    <w:rsid w:val="285940DB"/>
    <w:rsid w:val="285C5C0E"/>
    <w:rsid w:val="28800F1F"/>
    <w:rsid w:val="28C933DC"/>
    <w:rsid w:val="28D27225"/>
    <w:rsid w:val="28E22D21"/>
    <w:rsid w:val="28E54779"/>
    <w:rsid w:val="28EF3807"/>
    <w:rsid w:val="29235E38"/>
    <w:rsid w:val="29372DC9"/>
    <w:rsid w:val="294B3490"/>
    <w:rsid w:val="29516ED1"/>
    <w:rsid w:val="29783213"/>
    <w:rsid w:val="29A313AF"/>
    <w:rsid w:val="29AC1FD3"/>
    <w:rsid w:val="29B136FE"/>
    <w:rsid w:val="29C7771F"/>
    <w:rsid w:val="29D543D2"/>
    <w:rsid w:val="29E65834"/>
    <w:rsid w:val="2A9E7061"/>
    <w:rsid w:val="2AE40825"/>
    <w:rsid w:val="2B142BB5"/>
    <w:rsid w:val="2B1C4080"/>
    <w:rsid w:val="2B2E3ACB"/>
    <w:rsid w:val="2B511252"/>
    <w:rsid w:val="2B52449D"/>
    <w:rsid w:val="2B7B0BE8"/>
    <w:rsid w:val="2BA74568"/>
    <w:rsid w:val="2BD9671E"/>
    <w:rsid w:val="2BF4630C"/>
    <w:rsid w:val="2C016FFC"/>
    <w:rsid w:val="2C0954BB"/>
    <w:rsid w:val="2C1F16F1"/>
    <w:rsid w:val="2C546594"/>
    <w:rsid w:val="2CC1070D"/>
    <w:rsid w:val="2CD7666F"/>
    <w:rsid w:val="2CED0939"/>
    <w:rsid w:val="2D026DDA"/>
    <w:rsid w:val="2D151291"/>
    <w:rsid w:val="2D473EB8"/>
    <w:rsid w:val="2D665AAB"/>
    <w:rsid w:val="2DA05E22"/>
    <w:rsid w:val="2DF8268C"/>
    <w:rsid w:val="2E2F01FA"/>
    <w:rsid w:val="2E7344B1"/>
    <w:rsid w:val="2E8E4B4E"/>
    <w:rsid w:val="2F181BAE"/>
    <w:rsid w:val="2F181F65"/>
    <w:rsid w:val="2F261EE0"/>
    <w:rsid w:val="2F4528EF"/>
    <w:rsid w:val="2F6649D2"/>
    <w:rsid w:val="2FD302BA"/>
    <w:rsid w:val="2FD85612"/>
    <w:rsid w:val="2FEE50F3"/>
    <w:rsid w:val="30054923"/>
    <w:rsid w:val="306759C0"/>
    <w:rsid w:val="30D342E9"/>
    <w:rsid w:val="30E503E0"/>
    <w:rsid w:val="31172428"/>
    <w:rsid w:val="312069F6"/>
    <w:rsid w:val="31440242"/>
    <w:rsid w:val="31466EBB"/>
    <w:rsid w:val="314A64EF"/>
    <w:rsid w:val="315E0067"/>
    <w:rsid w:val="316D3DF6"/>
    <w:rsid w:val="31823B01"/>
    <w:rsid w:val="31931557"/>
    <w:rsid w:val="320E73B9"/>
    <w:rsid w:val="32633A3C"/>
    <w:rsid w:val="32831E3B"/>
    <w:rsid w:val="333F5C66"/>
    <w:rsid w:val="336C673E"/>
    <w:rsid w:val="3383551B"/>
    <w:rsid w:val="33BF3586"/>
    <w:rsid w:val="33D34197"/>
    <w:rsid w:val="33DA7B3A"/>
    <w:rsid w:val="33E36CF5"/>
    <w:rsid w:val="347055A6"/>
    <w:rsid w:val="347E100E"/>
    <w:rsid w:val="348C5706"/>
    <w:rsid w:val="34936269"/>
    <w:rsid w:val="34B47F8E"/>
    <w:rsid w:val="34D2441F"/>
    <w:rsid w:val="34D523DE"/>
    <w:rsid w:val="34D96007"/>
    <w:rsid w:val="350C25E8"/>
    <w:rsid w:val="35250D1B"/>
    <w:rsid w:val="35643EBB"/>
    <w:rsid w:val="357C0F07"/>
    <w:rsid w:val="358926E6"/>
    <w:rsid w:val="358E07DF"/>
    <w:rsid w:val="3590148A"/>
    <w:rsid w:val="35E0728C"/>
    <w:rsid w:val="35E860DC"/>
    <w:rsid w:val="36050AA1"/>
    <w:rsid w:val="36423762"/>
    <w:rsid w:val="36581519"/>
    <w:rsid w:val="36826E9D"/>
    <w:rsid w:val="36D81F00"/>
    <w:rsid w:val="377A3C79"/>
    <w:rsid w:val="377F3CCF"/>
    <w:rsid w:val="378B5E01"/>
    <w:rsid w:val="37CD052A"/>
    <w:rsid w:val="37F83D4F"/>
    <w:rsid w:val="38325D99"/>
    <w:rsid w:val="3852536B"/>
    <w:rsid w:val="389948F6"/>
    <w:rsid w:val="38A907AC"/>
    <w:rsid w:val="38CA7F00"/>
    <w:rsid w:val="390E775E"/>
    <w:rsid w:val="3922119F"/>
    <w:rsid w:val="39310AD7"/>
    <w:rsid w:val="395F3AEA"/>
    <w:rsid w:val="396D605C"/>
    <w:rsid w:val="39732C58"/>
    <w:rsid w:val="399B0A74"/>
    <w:rsid w:val="39BB3F14"/>
    <w:rsid w:val="39F124B6"/>
    <w:rsid w:val="3A0F1648"/>
    <w:rsid w:val="3A1A01BF"/>
    <w:rsid w:val="3A366CFF"/>
    <w:rsid w:val="3A7A7584"/>
    <w:rsid w:val="3AA34D2C"/>
    <w:rsid w:val="3ACD3C53"/>
    <w:rsid w:val="3ADF778E"/>
    <w:rsid w:val="3B20302E"/>
    <w:rsid w:val="3B5129DA"/>
    <w:rsid w:val="3BB75B4D"/>
    <w:rsid w:val="3BB970C6"/>
    <w:rsid w:val="3BCC452A"/>
    <w:rsid w:val="3BCE02F2"/>
    <w:rsid w:val="3BEE6B19"/>
    <w:rsid w:val="3C8174B4"/>
    <w:rsid w:val="3CAD1E92"/>
    <w:rsid w:val="3CAE68C7"/>
    <w:rsid w:val="3D1F5F39"/>
    <w:rsid w:val="3D273A07"/>
    <w:rsid w:val="3D2A2388"/>
    <w:rsid w:val="3E69425A"/>
    <w:rsid w:val="3F600DAE"/>
    <w:rsid w:val="3FBF3B3C"/>
    <w:rsid w:val="3FEEA4CB"/>
    <w:rsid w:val="40090163"/>
    <w:rsid w:val="4030757C"/>
    <w:rsid w:val="40354679"/>
    <w:rsid w:val="408D14D1"/>
    <w:rsid w:val="40D21EC7"/>
    <w:rsid w:val="40F167F2"/>
    <w:rsid w:val="40F26D6A"/>
    <w:rsid w:val="40F63E08"/>
    <w:rsid w:val="41181A3D"/>
    <w:rsid w:val="412C6367"/>
    <w:rsid w:val="41863964"/>
    <w:rsid w:val="41C07A3A"/>
    <w:rsid w:val="41C40252"/>
    <w:rsid w:val="41C92456"/>
    <w:rsid w:val="42012B91"/>
    <w:rsid w:val="42360234"/>
    <w:rsid w:val="425C413F"/>
    <w:rsid w:val="427F0281"/>
    <w:rsid w:val="429D72A3"/>
    <w:rsid w:val="42BA67E7"/>
    <w:rsid w:val="43CE2E1A"/>
    <w:rsid w:val="441712F2"/>
    <w:rsid w:val="44192907"/>
    <w:rsid w:val="44296A38"/>
    <w:rsid w:val="442E38B9"/>
    <w:rsid w:val="44382ADF"/>
    <w:rsid w:val="444A6D77"/>
    <w:rsid w:val="44534092"/>
    <w:rsid w:val="44894759"/>
    <w:rsid w:val="44E82861"/>
    <w:rsid w:val="44EA2EF1"/>
    <w:rsid w:val="451C0B79"/>
    <w:rsid w:val="455A784A"/>
    <w:rsid w:val="457572C5"/>
    <w:rsid w:val="45C269A9"/>
    <w:rsid w:val="45D47A85"/>
    <w:rsid w:val="45F51841"/>
    <w:rsid w:val="461E57BF"/>
    <w:rsid w:val="4634361B"/>
    <w:rsid w:val="4668610C"/>
    <w:rsid w:val="46BF6084"/>
    <w:rsid w:val="47150D60"/>
    <w:rsid w:val="47340CF7"/>
    <w:rsid w:val="47613FA5"/>
    <w:rsid w:val="47D2608D"/>
    <w:rsid w:val="47E519D9"/>
    <w:rsid w:val="47EC272B"/>
    <w:rsid w:val="480A1F47"/>
    <w:rsid w:val="4817179E"/>
    <w:rsid w:val="4846678F"/>
    <w:rsid w:val="48695B00"/>
    <w:rsid w:val="488E737E"/>
    <w:rsid w:val="49E40AA8"/>
    <w:rsid w:val="4A1912F8"/>
    <w:rsid w:val="4A226926"/>
    <w:rsid w:val="4A42444F"/>
    <w:rsid w:val="4A7C7F8F"/>
    <w:rsid w:val="4A9C3992"/>
    <w:rsid w:val="4AC2582E"/>
    <w:rsid w:val="4ACB34E4"/>
    <w:rsid w:val="4AE235D1"/>
    <w:rsid w:val="4AF94389"/>
    <w:rsid w:val="4B15206C"/>
    <w:rsid w:val="4B67093F"/>
    <w:rsid w:val="4BCD3D4C"/>
    <w:rsid w:val="4BDE20BC"/>
    <w:rsid w:val="4C5A55C7"/>
    <w:rsid w:val="4C8668CB"/>
    <w:rsid w:val="4D4B2F88"/>
    <w:rsid w:val="4D7367E0"/>
    <w:rsid w:val="4DB62832"/>
    <w:rsid w:val="4DCB6A8C"/>
    <w:rsid w:val="4DCC253E"/>
    <w:rsid w:val="4E4F2DA9"/>
    <w:rsid w:val="4E5370E8"/>
    <w:rsid w:val="4E88094B"/>
    <w:rsid w:val="4E90333A"/>
    <w:rsid w:val="4EB17794"/>
    <w:rsid w:val="4EE2728B"/>
    <w:rsid w:val="4EE51BCC"/>
    <w:rsid w:val="4EF14FE4"/>
    <w:rsid w:val="4F3526FA"/>
    <w:rsid w:val="4F4E1791"/>
    <w:rsid w:val="4F665D03"/>
    <w:rsid w:val="4F6C4459"/>
    <w:rsid w:val="4F756840"/>
    <w:rsid w:val="4FF41947"/>
    <w:rsid w:val="500B7EA2"/>
    <w:rsid w:val="502A7C51"/>
    <w:rsid w:val="506F662E"/>
    <w:rsid w:val="509A57EA"/>
    <w:rsid w:val="509D05C4"/>
    <w:rsid w:val="50A638B9"/>
    <w:rsid w:val="50DD1205"/>
    <w:rsid w:val="50F145FD"/>
    <w:rsid w:val="50F66621"/>
    <w:rsid w:val="51E4645F"/>
    <w:rsid w:val="5264443D"/>
    <w:rsid w:val="52E42074"/>
    <w:rsid w:val="53292C70"/>
    <w:rsid w:val="533A1C0F"/>
    <w:rsid w:val="535421F8"/>
    <w:rsid w:val="53691ECF"/>
    <w:rsid w:val="537D2167"/>
    <w:rsid w:val="53826A19"/>
    <w:rsid w:val="53F475A6"/>
    <w:rsid w:val="54006F56"/>
    <w:rsid w:val="541F6D7A"/>
    <w:rsid w:val="547A6D00"/>
    <w:rsid w:val="54834037"/>
    <w:rsid w:val="54A83213"/>
    <w:rsid w:val="54B55930"/>
    <w:rsid w:val="54C37F5E"/>
    <w:rsid w:val="54DA0EF3"/>
    <w:rsid w:val="54E62E5E"/>
    <w:rsid w:val="54FE5F43"/>
    <w:rsid w:val="551179C2"/>
    <w:rsid w:val="55445BD9"/>
    <w:rsid w:val="55603AEE"/>
    <w:rsid w:val="558B3FFA"/>
    <w:rsid w:val="55AA7F37"/>
    <w:rsid w:val="56891F7D"/>
    <w:rsid w:val="568B723D"/>
    <w:rsid w:val="569C4BB2"/>
    <w:rsid w:val="56CC7EC6"/>
    <w:rsid w:val="56CF2CD9"/>
    <w:rsid w:val="57182211"/>
    <w:rsid w:val="57212B95"/>
    <w:rsid w:val="57552BC8"/>
    <w:rsid w:val="57776ECD"/>
    <w:rsid w:val="57F8000E"/>
    <w:rsid w:val="57FD4313"/>
    <w:rsid w:val="583B1E66"/>
    <w:rsid w:val="58550366"/>
    <w:rsid w:val="58710D0E"/>
    <w:rsid w:val="58764F47"/>
    <w:rsid w:val="587A7E7B"/>
    <w:rsid w:val="58A2694D"/>
    <w:rsid w:val="58B17165"/>
    <w:rsid w:val="59414BC8"/>
    <w:rsid w:val="594C1C33"/>
    <w:rsid w:val="595C60A3"/>
    <w:rsid w:val="59622AE1"/>
    <w:rsid w:val="599441A2"/>
    <w:rsid w:val="59BE1569"/>
    <w:rsid w:val="59F356FB"/>
    <w:rsid w:val="59FD190B"/>
    <w:rsid w:val="5A4047DA"/>
    <w:rsid w:val="5A5A0B0C"/>
    <w:rsid w:val="5A5A4FB0"/>
    <w:rsid w:val="5A6B0F6B"/>
    <w:rsid w:val="5AF967B6"/>
    <w:rsid w:val="5B155963"/>
    <w:rsid w:val="5B1C44F3"/>
    <w:rsid w:val="5B514A88"/>
    <w:rsid w:val="5B5E7A47"/>
    <w:rsid w:val="5BD07B07"/>
    <w:rsid w:val="5BD743DE"/>
    <w:rsid w:val="5BDE0299"/>
    <w:rsid w:val="5BF1683C"/>
    <w:rsid w:val="5C242774"/>
    <w:rsid w:val="5C4330EC"/>
    <w:rsid w:val="5C831C73"/>
    <w:rsid w:val="5CAC13C7"/>
    <w:rsid w:val="5CBB4565"/>
    <w:rsid w:val="5D036F9A"/>
    <w:rsid w:val="5D2A024C"/>
    <w:rsid w:val="5D526412"/>
    <w:rsid w:val="5D526831"/>
    <w:rsid w:val="5D764216"/>
    <w:rsid w:val="5DB527BD"/>
    <w:rsid w:val="5DD00244"/>
    <w:rsid w:val="5DEA5E10"/>
    <w:rsid w:val="5E067FE9"/>
    <w:rsid w:val="5E1D33BD"/>
    <w:rsid w:val="5E2749FB"/>
    <w:rsid w:val="5E3A3C2C"/>
    <w:rsid w:val="5E4B040F"/>
    <w:rsid w:val="5E4E415F"/>
    <w:rsid w:val="5E6C7060"/>
    <w:rsid w:val="5E7E0871"/>
    <w:rsid w:val="5E7E1DD8"/>
    <w:rsid w:val="5EB32EE1"/>
    <w:rsid w:val="5EBE1510"/>
    <w:rsid w:val="5ED46FEC"/>
    <w:rsid w:val="5ED526F5"/>
    <w:rsid w:val="5EE24F84"/>
    <w:rsid w:val="5EFF1C82"/>
    <w:rsid w:val="5F0968D9"/>
    <w:rsid w:val="5F3A558E"/>
    <w:rsid w:val="5F63244C"/>
    <w:rsid w:val="5F76718E"/>
    <w:rsid w:val="5FA1305A"/>
    <w:rsid w:val="5FAB3BB8"/>
    <w:rsid w:val="5FB15BD0"/>
    <w:rsid w:val="5FC353A5"/>
    <w:rsid w:val="5FD76A12"/>
    <w:rsid w:val="602C2F4B"/>
    <w:rsid w:val="60840A34"/>
    <w:rsid w:val="60E037AB"/>
    <w:rsid w:val="61034A38"/>
    <w:rsid w:val="61063914"/>
    <w:rsid w:val="610B4254"/>
    <w:rsid w:val="615E5992"/>
    <w:rsid w:val="618A293F"/>
    <w:rsid w:val="61E87D1B"/>
    <w:rsid w:val="62120D2F"/>
    <w:rsid w:val="62172E25"/>
    <w:rsid w:val="62366C51"/>
    <w:rsid w:val="623C290D"/>
    <w:rsid w:val="623F6DF9"/>
    <w:rsid w:val="62502FAC"/>
    <w:rsid w:val="6295542A"/>
    <w:rsid w:val="62AC30A7"/>
    <w:rsid w:val="62F30C4D"/>
    <w:rsid w:val="63640AD8"/>
    <w:rsid w:val="63672AD2"/>
    <w:rsid w:val="6368016D"/>
    <w:rsid w:val="6397692D"/>
    <w:rsid w:val="639C7912"/>
    <w:rsid w:val="64361EE4"/>
    <w:rsid w:val="64E47E41"/>
    <w:rsid w:val="64FA3A2E"/>
    <w:rsid w:val="64FC55D6"/>
    <w:rsid w:val="652C6F80"/>
    <w:rsid w:val="652C7549"/>
    <w:rsid w:val="65414E39"/>
    <w:rsid w:val="65725F92"/>
    <w:rsid w:val="657F1BC3"/>
    <w:rsid w:val="658074C8"/>
    <w:rsid w:val="65AE1260"/>
    <w:rsid w:val="65E246FB"/>
    <w:rsid w:val="6627269B"/>
    <w:rsid w:val="662C3B8C"/>
    <w:rsid w:val="662D6B1E"/>
    <w:rsid w:val="66556532"/>
    <w:rsid w:val="666D606B"/>
    <w:rsid w:val="66790C73"/>
    <w:rsid w:val="667967BE"/>
    <w:rsid w:val="67346B89"/>
    <w:rsid w:val="67505C4C"/>
    <w:rsid w:val="676F2E0B"/>
    <w:rsid w:val="677920C5"/>
    <w:rsid w:val="67A01180"/>
    <w:rsid w:val="67C43A69"/>
    <w:rsid w:val="67ED1F99"/>
    <w:rsid w:val="67F16D38"/>
    <w:rsid w:val="67F53B1D"/>
    <w:rsid w:val="67FC2632"/>
    <w:rsid w:val="67FC4FEA"/>
    <w:rsid w:val="681A7B2C"/>
    <w:rsid w:val="682C0D62"/>
    <w:rsid w:val="6852735E"/>
    <w:rsid w:val="68D91796"/>
    <w:rsid w:val="68EB0D59"/>
    <w:rsid w:val="690B73F7"/>
    <w:rsid w:val="691755AD"/>
    <w:rsid w:val="694B4252"/>
    <w:rsid w:val="69594E76"/>
    <w:rsid w:val="695A0EC4"/>
    <w:rsid w:val="695E7070"/>
    <w:rsid w:val="698544C9"/>
    <w:rsid w:val="698E27DB"/>
    <w:rsid w:val="69BA2573"/>
    <w:rsid w:val="69D00EF1"/>
    <w:rsid w:val="69DA12FC"/>
    <w:rsid w:val="69E113F6"/>
    <w:rsid w:val="6A34211E"/>
    <w:rsid w:val="6A5621A9"/>
    <w:rsid w:val="6A8D061C"/>
    <w:rsid w:val="6AAF7C0A"/>
    <w:rsid w:val="6AD00976"/>
    <w:rsid w:val="6B2A277C"/>
    <w:rsid w:val="6BB55E5C"/>
    <w:rsid w:val="6BF64EAE"/>
    <w:rsid w:val="6C413741"/>
    <w:rsid w:val="6C9440E6"/>
    <w:rsid w:val="6CA13246"/>
    <w:rsid w:val="6CA66862"/>
    <w:rsid w:val="6CBE35F6"/>
    <w:rsid w:val="6D2064EA"/>
    <w:rsid w:val="6D64021D"/>
    <w:rsid w:val="6D7A1D2E"/>
    <w:rsid w:val="6D8E0FD5"/>
    <w:rsid w:val="6D933714"/>
    <w:rsid w:val="6DB77697"/>
    <w:rsid w:val="6DD1348F"/>
    <w:rsid w:val="6DDB19AD"/>
    <w:rsid w:val="6DDD4DB0"/>
    <w:rsid w:val="6E281365"/>
    <w:rsid w:val="6E685168"/>
    <w:rsid w:val="6E784501"/>
    <w:rsid w:val="6E7E2436"/>
    <w:rsid w:val="6E961512"/>
    <w:rsid w:val="6EAD34A8"/>
    <w:rsid w:val="6EBE69D3"/>
    <w:rsid w:val="6F010B22"/>
    <w:rsid w:val="6F337B84"/>
    <w:rsid w:val="6F43357F"/>
    <w:rsid w:val="6F8142E5"/>
    <w:rsid w:val="6FD66A2F"/>
    <w:rsid w:val="70022762"/>
    <w:rsid w:val="70A771A6"/>
    <w:rsid w:val="710C7105"/>
    <w:rsid w:val="71246FB6"/>
    <w:rsid w:val="713F2A2B"/>
    <w:rsid w:val="71524DCB"/>
    <w:rsid w:val="71A37B39"/>
    <w:rsid w:val="71FE52CE"/>
    <w:rsid w:val="72190AC4"/>
    <w:rsid w:val="7241371E"/>
    <w:rsid w:val="72927AE7"/>
    <w:rsid w:val="72A82F95"/>
    <w:rsid w:val="72B02137"/>
    <w:rsid w:val="731B027F"/>
    <w:rsid w:val="73907D5F"/>
    <w:rsid w:val="73EF2BAE"/>
    <w:rsid w:val="745C4F44"/>
    <w:rsid w:val="74EF0E42"/>
    <w:rsid w:val="74F03F49"/>
    <w:rsid w:val="750F518A"/>
    <w:rsid w:val="752D5280"/>
    <w:rsid w:val="756568C4"/>
    <w:rsid w:val="759C7DD3"/>
    <w:rsid w:val="75F41761"/>
    <w:rsid w:val="761261C6"/>
    <w:rsid w:val="762D4490"/>
    <w:rsid w:val="762F7D58"/>
    <w:rsid w:val="76607052"/>
    <w:rsid w:val="76DC3885"/>
    <w:rsid w:val="76DF550A"/>
    <w:rsid w:val="76E97F1E"/>
    <w:rsid w:val="770A460E"/>
    <w:rsid w:val="773372C0"/>
    <w:rsid w:val="7778003E"/>
    <w:rsid w:val="77996CC0"/>
    <w:rsid w:val="779D6F26"/>
    <w:rsid w:val="780954C8"/>
    <w:rsid w:val="7811608D"/>
    <w:rsid w:val="783D09B5"/>
    <w:rsid w:val="785F205D"/>
    <w:rsid w:val="788603A0"/>
    <w:rsid w:val="7892370F"/>
    <w:rsid w:val="78AE2C54"/>
    <w:rsid w:val="79A73093"/>
    <w:rsid w:val="79C25F93"/>
    <w:rsid w:val="7A0568BE"/>
    <w:rsid w:val="7AB27881"/>
    <w:rsid w:val="7AC04656"/>
    <w:rsid w:val="7AC8338F"/>
    <w:rsid w:val="7ADF5D39"/>
    <w:rsid w:val="7AE04034"/>
    <w:rsid w:val="7B330D36"/>
    <w:rsid w:val="7B5D1DB2"/>
    <w:rsid w:val="7BB75966"/>
    <w:rsid w:val="7BBA0FB3"/>
    <w:rsid w:val="7BBC6686"/>
    <w:rsid w:val="7BE26BF7"/>
    <w:rsid w:val="7C0F7305"/>
    <w:rsid w:val="7C171FF4"/>
    <w:rsid w:val="7C1C5B10"/>
    <w:rsid w:val="7C33293B"/>
    <w:rsid w:val="7C9B6FAA"/>
    <w:rsid w:val="7CA51C63"/>
    <w:rsid w:val="7CBE5277"/>
    <w:rsid w:val="7CE37B8F"/>
    <w:rsid w:val="7D871368"/>
    <w:rsid w:val="7D913E8A"/>
    <w:rsid w:val="7E2343CF"/>
    <w:rsid w:val="7E320591"/>
    <w:rsid w:val="7E5D2D91"/>
    <w:rsid w:val="7E9F66BA"/>
    <w:rsid w:val="7F280929"/>
    <w:rsid w:val="7F314C43"/>
    <w:rsid w:val="7F3A3146"/>
    <w:rsid w:val="7F485D15"/>
    <w:rsid w:val="7F761695"/>
    <w:rsid w:val="7F7A1B6B"/>
    <w:rsid w:val="7F9164CE"/>
    <w:rsid w:val="DEEE651C"/>
    <w:rsid w:val="EFBF869B"/>
    <w:rsid w:val="FFF644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qFormat="1" w:unhideWhenUsed="0" w:uiPriority="0" w:semiHidden="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qFormat="1" w:unhideWhenUsed="0" w:uiPriority="0" w:semiHidden="0" w:name="table of figures"/>
    <w:lsdException w:uiPriority="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qFormat="1" w:unhideWhenUsed="0" w:uiPriority="99"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239"/>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491"/>
    <w:qFormat/>
    <w:uiPriority w:val="0"/>
    <w:pPr>
      <w:keepNext/>
      <w:keepLines/>
      <w:spacing w:before="260" w:after="260" w:line="416" w:lineRule="auto"/>
      <w:outlineLvl w:val="1"/>
    </w:pPr>
    <w:rPr>
      <w:rFonts w:eastAsia="仿宋" w:asciiTheme="majorHAnsi" w:hAnsiTheme="majorHAnsi" w:cstheme="majorBidi"/>
      <w:b/>
      <w:bCs/>
      <w:sz w:val="28"/>
      <w:szCs w:val="32"/>
    </w:rPr>
  </w:style>
  <w:style w:type="paragraph" w:styleId="5">
    <w:name w:val="heading 3"/>
    <w:basedOn w:val="1"/>
    <w:next w:val="1"/>
    <w:link w:val="165"/>
    <w:qFormat/>
    <w:uiPriority w:val="0"/>
    <w:pPr>
      <w:keepNext/>
      <w:keepLines/>
      <w:spacing w:before="260" w:after="260" w:line="416" w:lineRule="auto"/>
      <w:outlineLvl w:val="2"/>
    </w:pPr>
    <w:rPr>
      <w:b/>
      <w:bCs/>
      <w:sz w:val="32"/>
      <w:szCs w:val="32"/>
    </w:rPr>
  </w:style>
  <w:style w:type="paragraph" w:styleId="6">
    <w:name w:val="heading 4"/>
    <w:basedOn w:val="1"/>
    <w:next w:val="1"/>
    <w:link w:val="338"/>
    <w:qFormat/>
    <w:uiPriority w:val="0"/>
    <w:pPr>
      <w:keepNext/>
      <w:spacing w:line="440" w:lineRule="exact"/>
      <w:jc w:val="center"/>
      <w:outlineLvl w:val="3"/>
    </w:pPr>
    <w:rPr>
      <w:rFonts w:ascii="仿宋_GB2312" w:eastAsia="仿宋_GB2312"/>
      <w:sz w:val="28"/>
      <w:szCs w:val="28"/>
    </w:rPr>
  </w:style>
  <w:style w:type="paragraph" w:styleId="7">
    <w:name w:val="heading 5"/>
    <w:basedOn w:val="1"/>
    <w:next w:val="1"/>
    <w:link w:val="389"/>
    <w:qFormat/>
    <w:uiPriority w:val="0"/>
    <w:pPr>
      <w:keepNext/>
      <w:keepLines/>
      <w:spacing w:before="280" w:after="290" w:line="372" w:lineRule="auto"/>
      <w:outlineLvl w:val="4"/>
    </w:pPr>
    <w:rPr>
      <w:b/>
      <w:bCs/>
      <w:sz w:val="28"/>
      <w:szCs w:val="28"/>
    </w:rPr>
  </w:style>
  <w:style w:type="paragraph" w:styleId="8">
    <w:name w:val="heading 6"/>
    <w:basedOn w:val="1"/>
    <w:next w:val="1"/>
    <w:link w:val="112"/>
    <w:qFormat/>
    <w:uiPriority w:val="0"/>
    <w:pPr>
      <w:keepNext/>
      <w:keepLines/>
      <w:widowControl/>
      <w:tabs>
        <w:tab w:val="left" w:pos="1440"/>
      </w:tabs>
      <w:spacing w:before="240" w:after="64" w:line="317" w:lineRule="auto"/>
      <w:ind w:left="1152" w:hanging="1152"/>
      <w:jc w:val="left"/>
      <w:outlineLvl w:val="5"/>
    </w:pPr>
    <w:rPr>
      <w:rFonts w:ascii="Arial" w:hAnsi="Arial" w:eastAsia="黑体"/>
      <w:b/>
      <w:bCs/>
      <w:kern w:val="0"/>
      <w:sz w:val="24"/>
    </w:rPr>
  </w:style>
  <w:style w:type="paragraph" w:styleId="9">
    <w:name w:val="heading 7"/>
    <w:basedOn w:val="1"/>
    <w:next w:val="1"/>
    <w:link w:val="63"/>
    <w:qFormat/>
    <w:uiPriority w:val="0"/>
    <w:pPr>
      <w:keepNext/>
      <w:keepLines/>
      <w:widowControl/>
      <w:tabs>
        <w:tab w:val="left" w:pos="2520"/>
      </w:tabs>
      <w:spacing w:before="240" w:after="64" w:line="317" w:lineRule="auto"/>
      <w:ind w:left="1296" w:hanging="1296"/>
      <w:jc w:val="left"/>
      <w:outlineLvl w:val="6"/>
    </w:pPr>
    <w:rPr>
      <w:b/>
      <w:bCs/>
      <w:kern w:val="0"/>
      <w:sz w:val="24"/>
    </w:rPr>
  </w:style>
  <w:style w:type="paragraph" w:styleId="10">
    <w:name w:val="heading 8"/>
    <w:basedOn w:val="1"/>
    <w:next w:val="1"/>
    <w:link w:val="394"/>
    <w:qFormat/>
    <w:uiPriority w:val="0"/>
    <w:pPr>
      <w:keepNext/>
      <w:keepLines/>
      <w:widowControl/>
      <w:tabs>
        <w:tab w:val="left" w:pos="1440"/>
      </w:tabs>
      <w:spacing w:before="240" w:after="64" w:line="317" w:lineRule="auto"/>
      <w:ind w:left="1440" w:hanging="1440"/>
      <w:jc w:val="left"/>
      <w:outlineLvl w:val="7"/>
    </w:pPr>
    <w:rPr>
      <w:rFonts w:ascii="Arial" w:hAnsi="Arial" w:eastAsia="黑体"/>
      <w:kern w:val="0"/>
      <w:sz w:val="24"/>
    </w:rPr>
  </w:style>
  <w:style w:type="paragraph" w:styleId="11">
    <w:name w:val="heading 9"/>
    <w:basedOn w:val="1"/>
    <w:next w:val="1"/>
    <w:link w:val="287"/>
    <w:qFormat/>
    <w:uiPriority w:val="0"/>
    <w:pPr>
      <w:keepNext/>
      <w:keepLines/>
      <w:widowControl/>
      <w:tabs>
        <w:tab w:val="left" w:pos="1584"/>
      </w:tabs>
      <w:spacing w:before="240" w:after="64" w:line="317" w:lineRule="auto"/>
      <w:ind w:left="1584" w:hanging="1584"/>
      <w:jc w:val="left"/>
      <w:outlineLvl w:val="8"/>
    </w:pPr>
    <w:rPr>
      <w:rFonts w:ascii="Arial" w:hAnsi="Arial" w:eastAsia="黑体"/>
      <w:kern w:val="0"/>
      <w:szCs w:val="21"/>
    </w:rPr>
  </w:style>
  <w:style w:type="character" w:default="1" w:styleId="54">
    <w:name w:val="Default Paragraph Font"/>
    <w:semiHidden/>
    <w:unhideWhenUsed/>
    <w:qFormat/>
    <w:uiPriority w:val="1"/>
  </w:style>
  <w:style w:type="table" w:default="1" w:styleId="52">
    <w:name w:val="Normal Table"/>
    <w:semiHidden/>
    <w:unhideWhenUsed/>
    <w:qFormat/>
    <w:uiPriority w:val="99"/>
    <w:tblPr>
      <w:tblCellMar>
        <w:top w:w="0" w:type="dxa"/>
        <w:left w:w="108" w:type="dxa"/>
        <w:bottom w:w="0" w:type="dxa"/>
        <w:right w:w="108" w:type="dxa"/>
      </w:tblCellMar>
    </w:tblPr>
  </w:style>
  <w:style w:type="paragraph" w:styleId="2">
    <w:name w:val="HTML Preformatted"/>
    <w:basedOn w:val="1"/>
    <w:link w:val="414"/>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lang w:eastAsia="en-US"/>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39"/>
    <w:pPr>
      <w:ind w:left="1260"/>
      <w:jc w:val="left"/>
    </w:pPr>
    <w:rPr>
      <w:sz w:val="18"/>
      <w:szCs w:val="18"/>
    </w:rPr>
  </w:style>
  <w:style w:type="paragraph" w:styleId="14">
    <w:name w:val="Normal Indent"/>
    <w:basedOn w:val="1"/>
    <w:link w:val="146"/>
    <w:qFormat/>
    <w:uiPriority w:val="0"/>
    <w:pPr>
      <w:ind w:firstLine="420"/>
    </w:pPr>
    <w:rPr>
      <w:szCs w:val="21"/>
    </w:rPr>
  </w:style>
  <w:style w:type="paragraph" w:styleId="15">
    <w:name w:val="caption"/>
    <w:basedOn w:val="1"/>
    <w:next w:val="1"/>
    <w:qFormat/>
    <w:uiPriority w:val="0"/>
    <w:rPr>
      <w:rFonts w:ascii="Cambria" w:hAnsi="Cambria" w:eastAsia="黑体"/>
      <w:sz w:val="20"/>
      <w:szCs w:val="20"/>
    </w:rPr>
  </w:style>
  <w:style w:type="paragraph" w:styleId="16">
    <w:name w:val="Document Map"/>
    <w:basedOn w:val="1"/>
    <w:link w:val="365"/>
    <w:qFormat/>
    <w:uiPriority w:val="99"/>
    <w:pPr>
      <w:shd w:val="clear" w:color="auto" w:fill="000080"/>
    </w:pPr>
  </w:style>
  <w:style w:type="paragraph" w:styleId="17">
    <w:name w:val="annotation text"/>
    <w:basedOn w:val="1"/>
    <w:link w:val="322"/>
    <w:qFormat/>
    <w:uiPriority w:val="99"/>
    <w:pPr>
      <w:jc w:val="left"/>
    </w:pPr>
  </w:style>
  <w:style w:type="paragraph" w:styleId="18">
    <w:name w:val="Body Text 3"/>
    <w:basedOn w:val="1"/>
    <w:link w:val="64"/>
    <w:qFormat/>
    <w:uiPriority w:val="99"/>
    <w:pPr>
      <w:spacing w:after="120"/>
    </w:pPr>
    <w:rPr>
      <w:sz w:val="16"/>
      <w:szCs w:val="16"/>
    </w:rPr>
  </w:style>
  <w:style w:type="paragraph" w:styleId="19">
    <w:name w:val="Body Text"/>
    <w:basedOn w:val="1"/>
    <w:link w:val="480"/>
    <w:qFormat/>
    <w:uiPriority w:val="99"/>
    <w:pPr>
      <w:spacing w:after="120"/>
    </w:pPr>
    <w:rPr>
      <w:sz w:val="24"/>
    </w:rPr>
  </w:style>
  <w:style w:type="paragraph" w:styleId="20">
    <w:name w:val="Body Text Indent"/>
    <w:basedOn w:val="1"/>
    <w:link w:val="118"/>
    <w:qFormat/>
    <w:uiPriority w:val="99"/>
    <w:pPr>
      <w:ind w:firstLine="830" w:firstLineChars="352"/>
    </w:pPr>
    <w:rPr>
      <w:rFonts w:ascii="仿宋_GB2312" w:eastAsia="仿宋_GB2312"/>
      <w:kern w:val="0"/>
      <w:sz w:val="32"/>
      <w:szCs w:val="32"/>
    </w:rPr>
  </w:style>
  <w:style w:type="paragraph" w:styleId="21">
    <w:name w:val="List 2"/>
    <w:basedOn w:val="1"/>
    <w:qFormat/>
    <w:uiPriority w:val="0"/>
    <w:pPr>
      <w:ind w:left="100" w:leftChars="200" w:hanging="200" w:hangingChars="200"/>
    </w:pPr>
  </w:style>
  <w:style w:type="paragraph" w:styleId="22">
    <w:name w:val="Block Text"/>
    <w:basedOn w:val="1"/>
    <w:link w:val="193"/>
    <w:qFormat/>
    <w:uiPriority w:val="0"/>
    <w:pPr>
      <w:autoSpaceDE w:val="0"/>
      <w:autoSpaceDN w:val="0"/>
      <w:adjustRightInd w:val="0"/>
      <w:spacing w:line="500" w:lineRule="exact"/>
      <w:ind w:left="391" w:right="246"/>
    </w:pPr>
    <w:rPr>
      <w:rFonts w:ascii="仿宋_GB2312" w:eastAsia="仿宋_GB2312"/>
      <w:kern w:val="0"/>
      <w:sz w:val="24"/>
    </w:rPr>
  </w:style>
  <w:style w:type="paragraph" w:styleId="23">
    <w:name w:val="index 4"/>
    <w:basedOn w:val="1"/>
    <w:next w:val="1"/>
    <w:qFormat/>
    <w:uiPriority w:val="0"/>
    <w:pPr>
      <w:ind w:left="600" w:leftChars="600"/>
    </w:pPr>
  </w:style>
  <w:style w:type="paragraph" w:styleId="24">
    <w:name w:val="toc 5"/>
    <w:basedOn w:val="1"/>
    <w:next w:val="1"/>
    <w:qFormat/>
    <w:uiPriority w:val="39"/>
    <w:pPr>
      <w:ind w:left="1680" w:leftChars="800"/>
    </w:pPr>
  </w:style>
  <w:style w:type="paragraph" w:styleId="25">
    <w:name w:val="toc 3"/>
    <w:basedOn w:val="1"/>
    <w:next w:val="1"/>
    <w:qFormat/>
    <w:uiPriority w:val="39"/>
    <w:pPr>
      <w:widowControl/>
      <w:spacing w:after="100" w:line="276" w:lineRule="auto"/>
      <w:ind w:left="440"/>
      <w:jc w:val="left"/>
    </w:pPr>
    <w:rPr>
      <w:rFonts w:ascii="Calibri" w:hAnsi="Calibri"/>
      <w:kern w:val="0"/>
      <w:sz w:val="22"/>
      <w:szCs w:val="22"/>
    </w:rPr>
  </w:style>
  <w:style w:type="paragraph" w:styleId="26">
    <w:name w:val="Plain Text"/>
    <w:basedOn w:val="1"/>
    <w:link w:val="442"/>
    <w:qFormat/>
    <w:uiPriority w:val="0"/>
    <w:rPr>
      <w:rFonts w:ascii="宋体" w:hAnsi="Courier New"/>
      <w:kern w:val="0"/>
      <w:szCs w:val="21"/>
    </w:rPr>
  </w:style>
  <w:style w:type="paragraph" w:styleId="27">
    <w:name w:val="toc 8"/>
    <w:basedOn w:val="1"/>
    <w:next w:val="1"/>
    <w:qFormat/>
    <w:uiPriority w:val="39"/>
    <w:pPr>
      <w:ind w:left="1470"/>
      <w:jc w:val="left"/>
    </w:pPr>
    <w:rPr>
      <w:sz w:val="18"/>
      <w:szCs w:val="18"/>
    </w:rPr>
  </w:style>
  <w:style w:type="paragraph" w:styleId="28">
    <w:name w:val="Date"/>
    <w:basedOn w:val="1"/>
    <w:next w:val="1"/>
    <w:link w:val="145"/>
    <w:qFormat/>
    <w:uiPriority w:val="99"/>
    <w:pPr>
      <w:widowControl w:val="0"/>
      <w:ind w:left="100" w:leftChars="2500"/>
      <w:jc w:val="both"/>
    </w:pPr>
    <w:rPr>
      <w:rFonts w:ascii="宋体" w:hAnsi="Courier New" w:eastAsiaTheme="minorEastAsia" w:cstheme="minorBidi"/>
      <w:sz w:val="21"/>
      <w:szCs w:val="21"/>
      <w:lang w:val="en-US" w:eastAsia="zh-CN" w:bidi="ar-SA"/>
    </w:rPr>
  </w:style>
  <w:style w:type="paragraph" w:styleId="29">
    <w:name w:val="Body Text Indent 2"/>
    <w:basedOn w:val="1"/>
    <w:link w:val="259"/>
    <w:qFormat/>
    <w:uiPriority w:val="99"/>
    <w:pPr>
      <w:spacing w:after="120" w:line="480" w:lineRule="auto"/>
      <w:ind w:left="420" w:leftChars="200"/>
    </w:pPr>
    <w:rPr>
      <w:kern w:val="0"/>
      <w:sz w:val="24"/>
    </w:rPr>
  </w:style>
  <w:style w:type="paragraph" w:styleId="30">
    <w:name w:val="Balloon Text"/>
    <w:basedOn w:val="1"/>
    <w:link w:val="266"/>
    <w:qFormat/>
    <w:uiPriority w:val="99"/>
    <w:rPr>
      <w:sz w:val="18"/>
      <w:szCs w:val="18"/>
    </w:rPr>
  </w:style>
  <w:style w:type="paragraph" w:styleId="31">
    <w:name w:val="footer"/>
    <w:basedOn w:val="1"/>
    <w:link w:val="144"/>
    <w:qFormat/>
    <w:uiPriority w:val="99"/>
    <w:pPr>
      <w:tabs>
        <w:tab w:val="center" w:pos="4153"/>
        <w:tab w:val="right" w:pos="8306"/>
      </w:tabs>
      <w:snapToGrid w:val="0"/>
      <w:jc w:val="left"/>
    </w:pPr>
    <w:rPr>
      <w:sz w:val="18"/>
      <w:szCs w:val="18"/>
    </w:rPr>
  </w:style>
  <w:style w:type="paragraph" w:styleId="32">
    <w:name w:val="envelope return"/>
    <w:basedOn w:val="1"/>
    <w:qFormat/>
    <w:uiPriority w:val="0"/>
    <w:pPr>
      <w:snapToGrid w:val="0"/>
      <w:spacing w:line="360" w:lineRule="auto"/>
      <w:ind w:firstLine="200" w:firstLineChars="200"/>
    </w:pPr>
    <w:rPr>
      <w:rFonts w:ascii="Arial" w:hAnsi="Arial" w:cs="Arial"/>
      <w:sz w:val="24"/>
    </w:rPr>
  </w:style>
  <w:style w:type="paragraph" w:styleId="33">
    <w:name w:val="header"/>
    <w:basedOn w:val="1"/>
    <w:link w:val="122"/>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pPr>
      <w:tabs>
        <w:tab w:val="right" w:leader="dot" w:pos="8834"/>
      </w:tabs>
      <w:spacing w:before="120" w:after="120"/>
      <w:jc w:val="left"/>
    </w:pPr>
    <w:rPr>
      <w:b/>
      <w:bCs/>
      <w:caps/>
      <w:sz w:val="28"/>
      <w:szCs w:val="28"/>
    </w:rPr>
  </w:style>
  <w:style w:type="paragraph" w:styleId="35">
    <w:name w:val="toc 4"/>
    <w:basedOn w:val="1"/>
    <w:next w:val="1"/>
    <w:qFormat/>
    <w:uiPriority w:val="39"/>
    <w:pPr>
      <w:ind w:left="630"/>
      <w:jc w:val="left"/>
    </w:pPr>
    <w:rPr>
      <w:sz w:val="18"/>
      <w:szCs w:val="18"/>
    </w:rPr>
  </w:style>
  <w:style w:type="paragraph" w:styleId="36">
    <w:name w:val="Subtitle"/>
    <w:basedOn w:val="1"/>
    <w:next w:val="1"/>
    <w:link w:val="216"/>
    <w:qFormat/>
    <w:uiPriority w:val="11"/>
    <w:pPr>
      <w:spacing w:before="240" w:after="60" w:line="312" w:lineRule="auto"/>
      <w:jc w:val="center"/>
      <w:outlineLvl w:val="1"/>
    </w:pPr>
    <w:rPr>
      <w:rFonts w:ascii="Cambria" w:hAnsi="Cambria" w:eastAsia="方正楷体简体"/>
      <w:kern w:val="28"/>
      <w:sz w:val="32"/>
      <w:szCs w:val="32"/>
    </w:rPr>
  </w:style>
  <w:style w:type="paragraph" w:styleId="37">
    <w:name w:val="List"/>
    <w:basedOn w:val="1"/>
    <w:qFormat/>
    <w:uiPriority w:val="0"/>
    <w:pPr>
      <w:ind w:left="200" w:hanging="200" w:hangingChars="200"/>
    </w:pPr>
  </w:style>
  <w:style w:type="paragraph" w:styleId="38">
    <w:name w:val="footnote text"/>
    <w:basedOn w:val="1"/>
    <w:link w:val="367"/>
    <w:qFormat/>
    <w:uiPriority w:val="0"/>
    <w:rPr>
      <w:rFonts w:ascii="Calibri" w:hAnsi="Calibri"/>
      <w:szCs w:val="22"/>
    </w:rPr>
  </w:style>
  <w:style w:type="paragraph" w:styleId="39">
    <w:name w:val="toc 6"/>
    <w:basedOn w:val="1"/>
    <w:next w:val="1"/>
    <w:qFormat/>
    <w:uiPriority w:val="39"/>
    <w:pPr>
      <w:ind w:left="1050"/>
      <w:jc w:val="left"/>
    </w:pPr>
    <w:rPr>
      <w:sz w:val="18"/>
      <w:szCs w:val="18"/>
    </w:rPr>
  </w:style>
  <w:style w:type="paragraph" w:styleId="40">
    <w:name w:val="Body Text Indent 3"/>
    <w:basedOn w:val="1"/>
    <w:link w:val="133"/>
    <w:qFormat/>
    <w:uiPriority w:val="99"/>
    <w:pPr>
      <w:spacing w:after="120"/>
      <w:ind w:left="420" w:leftChars="200"/>
    </w:pPr>
    <w:rPr>
      <w:kern w:val="0"/>
      <w:sz w:val="16"/>
      <w:szCs w:val="16"/>
    </w:rPr>
  </w:style>
  <w:style w:type="paragraph" w:styleId="41">
    <w:name w:val="table of figures"/>
    <w:basedOn w:val="1"/>
    <w:next w:val="1"/>
    <w:qFormat/>
    <w:uiPriority w:val="0"/>
    <w:pPr>
      <w:ind w:left="200" w:leftChars="200" w:hanging="200" w:hangingChars="200"/>
    </w:pPr>
  </w:style>
  <w:style w:type="paragraph" w:styleId="42">
    <w:name w:val="toc 2"/>
    <w:basedOn w:val="1"/>
    <w:next w:val="1"/>
    <w:qFormat/>
    <w:uiPriority w:val="39"/>
    <w:pPr>
      <w:ind w:left="420" w:leftChars="200"/>
    </w:pPr>
    <w:rPr>
      <w:szCs w:val="21"/>
    </w:rPr>
  </w:style>
  <w:style w:type="paragraph" w:styleId="43">
    <w:name w:val="toc 9"/>
    <w:basedOn w:val="1"/>
    <w:next w:val="1"/>
    <w:qFormat/>
    <w:uiPriority w:val="39"/>
    <w:pPr>
      <w:ind w:left="1680"/>
      <w:jc w:val="left"/>
    </w:pPr>
    <w:rPr>
      <w:sz w:val="18"/>
      <w:szCs w:val="18"/>
    </w:rPr>
  </w:style>
  <w:style w:type="paragraph" w:styleId="44">
    <w:name w:val="Body Text 2"/>
    <w:basedOn w:val="1"/>
    <w:link w:val="461"/>
    <w:qFormat/>
    <w:uiPriority w:val="0"/>
    <w:pPr>
      <w:jc w:val="center"/>
    </w:pPr>
    <w:rPr>
      <w:rFonts w:ascii="Calibri" w:hAnsi="Calibri"/>
      <w:sz w:val="24"/>
      <w:szCs w:val="22"/>
    </w:rPr>
  </w:style>
  <w:style w:type="paragraph" w:styleId="45">
    <w:name w:val="List 4"/>
    <w:basedOn w:val="1"/>
    <w:qFormat/>
    <w:uiPriority w:val="0"/>
    <w:pPr>
      <w:ind w:left="100" w:leftChars="600" w:hanging="200" w:hangingChars="200"/>
    </w:pPr>
  </w:style>
  <w:style w:type="paragraph" w:styleId="46">
    <w:name w:val="List Continue 2"/>
    <w:basedOn w:val="1"/>
    <w:qFormat/>
    <w:uiPriority w:val="0"/>
    <w:pPr>
      <w:spacing w:after="120"/>
      <w:ind w:left="840" w:leftChars="400"/>
    </w:pPr>
  </w:style>
  <w:style w:type="paragraph" w:styleId="47">
    <w:name w:val="Normal (Web)"/>
    <w:basedOn w:val="1"/>
    <w:link w:val="497"/>
    <w:qFormat/>
    <w:uiPriority w:val="0"/>
    <w:pPr>
      <w:spacing w:before="100" w:beforeAutospacing="1" w:after="100" w:afterAutospacing="1"/>
    </w:pPr>
    <w:rPr>
      <w:rFonts w:ascii="宋体" w:hAnsi="宋体" w:cs="宋体"/>
      <w:sz w:val="24"/>
    </w:rPr>
  </w:style>
  <w:style w:type="paragraph" w:styleId="48">
    <w:name w:val="Title"/>
    <w:basedOn w:val="1"/>
    <w:next w:val="1"/>
    <w:link w:val="66"/>
    <w:qFormat/>
    <w:uiPriority w:val="99"/>
    <w:pPr>
      <w:spacing w:before="240" w:after="60"/>
      <w:jc w:val="center"/>
      <w:outlineLvl w:val="0"/>
    </w:pPr>
    <w:rPr>
      <w:rFonts w:ascii="Cambria" w:hAnsi="Cambria" w:eastAsia="方正小标宋简体"/>
      <w:b/>
      <w:bCs/>
      <w:sz w:val="32"/>
      <w:szCs w:val="32"/>
    </w:rPr>
  </w:style>
  <w:style w:type="paragraph" w:styleId="49">
    <w:name w:val="annotation subject"/>
    <w:basedOn w:val="17"/>
    <w:next w:val="17"/>
    <w:link w:val="460"/>
    <w:qFormat/>
    <w:uiPriority w:val="99"/>
    <w:rPr>
      <w:b/>
      <w:bCs/>
      <w:szCs w:val="21"/>
    </w:rPr>
  </w:style>
  <w:style w:type="paragraph" w:styleId="50">
    <w:name w:val="Body Text First Indent"/>
    <w:basedOn w:val="19"/>
    <w:link w:val="157"/>
    <w:qFormat/>
    <w:uiPriority w:val="99"/>
    <w:pPr>
      <w:spacing w:line="560" w:lineRule="exact"/>
      <w:ind w:firstLine="420" w:firstLineChars="100"/>
    </w:pPr>
    <w:rPr>
      <w:sz w:val="21"/>
      <w:szCs w:val="22"/>
    </w:rPr>
  </w:style>
  <w:style w:type="paragraph" w:styleId="51">
    <w:name w:val="Body Text First Indent 2"/>
    <w:basedOn w:val="20"/>
    <w:link w:val="221"/>
    <w:qFormat/>
    <w:uiPriority w:val="0"/>
    <w:pPr>
      <w:spacing w:after="120"/>
      <w:ind w:left="420" w:leftChars="200" w:firstLine="420" w:firstLineChars="200"/>
    </w:pPr>
    <w:rPr>
      <w:rFonts w:ascii="Calibri" w:hAnsi="Calibri"/>
      <w:kern w:val="2"/>
      <w:sz w:val="21"/>
      <w:szCs w:val="24"/>
    </w:rPr>
  </w:style>
  <w:style w:type="table" w:styleId="53">
    <w:name w:val="Table Grid"/>
    <w:basedOn w:val="52"/>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55">
    <w:name w:val="Strong"/>
    <w:qFormat/>
    <w:uiPriority w:val="22"/>
    <w:rPr>
      <w:b/>
      <w:bCs/>
    </w:rPr>
  </w:style>
  <w:style w:type="character" w:styleId="56">
    <w:name w:val="page number"/>
    <w:qFormat/>
    <w:uiPriority w:val="0"/>
  </w:style>
  <w:style w:type="character" w:styleId="57">
    <w:name w:val="FollowedHyperlink"/>
    <w:basedOn w:val="54"/>
    <w:qFormat/>
    <w:uiPriority w:val="99"/>
    <w:rPr>
      <w:color w:val="800080"/>
      <w:u w:val="none"/>
    </w:rPr>
  </w:style>
  <w:style w:type="character" w:styleId="58">
    <w:name w:val="Emphasis"/>
    <w:qFormat/>
    <w:uiPriority w:val="0"/>
    <w:rPr>
      <w:i/>
    </w:rPr>
  </w:style>
  <w:style w:type="character" w:styleId="59">
    <w:name w:val="Hyperlink"/>
    <w:basedOn w:val="54"/>
    <w:qFormat/>
    <w:uiPriority w:val="99"/>
    <w:rPr>
      <w:color w:val="0000FF"/>
      <w:u w:val="none"/>
    </w:rPr>
  </w:style>
  <w:style w:type="character" w:styleId="60">
    <w:name w:val="annotation reference"/>
    <w:qFormat/>
    <w:uiPriority w:val="0"/>
    <w:rPr>
      <w:sz w:val="21"/>
      <w:szCs w:val="21"/>
    </w:rPr>
  </w:style>
  <w:style w:type="character" w:styleId="61">
    <w:name w:val="footnote reference"/>
    <w:qFormat/>
    <w:uiPriority w:val="0"/>
    <w:rPr>
      <w:vertAlign w:val="superscript"/>
    </w:rPr>
  </w:style>
  <w:style w:type="character" w:customStyle="1" w:styleId="62">
    <w:name w:val="Char Char16"/>
    <w:qFormat/>
    <w:uiPriority w:val="0"/>
    <w:rPr>
      <w:rFonts w:eastAsia="宋体"/>
      <w:b/>
      <w:bCs/>
      <w:kern w:val="44"/>
      <w:sz w:val="44"/>
      <w:szCs w:val="44"/>
      <w:lang w:val="en-US" w:eastAsia="zh-CN" w:bidi="ar-SA"/>
    </w:rPr>
  </w:style>
  <w:style w:type="character" w:customStyle="1" w:styleId="63">
    <w:name w:val="标题 7 Char1"/>
    <w:link w:val="9"/>
    <w:qFormat/>
    <w:uiPriority w:val="0"/>
    <w:rPr>
      <w:b/>
      <w:bCs/>
      <w:sz w:val="24"/>
      <w:szCs w:val="24"/>
    </w:rPr>
  </w:style>
  <w:style w:type="character" w:customStyle="1" w:styleId="64">
    <w:name w:val="正文文本 3 Char2"/>
    <w:link w:val="18"/>
    <w:qFormat/>
    <w:uiPriority w:val="99"/>
    <w:rPr>
      <w:kern w:val="2"/>
      <w:sz w:val="16"/>
      <w:szCs w:val="16"/>
    </w:rPr>
  </w:style>
  <w:style w:type="character" w:customStyle="1" w:styleId="65">
    <w:name w:val="书籍标题2"/>
    <w:qFormat/>
    <w:uiPriority w:val="0"/>
    <w:rPr>
      <w:b/>
      <w:bCs/>
      <w:smallCaps/>
      <w:spacing w:val="5"/>
    </w:rPr>
  </w:style>
  <w:style w:type="character" w:customStyle="1" w:styleId="66">
    <w:name w:val="标题 Char2"/>
    <w:link w:val="48"/>
    <w:qFormat/>
    <w:uiPriority w:val="10"/>
    <w:rPr>
      <w:rFonts w:ascii="Cambria" w:hAnsi="Cambria" w:eastAsia="方正小标宋简体"/>
      <w:b/>
      <w:bCs/>
      <w:kern w:val="2"/>
      <w:sz w:val="32"/>
      <w:szCs w:val="32"/>
    </w:rPr>
  </w:style>
  <w:style w:type="character" w:customStyle="1" w:styleId="67">
    <w:name w:val="Char Char17"/>
    <w:qFormat/>
    <w:uiPriority w:val="0"/>
    <w:rPr>
      <w:rFonts w:ascii="Cambria" w:hAnsi="Cambria" w:eastAsia="宋体" w:cs="Times New Roman"/>
      <w:b/>
      <w:bCs/>
      <w:kern w:val="2"/>
      <w:sz w:val="32"/>
      <w:szCs w:val="32"/>
    </w:rPr>
  </w:style>
  <w:style w:type="character" w:customStyle="1" w:styleId="68">
    <w:name w:val="Char Char151"/>
    <w:qFormat/>
    <w:uiPriority w:val="0"/>
    <w:rPr>
      <w:rFonts w:ascii="Arial" w:hAnsi="Arial" w:eastAsia="黑体"/>
      <w:b/>
      <w:bCs/>
      <w:kern w:val="2"/>
      <w:sz w:val="32"/>
      <w:szCs w:val="32"/>
      <w:lang w:val="en-US" w:eastAsia="zh-CN" w:bidi="ar-SA"/>
    </w:rPr>
  </w:style>
  <w:style w:type="paragraph" w:customStyle="1" w:styleId="69">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70">
    <w:name w:val="页眉 Char"/>
    <w:qFormat/>
    <w:uiPriority w:val="99"/>
    <w:rPr>
      <w:rFonts w:eastAsia="宋体"/>
      <w:kern w:val="2"/>
      <w:sz w:val="18"/>
      <w:szCs w:val="18"/>
      <w:lang w:val="en-US" w:eastAsia="zh-CN" w:bidi="ar-SA"/>
    </w:rPr>
  </w:style>
  <w:style w:type="paragraph" w:customStyle="1" w:styleId="71">
    <w:name w:val="_Style 62"/>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72">
    <w:name w:val="明显强调1"/>
    <w:qFormat/>
    <w:uiPriority w:val="0"/>
    <w:rPr>
      <w:rFonts w:cs="Times New Roman"/>
      <w:b/>
      <w:i/>
      <w:color w:val="4F81BD"/>
    </w:rPr>
  </w:style>
  <w:style w:type="paragraph" w:customStyle="1" w:styleId="73">
    <w:name w:val="Char Char Char1 Char Char Char Char Char Char Char1"/>
    <w:basedOn w:val="1"/>
    <w:qFormat/>
    <w:uiPriority w:val="0"/>
    <w:rPr>
      <w:sz w:val="28"/>
      <w:szCs w:val="28"/>
    </w:rPr>
  </w:style>
  <w:style w:type="paragraph" w:customStyle="1" w:styleId="74">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75">
    <w:name w:val="修订1"/>
    <w:qFormat/>
    <w:uiPriority w:val="0"/>
    <w:rPr>
      <w:rFonts w:asciiTheme="minorHAnsi" w:hAnsiTheme="minorHAnsi" w:eastAsiaTheme="minorEastAsia" w:cstheme="minorBidi"/>
      <w:kern w:val="2"/>
      <w:sz w:val="21"/>
      <w:szCs w:val="21"/>
      <w:lang w:val="en-US" w:eastAsia="zh-CN" w:bidi="ar-SA"/>
    </w:rPr>
  </w:style>
  <w:style w:type="paragraph" w:customStyle="1" w:styleId="76">
    <w:name w:val="0"/>
    <w:basedOn w:val="1"/>
    <w:qFormat/>
    <w:uiPriority w:val="0"/>
    <w:pPr>
      <w:widowControl/>
      <w:snapToGrid w:val="0"/>
      <w:spacing w:line="365" w:lineRule="atLeast"/>
      <w:ind w:left="1"/>
      <w:textAlignment w:val="bottom"/>
    </w:pPr>
    <w:rPr>
      <w:kern w:val="0"/>
      <w:sz w:val="20"/>
      <w:szCs w:val="20"/>
    </w:rPr>
  </w:style>
  <w:style w:type="paragraph" w:customStyle="1" w:styleId="77">
    <w:name w:val="批注主题1"/>
    <w:basedOn w:val="17"/>
    <w:next w:val="17"/>
    <w:qFormat/>
    <w:uiPriority w:val="0"/>
    <w:rPr>
      <w:rFonts w:ascii="宋体" w:hAnsi="Calibri"/>
      <w:b/>
      <w:bCs/>
      <w:kern w:val="0"/>
      <w:sz w:val="28"/>
      <w:szCs w:val="20"/>
    </w:rPr>
  </w:style>
  <w:style w:type="character" w:customStyle="1" w:styleId="78">
    <w:name w:val="标题 2李洪 Char"/>
    <w:qFormat/>
    <w:uiPriority w:val="0"/>
    <w:rPr>
      <w:rFonts w:hint="eastAsia" w:ascii="宋体" w:hAnsi="宋体" w:eastAsia="宋体"/>
      <w:kern w:val="2"/>
      <w:sz w:val="21"/>
      <w:szCs w:val="24"/>
      <w:lang w:val="en-US" w:eastAsia="zh-CN" w:bidi="ar-SA"/>
    </w:rPr>
  </w:style>
  <w:style w:type="character" w:customStyle="1" w:styleId="79">
    <w:name w:val="不明显强调1"/>
    <w:qFormat/>
    <w:uiPriority w:val="0"/>
    <w:rPr>
      <w:i/>
      <w:iCs/>
      <w:color w:val="808080"/>
    </w:rPr>
  </w:style>
  <w:style w:type="paragraph" w:customStyle="1" w:styleId="80">
    <w:name w:val="正文要点"/>
    <w:basedOn w:val="1"/>
    <w:next w:val="81"/>
    <w:link w:val="472"/>
    <w:qFormat/>
    <w:uiPriority w:val="0"/>
    <w:pPr>
      <w:tabs>
        <w:tab w:val="left" w:pos="420"/>
      </w:tabs>
      <w:spacing w:line="360" w:lineRule="auto"/>
      <w:ind w:left="840" w:hanging="420"/>
    </w:pPr>
    <w:rPr>
      <w:szCs w:val="21"/>
    </w:rPr>
  </w:style>
  <w:style w:type="paragraph" w:customStyle="1" w:styleId="81">
    <w:name w:val="正文要点内容"/>
    <w:basedOn w:val="80"/>
    <w:link w:val="346"/>
    <w:qFormat/>
    <w:uiPriority w:val="0"/>
    <w:pPr>
      <w:tabs>
        <w:tab w:val="left" w:pos="840"/>
        <w:tab w:val="clear" w:pos="420"/>
      </w:tabs>
      <w:ind w:left="400" w:leftChars="400" w:firstLine="200" w:firstLineChars="200"/>
    </w:pPr>
  </w:style>
  <w:style w:type="paragraph" w:customStyle="1" w:styleId="82">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83">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84">
    <w:name w:val="Char Char1 Char Char Char Char1"/>
    <w:basedOn w:val="16"/>
    <w:qFormat/>
    <w:uiPriority w:val="0"/>
    <w:rPr>
      <w:rFonts w:ascii="宋体" w:hAnsi="Calibri"/>
      <w:kern w:val="0"/>
    </w:rPr>
  </w:style>
  <w:style w:type="character" w:customStyle="1" w:styleId="85">
    <w:name w:val="标题 6 Char"/>
    <w:qFormat/>
    <w:uiPriority w:val="99"/>
    <w:rPr>
      <w:rFonts w:ascii="Arial" w:hAnsi="Arial" w:eastAsia="黑体"/>
      <w:b/>
      <w:bCs/>
      <w:sz w:val="24"/>
      <w:szCs w:val="24"/>
      <w:lang w:val="en-US" w:eastAsia="zh-CN" w:bidi="ar-SA"/>
    </w:rPr>
  </w:style>
  <w:style w:type="paragraph" w:customStyle="1" w:styleId="86">
    <w:name w:val="Char Char1 Char Char Char Char Char Char2"/>
    <w:basedOn w:val="16"/>
    <w:qFormat/>
    <w:uiPriority w:val="0"/>
    <w:rPr>
      <w:rFonts w:ascii="Calibri" w:hAnsi="Calibri"/>
      <w:szCs w:val="22"/>
    </w:rPr>
  </w:style>
  <w:style w:type="paragraph" w:customStyle="1" w:styleId="87">
    <w:name w:val="Blockquote"/>
    <w:basedOn w:val="1"/>
    <w:link w:val="238"/>
    <w:qFormat/>
    <w:uiPriority w:val="0"/>
    <w:pPr>
      <w:autoSpaceDE w:val="0"/>
      <w:autoSpaceDN w:val="0"/>
      <w:adjustRightInd w:val="0"/>
      <w:spacing w:before="100" w:after="100"/>
      <w:ind w:left="360" w:right="360"/>
      <w:jc w:val="left"/>
    </w:pPr>
    <w:rPr>
      <w:kern w:val="0"/>
      <w:sz w:val="24"/>
      <w:szCs w:val="20"/>
    </w:rPr>
  </w:style>
  <w:style w:type="paragraph" w:customStyle="1" w:styleId="88">
    <w:name w:val="无间隔1"/>
    <w:link w:val="244"/>
    <w:qFormat/>
    <w:uiPriority w:val="0"/>
    <w:rPr>
      <w:rFonts w:cs="Calibri" w:asciiTheme="minorHAnsi" w:hAnsiTheme="minorHAnsi" w:eastAsiaTheme="minorEastAsia"/>
      <w:kern w:val="2"/>
      <w:sz w:val="22"/>
      <w:szCs w:val="22"/>
      <w:lang w:val="en-US" w:eastAsia="zh-CN" w:bidi="ar-SA"/>
    </w:rPr>
  </w:style>
  <w:style w:type="character" w:customStyle="1" w:styleId="89">
    <w:name w:val="Plain Text Char"/>
    <w:qFormat/>
    <w:locked/>
    <w:uiPriority w:val="0"/>
    <w:rPr>
      <w:rFonts w:ascii="宋体" w:hAnsi="Courier New" w:cs="宋体"/>
      <w:sz w:val="21"/>
      <w:szCs w:val="21"/>
    </w:rPr>
  </w:style>
  <w:style w:type="character" w:customStyle="1" w:styleId="90">
    <w:name w:val="批注主题 Char2"/>
    <w:qFormat/>
    <w:uiPriority w:val="99"/>
    <w:rPr>
      <w:rFonts w:ascii="Times New Roman" w:hAnsi="Times New Roman" w:eastAsia="宋体" w:cs="Times New Roman"/>
      <w:b/>
      <w:bCs/>
      <w:kern w:val="2"/>
      <w:sz w:val="21"/>
      <w:szCs w:val="24"/>
    </w:rPr>
  </w:style>
  <w:style w:type="character" w:customStyle="1" w:styleId="91">
    <w:name w:val="页眉 Char2"/>
    <w:semiHidden/>
    <w:qFormat/>
    <w:uiPriority w:val="99"/>
    <w:rPr>
      <w:rFonts w:ascii="Times New Roman" w:hAnsi="Times New Roman" w:eastAsia="宋体" w:cs="Times New Roman"/>
      <w:sz w:val="18"/>
      <w:szCs w:val="18"/>
    </w:rPr>
  </w:style>
  <w:style w:type="paragraph" w:customStyle="1" w:styleId="92">
    <w:name w:val="文档结构图2"/>
    <w:basedOn w:val="1"/>
    <w:qFormat/>
    <w:uiPriority w:val="0"/>
    <w:pPr>
      <w:shd w:val="clear" w:color="auto" w:fill="000080"/>
    </w:pPr>
    <w:rPr>
      <w:kern w:val="0"/>
      <w:sz w:val="20"/>
      <w:shd w:val="clear" w:color="auto" w:fill="000080"/>
    </w:rPr>
  </w:style>
  <w:style w:type="character" w:customStyle="1" w:styleId="93">
    <w:name w:val="正文文本缩进 3 Char"/>
    <w:qFormat/>
    <w:locked/>
    <w:uiPriority w:val="99"/>
    <w:rPr>
      <w:rFonts w:eastAsia="宋体"/>
      <w:sz w:val="16"/>
      <w:szCs w:val="16"/>
    </w:rPr>
  </w:style>
  <w:style w:type="character" w:customStyle="1" w:styleId="94">
    <w:name w:val="脚注文本 Char"/>
    <w:qFormat/>
    <w:locked/>
    <w:uiPriority w:val="99"/>
    <w:rPr>
      <w:rFonts w:eastAsia="宋体"/>
    </w:rPr>
  </w:style>
  <w:style w:type="character" w:customStyle="1" w:styleId="95">
    <w:name w:val="批注框文本 Char1"/>
    <w:qFormat/>
    <w:uiPriority w:val="0"/>
    <w:rPr>
      <w:kern w:val="2"/>
      <w:sz w:val="18"/>
    </w:rPr>
  </w:style>
  <w:style w:type="character" w:customStyle="1" w:styleId="96">
    <w:name w:val="t-in"/>
    <w:qFormat/>
    <w:uiPriority w:val="0"/>
    <w:rPr>
      <w:u w:val="none"/>
    </w:rPr>
  </w:style>
  <w:style w:type="character" w:customStyle="1" w:styleId="97">
    <w:name w:val="明显强调211"/>
    <w:qFormat/>
    <w:uiPriority w:val="0"/>
    <w:rPr>
      <w:b/>
      <w:i/>
      <w:color w:val="4F81BD"/>
    </w:rPr>
  </w:style>
  <w:style w:type="character" w:customStyle="1" w:styleId="98">
    <w:name w:val="Body Text Indent 3 Char"/>
    <w:qFormat/>
    <w:locked/>
    <w:uiPriority w:val="0"/>
    <w:rPr>
      <w:rFonts w:ascii="Times New Roman" w:hAnsi="Times New Roman" w:cs="Times New Roman"/>
      <w:sz w:val="16"/>
      <w:szCs w:val="16"/>
    </w:rPr>
  </w:style>
  <w:style w:type="character" w:customStyle="1" w:styleId="99">
    <w:name w:val="正文文本 3 Char1"/>
    <w:semiHidden/>
    <w:qFormat/>
    <w:uiPriority w:val="99"/>
    <w:rPr>
      <w:rFonts w:ascii="Times New Roman" w:hAnsi="Times New Roman" w:eastAsia="宋体" w:cs="Times New Roman"/>
      <w:sz w:val="16"/>
      <w:szCs w:val="16"/>
    </w:rPr>
  </w:style>
  <w:style w:type="paragraph" w:customStyle="1" w:styleId="100">
    <w:name w:val="索引 411"/>
    <w:basedOn w:val="1"/>
    <w:next w:val="1"/>
    <w:qFormat/>
    <w:uiPriority w:val="0"/>
    <w:pPr>
      <w:ind w:left="600" w:leftChars="600"/>
    </w:pPr>
  </w:style>
  <w:style w:type="paragraph" w:customStyle="1" w:styleId="101">
    <w:name w:val="Char Char Char Char Char Char"/>
    <w:basedOn w:val="1"/>
    <w:qFormat/>
    <w:uiPriority w:val="0"/>
    <w:pPr>
      <w:ind w:firstLine="200" w:firstLineChars="200"/>
    </w:pPr>
    <w:rPr>
      <w:rFonts w:ascii="Tahoma" w:hAnsi="Tahoma"/>
      <w:sz w:val="24"/>
      <w:szCs w:val="20"/>
    </w:rPr>
  </w:style>
  <w:style w:type="character" w:customStyle="1" w:styleId="102">
    <w:name w:val="明显参考21"/>
    <w:qFormat/>
    <w:uiPriority w:val="0"/>
    <w:rPr>
      <w:b/>
      <w:bCs/>
      <w:smallCaps/>
      <w:color w:val="C0504D"/>
      <w:spacing w:val="5"/>
      <w:u w:val="single"/>
    </w:rPr>
  </w:style>
  <w:style w:type="paragraph" w:customStyle="1" w:styleId="103">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character" w:customStyle="1" w:styleId="104">
    <w:name w:val="标题 1 字符"/>
    <w:qFormat/>
    <w:uiPriority w:val="0"/>
    <w:rPr>
      <w:b/>
      <w:kern w:val="44"/>
      <w:sz w:val="44"/>
    </w:rPr>
  </w:style>
  <w:style w:type="paragraph" w:customStyle="1" w:styleId="105">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character" w:customStyle="1" w:styleId="106">
    <w:name w:val="Char Char181"/>
    <w:qFormat/>
    <w:uiPriority w:val="0"/>
    <w:rPr>
      <w:b/>
      <w:bCs/>
      <w:kern w:val="44"/>
      <w:sz w:val="44"/>
      <w:szCs w:val="44"/>
    </w:rPr>
  </w:style>
  <w:style w:type="character" w:customStyle="1" w:styleId="107">
    <w:name w:val="Char Char12"/>
    <w:semiHidden/>
    <w:qFormat/>
    <w:locked/>
    <w:uiPriority w:val="0"/>
    <w:rPr>
      <w:rFonts w:ascii="Courier New" w:hAnsi="Courier New" w:eastAsia="宋体"/>
      <w:kern w:val="2"/>
      <w:sz w:val="21"/>
      <w:lang w:val="en-US" w:eastAsia="zh-CN" w:bidi="ar-SA"/>
    </w:rPr>
  </w:style>
  <w:style w:type="paragraph" w:customStyle="1" w:styleId="108">
    <w:name w:val="正文文本 31"/>
    <w:basedOn w:val="1"/>
    <w:qFormat/>
    <w:uiPriority w:val="0"/>
    <w:pPr>
      <w:spacing w:after="120"/>
    </w:pPr>
    <w:rPr>
      <w:sz w:val="16"/>
      <w:szCs w:val="16"/>
    </w:rPr>
  </w:style>
  <w:style w:type="character" w:customStyle="1" w:styleId="109">
    <w:name w:val="明显强调2"/>
    <w:qFormat/>
    <w:uiPriority w:val="99"/>
    <w:rPr>
      <w:b/>
      <w:bCs/>
      <w:i/>
      <w:iCs/>
      <w:color w:val="4F81BD"/>
    </w:rPr>
  </w:style>
  <w:style w:type="character" w:customStyle="1" w:styleId="110">
    <w:name w:val="Char Char23"/>
    <w:qFormat/>
    <w:locked/>
    <w:uiPriority w:val="0"/>
    <w:rPr>
      <w:rFonts w:eastAsia="宋体"/>
      <w:b/>
      <w:bCs/>
      <w:sz w:val="28"/>
      <w:szCs w:val="32"/>
      <w:lang w:val="en-US" w:eastAsia="zh-CN" w:bidi="ar-SA"/>
    </w:rPr>
  </w:style>
  <w:style w:type="paragraph" w:customStyle="1" w:styleId="111">
    <w:name w:val="列表段落1"/>
    <w:basedOn w:val="1"/>
    <w:qFormat/>
    <w:uiPriority w:val="0"/>
    <w:pPr>
      <w:ind w:firstLine="420" w:firstLineChars="200"/>
    </w:pPr>
    <w:rPr>
      <w:rFonts w:ascii="Calibri" w:hAnsi="Calibri"/>
      <w:szCs w:val="22"/>
    </w:rPr>
  </w:style>
  <w:style w:type="character" w:customStyle="1" w:styleId="112">
    <w:name w:val="标题 6 Char1"/>
    <w:link w:val="8"/>
    <w:qFormat/>
    <w:uiPriority w:val="0"/>
    <w:rPr>
      <w:rFonts w:ascii="Arial" w:hAnsi="Arial" w:eastAsia="黑体"/>
      <w:b/>
      <w:bCs/>
      <w:sz w:val="24"/>
      <w:szCs w:val="24"/>
    </w:rPr>
  </w:style>
  <w:style w:type="character" w:customStyle="1" w:styleId="113">
    <w:name w:val="标题 2 Char Char Char Char Char Char Char Char Char Char Char Char Char Char Char Char Char Char Char Char Char"/>
    <w:qFormat/>
    <w:uiPriority w:val="0"/>
  </w:style>
  <w:style w:type="paragraph" w:customStyle="1" w:styleId="114">
    <w:name w:val="font6"/>
    <w:basedOn w:val="1"/>
    <w:qFormat/>
    <w:uiPriority w:val="0"/>
    <w:pPr>
      <w:widowControl/>
      <w:spacing w:before="100" w:beforeAutospacing="1" w:after="100" w:afterAutospacing="1"/>
      <w:jc w:val="left"/>
    </w:pPr>
    <w:rPr>
      <w:kern w:val="0"/>
      <w:szCs w:val="21"/>
    </w:rPr>
  </w:style>
  <w:style w:type="character" w:customStyle="1" w:styleId="115">
    <w:name w:val="正文缩进 Char1"/>
    <w:qFormat/>
    <w:uiPriority w:val="0"/>
    <w:rPr>
      <w:kern w:val="2"/>
      <w:sz w:val="21"/>
      <w:szCs w:val="21"/>
    </w:rPr>
  </w:style>
  <w:style w:type="paragraph" w:customStyle="1" w:styleId="116">
    <w:name w:val="Char Char Char1 Char Char Char Char Char Char Char"/>
    <w:basedOn w:val="1"/>
    <w:qFormat/>
    <w:uiPriority w:val="0"/>
    <w:rPr>
      <w:sz w:val="28"/>
      <w:szCs w:val="28"/>
    </w:rPr>
  </w:style>
  <w:style w:type="character" w:customStyle="1" w:styleId="117">
    <w:name w:val="标题 Char"/>
    <w:qFormat/>
    <w:locked/>
    <w:uiPriority w:val="99"/>
    <w:rPr>
      <w:rFonts w:ascii="Arial" w:hAnsi="Arial" w:eastAsia="宋体"/>
      <w:b/>
      <w:sz w:val="32"/>
    </w:rPr>
  </w:style>
  <w:style w:type="character" w:customStyle="1" w:styleId="118">
    <w:name w:val="正文文本缩进 Char2"/>
    <w:link w:val="20"/>
    <w:qFormat/>
    <w:uiPriority w:val="99"/>
    <w:rPr>
      <w:rFonts w:ascii="仿宋_GB2312" w:eastAsia="仿宋_GB2312"/>
      <w:sz w:val="32"/>
      <w:szCs w:val="32"/>
    </w:rPr>
  </w:style>
  <w:style w:type="character" w:customStyle="1" w:styleId="119">
    <w:name w:val="正文文本 2 Char1"/>
    <w:qFormat/>
    <w:uiPriority w:val="0"/>
    <w:rPr>
      <w:rFonts w:ascii="Times New Roman" w:hAnsi="Times New Roman" w:eastAsia="宋体" w:cs="Times New Roman"/>
      <w:szCs w:val="24"/>
    </w:rPr>
  </w:style>
  <w:style w:type="paragraph" w:customStyle="1" w:styleId="120">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character" w:customStyle="1" w:styleId="121">
    <w:name w:val="纯文本 字符2"/>
    <w:qFormat/>
    <w:locked/>
    <w:uiPriority w:val="0"/>
    <w:rPr>
      <w:rFonts w:ascii="宋体" w:hAnsi="Courier New" w:eastAsia="宋体" w:cs="Times New Roman"/>
      <w:kern w:val="0"/>
      <w:szCs w:val="21"/>
    </w:rPr>
  </w:style>
  <w:style w:type="character" w:customStyle="1" w:styleId="122">
    <w:name w:val="页眉 Char3"/>
    <w:link w:val="33"/>
    <w:qFormat/>
    <w:uiPriority w:val="99"/>
    <w:rPr>
      <w:kern w:val="2"/>
      <w:sz w:val="18"/>
      <w:szCs w:val="18"/>
    </w:rPr>
  </w:style>
  <w:style w:type="paragraph" w:customStyle="1" w:styleId="123">
    <w:name w:val="Char"/>
    <w:basedOn w:val="1"/>
    <w:qFormat/>
    <w:uiPriority w:val="0"/>
    <w:rPr>
      <w:szCs w:val="21"/>
    </w:rPr>
  </w:style>
  <w:style w:type="character" w:customStyle="1" w:styleId="124">
    <w:name w:val="批注主题 Char1"/>
    <w:qFormat/>
    <w:uiPriority w:val="0"/>
    <w:rPr>
      <w:b/>
      <w:bCs/>
      <w:kern w:val="2"/>
      <w:sz w:val="21"/>
      <w:szCs w:val="22"/>
    </w:rPr>
  </w:style>
  <w:style w:type="character" w:customStyle="1" w:styleId="125">
    <w:name w:val="副标题 Char2"/>
    <w:qFormat/>
    <w:uiPriority w:val="11"/>
    <w:rPr>
      <w:rFonts w:ascii="Cambria" w:hAnsi="Cambria" w:eastAsia="宋体" w:cs="Times New Roman"/>
      <w:b/>
      <w:bCs/>
      <w:kern w:val="28"/>
      <w:sz w:val="32"/>
      <w:szCs w:val="32"/>
    </w:rPr>
  </w:style>
  <w:style w:type="paragraph" w:customStyle="1" w:styleId="126">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127">
    <w:name w:val="reader-word-layer reader-word-s1-4"/>
    <w:basedOn w:val="1"/>
    <w:qFormat/>
    <w:uiPriority w:val="0"/>
    <w:pPr>
      <w:widowControl/>
      <w:spacing w:before="100" w:beforeAutospacing="1" w:after="100" w:afterAutospacing="1"/>
      <w:jc w:val="left"/>
    </w:pPr>
    <w:rPr>
      <w:rFonts w:ascii="宋体" w:hAnsi="宋体" w:cs="宋体"/>
      <w:kern w:val="0"/>
      <w:sz w:val="24"/>
    </w:rPr>
  </w:style>
  <w:style w:type="character" w:customStyle="1" w:styleId="128">
    <w:name w:val="Footer Char"/>
    <w:qFormat/>
    <w:locked/>
    <w:uiPriority w:val="0"/>
    <w:rPr>
      <w:rFonts w:ascii="Times New Roman" w:hAnsi="Times New Roman" w:cs="Times New Roman"/>
      <w:sz w:val="18"/>
      <w:szCs w:val="18"/>
    </w:rPr>
  </w:style>
  <w:style w:type="paragraph" w:customStyle="1" w:styleId="129">
    <w:name w:val="正文文本 311"/>
    <w:basedOn w:val="1"/>
    <w:qFormat/>
    <w:uiPriority w:val="0"/>
    <w:pPr>
      <w:spacing w:after="120"/>
    </w:pPr>
    <w:rPr>
      <w:sz w:val="16"/>
      <w:szCs w:val="16"/>
    </w:rPr>
  </w:style>
  <w:style w:type="paragraph" w:customStyle="1" w:styleId="130">
    <w:name w:val="标题4"/>
    <w:basedOn w:val="131"/>
    <w:next w:val="23"/>
    <w:link w:val="231"/>
    <w:qFormat/>
    <w:uiPriority w:val="99"/>
    <w:pPr>
      <w:spacing w:line="413" w:lineRule="auto"/>
    </w:pPr>
  </w:style>
  <w:style w:type="paragraph" w:customStyle="1" w:styleId="131">
    <w:name w:val="xl39"/>
    <w:link w:val="288"/>
    <w:qFormat/>
    <w:uiPriority w:val="0"/>
    <w:pPr>
      <w:spacing w:before="100" w:beforeAutospacing="1" w:after="100" w:afterAutospacing="1"/>
    </w:pPr>
    <w:rPr>
      <w:rFonts w:asciiTheme="minorHAnsi" w:hAnsiTheme="minorHAnsi" w:eastAsiaTheme="minorEastAsia" w:cstheme="minorBidi"/>
      <w:lang w:val="en-US" w:eastAsia="zh-CN" w:bidi="ar-SA"/>
    </w:rPr>
  </w:style>
  <w:style w:type="character" w:customStyle="1" w:styleId="132">
    <w:name w:val="Char Char7"/>
    <w:qFormat/>
    <w:uiPriority w:val="0"/>
    <w:rPr>
      <w:rFonts w:ascii="Arial" w:hAnsi="Arial" w:eastAsia="黑体"/>
      <w:b/>
      <w:bCs/>
      <w:kern w:val="2"/>
      <w:sz w:val="32"/>
      <w:szCs w:val="32"/>
      <w:lang w:val="en-US" w:eastAsia="zh-CN" w:bidi="ar-SA"/>
    </w:rPr>
  </w:style>
  <w:style w:type="character" w:customStyle="1" w:styleId="133">
    <w:name w:val="正文文本缩进 3 Char2"/>
    <w:link w:val="40"/>
    <w:qFormat/>
    <w:uiPriority w:val="99"/>
    <w:rPr>
      <w:sz w:val="16"/>
      <w:szCs w:val="16"/>
    </w:rPr>
  </w:style>
  <w:style w:type="paragraph" w:customStyle="1" w:styleId="134">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character" w:customStyle="1" w:styleId="135">
    <w:name w:val="文档结构图 Char2"/>
    <w:qFormat/>
    <w:uiPriority w:val="0"/>
    <w:rPr>
      <w:rFonts w:eastAsia="宋体"/>
      <w:szCs w:val="24"/>
      <w:shd w:val="clear" w:color="auto" w:fill="000080"/>
    </w:rPr>
  </w:style>
  <w:style w:type="paragraph" w:customStyle="1" w:styleId="136">
    <w:name w:val="Char Char 字元 字元 字元 Char Char Char Char"/>
    <w:basedOn w:val="1"/>
    <w:qFormat/>
    <w:uiPriority w:val="0"/>
    <w:pPr>
      <w:adjustRightInd w:val="0"/>
      <w:spacing w:line="360" w:lineRule="auto"/>
    </w:pPr>
    <w:rPr>
      <w:szCs w:val="20"/>
    </w:rPr>
  </w:style>
  <w:style w:type="character" w:customStyle="1" w:styleId="137">
    <w:name w:val="font71"/>
    <w:qFormat/>
    <w:uiPriority w:val="0"/>
    <w:rPr>
      <w:rFonts w:hint="default" w:ascii="Times New Roman" w:hAnsi="Times New Roman" w:cs="Times New Roman"/>
      <w:color w:val="000000"/>
      <w:sz w:val="22"/>
      <w:szCs w:val="22"/>
      <w:u w:val="none"/>
    </w:rPr>
  </w:style>
  <w:style w:type="paragraph" w:customStyle="1" w:styleId="138">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39">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0">
    <w:name w:val="TOC 标题11"/>
    <w:basedOn w:val="3"/>
    <w:next w:val="1"/>
    <w:qFormat/>
    <w:uiPriority w:val="0"/>
    <w:pPr>
      <w:spacing w:line="576" w:lineRule="auto"/>
      <w:jc w:val="center"/>
      <w:outlineLvl w:val="9"/>
    </w:pPr>
    <w:rPr>
      <w:rFonts w:ascii="Calibri" w:hAnsi="Calibri"/>
    </w:rPr>
  </w:style>
  <w:style w:type="character" w:customStyle="1" w:styleId="141">
    <w:name w:val="批注主题 Char"/>
    <w:qFormat/>
    <w:locked/>
    <w:uiPriority w:val="99"/>
    <w:rPr>
      <w:rFonts w:eastAsia="宋体"/>
      <w:b/>
      <w:bCs/>
      <w:sz w:val="24"/>
      <w:szCs w:val="24"/>
    </w:rPr>
  </w:style>
  <w:style w:type="paragraph" w:customStyle="1" w:styleId="142">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43">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144">
    <w:name w:val="页脚 Char3"/>
    <w:link w:val="31"/>
    <w:qFormat/>
    <w:uiPriority w:val="99"/>
    <w:rPr>
      <w:kern w:val="2"/>
      <w:sz w:val="18"/>
      <w:szCs w:val="18"/>
    </w:rPr>
  </w:style>
  <w:style w:type="character" w:customStyle="1" w:styleId="145">
    <w:name w:val="日期 Char3"/>
    <w:link w:val="28"/>
    <w:qFormat/>
    <w:uiPriority w:val="99"/>
    <w:rPr>
      <w:rFonts w:ascii="宋体" w:hAnsi="Courier New"/>
      <w:sz w:val="21"/>
      <w:szCs w:val="21"/>
    </w:rPr>
  </w:style>
  <w:style w:type="character" w:customStyle="1" w:styleId="146">
    <w:name w:val="正文缩进 Char2"/>
    <w:link w:val="14"/>
    <w:qFormat/>
    <w:uiPriority w:val="0"/>
    <w:rPr>
      <w:kern w:val="2"/>
      <w:sz w:val="21"/>
      <w:szCs w:val="21"/>
    </w:rPr>
  </w:style>
  <w:style w:type="character" w:customStyle="1" w:styleId="147">
    <w:name w:val="HTML 预设格式 Char"/>
    <w:qFormat/>
    <w:uiPriority w:val="0"/>
    <w:rPr>
      <w:rFonts w:ascii="Arial" w:hAnsi="Arial"/>
      <w:szCs w:val="24"/>
    </w:rPr>
  </w:style>
  <w:style w:type="paragraph" w:customStyle="1" w:styleId="148">
    <w:name w:val="Char11"/>
    <w:basedOn w:val="1"/>
    <w:qFormat/>
    <w:uiPriority w:val="0"/>
    <w:pPr>
      <w:tabs>
        <w:tab w:val="left" w:pos="360"/>
      </w:tabs>
    </w:pPr>
    <w:rPr>
      <w:sz w:val="24"/>
    </w:rPr>
  </w:style>
  <w:style w:type="character" w:customStyle="1" w:styleId="149">
    <w:name w:val="纯文本 Char"/>
    <w:qFormat/>
    <w:locked/>
    <w:uiPriority w:val="0"/>
    <w:rPr>
      <w:rFonts w:ascii="Courier New" w:hAnsi="Courier New" w:eastAsia="宋体"/>
    </w:rPr>
  </w:style>
  <w:style w:type="paragraph" w:customStyle="1" w:styleId="150">
    <w:name w:val="Normal_21"/>
    <w:qFormat/>
    <w:uiPriority w:val="0"/>
    <w:pPr>
      <w:spacing w:before="120" w:after="240"/>
      <w:jc w:val="both"/>
    </w:pPr>
    <w:rPr>
      <w:rFonts w:asciiTheme="minorHAnsi" w:hAnsiTheme="minorHAnsi" w:eastAsiaTheme="minorEastAsia" w:cstheme="minorBidi"/>
      <w:kern w:val="2"/>
      <w:sz w:val="22"/>
      <w:szCs w:val="22"/>
      <w:lang w:val="en-US" w:eastAsia="en-US" w:bidi="ar-SA"/>
    </w:rPr>
  </w:style>
  <w:style w:type="paragraph" w:customStyle="1" w:styleId="151">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character" w:customStyle="1" w:styleId="152">
    <w:name w:val="书籍标题1"/>
    <w:qFormat/>
    <w:uiPriority w:val="99"/>
    <w:rPr>
      <w:b/>
      <w:bCs/>
      <w:smallCaps/>
      <w:spacing w:val="5"/>
    </w:rPr>
  </w:style>
  <w:style w:type="character" w:customStyle="1" w:styleId="153">
    <w:name w:val="标题 4 Char"/>
    <w:qFormat/>
    <w:uiPriority w:val="0"/>
    <w:rPr>
      <w:rFonts w:ascii="Arial" w:hAnsi="Arial" w:eastAsia="黑体"/>
      <w:b/>
      <w:bCs/>
      <w:kern w:val="2"/>
      <w:sz w:val="28"/>
      <w:szCs w:val="28"/>
      <w:lang w:val="en-US" w:eastAsia="zh-CN" w:bidi="ar-SA"/>
    </w:rPr>
  </w:style>
  <w:style w:type="paragraph" w:customStyle="1" w:styleId="154">
    <w:name w:val="引用11"/>
    <w:basedOn w:val="1"/>
    <w:next w:val="1"/>
    <w:qFormat/>
    <w:uiPriority w:val="0"/>
    <w:rPr>
      <w:rFonts w:ascii="Calibri" w:hAnsi="Calibri"/>
      <w:i/>
      <w:color w:val="000000"/>
      <w:kern w:val="0"/>
      <w:sz w:val="22"/>
      <w:szCs w:val="20"/>
    </w:rPr>
  </w:style>
  <w:style w:type="character" w:customStyle="1" w:styleId="155">
    <w:name w:val="正文文本缩进 Char"/>
    <w:qFormat/>
    <w:locked/>
    <w:uiPriority w:val="99"/>
    <w:rPr>
      <w:rFonts w:eastAsia="宋体"/>
      <w:szCs w:val="24"/>
    </w:rPr>
  </w:style>
  <w:style w:type="paragraph" w:customStyle="1" w:styleId="156">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157">
    <w:name w:val="正文首行缩进 Char2"/>
    <w:link w:val="50"/>
    <w:qFormat/>
    <w:uiPriority w:val="99"/>
    <w:rPr>
      <w:kern w:val="2"/>
      <w:sz w:val="21"/>
      <w:szCs w:val="22"/>
    </w:rPr>
  </w:style>
  <w:style w:type="character" w:customStyle="1" w:styleId="158">
    <w:name w:val="批注框文本 Char2"/>
    <w:semiHidden/>
    <w:qFormat/>
    <w:uiPriority w:val="99"/>
    <w:rPr>
      <w:sz w:val="18"/>
      <w:szCs w:val="18"/>
    </w:rPr>
  </w:style>
  <w:style w:type="character" w:customStyle="1" w:styleId="159">
    <w:name w:val="font21"/>
    <w:qFormat/>
    <w:uiPriority w:val="0"/>
    <w:rPr>
      <w:rFonts w:hint="eastAsia" w:ascii="宋体" w:hAnsi="宋体" w:eastAsia="宋体" w:cs="宋体"/>
      <w:color w:val="000000"/>
      <w:sz w:val="20"/>
      <w:szCs w:val="20"/>
      <w:u w:val="none"/>
    </w:rPr>
  </w:style>
  <w:style w:type="character" w:customStyle="1" w:styleId="160">
    <w:name w:val="正文缩进 字符"/>
    <w:qFormat/>
    <w:uiPriority w:val="0"/>
    <w:rPr>
      <w:kern w:val="2"/>
      <w:sz w:val="21"/>
      <w:szCs w:val="21"/>
    </w:rPr>
  </w:style>
  <w:style w:type="character" w:customStyle="1" w:styleId="161">
    <w:name w:val="文档结构图 Char Char"/>
    <w:qFormat/>
    <w:uiPriority w:val="0"/>
    <w:rPr>
      <w:szCs w:val="24"/>
      <w:shd w:val="clear" w:color="auto" w:fill="000080"/>
      <w:lang w:bidi="ar-SA"/>
    </w:rPr>
  </w:style>
  <w:style w:type="paragraph" w:customStyle="1" w:styleId="162">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character" w:customStyle="1" w:styleId="163">
    <w:name w:val="无间隔 Char1"/>
    <w:link w:val="164"/>
    <w:qFormat/>
    <w:uiPriority w:val="99"/>
    <w:rPr>
      <w:rFonts w:cs="Calibri"/>
      <w:sz w:val="22"/>
      <w:szCs w:val="22"/>
      <w:lang w:val="en-US" w:eastAsia="zh-CN" w:bidi="ar-SA"/>
    </w:rPr>
  </w:style>
  <w:style w:type="paragraph" w:styleId="164">
    <w:name w:val="No Spacing"/>
    <w:link w:val="163"/>
    <w:qFormat/>
    <w:uiPriority w:val="99"/>
    <w:rPr>
      <w:rFonts w:cs="Calibri" w:asciiTheme="minorHAnsi" w:hAnsiTheme="minorHAnsi" w:eastAsiaTheme="minorEastAsia"/>
      <w:kern w:val="2"/>
      <w:sz w:val="22"/>
      <w:szCs w:val="22"/>
      <w:lang w:val="en-US" w:eastAsia="zh-CN" w:bidi="ar-SA"/>
    </w:rPr>
  </w:style>
  <w:style w:type="character" w:customStyle="1" w:styleId="165">
    <w:name w:val="标题 3 Char1"/>
    <w:link w:val="5"/>
    <w:qFormat/>
    <w:uiPriority w:val="0"/>
    <w:rPr>
      <w:b/>
      <w:bCs/>
      <w:kern w:val="2"/>
      <w:sz w:val="32"/>
      <w:szCs w:val="32"/>
    </w:rPr>
  </w:style>
  <w:style w:type="paragraph" w:customStyle="1" w:styleId="166">
    <w:name w:val="技术规范书正文"/>
    <w:qFormat/>
    <w:uiPriority w:val="0"/>
    <w:pPr>
      <w:widowControl w:val="0"/>
      <w:snapToGrid w:val="0"/>
      <w:spacing w:line="360" w:lineRule="auto"/>
    </w:pPr>
    <w:rPr>
      <w:rFonts w:asciiTheme="minorHAnsi" w:hAnsiTheme="minorHAnsi" w:eastAsiaTheme="minorEastAsia" w:cstheme="minorBidi"/>
      <w:kern w:val="2"/>
      <w:sz w:val="24"/>
      <w:szCs w:val="22"/>
      <w:lang w:val="en-US" w:eastAsia="zh-CN" w:bidi="ar-SA"/>
    </w:rPr>
  </w:style>
  <w:style w:type="character" w:customStyle="1" w:styleId="167">
    <w:name w:val="Char Char29"/>
    <w:qFormat/>
    <w:uiPriority w:val="0"/>
    <w:rPr>
      <w:rFonts w:eastAsia="宋体"/>
      <w:b/>
      <w:bCs/>
      <w:kern w:val="2"/>
      <w:sz w:val="32"/>
      <w:szCs w:val="32"/>
      <w:lang w:val="en-US" w:eastAsia="zh-CN" w:bidi="ar-SA"/>
    </w:rPr>
  </w:style>
  <w:style w:type="paragraph" w:customStyle="1" w:styleId="168">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character" w:customStyle="1" w:styleId="169">
    <w:name w:val="Char Char30"/>
    <w:qFormat/>
    <w:uiPriority w:val="0"/>
    <w:rPr>
      <w:rFonts w:ascii="Arial" w:hAnsi="Arial" w:eastAsia="黑体"/>
      <w:b/>
      <w:bCs/>
      <w:kern w:val="2"/>
      <w:sz w:val="32"/>
      <w:szCs w:val="32"/>
      <w:lang w:val="en-US" w:eastAsia="zh-CN" w:bidi="ar-SA"/>
    </w:rPr>
  </w:style>
  <w:style w:type="paragraph" w:customStyle="1" w:styleId="170">
    <w:name w:val="图注"/>
    <w:basedOn w:val="15"/>
    <w:qFormat/>
    <w:uiPriority w:val="0"/>
    <w:pPr>
      <w:jc w:val="center"/>
    </w:pPr>
    <w:rPr>
      <w:rFonts w:ascii="Times New Roman" w:hAnsi="Times New Roman" w:eastAsia="宋体"/>
      <w:spacing w:val="20"/>
      <w:sz w:val="21"/>
    </w:rPr>
  </w:style>
  <w:style w:type="paragraph" w:customStyle="1" w:styleId="171">
    <w:name w:val="列出段落2"/>
    <w:basedOn w:val="1"/>
    <w:qFormat/>
    <w:uiPriority w:val="34"/>
    <w:pPr>
      <w:ind w:firstLine="420" w:firstLineChars="200"/>
    </w:pPr>
    <w:rPr>
      <w:rFonts w:ascii="Calibri" w:hAnsi="Calibri"/>
      <w:szCs w:val="22"/>
    </w:rPr>
  </w:style>
  <w:style w:type="paragraph" w:customStyle="1" w:styleId="172">
    <w:name w:val="Char81"/>
    <w:basedOn w:val="16"/>
    <w:qFormat/>
    <w:uiPriority w:val="0"/>
    <w:rPr>
      <w:rFonts w:ascii="Calibri" w:hAnsi="Calibri"/>
    </w:rPr>
  </w:style>
  <w:style w:type="character" w:customStyle="1" w:styleId="173">
    <w:name w:val="fontstyle01"/>
    <w:qFormat/>
    <w:uiPriority w:val="0"/>
    <w:rPr>
      <w:rFonts w:ascii="宋体" w:eastAsia="宋体"/>
      <w:color w:val="000000"/>
      <w:sz w:val="24"/>
      <w:szCs w:val="24"/>
    </w:rPr>
  </w:style>
  <w:style w:type="paragraph" w:customStyle="1" w:styleId="174">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character" w:customStyle="1" w:styleId="175">
    <w:name w:val="批注框文本 Char"/>
    <w:qFormat/>
    <w:locked/>
    <w:uiPriority w:val="99"/>
    <w:rPr>
      <w:rFonts w:eastAsia="宋体"/>
      <w:sz w:val="18"/>
      <w:szCs w:val="18"/>
    </w:rPr>
  </w:style>
  <w:style w:type="character" w:customStyle="1" w:styleId="176">
    <w:name w:val="页脚 Char"/>
    <w:qFormat/>
    <w:uiPriority w:val="99"/>
    <w:rPr>
      <w:kern w:val="2"/>
      <w:sz w:val="18"/>
      <w:szCs w:val="18"/>
    </w:rPr>
  </w:style>
  <w:style w:type="character" w:customStyle="1" w:styleId="177">
    <w:name w:val="Char Char"/>
    <w:qFormat/>
    <w:uiPriority w:val="0"/>
    <w:rPr>
      <w:rFonts w:ascii="Arial" w:hAnsi="Arial" w:eastAsia="黑体"/>
      <w:b/>
      <w:bCs/>
      <w:kern w:val="2"/>
      <w:sz w:val="32"/>
      <w:szCs w:val="32"/>
      <w:lang w:val="en-US" w:eastAsia="zh-CN" w:bidi="ar-SA"/>
    </w:rPr>
  </w:style>
  <w:style w:type="paragraph" w:customStyle="1" w:styleId="178">
    <w:name w:val="Char Char1 Char Char Char Char"/>
    <w:basedOn w:val="16"/>
    <w:qFormat/>
    <w:uiPriority w:val="0"/>
    <w:rPr>
      <w:rFonts w:ascii="Calibri" w:hAnsi="Calibri"/>
    </w:rPr>
  </w:style>
  <w:style w:type="paragraph" w:customStyle="1" w:styleId="179">
    <w:name w:val="样式4"/>
    <w:basedOn w:val="5"/>
    <w:qFormat/>
    <w:uiPriority w:val="0"/>
    <w:pPr>
      <w:spacing w:line="415" w:lineRule="auto"/>
    </w:pPr>
    <w:rPr>
      <w:rFonts w:eastAsia="Arial"/>
    </w:rPr>
  </w:style>
  <w:style w:type="paragraph" w:customStyle="1" w:styleId="180">
    <w:name w:val="普通(网站)111"/>
    <w:basedOn w:val="1"/>
    <w:qFormat/>
    <w:uiPriority w:val="0"/>
    <w:pPr>
      <w:widowControl/>
      <w:spacing w:before="100" w:beforeAutospacing="1" w:after="100" w:afterAutospacing="1"/>
      <w:jc w:val="left"/>
    </w:pPr>
    <w:rPr>
      <w:rFonts w:ascii="宋体" w:hAnsi="宋体"/>
      <w:kern w:val="0"/>
      <w:sz w:val="24"/>
    </w:rPr>
  </w:style>
  <w:style w:type="paragraph" w:customStyle="1" w:styleId="181">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character" w:customStyle="1" w:styleId="182">
    <w:name w:val="批注框文本 Char3"/>
    <w:semiHidden/>
    <w:qFormat/>
    <w:uiPriority w:val="99"/>
    <w:rPr>
      <w:rFonts w:ascii="Times New Roman" w:hAnsi="Times New Roman" w:eastAsia="宋体" w:cs="Times New Roman"/>
      <w:sz w:val="18"/>
      <w:szCs w:val="18"/>
    </w:rPr>
  </w:style>
  <w:style w:type="paragraph" w:customStyle="1" w:styleId="183">
    <w:name w:val="_Style 33"/>
    <w:basedOn w:val="16"/>
    <w:qFormat/>
    <w:uiPriority w:val="0"/>
    <w:rPr>
      <w:rFonts w:ascii="Calibri" w:hAnsi="Calibri"/>
      <w:szCs w:val="22"/>
    </w:rPr>
  </w:style>
  <w:style w:type="paragraph" w:customStyle="1" w:styleId="184">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185">
    <w:name w:val="Char Char Char1"/>
    <w:qFormat/>
    <w:locked/>
    <w:uiPriority w:val="0"/>
    <w:rPr>
      <w:rFonts w:eastAsia="宋体"/>
      <w:b/>
      <w:bCs/>
      <w:kern w:val="44"/>
      <w:sz w:val="44"/>
      <w:szCs w:val="44"/>
      <w:lang w:val="en-US" w:eastAsia="zh-CN" w:bidi="ar-SA"/>
    </w:rPr>
  </w:style>
  <w:style w:type="paragraph" w:customStyle="1" w:styleId="186">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87">
    <w:name w:val="引用1"/>
    <w:basedOn w:val="1"/>
    <w:next w:val="1"/>
    <w:link w:val="286"/>
    <w:qFormat/>
    <w:uiPriority w:val="0"/>
    <w:rPr>
      <w:i/>
      <w:color w:val="000000"/>
      <w:kern w:val="0"/>
      <w:sz w:val="22"/>
      <w:szCs w:val="20"/>
    </w:rPr>
  </w:style>
  <w:style w:type="paragraph" w:customStyle="1" w:styleId="188">
    <w:name w:val="xl81"/>
    <w:basedOn w:val="1"/>
    <w:qFormat/>
    <w:uiPriority w:val="0"/>
    <w:pPr>
      <w:widowControl/>
      <w:spacing w:before="100" w:beforeAutospacing="1" w:after="100" w:afterAutospacing="1"/>
      <w:jc w:val="left"/>
    </w:pPr>
    <w:rPr>
      <w:rFonts w:ascii="宋体" w:hAnsi="宋体" w:cs="宋体"/>
      <w:kern w:val="0"/>
      <w:szCs w:val="21"/>
    </w:rPr>
  </w:style>
  <w:style w:type="character" w:customStyle="1" w:styleId="189">
    <w:name w:val="apple-style-span"/>
    <w:qFormat/>
    <w:uiPriority w:val="0"/>
  </w:style>
  <w:style w:type="paragraph" w:customStyle="1" w:styleId="190">
    <w:name w:val="Char2"/>
    <w:basedOn w:val="16"/>
    <w:qFormat/>
    <w:uiPriority w:val="0"/>
    <w:pPr>
      <w:widowControl/>
    </w:pPr>
    <w:rPr>
      <w:rFonts w:ascii="Tahoma" w:hAnsi="Tahoma" w:cs="Tahoma"/>
      <w:kern w:val="0"/>
      <w:sz w:val="18"/>
    </w:rPr>
  </w:style>
  <w:style w:type="character" w:customStyle="1" w:styleId="191">
    <w:name w:val="Char Char291"/>
    <w:qFormat/>
    <w:uiPriority w:val="0"/>
    <w:rPr>
      <w:rFonts w:eastAsia="宋体"/>
      <w:b/>
      <w:bCs/>
      <w:kern w:val="2"/>
      <w:sz w:val="32"/>
      <w:szCs w:val="32"/>
      <w:lang w:val="en-US" w:eastAsia="zh-CN" w:bidi="ar-SA"/>
    </w:rPr>
  </w:style>
  <w:style w:type="paragraph" w:customStyle="1" w:styleId="192">
    <w:name w:val="普通(网站)11"/>
    <w:basedOn w:val="1"/>
    <w:qFormat/>
    <w:uiPriority w:val="0"/>
    <w:pPr>
      <w:widowControl/>
      <w:spacing w:before="100" w:beforeAutospacing="1" w:after="100" w:afterAutospacing="1"/>
      <w:jc w:val="left"/>
    </w:pPr>
    <w:rPr>
      <w:rFonts w:ascii="宋体" w:hAnsi="宋体"/>
      <w:kern w:val="0"/>
      <w:sz w:val="24"/>
    </w:rPr>
  </w:style>
  <w:style w:type="character" w:customStyle="1" w:styleId="193">
    <w:name w:val="文本块 Char"/>
    <w:link w:val="22"/>
    <w:qFormat/>
    <w:uiPriority w:val="0"/>
    <w:rPr>
      <w:rFonts w:ascii="仿宋_GB2312" w:eastAsia="仿宋_GB2312" w:cs="仿宋_GB2312"/>
      <w:sz w:val="24"/>
      <w:szCs w:val="24"/>
    </w:rPr>
  </w:style>
  <w:style w:type="character" w:customStyle="1" w:styleId="194">
    <w:name w:val="Body Text Indent 2 Char"/>
    <w:qFormat/>
    <w:locked/>
    <w:uiPriority w:val="0"/>
    <w:rPr>
      <w:rFonts w:ascii="Times New Roman" w:hAnsi="Times New Roman" w:cs="Times New Roman"/>
      <w:sz w:val="24"/>
      <w:szCs w:val="24"/>
    </w:rPr>
  </w:style>
  <w:style w:type="character" w:customStyle="1" w:styleId="195">
    <w:name w:val="Date Char"/>
    <w:qFormat/>
    <w:locked/>
    <w:uiPriority w:val="0"/>
    <w:rPr>
      <w:rFonts w:ascii="宋体" w:hAnsi="Courier New" w:cs="宋体"/>
      <w:sz w:val="21"/>
      <w:szCs w:val="21"/>
    </w:rPr>
  </w:style>
  <w:style w:type="character" w:customStyle="1" w:styleId="196">
    <w:name w:val="Char Char311"/>
    <w:qFormat/>
    <w:locked/>
    <w:uiPriority w:val="0"/>
    <w:rPr>
      <w:rFonts w:ascii="Arial" w:hAnsi="Arial" w:eastAsia="黑体"/>
      <w:b/>
      <w:bCs/>
      <w:kern w:val="2"/>
      <w:sz w:val="32"/>
      <w:szCs w:val="32"/>
      <w:lang w:val="en-US" w:eastAsia="zh-CN" w:bidi="ar-SA"/>
    </w:rPr>
  </w:style>
  <w:style w:type="paragraph" w:customStyle="1" w:styleId="197">
    <w:name w:val="二级标题"/>
    <w:basedOn w:val="166"/>
    <w:qFormat/>
    <w:uiPriority w:val="0"/>
    <w:pPr>
      <w:spacing w:beforeLines="50"/>
    </w:pPr>
    <w:rPr>
      <w:b/>
      <w:sz w:val="28"/>
    </w:rPr>
  </w:style>
  <w:style w:type="paragraph" w:customStyle="1" w:styleId="198">
    <w:name w:val="Char Char Char1 Char Char Char Char Char Char Char2"/>
    <w:basedOn w:val="1"/>
    <w:qFormat/>
    <w:uiPriority w:val="0"/>
    <w:rPr>
      <w:sz w:val="28"/>
      <w:szCs w:val="28"/>
    </w:rPr>
  </w:style>
  <w:style w:type="paragraph" w:customStyle="1" w:styleId="199">
    <w:name w:val="Char Char11"/>
    <w:basedOn w:val="16"/>
    <w:qFormat/>
    <w:uiPriority w:val="0"/>
    <w:rPr>
      <w:rFonts w:ascii="宋体" w:hAnsi="Calibri"/>
      <w:kern w:val="0"/>
      <w:szCs w:val="18"/>
    </w:rPr>
  </w:style>
  <w:style w:type="character" w:customStyle="1" w:styleId="200">
    <w:name w:val="Char Char25"/>
    <w:qFormat/>
    <w:uiPriority w:val="0"/>
    <w:rPr>
      <w:rFonts w:ascii="Times New Roman" w:hAnsi="Times New Roman" w:eastAsia="宋体" w:cs="Times New Roman"/>
      <w:b/>
      <w:bCs/>
      <w:kern w:val="0"/>
      <w:sz w:val="28"/>
      <w:szCs w:val="32"/>
    </w:rPr>
  </w:style>
  <w:style w:type="paragraph" w:customStyle="1" w:styleId="201">
    <w:name w:val="无间隔1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2">
    <w:name w:val="font9"/>
    <w:basedOn w:val="1"/>
    <w:qFormat/>
    <w:uiPriority w:val="0"/>
    <w:pPr>
      <w:widowControl/>
      <w:spacing w:before="100" w:beforeAutospacing="1" w:after="100" w:afterAutospacing="1"/>
      <w:jc w:val="left"/>
    </w:pPr>
    <w:rPr>
      <w:rFonts w:ascii="宋体" w:hAnsi="宋体" w:cs="宋体"/>
      <w:kern w:val="0"/>
      <w:sz w:val="18"/>
      <w:szCs w:val="18"/>
    </w:rPr>
  </w:style>
  <w:style w:type="character" w:customStyle="1" w:styleId="203">
    <w:name w:val="Default Char"/>
    <w:link w:val="204"/>
    <w:qFormat/>
    <w:locked/>
    <w:uiPriority w:val="0"/>
    <w:rPr>
      <w:rFonts w:ascii="......." w:eastAsia="......."/>
      <w:color w:val="000000"/>
      <w:sz w:val="24"/>
      <w:szCs w:val="24"/>
      <w:lang w:val="en-US" w:eastAsia="zh-CN" w:bidi="ar-SA"/>
    </w:rPr>
  </w:style>
  <w:style w:type="paragraph" w:customStyle="1" w:styleId="204">
    <w:name w:val="Default"/>
    <w:next w:val="205"/>
    <w:link w:val="203"/>
    <w:qFormat/>
    <w:uiPriority w:val="99"/>
    <w:pPr>
      <w:widowControl w:val="0"/>
      <w:autoSpaceDE w:val="0"/>
      <w:autoSpaceDN w:val="0"/>
      <w:adjustRightInd w:val="0"/>
    </w:pPr>
    <w:rPr>
      <w:rFonts w:ascii="......." w:eastAsia="......." w:hAnsiTheme="minorHAnsi" w:cstheme="minorBidi"/>
      <w:color w:val="000000"/>
      <w:kern w:val="2"/>
      <w:sz w:val="24"/>
      <w:szCs w:val="24"/>
      <w:lang w:val="en-US" w:eastAsia="zh-CN" w:bidi="ar-SA"/>
    </w:rPr>
  </w:style>
  <w:style w:type="paragraph" w:customStyle="1" w:styleId="205">
    <w:name w:val="大标题"/>
    <w:basedOn w:val="48"/>
    <w:next w:val="51"/>
    <w:qFormat/>
    <w:uiPriority w:val="0"/>
    <w:pPr>
      <w:tabs>
        <w:tab w:val="left" w:pos="795"/>
        <w:tab w:val="center" w:pos="4156"/>
      </w:tabs>
      <w:spacing w:line="360" w:lineRule="auto"/>
      <w:ind w:firstLine="200" w:firstLineChars="200"/>
    </w:pPr>
    <w:rPr>
      <w:rFonts w:ascii="宋体" w:hAnsi="宋体" w:eastAsia="宋体"/>
      <w:bCs w:val="0"/>
      <w:kern w:val="0"/>
      <w:szCs w:val="20"/>
    </w:rPr>
  </w:style>
  <w:style w:type="paragraph" w:customStyle="1" w:styleId="206">
    <w:name w:val="_Style 61"/>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customStyle="1" w:styleId="207">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208">
    <w:name w:val="文档结构图11"/>
    <w:basedOn w:val="1"/>
    <w:qFormat/>
    <w:uiPriority w:val="0"/>
    <w:pPr>
      <w:shd w:val="clear" w:color="auto" w:fill="000080"/>
    </w:pPr>
    <w:rPr>
      <w:kern w:val="0"/>
      <w:sz w:val="20"/>
      <w:shd w:val="clear" w:color="auto" w:fill="000080"/>
    </w:rPr>
  </w:style>
  <w:style w:type="paragraph" w:customStyle="1" w:styleId="209">
    <w:name w:val="font10"/>
    <w:basedOn w:val="1"/>
    <w:qFormat/>
    <w:uiPriority w:val="0"/>
    <w:pPr>
      <w:widowControl/>
      <w:spacing w:before="100" w:beforeAutospacing="1" w:after="100" w:afterAutospacing="1"/>
      <w:jc w:val="left"/>
    </w:pPr>
    <w:rPr>
      <w:rFonts w:hint="eastAsia" w:ascii="宋体" w:hAnsi="宋体"/>
      <w:b/>
      <w:bCs/>
      <w:kern w:val="0"/>
      <w:sz w:val="28"/>
      <w:szCs w:val="28"/>
    </w:rPr>
  </w:style>
  <w:style w:type="character" w:customStyle="1" w:styleId="210">
    <w:name w:val="文档结构图 Char1"/>
    <w:qFormat/>
    <w:uiPriority w:val="0"/>
    <w:rPr>
      <w:rFonts w:ascii="宋体"/>
      <w:kern w:val="2"/>
      <w:sz w:val="18"/>
    </w:rPr>
  </w:style>
  <w:style w:type="paragraph" w:customStyle="1" w:styleId="211">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styleId="212">
    <w:name w:val="Intense Quote"/>
    <w:basedOn w:val="1"/>
    <w:next w:val="1"/>
    <w:link w:val="318"/>
    <w:qFormat/>
    <w:uiPriority w:val="0"/>
    <w:pPr>
      <w:pBdr>
        <w:bottom w:val="single" w:color="4F81BD" w:sz="4" w:space="4"/>
      </w:pBdr>
      <w:spacing w:before="200" w:after="280"/>
      <w:ind w:left="936" w:right="936"/>
    </w:pPr>
    <w:rPr>
      <w:rFonts w:ascii="Calibri" w:hAnsi="Calibri"/>
      <w:b/>
      <w:i/>
      <w:color w:val="4F81BD"/>
      <w:sz w:val="22"/>
      <w:szCs w:val="22"/>
    </w:rPr>
  </w:style>
  <w:style w:type="paragraph" w:customStyle="1" w:styleId="213">
    <w:name w:val="_Style 429"/>
    <w:basedOn w:val="1"/>
    <w:next w:val="214"/>
    <w:qFormat/>
    <w:uiPriority w:val="99"/>
    <w:pPr>
      <w:ind w:firstLine="420" w:firstLineChars="200"/>
    </w:pPr>
    <w:rPr>
      <w:rFonts w:ascii="Calibri" w:hAnsi="Calibri"/>
      <w:szCs w:val="22"/>
    </w:rPr>
  </w:style>
  <w:style w:type="paragraph" w:styleId="214">
    <w:name w:val="List Paragraph"/>
    <w:basedOn w:val="1"/>
    <w:link w:val="434"/>
    <w:qFormat/>
    <w:uiPriority w:val="99"/>
    <w:pPr>
      <w:ind w:firstLine="420" w:firstLineChars="200"/>
    </w:pPr>
    <w:rPr>
      <w:szCs w:val="21"/>
    </w:rPr>
  </w:style>
  <w:style w:type="character" w:customStyle="1" w:styleId="215">
    <w:name w:val="已访问的超链接1"/>
    <w:qFormat/>
    <w:uiPriority w:val="0"/>
    <w:rPr>
      <w:color w:val="800080"/>
      <w:u w:val="single"/>
    </w:rPr>
  </w:style>
  <w:style w:type="character" w:customStyle="1" w:styleId="216">
    <w:name w:val="副标题 Char3"/>
    <w:link w:val="36"/>
    <w:qFormat/>
    <w:uiPriority w:val="11"/>
    <w:rPr>
      <w:rFonts w:ascii="Cambria" w:hAnsi="Cambria" w:eastAsia="方正楷体简体"/>
      <w:kern w:val="28"/>
      <w:sz w:val="32"/>
      <w:szCs w:val="32"/>
    </w:rPr>
  </w:style>
  <w:style w:type="paragraph" w:customStyle="1" w:styleId="217">
    <w:name w:val="TOC 标题2"/>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character" w:customStyle="1" w:styleId="218">
    <w:name w:val="批注文字 Char1"/>
    <w:qFormat/>
    <w:uiPriority w:val="0"/>
    <w:rPr>
      <w:kern w:val="2"/>
      <w:sz w:val="21"/>
      <w:szCs w:val="24"/>
    </w:rPr>
  </w:style>
  <w:style w:type="paragraph" w:customStyle="1" w:styleId="219">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220">
    <w:name w:val="表格文字"/>
    <w:basedOn w:val="1"/>
    <w:qFormat/>
    <w:uiPriority w:val="0"/>
    <w:pPr>
      <w:adjustRightInd w:val="0"/>
      <w:spacing w:line="420" w:lineRule="atLeast"/>
      <w:jc w:val="left"/>
      <w:textAlignment w:val="baseline"/>
    </w:pPr>
    <w:rPr>
      <w:kern w:val="0"/>
      <w:szCs w:val="20"/>
    </w:rPr>
  </w:style>
  <w:style w:type="character" w:customStyle="1" w:styleId="221">
    <w:name w:val="正文首行缩进 2 Char1"/>
    <w:link w:val="51"/>
    <w:qFormat/>
    <w:uiPriority w:val="0"/>
    <w:rPr>
      <w:rFonts w:ascii="Calibri" w:hAnsi="Calibri" w:eastAsia="仿宋_GB2312"/>
      <w:kern w:val="2"/>
      <w:sz w:val="21"/>
      <w:szCs w:val="24"/>
    </w:rPr>
  </w:style>
  <w:style w:type="paragraph" w:customStyle="1" w:styleId="222">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223">
    <w:name w:val="Char Char13"/>
    <w:basedOn w:val="16"/>
    <w:qFormat/>
    <w:uiPriority w:val="0"/>
    <w:rPr>
      <w:rFonts w:ascii="Calibri" w:hAnsi="Calibri"/>
      <w:szCs w:val="22"/>
    </w:rPr>
  </w:style>
  <w:style w:type="character" w:customStyle="1" w:styleId="224">
    <w:name w:val="Char Char71"/>
    <w:qFormat/>
    <w:uiPriority w:val="0"/>
    <w:rPr>
      <w:rFonts w:ascii="Arial" w:hAnsi="Arial" w:eastAsia="黑体"/>
      <w:b/>
      <w:bCs/>
      <w:kern w:val="2"/>
      <w:sz w:val="32"/>
      <w:szCs w:val="32"/>
      <w:lang w:val="en-US" w:eastAsia="zh-CN" w:bidi="ar-SA"/>
    </w:rPr>
  </w:style>
  <w:style w:type="character" w:customStyle="1" w:styleId="225">
    <w:name w:val="标题 5 Char"/>
    <w:qFormat/>
    <w:uiPriority w:val="99"/>
    <w:rPr>
      <w:rFonts w:eastAsia="宋体"/>
      <w:b/>
      <w:kern w:val="2"/>
      <w:sz w:val="28"/>
      <w:lang w:val="en-US" w:eastAsia="zh-CN" w:bidi="ar-SA"/>
    </w:rPr>
  </w:style>
  <w:style w:type="paragraph" w:customStyle="1" w:styleId="226">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227">
    <w:name w:val="Char Char1 Char Char Char Char Char Char1"/>
    <w:basedOn w:val="16"/>
    <w:qFormat/>
    <w:uiPriority w:val="0"/>
    <w:rPr>
      <w:rFonts w:ascii="宋体" w:hAnsi="Calibri"/>
      <w:kern w:val="0"/>
      <w:szCs w:val="18"/>
    </w:rPr>
  </w:style>
  <w:style w:type="paragraph" w:customStyle="1" w:styleId="228">
    <w:name w:val="15"/>
    <w:basedOn w:val="1"/>
    <w:qFormat/>
    <w:uiPriority w:val="0"/>
    <w:pPr>
      <w:widowControl/>
      <w:snapToGrid w:val="0"/>
      <w:spacing w:before="100" w:beforeAutospacing="1" w:after="100" w:afterAutospacing="1"/>
    </w:pPr>
    <w:rPr>
      <w:kern w:val="0"/>
      <w:sz w:val="20"/>
      <w:szCs w:val="20"/>
    </w:rPr>
  </w:style>
  <w:style w:type="paragraph" w:customStyle="1" w:styleId="229">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character" w:customStyle="1" w:styleId="230">
    <w:name w:val="Char Char Char Char Char Char1"/>
    <w:qFormat/>
    <w:uiPriority w:val="0"/>
    <w:rPr>
      <w:rFonts w:ascii="Cambria" w:hAnsi="Cambria"/>
      <w:b/>
      <w:bCs/>
      <w:kern w:val="2"/>
      <w:sz w:val="32"/>
      <w:szCs w:val="32"/>
      <w:lang w:bidi="ar-SA"/>
    </w:rPr>
  </w:style>
  <w:style w:type="character" w:customStyle="1" w:styleId="231">
    <w:name w:val="标题4 Char Char"/>
    <w:link w:val="130"/>
    <w:qFormat/>
    <w:locked/>
    <w:uiPriority w:val="99"/>
    <w:rPr>
      <w:rFonts w:ascii="Arial" w:hAnsi="Arial"/>
      <w:b/>
      <w:sz w:val="32"/>
    </w:rPr>
  </w:style>
  <w:style w:type="paragraph" w:customStyle="1" w:styleId="232">
    <w:name w:val="_Style 63"/>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233">
    <w:name w:val="明显引用 Char"/>
    <w:qFormat/>
    <w:locked/>
    <w:uiPriority w:val="99"/>
    <w:rPr>
      <w:b/>
      <w:i/>
      <w:color w:val="4F81BD"/>
      <w:sz w:val="22"/>
    </w:rPr>
  </w:style>
  <w:style w:type="paragraph" w:customStyle="1" w:styleId="234">
    <w:name w:val="文本块11"/>
    <w:basedOn w:val="1"/>
    <w:next w:val="1"/>
    <w:qFormat/>
    <w:uiPriority w:val="0"/>
    <w:rPr>
      <w:i/>
      <w:iCs/>
      <w:color w:val="000000"/>
      <w:szCs w:val="22"/>
    </w:rPr>
  </w:style>
  <w:style w:type="paragraph" w:customStyle="1" w:styleId="235">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character" w:customStyle="1" w:styleId="236">
    <w:name w:val="引用 Char1"/>
    <w:qFormat/>
    <w:uiPriority w:val="0"/>
    <w:rPr>
      <w:rFonts w:ascii="Times New Roman" w:hAnsi="Times New Roman" w:eastAsia="宋体" w:cs="Times New Roman"/>
      <w:i/>
      <w:iCs/>
      <w:color w:val="000000"/>
      <w:szCs w:val="24"/>
    </w:rPr>
  </w:style>
  <w:style w:type="paragraph" w:customStyle="1" w:styleId="237">
    <w:name w:val="xl35"/>
    <w:basedOn w:val="1"/>
    <w:qFormat/>
    <w:uiPriority w:val="0"/>
    <w:pPr>
      <w:widowControl/>
      <w:spacing w:before="100" w:beforeAutospacing="1" w:after="100" w:afterAutospacing="1"/>
      <w:jc w:val="left"/>
    </w:pPr>
    <w:rPr>
      <w:b/>
      <w:bCs/>
      <w:kern w:val="0"/>
      <w:sz w:val="24"/>
    </w:rPr>
  </w:style>
  <w:style w:type="character" w:customStyle="1" w:styleId="238">
    <w:name w:val="Blockquote Char Char"/>
    <w:link w:val="87"/>
    <w:qFormat/>
    <w:locked/>
    <w:uiPriority w:val="99"/>
    <w:rPr>
      <w:sz w:val="24"/>
    </w:rPr>
  </w:style>
  <w:style w:type="character" w:customStyle="1" w:styleId="239">
    <w:name w:val="标题 1 Char1"/>
    <w:link w:val="3"/>
    <w:qFormat/>
    <w:uiPriority w:val="0"/>
    <w:rPr>
      <w:b/>
      <w:bCs/>
      <w:kern w:val="44"/>
      <w:sz w:val="44"/>
      <w:szCs w:val="44"/>
    </w:rPr>
  </w:style>
  <w:style w:type="character" w:customStyle="1" w:styleId="240">
    <w:name w:val="样式2 字符"/>
    <w:link w:val="241"/>
    <w:qFormat/>
    <w:uiPriority w:val="0"/>
    <w:rPr>
      <w:rFonts w:ascii="楷体_GB2312" w:hAnsi="Arial" w:eastAsia="仿宋_GB2312"/>
      <w:kern w:val="2"/>
      <w:sz w:val="28"/>
      <w:szCs w:val="28"/>
    </w:rPr>
  </w:style>
  <w:style w:type="paragraph" w:customStyle="1" w:styleId="241">
    <w:name w:val="样式2"/>
    <w:basedOn w:val="1"/>
    <w:link w:val="240"/>
    <w:qFormat/>
    <w:uiPriority w:val="0"/>
    <w:pPr>
      <w:spacing w:line="560" w:lineRule="exact"/>
      <w:ind w:firstLine="561" w:firstLineChars="200"/>
    </w:pPr>
    <w:rPr>
      <w:rFonts w:ascii="楷体_GB2312" w:hAnsi="Arial" w:eastAsia="仿宋_GB2312"/>
      <w:sz w:val="28"/>
      <w:szCs w:val="28"/>
    </w:rPr>
  </w:style>
  <w:style w:type="character" w:customStyle="1" w:styleId="242">
    <w:name w:val="正文文本 2 Char"/>
    <w:qFormat/>
    <w:uiPriority w:val="99"/>
    <w:rPr>
      <w:sz w:val="24"/>
    </w:rPr>
  </w:style>
  <w:style w:type="character" w:customStyle="1" w:styleId="243">
    <w:name w:val="批注框文本 Char Char Char Char"/>
    <w:qFormat/>
    <w:uiPriority w:val="0"/>
    <w:rPr>
      <w:rFonts w:ascii="宋体"/>
      <w:sz w:val="18"/>
      <w:szCs w:val="18"/>
      <w:lang w:bidi="ar-SA"/>
    </w:rPr>
  </w:style>
  <w:style w:type="character" w:customStyle="1" w:styleId="244">
    <w:name w:val="无间隔 Char"/>
    <w:link w:val="88"/>
    <w:qFormat/>
    <w:locked/>
    <w:uiPriority w:val="0"/>
    <w:rPr>
      <w:rFonts w:cs="Calibri"/>
      <w:sz w:val="22"/>
      <w:szCs w:val="22"/>
      <w:lang w:val="en-US" w:eastAsia="zh-CN" w:bidi="ar-SA"/>
    </w:rPr>
  </w:style>
  <w:style w:type="character" w:customStyle="1" w:styleId="245">
    <w:name w:val="font81"/>
    <w:qFormat/>
    <w:uiPriority w:val="0"/>
    <w:rPr>
      <w:rFonts w:hint="default" w:ascii="Times New Roman" w:hAnsi="Times New Roman" w:cs="Times New Roman"/>
      <w:color w:val="000000"/>
      <w:sz w:val="20"/>
      <w:szCs w:val="20"/>
      <w:u w:val="none"/>
    </w:rPr>
  </w:style>
  <w:style w:type="paragraph" w:customStyle="1" w:styleId="246">
    <w:name w:val="表格"/>
    <w:basedOn w:val="1"/>
    <w:qFormat/>
    <w:uiPriority w:val="0"/>
    <w:pPr>
      <w:jc w:val="center"/>
      <w:textAlignment w:val="center"/>
    </w:pPr>
    <w:rPr>
      <w:rFonts w:ascii="华文细黑" w:hAnsi="华文细黑"/>
      <w:kern w:val="0"/>
      <w:szCs w:val="20"/>
    </w:rPr>
  </w:style>
  <w:style w:type="character" w:customStyle="1" w:styleId="247">
    <w:name w:val="书籍标题12"/>
    <w:qFormat/>
    <w:uiPriority w:val="0"/>
    <w:rPr>
      <w:b/>
      <w:bCs/>
      <w:smallCaps/>
      <w:spacing w:val="5"/>
    </w:rPr>
  </w:style>
  <w:style w:type="character" w:customStyle="1" w:styleId="248">
    <w:name w:val="Title Char"/>
    <w:qFormat/>
    <w:locked/>
    <w:uiPriority w:val="0"/>
    <w:rPr>
      <w:rFonts w:ascii="Cambria" w:hAnsi="Cambria" w:eastAsia="方正小标宋简体" w:cs="Cambria"/>
      <w:b/>
      <w:bCs/>
      <w:kern w:val="2"/>
      <w:sz w:val="32"/>
      <w:szCs w:val="32"/>
    </w:rPr>
  </w:style>
  <w:style w:type="paragraph" w:customStyle="1" w:styleId="249">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250">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251">
    <w:name w:val="Heading 3 Char"/>
    <w:qFormat/>
    <w:locked/>
    <w:uiPriority w:val="0"/>
    <w:rPr>
      <w:rFonts w:eastAsia="宋体"/>
      <w:b/>
      <w:bCs/>
      <w:kern w:val="2"/>
      <w:sz w:val="32"/>
      <w:szCs w:val="32"/>
      <w:lang w:val="en-US" w:eastAsia="zh-CN" w:bidi="ar-SA"/>
    </w:rPr>
  </w:style>
  <w:style w:type="character" w:customStyle="1" w:styleId="252">
    <w:name w:val="正文文本缩进 Char1"/>
    <w:semiHidden/>
    <w:qFormat/>
    <w:uiPriority w:val="99"/>
    <w:rPr>
      <w:rFonts w:ascii="Times New Roman" w:hAnsi="Times New Roman" w:eastAsia="宋体" w:cs="Times New Roman"/>
      <w:szCs w:val="24"/>
    </w:rPr>
  </w:style>
  <w:style w:type="paragraph" w:customStyle="1" w:styleId="253">
    <w:name w:val="font12"/>
    <w:basedOn w:val="1"/>
    <w:qFormat/>
    <w:uiPriority w:val="0"/>
    <w:pPr>
      <w:widowControl/>
      <w:spacing w:before="100" w:beforeAutospacing="1" w:after="100" w:afterAutospacing="1"/>
      <w:jc w:val="left"/>
    </w:pPr>
    <w:rPr>
      <w:rFonts w:hint="eastAsia" w:ascii="宋体" w:hAnsi="宋体"/>
      <w:b/>
      <w:bCs/>
      <w:kern w:val="0"/>
      <w:sz w:val="20"/>
      <w:szCs w:val="20"/>
    </w:rPr>
  </w:style>
  <w:style w:type="paragraph" w:styleId="254">
    <w:name w:val="Quote"/>
    <w:basedOn w:val="1"/>
    <w:next w:val="1"/>
    <w:link w:val="459"/>
    <w:qFormat/>
    <w:uiPriority w:val="0"/>
    <w:rPr>
      <w:rFonts w:ascii="Calibri" w:hAnsi="Calibri"/>
      <w:i/>
      <w:color w:val="000000"/>
      <w:sz w:val="22"/>
      <w:szCs w:val="22"/>
    </w:rPr>
  </w:style>
  <w:style w:type="character" w:customStyle="1" w:styleId="255">
    <w:name w:val="不明显参考12"/>
    <w:qFormat/>
    <w:uiPriority w:val="0"/>
    <w:rPr>
      <w:smallCaps/>
      <w:color w:val="C0504D"/>
      <w:u w:val="single"/>
    </w:rPr>
  </w:style>
  <w:style w:type="character" w:customStyle="1" w:styleId="256">
    <w:name w:val="font91"/>
    <w:qFormat/>
    <w:uiPriority w:val="0"/>
    <w:rPr>
      <w:rFonts w:hint="eastAsia" w:ascii="宋体" w:hAnsi="宋体" w:eastAsia="宋体" w:cs="宋体"/>
      <w:color w:val="000000"/>
      <w:sz w:val="22"/>
      <w:szCs w:val="22"/>
      <w:u w:val="none"/>
    </w:rPr>
  </w:style>
  <w:style w:type="character" w:customStyle="1" w:styleId="257">
    <w:name w:val="Heading 2 Char"/>
    <w:qFormat/>
    <w:locked/>
    <w:uiPriority w:val="0"/>
    <w:rPr>
      <w:rFonts w:ascii="Arial" w:hAnsi="Arial" w:eastAsia="黑体"/>
      <w:b/>
      <w:bCs/>
      <w:kern w:val="2"/>
      <w:sz w:val="32"/>
      <w:szCs w:val="32"/>
      <w:lang w:val="en-US" w:eastAsia="zh-CN" w:bidi="ar-SA"/>
    </w:rPr>
  </w:style>
  <w:style w:type="paragraph" w:customStyle="1" w:styleId="258">
    <w:name w:val="Table Paragraph"/>
    <w:basedOn w:val="1"/>
    <w:qFormat/>
    <w:uiPriority w:val="1"/>
    <w:pPr>
      <w:autoSpaceDE w:val="0"/>
      <w:autoSpaceDN w:val="0"/>
      <w:adjustRightInd w:val="0"/>
      <w:jc w:val="left"/>
    </w:pPr>
    <w:rPr>
      <w:rFonts w:ascii="Arial Unicode MS" w:eastAsia="Arial Unicode MS" w:cs="Arial Unicode MS"/>
      <w:kern w:val="0"/>
      <w:sz w:val="24"/>
    </w:rPr>
  </w:style>
  <w:style w:type="character" w:customStyle="1" w:styleId="259">
    <w:name w:val="正文文本缩进 2 Char2"/>
    <w:link w:val="29"/>
    <w:qFormat/>
    <w:uiPriority w:val="99"/>
    <w:rPr>
      <w:sz w:val="24"/>
      <w:szCs w:val="24"/>
    </w:rPr>
  </w:style>
  <w:style w:type="character" w:customStyle="1" w:styleId="260">
    <w:name w:val="正文首行缩进 2 Char"/>
    <w:qFormat/>
    <w:uiPriority w:val="0"/>
    <w:rPr>
      <w:rFonts w:ascii="Calibri" w:hAnsi="Calibri" w:eastAsia="宋体"/>
      <w:szCs w:val="24"/>
    </w:rPr>
  </w:style>
  <w:style w:type="paragraph" w:customStyle="1" w:styleId="261">
    <w:name w:val="批注主题11"/>
    <w:basedOn w:val="17"/>
    <w:next w:val="17"/>
    <w:qFormat/>
    <w:uiPriority w:val="0"/>
    <w:rPr>
      <w:rFonts w:ascii="宋体" w:hAnsi="Calibri"/>
      <w:b/>
      <w:bCs/>
      <w:kern w:val="0"/>
      <w:sz w:val="28"/>
      <w:szCs w:val="20"/>
    </w:rPr>
  </w:style>
  <w:style w:type="paragraph" w:customStyle="1" w:styleId="262">
    <w:name w:val="xl36"/>
    <w:basedOn w:val="1"/>
    <w:qFormat/>
    <w:uiPriority w:val="0"/>
    <w:pPr>
      <w:widowControl/>
      <w:spacing w:before="100" w:beforeAutospacing="1" w:after="100" w:afterAutospacing="1"/>
      <w:jc w:val="left"/>
    </w:pPr>
    <w:rPr>
      <w:rFonts w:ascii="宋体" w:hAnsi="宋体"/>
      <w:b/>
      <w:bCs/>
      <w:kern w:val="0"/>
      <w:sz w:val="24"/>
    </w:rPr>
  </w:style>
  <w:style w:type="character" w:customStyle="1" w:styleId="263">
    <w:name w:val="日期 Char"/>
    <w:qFormat/>
    <w:locked/>
    <w:uiPriority w:val="99"/>
    <w:rPr>
      <w:rFonts w:eastAsia="宋体"/>
      <w:sz w:val="24"/>
    </w:rPr>
  </w:style>
  <w:style w:type="character" w:customStyle="1" w:styleId="264">
    <w:name w:val="标题 8 Char"/>
    <w:qFormat/>
    <w:uiPriority w:val="99"/>
    <w:rPr>
      <w:rFonts w:ascii="Arial" w:hAnsi="Arial" w:eastAsia="黑体"/>
      <w:sz w:val="24"/>
      <w:szCs w:val="24"/>
      <w:lang w:val="en-US" w:eastAsia="zh-CN" w:bidi="ar-SA"/>
    </w:rPr>
  </w:style>
  <w:style w:type="character" w:customStyle="1" w:styleId="265">
    <w:name w:val="页脚 Char2"/>
    <w:semiHidden/>
    <w:qFormat/>
    <w:uiPriority w:val="99"/>
    <w:rPr>
      <w:rFonts w:ascii="Times New Roman" w:hAnsi="Times New Roman" w:eastAsia="宋体" w:cs="Times New Roman"/>
      <w:sz w:val="18"/>
      <w:szCs w:val="18"/>
    </w:rPr>
  </w:style>
  <w:style w:type="character" w:customStyle="1" w:styleId="266">
    <w:name w:val="批注框文本 Char4"/>
    <w:link w:val="30"/>
    <w:qFormat/>
    <w:uiPriority w:val="99"/>
    <w:rPr>
      <w:kern w:val="2"/>
      <w:sz w:val="18"/>
      <w:szCs w:val="18"/>
    </w:rPr>
  </w:style>
  <w:style w:type="paragraph" w:customStyle="1" w:styleId="267">
    <w:name w:val="_Style 488"/>
    <w:basedOn w:val="1"/>
    <w:next w:val="214"/>
    <w:qFormat/>
    <w:uiPriority w:val="99"/>
    <w:pPr>
      <w:ind w:firstLine="420" w:firstLineChars="200"/>
    </w:pPr>
    <w:rPr>
      <w:rFonts w:ascii="Calibri" w:hAnsi="Calibri"/>
      <w:szCs w:val="22"/>
    </w:rPr>
  </w:style>
  <w:style w:type="paragraph" w:customStyle="1" w:styleId="268">
    <w:name w:val="p0"/>
    <w:basedOn w:val="1"/>
    <w:qFormat/>
    <w:uiPriority w:val="0"/>
    <w:pPr>
      <w:widowControl/>
    </w:pPr>
    <w:rPr>
      <w:kern w:val="0"/>
      <w:szCs w:val="21"/>
    </w:rPr>
  </w:style>
  <w:style w:type="character" w:customStyle="1" w:styleId="269">
    <w:name w:val="标题 2 Char1"/>
    <w:qFormat/>
    <w:uiPriority w:val="0"/>
    <w:rPr>
      <w:rFonts w:ascii="Arial" w:hAnsi="Arial"/>
      <w:b/>
      <w:bCs/>
      <w:kern w:val="2"/>
      <w:sz w:val="28"/>
      <w:szCs w:val="32"/>
    </w:rPr>
  </w:style>
  <w:style w:type="paragraph" w:customStyle="1" w:styleId="270">
    <w:name w:val="样式 标题 2 + Times New Roman 四号 非加粗 段前: 5 磅 段后: 0 磅 行距: 固定值 20..."/>
    <w:basedOn w:val="131"/>
    <w:qFormat/>
    <w:uiPriority w:val="0"/>
    <w:pPr>
      <w:spacing w:after="0" w:line="400" w:lineRule="exact"/>
    </w:pPr>
    <w:rPr>
      <w:rFonts w:ascii="Times New Roman" w:hAnsi="Times New Roman" w:eastAsia="黑体" w:cs="宋体"/>
      <w:sz w:val="28"/>
    </w:rPr>
  </w:style>
  <w:style w:type="paragraph" w:customStyle="1" w:styleId="271">
    <w:name w:val="BCDDE9ABABFE460AAF8A1CFF4CFA4596"/>
    <w:qFormat/>
    <w:uiPriority w:val="0"/>
    <w:pPr>
      <w:spacing w:after="200" w:line="276" w:lineRule="auto"/>
    </w:pPr>
    <w:rPr>
      <w:rFonts w:ascii="Calibri" w:hAnsi="Calibri" w:eastAsiaTheme="minorEastAsia" w:cstheme="minorBidi"/>
      <w:kern w:val="2"/>
      <w:sz w:val="22"/>
      <w:szCs w:val="22"/>
      <w:lang w:val="en-US" w:eastAsia="en-US" w:bidi="ar-SA"/>
    </w:rPr>
  </w:style>
  <w:style w:type="character" w:customStyle="1" w:styleId="272">
    <w:name w:val="明显强调212"/>
    <w:qFormat/>
    <w:uiPriority w:val="0"/>
    <w:rPr>
      <w:b/>
      <w:bCs/>
      <w:i/>
      <w:iCs/>
      <w:color w:val="4F81BD"/>
    </w:rPr>
  </w:style>
  <w:style w:type="paragraph" w:customStyle="1" w:styleId="273">
    <w:name w:val="xl4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paragraph" w:customStyle="1" w:styleId="274">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275">
    <w:name w:val="普通文字 Char"/>
    <w:qFormat/>
    <w:uiPriority w:val="0"/>
    <w:rPr>
      <w:rFonts w:ascii="宋体" w:hAnsi="Courier New" w:cs="宋体"/>
      <w:sz w:val="21"/>
      <w:szCs w:val="21"/>
    </w:rPr>
  </w:style>
  <w:style w:type="character" w:customStyle="1" w:styleId="276">
    <w:name w:val="明显参考11"/>
    <w:qFormat/>
    <w:uiPriority w:val="0"/>
    <w:rPr>
      <w:b/>
      <w:bCs/>
      <w:smallCaps/>
      <w:color w:val="C0504D"/>
      <w:spacing w:val="5"/>
      <w:u w:val="single"/>
    </w:rPr>
  </w:style>
  <w:style w:type="paragraph" w:customStyle="1" w:styleId="277">
    <w:name w:val="标题5"/>
    <w:basedOn w:val="5"/>
    <w:link w:val="375"/>
    <w:qFormat/>
    <w:uiPriority w:val="99"/>
    <w:pPr>
      <w:spacing w:line="413" w:lineRule="auto"/>
    </w:pPr>
    <w:rPr>
      <w:rFonts w:ascii="Arial" w:hAnsi="Arial"/>
      <w:bCs w:val="0"/>
      <w:kern w:val="0"/>
      <w:szCs w:val="20"/>
    </w:rPr>
  </w:style>
  <w:style w:type="paragraph" w:customStyle="1" w:styleId="278">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character" w:customStyle="1" w:styleId="279">
    <w:name w:val="标题 2 Char"/>
    <w:qFormat/>
    <w:uiPriority w:val="0"/>
    <w:rPr>
      <w:rFonts w:ascii="Arial" w:hAnsi="Arial" w:eastAsia="黑体"/>
      <w:b/>
      <w:bCs/>
      <w:kern w:val="2"/>
      <w:sz w:val="32"/>
      <w:szCs w:val="32"/>
      <w:lang w:val="en-US" w:eastAsia="zh-CN" w:bidi="ar-SA"/>
    </w:rPr>
  </w:style>
  <w:style w:type="character" w:customStyle="1" w:styleId="280">
    <w:name w:val="批注文字 Char"/>
    <w:qFormat/>
    <w:locked/>
    <w:uiPriority w:val="99"/>
    <w:rPr>
      <w:rFonts w:eastAsia="宋体"/>
      <w:sz w:val="24"/>
      <w:szCs w:val="24"/>
    </w:rPr>
  </w:style>
  <w:style w:type="character" w:customStyle="1" w:styleId="281">
    <w:name w:val="明显强调21"/>
    <w:qFormat/>
    <w:uiPriority w:val="0"/>
    <w:rPr>
      <w:b/>
      <w:bCs/>
      <w:i/>
      <w:iCs/>
      <w:color w:val="4F81BD"/>
    </w:rPr>
  </w:style>
  <w:style w:type="character" w:customStyle="1" w:styleId="282">
    <w:name w:val="t-link42"/>
    <w:qFormat/>
    <w:uiPriority w:val="0"/>
  </w:style>
  <w:style w:type="paragraph" w:customStyle="1" w:styleId="283">
    <w:name w:val="xl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character" w:customStyle="1" w:styleId="284">
    <w:name w:val="标题 7 Char"/>
    <w:qFormat/>
    <w:uiPriority w:val="99"/>
    <w:rPr>
      <w:rFonts w:eastAsia="宋体"/>
      <w:b/>
      <w:bCs/>
      <w:sz w:val="24"/>
      <w:szCs w:val="24"/>
      <w:lang w:val="en-US" w:eastAsia="zh-CN" w:bidi="ar-SA"/>
    </w:rPr>
  </w:style>
  <w:style w:type="character" w:customStyle="1" w:styleId="285">
    <w:name w:val="Header Char"/>
    <w:qFormat/>
    <w:locked/>
    <w:uiPriority w:val="0"/>
    <w:rPr>
      <w:rFonts w:ascii="Times New Roman" w:hAnsi="Times New Roman" w:cs="Times New Roman"/>
      <w:sz w:val="18"/>
      <w:szCs w:val="18"/>
    </w:rPr>
  </w:style>
  <w:style w:type="character" w:customStyle="1" w:styleId="286">
    <w:name w:val="Quote Char"/>
    <w:link w:val="187"/>
    <w:qFormat/>
    <w:locked/>
    <w:uiPriority w:val="0"/>
    <w:rPr>
      <w:i/>
      <w:color w:val="000000"/>
      <w:sz w:val="22"/>
    </w:rPr>
  </w:style>
  <w:style w:type="character" w:customStyle="1" w:styleId="287">
    <w:name w:val="标题 9 Char1"/>
    <w:link w:val="11"/>
    <w:qFormat/>
    <w:uiPriority w:val="0"/>
    <w:rPr>
      <w:rFonts w:ascii="Arial" w:hAnsi="Arial" w:eastAsia="黑体"/>
      <w:sz w:val="21"/>
      <w:szCs w:val="21"/>
    </w:rPr>
  </w:style>
  <w:style w:type="character" w:customStyle="1" w:styleId="288">
    <w:name w:val="标题 2 字符"/>
    <w:link w:val="131"/>
    <w:qFormat/>
    <w:uiPriority w:val="0"/>
    <w:rPr>
      <w:rFonts w:ascii="Arial" w:hAnsi="Arial" w:eastAsia="宋体"/>
      <w:b/>
      <w:bCs/>
      <w:kern w:val="2"/>
      <w:sz w:val="32"/>
      <w:szCs w:val="32"/>
      <w:lang w:val="en-US" w:eastAsia="zh-CN" w:bidi="ar-SA"/>
    </w:rPr>
  </w:style>
  <w:style w:type="character" w:customStyle="1" w:styleId="289">
    <w:name w:val="case31"/>
    <w:qFormat/>
    <w:uiPriority w:val="0"/>
    <w:rPr>
      <w:sz w:val="21"/>
      <w:szCs w:val="21"/>
    </w:rPr>
  </w:style>
  <w:style w:type="paragraph" w:customStyle="1" w:styleId="290">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291">
    <w:name w:val="xl4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character" w:customStyle="1" w:styleId="292">
    <w:name w:val="引用 Char"/>
    <w:qFormat/>
    <w:locked/>
    <w:uiPriority w:val="99"/>
    <w:rPr>
      <w:i/>
      <w:color w:val="000000"/>
      <w:sz w:val="22"/>
    </w:rPr>
  </w:style>
  <w:style w:type="character" w:customStyle="1" w:styleId="293">
    <w:name w:val="正文文本 Char2"/>
    <w:qFormat/>
    <w:uiPriority w:val="99"/>
    <w:rPr>
      <w:rFonts w:ascii="Times New Roman" w:hAnsi="Times New Roman" w:eastAsia="宋体" w:cs="Times New Roman"/>
      <w:szCs w:val="24"/>
    </w:rPr>
  </w:style>
  <w:style w:type="paragraph" w:customStyle="1" w:styleId="294">
    <w:name w:val="_Style 19"/>
    <w:basedOn w:val="16"/>
    <w:qFormat/>
    <w:uiPriority w:val="0"/>
    <w:rPr>
      <w:rFonts w:ascii="Calibri" w:hAnsi="Calibri"/>
    </w:rPr>
  </w:style>
  <w:style w:type="paragraph" w:customStyle="1" w:styleId="295">
    <w:name w:val="Char1 Char Char Char"/>
    <w:basedOn w:val="1"/>
    <w:qFormat/>
    <w:uiPriority w:val="0"/>
    <w:rPr>
      <w:rFonts w:eastAsia="仿宋_GB2312"/>
      <w:sz w:val="28"/>
      <w:szCs w:val="28"/>
    </w:rPr>
  </w:style>
  <w:style w:type="character" w:customStyle="1" w:styleId="296">
    <w:name w:val="文档结构图 Char"/>
    <w:qFormat/>
    <w:locked/>
    <w:uiPriority w:val="99"/>
    <w:rPr>
      <w:rFonts w:eastAsia="宋体"/>
      <w:sz w:val="24"/>
      <w:shd w:val="clear" w:color="auto" w:fill="000080"/>
    </w:rPr>
  </w:style>
  <w:style w:type="character" w:customStyle="1" w:styleId="297">
    <w:name w:val="Block Text Char Char Char"/>
    <w:qFormat/>
    <w:uiPriority w:val="0"/>
    <w:rPr>
      <w:rFonts w:ascii="Calibri" w:hAnsi="Calibri" w:eastAsia="宋体"/>
      <w:i/>
      <w:iCs/>
      <w:color w:val="000000"/>
      <w:kern w:val="2"/>
      <w:sz w:val="22"/>
      <w:szCs w:val="22"/>
      <w:lang w:val="en-US" w:eastAsia="zh-CN" w:bidi="ar-SA"/>
    </w:rPr>
  </w:style>
  <w:style w:type="paragraph" w:customStyle="1" w:styleId="298">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299">
    <w:name w:val="Char Char2"/>
    <w:qFormat/>
    <w:uiPriority w:val="0"/>
    <w:rPr>
      <w:rFonts w:eastAsia="宋体"/>
      <w:kern w:val="2"/>
      <w:sz w:val="21"/>
      <w:szCs w:val="24"/>
      <w:lang w:val="en-US" w:eastAsia="zh-CN" w:bidi="ar-SA"/>
    </w:rPr>
  </w:style>
  <w:style w:type="paragraph" w:customStyle="1" w:styleId="300">
    <w:name w:val="列出段落1"/>
    <w:basedOn w:val="1"/>
    <w:qFormat/>
    <w:uiPriority w:val="0"/>
    <w:pPr>
      <w:ind w:firstLine="420" w:firstLineChars="200"/>
    </w:pPr>
    <w:rPr>
      <w:szCs w:val="21"/>
    </w:rPr>
  </w:style>
  <w:style w:type="character" w:customStyle="1" w:styleId="301">
    <w:name w:val="副标题 Char"/>
    <w:qFormat/>
    <w:locked/>
    <w:uiPriority w:val="99"/>
    <w:rPr>
      <w:rFonts w:ascii="Arial" w:hAnsi="Arial" w:eastAsia="黑体"/>
      <w:b/>
      <w:bCs/>
      <w:sz w:val="32"/>
      <w:szCs w:val="32"/>
    </w:rPr>
  </w:style>
  <w:style w:type="character" w:customStyle="1" w:styleId="302">
    <w:name w:val="t-in2"/>
    <w:qFormat/>
    <w:uiPriority w:val="0"/>
  </w:style>
  <w:style w:type="character" w:customStyle="1" w:styleId="303">
    <w:name w:val="Char Char24"/>
    <w:qFormat/>
    <w:uiPriority w:val="0"/>
    <w:rPr>
      <w:rFonts w:ascii="Arial" w:hAnsi="Arial" w:eastAsia="黑体" w:cs="Times New Roman"/>
      <w:b/>
      <w:bCs/>
      <w:sz w:val="28"/>
      <w:szCs w:val="28"/>
    </w:rPr>
  </w:style>
  <w:style w:type="paragraph" w:customStyle="1" w:styleId="304">
    <w:name w:val="Char Char Char2"/>
    <w:basedOn w:val="16"/>
    <w:qFormat/>
    <w:uiPriority w:val="0"/>
    <w:rPr>
      <w:rFonts w:ascii="Calibri" w:hAnsi="Calibri"/>
      <w:szCs w:val="22"/>
    </w:rPr>
  </w:style>
  <w:style w:type="character" w:customStyle="1" w:styleId="305">
    <w:name w:val="Char Char9"/>
    <w:qFormat/>
    <w:uiPriority w:val="0"/>
    <w:rPr>
      <w:kern w:val="2"/>
      <w:sz w:val="21"/>
      <w:szCs w:val="22"/>
    </w:rPr>
  </w:style>
  <w:style w:type="character" w:customStyle="1" w:styleId="306">
    <w:name w:val="页脚 Char1"/>
    <w:qFormat/>
    <w:uiPriority w:val="99"/>
    <w:rPr>
      <w:kern w:val="2"/>
      <w:sz w:val="18"/>
      <w:szCs w:val="18"/>
    </w:rPr>
  </w:style>
  <w:style w:type="paragraph" w:customStyle="1" w:styleId="307">
    <w:name w:val="Char Char1 Char Char Char Char Char Char"/>
    <w:basedOn w:val="16"/>
    <w:qFormat/>
    <w:uiPriority w:val="0"/>
    <w:rPr>
      <w:rFonts w:ascii="Calibri" w:hAnsi="Calibri"/>
      <w:szCs w:val="22"/>
    </w:rPr>
  </w:style>
  <w:style w:type="character" w:customStyle="1" w:styleId="308">
    <w:name w:val="不明显参考11"/>
    <w:qFormat/>
    <w:uiPriority w:val="0"/>
    <w:rPr>
      <w:smallCaps/>
      <w:color w:val="C0504D"/>
      <w:u w:val="single"/>
    </w:rPr>
  </w:style>
  <w:style w:type="character" w:customStyle="1" w:styleId="309">
    <w:name w:val="Subtitle Char"/>
    <w:qFormat/>
    <w:locked/>
    <w:uiPriority w:val="0"/>
    <w:rPr>
      <w:rFonts w:ascii="Cambria" w:hAnsi="Cambria" w:eastAsia="方正楷体简体" w:cs="Cambria"/>
      <w:kern w:val="28"/>
      <w:sz w:val="32"/>
      <w:szCs w:val="32"/>
    </w:rPr>
  </w:style>
  <w:style w:type="paragraph" w:customStyle="1" w:styleId="310">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11">
    <w:name w:val="小节标题"/>
    <w:basedOn w:val="1"/>
    <w:next w:val="1"/>
    <w:qFormat/>
    <w:uiPriority w:val="0"/>
    <w:pPr>
      <w:widowControl/>
      <w:spacing w:before="175" w:after="102" w:line="351" w:lineRule="atLeast"/>
      <w:textAlignment w:val="baseline"/>
    </w:pPr>
    <w:rPr>
      <w:rFonts w:eastAsia="黑体"/>
      <w:color w:val="000000"/>
      <w:kern w:val="0"/>
      <w:szCs w:val="20"/>
      <w:u w:color="000000"/>
    </w:rPr>
  </w:style>
  <w:style w:type="character" w:customStyle="1" w:styleId="312">
    <w:name w:val="Char Char31"/>
    <w:qFormat/>
    <w:locked/>
    <w:uiPriority w:val="0"/>
    <w:rPr>
      <w:rFonts w:ascii="Arial" w:hAnsi="Arial" w:eastAsia="黑体"/>
      <w:b/>
      <w:bCs/>
      <w:kern w:val="2"/>
      <w:sz w:val="32"/>
      <w:szCs w:val="32"/>
      <w:lang w:val="en-US" w:eastAsia="zh-CN" w:bidi="ar-SA"/>
    </w:rPr>
  </w:style>
  <w:style w:type="character" w:customStyle="1" w:styleId="313">
    <w:name w:val="明显强调11"/>
    <w:qFormat/>
    <w:uiPriority w:val="0"/>
    <w:rPr>
      <w:b/>
      <w:bCs/>
      <w:i/>
      <w:iCs/>
      <w:color w:val="4F81BD"/>
    </w:rPr>
  </w:style>
  <w:style w:type="paragraph" w:customStyle="1" w:styleId="314">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315">
    <w:name w:val="Char Char81"/>
    <w:qFormat/>
    <w:uiPriority w:val="0"/>
    <w:rPr>
      <w:rFonts w:ascii="Arial" w:hAnsi="Arial" w:eastAsia="黑体"/>
      <w:b/>
      <w:bCs/>
      <w:kern w:val="2"/>
      <w:sz w:val="32"/>
      <w:szCs w:val="32"/>
      <w:lang w:val="en-US" w:eastAsia="zh-CN" w:bidi="ar-SA"/>
    </w:rPr>
  </w:style>
  <w:style w:type="paragraph" w:customStyle="1" w:styleId="316">
    <w:name w:val="1"/>
    <w:basedOn w:val="1"/>
    <w:next w:val="1"/>
    <w:qFormat/>
    <w:uiPriority w:val="0"/>
  </w:style>
  <w:style w:type="character" w:customStyle="1" w:styleId="317">
    <w:name w:val="Char Char18"/>
    <w:qFormat/>
    <w:uiPriority w:val="0"/>
    <w:rPr>
      <w:b/>
      <w:bCs/>
      <w:kern w:val="44"/>
      <w:sz w:val="44"/>
      <w:szCs w:val="44"/>
    </w:rPr>
  </w:style>
  <w:style w:type="character" w:customStyle="1" w:styleId="318">
    <w:name w:val="明显引用 Char3"/>
    <w:link w:val="212"/>
    <w:qFormat/>
    <w:uiPriority w:val="0"/>
    <w:rPr>
      <w:rFonts w:ascii="Calibri" w:hAnsi="Calibri"/>
      <w:b/>
      <w:i/>
      <w:color w:val="4F81BD"/>
      <w:kern w:val="2"/>
      <w:sz w:val="22"/>
      <w:szCs w:val="22"/>
    </w:rPr>
  </w:style>
  <w:style w:type="character" w:customStyle="1" w:styleId="319">
    <w:name w:val="正文文本 3 Char"/>
    <w:qFormat/>
    <w:locked/>
    <w:uiPriority w:val="0"/>
    <w:rPr>
      <w:rFonts w:ascii="宋体" w:eastAsia="宋体"/>
      <w:sz w:val="24"/>
    </w:rPr>
  </w:style>
  <w:style w:type="character" w:customStyle="1" w:styleId="320">
    <w:name w:val="Char Char Char"/>
    <w:qFormat/>
    <w:locked/>
    <w:uiPriority w:val="0"/>
    <w:rPr>
      <w:rFonts w:eastAsia="宋体"/>
      <w:b/>
      <w:bCs/>
      <w:kern w:val="44"/>
      <w:sz w:val="44"/>
      <w:szCs w:val="44"/>
      <w:lang w:val="en-US" w:eastAsia="zh-CN" w:bidi="ar-SA"/>
    </w:rPr>
  </w:style>
  <w:style w:type="character" w:customStyle="1" w:styleId="321">
    <w:name w:val="标题 9 Char"/>
    <w:qFormat/>
    <w:uiPriority w:val="99"/>
    <w:rPr>
      <w:rFonts w:ascii="Arial" w:hAnsi="Arial" w:eastAsia="黑体"/>
      <w:sz w:val="21"/>
      <w:szCs w:val="21"/>
      <w:lang w:val="en-US" w:eastAsia="zh-CN" w:bidi="ar-SA"/>
    </w:rPr>
  </w:style>
  <w:style w:type="character" w:customStyle="1" w:styleId="322">
    <w:name w:val="批注文字 Char2"/>
    <w:link w:val="17"/>
    <w:qFormat/>
    <w:uiPriority w:val="99"/>
    <w:rPr>
      <w:kern w:val="2"/>
      <w:sz w:val="21"/>
      <w:szCs w:val="24"/>
    </w:rPr>
  </w:style>
  <w:style w:type="paragraph" w:customStyle="1" w:styleId="323">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324">
    <w:name w:val="正文首行缩进 Char1"/>
    <w:qFormat/>
    <w:uiPriority w:val="0"/>
    <w:rPr>
      <w:kern w:val="2"/>
      <w:sz w:val="21"/>
      <w:szCs w:val="24"/>
    </w:rPr>
  </w:style>
  <w:style w:type="paragraph" w:customStyle="1" w:styleId="325">
    <w:name w:val="列出段落11"/>
    <w:basedOn w:val="1"/>
    <w:qFormat/>
    <w:uiPriority w:val="34"/>
    <w:pPr>
      <w:ind w:firstLine="420" w:firstLineChars="200"/>
    </w:pPr>
    <w:rPr>
      <w:sz w:val="30"/>
      <w:szCs w:val="22"/>
    </w:rPr>
  </w:style>
  <w:style w:type="character" w:customStyle="1" w:styleId="326">
    <w:name w:val="明显参考1"/>
    <w:qFormat/>
    <w:uiPriority w:val="0"/>
    <w:rPr>
      <w:b/>
      <w:bCs/>
      <w:smallCaps/>
      <w:color w:val="C0504D"/>
      <w:spacing w:val="5"/>
      <w:u w:val="single"/>
    </w:rPr>
  </w:style>
  <w:style w:type="paragraph" w:customStyle="1" w:styleId="327">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28">
    <w:name w:val="日期1"/>
    <w:basedOn w:val="1"/>
    <w:next w:val="1"/>
    <w:qFormat/>
    <w:uiPriority w:val="0"/>
    <w:pPr>
      <w:ind w:left="100" w:leftChars="2500"/>
    </w:pPr>
    <w:rPr>
      <w:rFonts w:ascii="宋体"/>
      <w:kern w:val="0"/>
      <w:sz w:val="28"/>
      <w:szCs w:val="20"/>
    </w:rPr>
  </w:style>
  <w:style w:type="character" w:customStyle="1" w:styleId="329">
    <w:name w:val="标题 Char1"/>
    <w:qFormat/>
    <w:uiPriority w:val="0"/>
    <w:rPr>
      <w:rFonts w:ascii="Cambria" w:hAnsi="Cambria" w:cs="Times New Roman"/>
      <w:b/>
      <w:bCs/>
      <w:kern w:val="2"/>
      <w:sz w:val="32"/>
      <w:szCs w:val="32"/>
    </w:rPr>
  </w:style>
  <w:style w:type="character" w:customStyle="1" w:styleId="330">
    <w:name w:val="副标题 Char1"/>
    <w:qFormat/>
    <w:uiPriority w:val="0"/>
    <w:rPr>
      <w:rFonts w:ascii="Cambria" w:hAnsi="Cambria" w:cs="Times New Roman"/>
      <w:b/>
      <w:bCs/>
      <w:kern w:val="28"/>
      <w:sz w:val="32"/>
      <w:szCs w:val="32"/>
    </w:rPr>
  </w:style>
  <w:style w:type="paragraph" w:customStyle="1" w:styleId="331">
    <w:name w:val="正文样式"/>
    <w:basedOn w:val="1"/>
    <w:qFormat/>
    <w:uiPriority w:val="0"/>
    <w:pPr>
      <w:snapToGrid w:val="0"/>
      <w:spacing w:beforeLines="50" w:afterLines="50" w:line="312" w:lineRule="auto"/>
      <w:ind w:firstLine="480" w:firstLineChars="200"/>
    </w:pPr>
    <w:rPr>
      <w:rFonts w:ascii="Arial" w:hAnsi="Arial"/>
      <w:kern w:val="24"/>
      <w:szCs w:val="28"/>
    </w:rPr>
  </w:style>
  <w:style w:type="character" w:customStyle="1" w:styleId="332">
    <w:name w:val="书籍标题111"/>
    <w:qFormat/>
    <w:uiPriority w:val="0"/>
    <w:rPr>
      <w:b/>
      <w:smallCaps/>
      <w:spacing w:val="5"/>
    </w:rPr>
  </w:style>
  <w:style w:type="paragraph" w:customStyle="1" w:styleId="333">
    <w:name w:val="修订2"/>
    <w:qFormat/>
    <w:uiPriority w:val="0"/>
    <w:rPr>
      <w:rFonts w:asciiTheme="minorHAnsi" w:hAnsiTheme="minorHAnsi" w:eastAsiaTheme="minorEastAsia" w:cstheme="minorBidi"/>
      <w:kern w:val="2"/>
      <w:sz w:val="21"/>
      <w:szCs w:val="24"/>
      <w:lang w:val="en-US" w:eastAsia="zh-CN" w:bidi="ar-SA"/>
    </w:rPr>
  </w:style>
  <w:style w:type="paragraph" w:customStyle="1" w:styleId="334">
    <w:name w:val="修订3"/>
    <w:qFormat/>
    <w:uiPriority w:val="99"/>
    <w:rPr>
      <w:rFonts w:asciiTheme="minorHAnsi" w:hAnsiTheme="minorHAnsi" w:eastAsiaTheme="minorEastAsia" w:cstheme="minorBidi"/>
      <w:kern w:val="2"/>
      <w:sz w:val="21"/>
      <w:szCs w:val="21"/>
      <w:lang w:val="en-US" w:eastAsia="zh-CN" w:bidi="ar-SA"/>
    </w:rPr>
  </w:style>
  <w:style w:type="character" w:customStyle="1" w:styleId="335">
    <w:name w:val="Char Char3"/>
    <w:qFormat/>
    <w:uiPriority w:val="0"/>
    <w:rPr>
      <w:rFonts w:ascii="Arial" w:hAnsi="Arial" w:eastAsia="黑体"/>
      <w:b/>
      <w:bCs/>
      <w:kern w:val="2"/>
      <w:sz w:val="32"/>
      <w:szCs w:val="32"/>
      <w:lang w:val="en-US" w:eastAsia="zh-CN" w:bidi="ar-SA"/>
    </w:rPr>
  </w:style>
  <w:style w:type="character" w:customStyle="1" w:styleId="336">
    <w:name w:val="明显参考2"/>
    <w:qFormat/>
    <w:uiPriority w:val="0"/>
    <w:rPr>
      <w:b/>
      <w:smallCaps/>
      <w:color w:val="C0504D"/>
      <w:spacing w:val="5"/>
      <w:u w:val="single"/>
    </w:rPr>
  </w:style>
  <w:style w:type="paragraph" w:customStyle="1" w:styleId="337">
    <w:name w:val="明显引用11"/>
    <w:basedOn w:val="1"/>
    <w:next w:val="1"/>
    <w:qFormat/>
    <w:uiPriority w:val="0"/>
    <w:pPr>
      <w:pBdr>
        <w:bottom w:val="single" w:color="4F81BD" w:sz="4" w:space="4"/>
      </w:pBdr>
      <w:spacing w:before="200" w:after="280"/>
      <w:ind w:left="936" w:right="936"/>
    </w:pPr>
    <w:rPr>
      <w:b/>
      <w:bCs/>
      <w:i/>
      <w:iCs/>
      <w:color w:val="4F81BD"/>
      <w:szCs w:val="22"/>
    </w:rPr>
  </w:style>
  <w:style w:type="character" w:customStyle="1" w:styleId="338">
    <w:name w:val="标题 4 Char1"/>
    <w:link w:val="6"/>
    <w:qFormat/>
    <w:uiPriority w:val="0"/>
    <w:rPr>
      <w:rFonts w:ascii="仿宋_GB2312" w:eastAsia="仿宋_GB2312" w:cs="仿宋_GB2312"/>
      <w:kern w:val="2"/>
      <w:sz w:val="28"/>
      <w:szCs w:val="28"/>
    </w:rPr>
  </w:style>
  <w:style w:type="character" w:customStyle="1" w:styleId="339">
    <w:name w:val="Char Char91"/>
    <w:qFormat/>
    <w:uiPriority w:val="0"/>
    <w:rPr>
      <w:kern w:val="2"/>
      <w:sz w:val="21"/>
      <w:szCs w:val="22"/>
    </w:rPr>
  </w:style>
  <w:style w:type="paragraph" w:customStyle="1" w:styleId="340">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341">
    <w:name w:val="font5"/>
    <w:basedOn w:val="1"/>
    <w:qFormat/>
    <w:uiPriority w:val="0"/>
    <w:pPr>
      <w:widowControl/>
      <w:spacing w:before="100" w:beforeAutospacing="1" w:after="100" w:afterAutospacing="1"/>
      <w:jc w:val="left"/>
    </w:pPr>
    <w:rPr>
      <w:rFonts w:ascii="宋体" w:hAnsi="宋体" w:cs="宋体"/>
      <w:kern w:val="0"/>
      <w:sz w:val="18"/>
      <w:szCs w:val="18"/>
    </w:rPr>
  </w:style>
  <w:style w:type="character" w:customStyle="1" w:styleId="342">
    <w:name w:val="批注框文本 Char Char Char"/>
    <w:qFormat/>
    <w:uiPriority w:val="0"/>
    <w:rPr>
      <w:rFonts w:ascii="宋体"/>
      <w:sz w:val="18"/>
      <w:szCs w:val="18"/>
    </w:rPr>
  </w:style>
  <w:style w:type="paragraph" w:customStyle="1" w:styleId="343">
    <w:name w:val="Char1"/>
    <w:basedOn w:val="16"/>
    <w:qFormat/>
    <w:uiPriority w:val="0"/>
    <w:rPr>
      <w:rFonts w:ascii="Calibri" w:hAnsi="Calibri"/>
      <w:szCs w:val="22"/>
    </w:rPr>
  </w:style>
  <w:style w:type="paragraph" w:customStyle="1" w:styleId="344">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45">
    <w:name w:val="TOC 标题1"/>
    <w:basedOn w:val="3"/>
    <w:next w:val="1"/>
    <w:qFormat/>
    <w:uiPriority w:val="0"/>
    <w:pPr>
      <w:widowControl/>
      <w:spacing w:before="480" w:after="0" w:line="276" w:lineRule="auto"/>
      <w:jc w:val="left"/>
      <w:outlineLvl w:val="9"/>
    </w:pPr>
    <w:rPr>
      <w:rFonts w:ascii="Cambria" w:hAnsi="Cambria" w:cs="Cambria"/>
      <w:color w:val="365F91"/>
      <w:kern w:val="0"/>
      <w:sz w:val="28"/>
      <w:szCs w:val="28"/>
    </w:rPr>
  </w:style>
  <w:style w:type="character" w:customStyle="1" w:styleId="346">
    <w:name w:val="正文要点内容 Char Char"/>
    <w:link w:val="81"/>
    <w:qFormat/>
    <w:locked/>
    <w:uiPriority w:val="0"/>
    <w:rPr>
      <w:kern w:val="2"/>
      <w:sz w:val="21"/>
      <w:szCs w:val="21"/>
    </w:rPr>
  </w:style>
  <w:style w:type="paragraph" w:customStyle="1" w:styleId="347">
    <w:name w:val="样式 纯文本 + 行距: 固定值 20 磅"/>
    <w:basedOn w:val="26"/>
    <w:qFormat/>
    <w:uiPriority w:val="0"/>
    <w:pPr>
      <w:spacing w:line="400" w:lineRule="exact"/>
    </w:pPr>
    <w:rPr>
      <w:rFonts w:cs="宋体"/>
      <w:kern w:val="2"/>
      <w:szCs w:val="22"/>
    </w:rPr>
  </w:style>
  <w:style w:type="character" w:customStyle="1" w:styleId="348">
    <w:name w:val="标题 1.1 Char1"/>
    <w:qFormat/>
    <w:uiPriority w:val="0"/>
    <w:rPr>
      <w:rFonts w:ascii="Arial" w:hAnsi="Arial" w:eastAsia="黑体"/>
      <w:b/>
      <w:bCs/>
      <w:kern w:val="2"/>
      <w:sz w:val="32"/>
      <w:szCs w:val="32"/>
      <w:lang w:val="en-US" w:eastAsia="zh-CN" w:bidi="ar-SA"/>
    </w:rPr>
  </w:style>
  <w:style w:type="character" w:customStyle="1" w:styleId="349">
    <w:name w:val="javascript"/>
    <w:qFormat/>
    <w:uiPriority w:val="0"/>
  </w:style>
  <w:style w:type="paragraph" w:customStyle="1" w:styleId="350">
    <w:name w:val="节标题"/>
    <w:basedOn w:val="1"/>
    <w:next w:val="1"/>
    <w:qFormat/>
    <w:uiPriority w:val="0"/>
    <w:pPr>
      <w:widowControl/>
      <w:spacing w:line="289" w:lineRule="atLeast"/>
      <w:jc w:val="center"/>
      <w:textAlignment w:val="baseline"/>
    </w:pPr>
    <w:rPr>
      <w:color w:val="000000"/>
      <w:kern w:val="0"/>
      <w:sz w:val="28"/>
      <w:szCs w:val="20"/>
      <w:u w:color="000000"/>
    </w:rPr>
  </w:style>
  <w:style w:type="paragraph" w:customStyle="1" w:styleId="351">
    <w:name w:val="reader-word-layer reader-word-s1-0"/>
    <w:basedOn w:val="1"/>
    <w:qFormat/>
    <w:uiPriority w:val="0"/>
    <w:pPr>
      <w:widowControl/>
      <w:spacing w:before="100" w:beforeAutospacing="1" w:after="100" w:afterAutospacing="1"/>
      <w:jc w:val="left"/>
    </w:pPr>
    <w:rPr>
      <w:rFonts w:ascii="宋体" w:hAnsi="宋体" w:cs="宋体"/>
      <w:kern w:val="0"/>
      <w:sz w:val="24"/>
    </w:rPr>
  </w:style>
  <w:style w:type="paragraph" w:customStyle="1" w:styleId="352">
    <w:name w:val="样式 首行缩进:  2 字符"/>
    <w:basedOn w:val="1"/>
    <w:qFormat/>
    <w:uiPriority w:val="0"/>
    <w:pPr>
      <w:ind w:firstLine="560"/>
    </w:pPr>
    <w:rPr>
      <w:rFonts w:eastAsia="仿宋_GB2312" w:cs="宋体"/>
      <w:sz w:val="24"/>
      <w:szCs w:val="22"/>
    </w:rPr>
  </w:style>
  <w:style w:type="paragraph" w:customStyle="1" w:styleId="353">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354">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55">
    <w:name w:val="批注框文本 Char Char"/>
    <w:basedOn w:val="1"/>
    <w:link w:val="362"/>
    <w:qFormat/>
    <w:uiPriority w:val="0"/>
    <w:rPr>
      <w:rFonts w:ascii="宋体"/>
      <w:kern w:val="0"/>
      <w:sz w:val="18"/>
      <w:szCs w:val="18"/>
    </w:rPr>
  </w:style>
  <w:style w:type="paragraph" w:customStyle="1" w:styleId="356">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character" w:customStyle="1" w:styleId="357">
    <w:name w:val="引用 Char2"/>
    <w:qFormat/>
    <w:uiPriority w:val="29"/>
    <w:rPr>
      <w:rFonts w:ascii="Times New Roman" w:hAnsi="Times New Roman" w:eastAsia="宋体" w:cs="Times New Roman"/>
      <w:i/>
      <w:iCs/>
      <w:color w:val="000000"/>
      <w:szCs w:val="24"/>
    </w:rPr>
  </w:style>
  <w:style w:type="paragraph" w:customStyle="1" w:styleId="358">
    <w:name w:val="Char Char1"/>
    <w:basedOn w:val="16"/>
    <w:qFormat/>
    <w:uiPriority w:val="0"/>
    <w:rPr>
      <w:rFonts w:ascii="Calibri" w:hAnsi="Calibri"/>
      <w:szCs w:val="22"/>
    </w:rPr>
  </w:style>
  <w:style w:type="paragraph" w:customStyle="1" w:styleId="359">
    <w:name w:val="Char Char1 Char"/>
    <w:basedOn w:val="16"/>
    <w:qFormat/>
    <w:uiPriority w:val="0"/>
    <w:rPr>
      <w:rFonts w:ascii="Calibri" w:hAnsi="Calibri"/>
    </w:rPr>
  </w:style>
  <w:style w:type="character" w:customStyle="1" w:styleId="360">
    <w:name w:val="Char Char27"/>
    <w:qFormat/>
    <w:uiPriority w:val="0"/>
    <w:rPr>
      <w:rFonts w:ascii="Times New Roman" w:hAnsi="Times New Roman" w:eastAsia="宋体" w:cs="Times New Roman"/>
      <w:b/>
      <w:bCs/>
      <w:kern w:val="44"/>
      <w:sz w:val="44"/>
      <w:szCs w:val="44"/>
    </w:rPr>
  </w:style>
  <w:style w:type="paragraph" w:customStyle="1" w:styleId="361">
    <w:name w:val="明显引用1"/>
    <w:basedOn w:val="1"/>
    <w:next w:val="1"/>
    <w:link w:val="433"/>
    <w:qFormat/>
    <w:uiPriority w:val="0"/>
    <w:pPr>
      <w:pBdr>
        <w:bottom w:val="single" w:color="4F81BD" w:sz="4" w:space="4"/>
      </w:pBdr>
      <w:spacing w:before="200" w:after="280"/>
      <w:ind w:left="936" w:right="936"/>
    </w:pPr>
    <w:rPr>
      <w:b/>
      <w:i/>
      <w:color w:val="4F81BD"/>
      <w:kern w:val="0"/>
      <w:sz w:val="22"/>
      <w:szCs w:val="20"/>
    </w:rPr>
  </w:style>
  <w:style w:type="character" w:customStyle="1" w:styleId="362">
    <w:name w:val="批注框文本 Char Char Char Char Char"/>
    <w:link w:val="355"/>
    <w:qFormat/>
    <w:uiPriority w:val="0"/>
    <w:rPr>
      <w:rFonts w:ascii="宋体"/>
      <w:sz w:val="18"/>
      <w:szCs w:val="18"/>
    </w:rPr>
  </w:style>
  <w:style w:type="paragraph" w:customStyle="1" w:styleId="363">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364">
    <w:name w:val="Body Text Char"/>
    <w:qFormat/>
    <w:locked/>
    <w:uiPriority w:val="0"/>
    <w:rPr>
      <w:rFonts w:ascii="Times New Roman" w:hAnsi="Times New Roman" w:cs="Times New Roman"/>
      <w:sz w:val="24"/>
      <w:szCs w:val="24"/>
    </w:rPr>
  </w:style>
  <w:style w:type="character" w:customStyle="1" w:styleId="365">
    <w:name w:val="文档结构图 Char3"/>
    <w:link w:val="16"/>
    <w:qFormat/>
    <w:uiPriority w:val="99"/>
    <w:rPr>
      <w:kern w:val="2"/>
      <w:sz w:val="21"/>
      <w:szCs w:val="24"/>
      <w:shd w:val="clear" w:color="auto" w:fill="000080"/>
    </w:rPr>
  </w:style>
  <w:style w:type="character" w:customStyle="1" w:styleId="366">
    <w:name w:val="Char Char171"/>
    <w:qFormat/>
    <w:uiPriority w:val="0"/>
    <w:rPr>
      <w:rFonts w:ascii="Cambria" w:hAnsi="Cambria" w:eastAsia="宋体" w:cs="Times New Roman"/>
      <w:b/>
      <w:bCs/>
      <w:kern w:val="2"/>
      <w:sz w:val="32"/>
      <w:szCs w:val="32"/>
    </w:rPr>
  </w:style>
  <w:style w:type="character" w:customStyle="1" w:styleId="367">
    <w:name w:val="脚注文本 Char2"/>
    <w:link w:val="38"/>
    <w:qFormat/>
    <w:uiPriority w:val="0"/>
    <w:rPr>
      <w:rFonts w:ascii="Calibri" w:hAnsi="Calibri"/>
      <w:kern w:val="2"/>
      <w:sz w:val="21"/>
      <w:szCs w:val="22"/>
    </w:rPr>
  </w:style>
  <w:style w:type="character" w:customStyle="1" w:styleId="368">
    <w:name w:val="明显参考3"/>
    <w:qFormat/>
    <w:uiPriority w:val="99"/>
    <w:rPr>
      <w:b/>
      <w:bCs/>
      <w:smallCaps/>
      <w:color w:val="C0504D"/>
      <w:spacing w:val="5"/>
      <w:u w:val="single"/>
    </w:rPr>
  </w:style>
  <w:style w:type="character" w:customStyle="1" w:styleId="369">
    <w:name w:val="正文首行缩进 Char"/>
    <w:qFormat/>
    <w:uiPriority w:val="0"/>
    <w:rPr>
      <w:rFonts w:eastAsia="宋体"/>
      <w:szCs w:val="24"/>
    </w:rPr>
  </w:style>
  <w:style w:type="character" w:customStyle="1" w:styleId="370">
    <w:name w:val="Char Char301"/>
    <w:qFormat/>
    <w:uiPriority w:val="0"/>
    <w:rPr>
      <w:rFonts w:ascii="Arial" w:hAnsi="Arial" w:eastAsia="黑体"/>
      <w:b/>
      <w:bCs/>
      <w:kern w:val="2"/>
      <w:sz w:val="32"/>
      <w:szCs w:val="32"/>
      <w:lang w:val="en-US" w:eastAsia="zh-CN" w:bidi="ar-SA"/>
    </w:rPr>
  </w:style>
  <w:style w:type="paragraph" w:customStyle="1" w:styleId="371">
    <w:name w:val="文本块1"/>
    <w:basedOn w:val="1"/>
    <w:next w:val="1"/>
    <w:qFormat/>
    <w:uiPriority w:val="0"/>
    <w:rPr>
      <w:i/>
      <w:iCs/>
      <w:color w:val="000000"/>
      <w:szCs w:val="22"/>
    </w:rPr>
  </w:style>
  <w:style w:type="paragraph" w:customStyle="1" w:styleId="372">
    <w:name w:val="样式3"/>
    <w:basedOn w:val="5"/>
    <w:qFormat/>
    <w:uiPriority w:val="0"/>
    <w:pPr>
      <w:spacing w:line="415" w:lineRule="auto"/>
    </w:pPr>
    <w:rPr>
      <w:rFonts w:eastAsia="Arial"/>
    </w:rPr>
  </w:style>
  <w:style w:type="character" w:customStyle="1" w:styleId="373">
    <w:name w:val="Char Char72"/>
    <w:qFormat/>
    <w:uiPriority w:val="0"/>
    <w:rPr>
      <w:rFonts w:ascii="Arial" w:hAnsi="Arial" w:eastAsia="黑体"/>
      <w:b/>
      <w:bCs/>
      <w:kern w:val="2"/>
      <w:sz w:val="32"/>
      <w:szCs w:val="32"/>
      <w:lang w:val="en-US" w:eastAsia="zh-CN" w:bidi="ar-SA"/>
    </w:rPr>
  </w:style>
  <w:style w:type="paragraph" w:customStyle="1" w:styleId="374">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character" w:customStyle="1" w:styleId="375">
    <w:name w:val="标题5 Char Char"/>
    <w:link w:val="277"/>
    <w:qFormat/>
    <w:locked/>
    <w:uiPriority w:val="99"/>
    <w:rPr>
      <w:rFonts w:ascii="Arial" w:hAnsi="Arial"/>
      <w:b/>
      <w:sz w:val="32"/>
    </w:rPr>
  </w:style>
  <w:style w:type="paragraph" w:customStyle="1" w:styleId="376">
    <w:name w:val="TOC 标题12"/>
    <w:basedOn w:val="3"/>
    <w:next w:val="1"/>
    <w:qFormat/>
    <w:uiPriority w:val="0"/>
    <w:pPr>
      <w:spacing w:before="100" w:after="100" w:line="576" w:lineRule="auto"/>
      <w:jc w:val="center"/>
      <w:outlineLvl w:val="9"/>
    </w:pPr>
    <w:rPr>
      <w:sz w:val="36"/>
    </w:rPr>
  </w:style>
  <w:style w:type="character" w:customStyle="1" w:styleId="377">
    <w:name w:val="日期 Char1"/>
    <w:qFormat/>
    <w:uiPriority w:val="0"/>
    <w:rPr>
      <w:kern w:val="2"/>
      <w:sz w:val="21"/>
      <w:szCs w:val="22"/>
    </w:rPr>
  </w:style>
  <w:style w:type="character" w:customStyle="1" w:styleId="378">
    <w:name w:val="不明显强调11"/>
    <w:qFormat/>
    <w:uiPriority w:val="0"/>
    <w:rPr>
      <w:i/>
      <w:color w:val="808080"/>
    </w:rPr>
  </w:style>
  <w:style w:type="paragraph" w:customStyle="1" w:styleId="379">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380">
    <w:name w:val="reader-word-layer reader-word-s16-12"/>
    <w:basedOn w:val="1"/>
    <w:qFormat/>
    <w:uiPriority w:val="0"/>
    <w:pPr>
      <w:widowControl/>
      <w:spacing w:before="100" w:beforeAutospacing="1" w:after="100" w:afterAutospacing="1"/>
      <w:jc w:val="left"/>
    </w:pPr>
    <w:rPr>
      <w:rFonts w:ascii="宋体" w:hAnsi="宋体" w:cs="宋体"/>
      <w:kern w:val="0"/>
      <w:sz w:val="24"/>
    </w:rPr>
  </w:style>
  <w:style w:type="paragraph" w:customStyle="1" w:styleId="381">
    <w:name w:val="l-1级节标题"/>
    <w:next w:val="1"/>
    <w:qFormat/>
    <w:uiPriority w:val="0"/>
    <w:pPr>
      <w:keepNext/>
      <w:keepLines/>
      <w:numPr>
        <w:ilvl w:val="1"/>
        <w:numId w:val="1"/>
      </w:numPr>
      <w:spacing w:before="120" w:after="120" w:line="360" w:lineRule="auto"/>
      <w:outlineLvl w:val="1"/>
    </w:pPr>
    <w:rPr>
      <w:rFonts w:ascii="宋体" w:hAnsi="宋体" w:eastAsiaTheme="minorEastAsia" w:cstheme="minorBidi"/>
      <w:b/>
      <w:kern w:val="2"/>
      <w:sz w:val="30"/>
      <w:szCs w:val="28"/>
      <w:lang w:val="en-US" w:eastAsia="en-US" w:bidi="en-US"/>
    </w:rPr>
  </w:style>
  <w:style w:type="paragraph" w:customStyle="1" w:styleId="382">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383">
    <w:name w:val="xl34"/>
    <w:basedOn w:val="1"/>
    <w:qFormat/>
    <w:uiPriority w:val="0"/>
    <w:pPr>
      <w:widowControl/>
      <w:pBdr>
        <w:top w:val="single" w:color="auto" w:sz="4" w:space="0"/>
        <w:bottom w:val="single" w:color="auto" w:sz="4" w:space="0"/>
      </w:pBdr>
      <w:spacing w:before="100" w:beforeAutospacing="1" w:after="100" w:afterAutospacing="1"/>
      <w:jc w:val="left"/>
    </w:pPr>
    <w:rPr>
      <w:b/>
      <w:bCs/>
      <w:kern w:val="0"/>
      <w:sz w:val="20"/>
      <w:szCs w:val="20"/>
    </w:rPr>
  </w:style>
  <w:style w:type="paragraph" w:customStyle="1" w:styleId="384">
    <w:name w:val="Char31"/>
    <w:basedOn w:val="1"/>
    <w:qFormat/>
    <w:uiPriority w:val="0"/>
    <w:pPr>
      <w:tabs>
        <w:tab w:val="left" w:pos="360"/>
      </w:tabs>
    </w:pPr>
    <w:rPr>
      <w:sz w:val="24"/>
    </w:rPr>
  </w:style>
  <w:style w:type="character" w:customStyle="1" w:styleId="385">
    <w:name w:val="页眉 Char1"/>
    <w:qFormat/>
    <w:uiPriority w:val="0"/>
    <w:rPr>
      <w:kern w:val="2"/>
      <w:sz w:val="18"/>
      <w:szCs w:val="18"/>
    </w:rPr>
  </w:style>
  <w:style w:type="paragraph" w:customStyle="1" w:styleId="386">
    <w:name w:val="批注主题2"/>
    <w:basedOn w:val="17"/>
    <w:next w:val="17"/>
    <w:qFormat/>
    <w:uiPriority w:val="0"/>
    <w:rPr>
      <w:rFonts w:ascii="宋体" w:hAnsi="Calibri"/>
      <w:b/>
      <w:bCs/>
      <w:kern w:val="0"/>
      <w:sz w:val="28"/>
      <w:szCs w:val="20"/>
    </w:rPr>
  </w:style>
  <w:style w:type="paragraph" w:customStyle="1" w:styleId="387">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88">
    <w:name w:val="TOC 标题3"/>
    <w:basedOn w:val="3"/>
    <w:next w:val="1"/>
    <w:qFormat/>
    <w:uiPriority w:val="39"/>
    <w:pPr>
      <w:widowControl/>
      <w:spacing w:before="480" w:after="0" w:line="276" w:lineRule="auto"/>
      <w:jc w:val="left"/>
      <w:outlineLvl w:val="9"/>
    </w:pPr>
    <w:rPr>
      <w:rFonts w:ascii="Cambria" w:hAnsi="Cambria" w:cs="Cambria"/>
      <w:color w:val="365F91"/>
      <w:kern w:val="0"/>
      <w:sz w:val="28"/>
      <w:szCs w:val="28"/>
    </w:rPr>
  </w:style>
  <w:style w:type="character" w:customStyle="1" w:styleId="389">
    <w:name w:val="标题 5 Char1"/>
    <w:link w:val="7"/>
    <w:qFormat/>
    <w:uiPriority w:val="0"/>
    <w:rPr>
      <w:b/>
      <w:bCs/>
      <w:kern w:val="2"/>
      <w:sz w:val="28"/>
      <w:szCs w:val="28"/>
    </w:rPr>
  </w:style>
  <w:style w:type="character" w:customStyle="1" w:styleId="390">
    <w:name w:val="Char Char8"/>
    <w:qFormat/>
    <w:uiPriority w:val="0"/>
    <w:rPr>
      <w:rFonts w:ascii="Arial" w:hAnsi="Arial" w:eastAsia="黑体"/>
      <w:b/>
      <w:bCs/>
      <w:kern w:val="2"/>
      <w:sz w:val="32"/>
      <w:szCs w:val="32"/>
      <w:lang w:val="en-US" w:eastAsia="zh-CN" w:bidi="ar-SA"/>
    </w:rPr>
  </w:style>
  <w:style w:type="paragraph" w:customStyle="1" w:styleId="391">
    <w:name w:val="Char Char28"/>
    <w:basedOn w:val="16"/>
    <w:qFormat/>
    <w:uiPriority w:val="0"/>
    <w:rPr>
      <w:rFonts w:ascii="Calibri" w:hAnsi="Calibri"/>
    </w:rPr>
  </w:style>
  <w:style w:type="character" w:customStyle="1" w:styleId="392">
    <w:name w:val="不明显参考1"/>
    <w:qFormat/>
    <w:uiPriority w:val="0"/>
    <w:rPr>
      <w:smallCaps/>
      <w:color w:val="C0504D"/>
      <w:u w:val="single"/>
    </w:rPr>
  </w:style>
  <w:style w:type="paragraph" w:customStyle="1" w:styleId="393">
    <w:name w:val="reader-word-layer"/>
    <w:basedOn w:val="1"/>
    <w:qFormat/>
    <w:uiPriority w:val="0"/>
    <w:pPr>
      <w:widowControl/>
      <w:spacing w:before="100" w:beforeAutospacing="1" w:after="100" w:afterAutospacing="1"/>
      <w:jc w:val="left"/>
    </w:pPr>
    <w:rPr>
      <w:rFonts w:ascii="宋体" w:hAnsi="宋体" w:cs="宋体"/>
      <w:kern w:val="0"/>
      <w:sz w:val="24"/>
    </w:rPr>
  </w:style>
  <w:style w:type="character" w:customStyle="1" w:styleId="394">
    <w:name w:val="标题 8 Char1"/>
    <w:link w:val="10"/>
    <w:qFormat/>
    <w:uiPriority w:val="0"/>
    <w:rPr>
      <w:rFonts w:ascii="Arial" w:hAnsi="Arial" w:eastAsia="黑体"/>
      <w:sz w:val="24"/>
      <w:szCs w:val="24"/>
    </w:rPr>
  </w:style>
  <w:style w:type="paragraph" w:customStyle="1" w:styleId="395">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character" w:customStyle="1" w:styleId="396">
    <w:name w:val="标题 3 Char"/>
    <w:qFormat/>
    <w:uiPriority w:val="0"/>
    <w:rPr>
      <w:rFonts w:eastAsia="宋体"/>
      <w:b/>
      <w:bCs/>
      <w:kern w:val="2"/>
      <w:sz w:val="32"/>
      <w:szCs w:val="32"/>
      <w:lang w:val="en-US" w:eastAsia="zh-CN" w:bidi="ar-SA"/>
    </w:rPr>
  </w:style>
  <w:style w:type="paragraph" w:customStyle="1" w:styleId="397">
    <w:name w:val="Char12"/>
    <w:basedOn w:val="16"/>
    <w:qFormat/>
    <w:uiPriority w:val="0"/>
    <w:rPr>
      <w:rFonts w:ascii="Calibri" w:hAnsi="Calibri"/>
      <w:szCs w:val="22"/>
    </w:rPr>
  </w:style>
  <w:style w:type="paragraph" w:customStyle="1" w:styleId="398">
    <w:name w:val="Char13"/>
    <w:basedOn w:val="16"/>
    <w:qFormat/>
    <w:uiPriority w:val="0"/>
    <w:rPr>
      <w:rFonts w:ascii="Calibri" w:hAnsi="Calibri"/>
      <w:szCs w:val="22"/>
    </w:rPr>
  </w:style>
  <w:style w:type="character" w:customStyle="1" w:styleId="399">
    <w:name w:val="Char Char172"/>
    <w:qFormat/>
    <w:uiPriority w:val="0"/>
    <w:rPr>
      <w:rFonts w:ascii="Cambria" w:hAnsi="Cambria" w:eastAsia="宋体" w:cs="Times New Roman"/>
      <w:b/>
      <w:bCs/>
      <w:kern w:val="2"/>
      <w:sz w:val="32"/>
      <w:szCs w:val="32"/>
    </w:rPr>
  </w:style>
  <w:style w:type="character" w:customStyle="1" w:styleId="400">
    <w:name w:val="正文缩进 Char"/>
    <w:qFormat/>
    <w:uiPriority w:val="0"/>
    <w:rPr>
      <w:kern w:val="2"/>
      <w:sz w:val="21"/>
      <w:szCs w:val="21"/>
    </w:rPr>
  </w:style>
  <w:style w:type="paragraph" w:customStyle="1" w:styleId="401">
    <w:name w:val="样式 标题 3h3Level 3 HeadH3Heading 3 - oldlevel_3PIM 3BOD 0s..."/>
    <w:basedOn w:val="5"/>
    <w:qFormat/>
    <w:uiPriority w:val="0"/>
    <w:pPr>
      <w:tabs>
        <w:tab w:val="left" w:pos="0"/>
      </w:tabs>
      <w:adjustRightInd w:val="0"/>
      <w:spacing w:before="0" w:after="0" w:line="500" w:lineRule="exact"/>
      <w:textAlignment w:val="baseline"/>
    </w:pPr>
    <w:rPr>
      <w:kern w:val="0"/>
      <w:sz w:val="28"/>
      <w:szCs w:val="28"/>
    </w:rPr>
  </w:style>
  <w:style w:type="paragraph" w:customStyle="1" w:styleId="402">
    <w:name w:val="xl30"/>
    <w:basedOn w:val="1"/>
    <w:qFormat/>
    <w:uiPriority w:val="0"/>
    <w:pPr>
      <w:widowControl/>
      <w:spacing w:before="100" w:beforeAutospacing="1" w:after="100" w:afterAutospacing="1"/>
      <w:jc w:val="left"/>
    </w:pPr>
    <w:rPr>
      <w:rFonts w:ascii="黑体" w:hAnsi="宋体" w:eastAsia="黑体" w:cs="宋体"/>
      <w:b/>
      <w:bCs/>
      <w:kern w:val="0"/>
      <w:sz w:val="18"/>
      <w:szCs w:val="18"/>
    </w:rPr>
  </w:style>
  <w:style w:type="character" w:customStyle="1" w:styleId="403">
    <w:name w:val="Body Text Indent Char"/>
    <w:qFormat/>
    <w:locked/>
    <w:uiPriority w:val="0"/>
    <w:rPr>
      <w:rFonts w:ascii="仿宋_GB2312" w:hAnsi="Times New Roman" w:eastAsia="仿宋_GB2312" w:cs="仿宋_GB2312"/>
      <w:sz w:val="32"/>
      <w:szCs w:val="32"/>
    </w:rPr>
  </w:style>
  <w:style w:type="character" w:customStyle="1" w:styleId="404">
    <w:name w:val="正文文本 Char1"/>
    <w:qFormat/>
    <w:uiPriority w:val="0"/>
    <w:rPr>
      <w:kern w:val="2"/>
      <w:sz w:val="22"/>
    </w:rPr>
  </w:style>
  <w:style w:type="character" w:customStyle="1" w:styleId="405">
    <w:name w:val="脚注文本 Char1"/>
    <w:semiHidden/>
    <w:qFormat/>
    <w:uiPriority w:val="99"/>
    <w:rPr>
      <w:rFonts w:ascii="Times New Roman" w:hAnsi="Times New Roman" w:eastAsia="宋体" w:cs="Times New Roman"/>
      <w:sz w:val="18"/>
      <w:szCs w:val="18"/>
    </w:rPr>
  </w:style>
  <w:style w:type="character" w:customStyle="1" w:styleId="406">
    <w:name w:val="Char Char92"/>
    <w:qFormat/>
    <w:uiPriority w:val="0"/>
    <w:rPr>
      <w:kern w:val="2"/>
      <w:sz w:val="21"/>
      <w:szCs w:val="22"/>
    </w:rPr>
  </w:style>
  <w:style w:type="paragraph" w:customStyle="1" w:styleId="407">
    <w:name w:val="章标题"/>
    <w:basedOn w:val="1"/>
    <w:next w:val="1"/>
    <w:qFormat/>
    <w:uiPriority w:val="0"/>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408">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409">
    <w:name w:val="默认段落字体 Para Char Char Char Char Char Char Char Char Char Char"/>
    <w:basedOn w:val="1"/>
    <w:qFormat/>
    <w:uiPriority w:val="0"/>
    <w:rPr>
      <w:rFonts w:ascii="Tahoma" w:hAnsi="Tahoma" w:cs="Tahoma"/>
      <w:sz w:val="24"/>
    </w:rPr>
  </w:style>
  <w:style w:type="paragraph" w:customStyle="1" w:styleId="410">
    <w:name w:val="_Style 6"/>
    <w:basedOn w:val="3"/>
    <w:next w:val="1"/>
    <w:qFormat/>
    <w:uiPriority w:val="0"/>
    <w:pPr>
      <w:spacing w:before="100" w:after="100" w:line="576" w:lineRule="auto"/>
      <w:jc w:val="center"/>
      <w:outlineLvl w:val="9"/>
    </w:pPr>
    <w:rPr>
      <w:sz w:val="36"/>
    </w:rPr>
  </w:style>
  <w:style w:type="paragraph" w:customStyle="1" w:styleId="411">
    <w:name w:val="font11"/>
    <w:basedOn w:val="1"/>
    <w:qFormat/>
    <w:uiPriority w:val="0"/>
    <w:pPr>
      <w:widowControl/>
      <w:spacing w:before="100" w:beforeAutospacing="1" w:after="100" w:afterAutospacing="1"/>
      <w:jc w:val="left"/>
    </w:pPr>
    <w:rPr>
      <w:b/>
      <w:bCs/>
      <w:kern w:val="0"/>
      <w:sz w:val="20"/>
      <w:szCs w:val="20"/>
    </w:rPr>
  </w:style>
  <w:style w:type="character" w:customStyle="1" w:styleId="412">
    <w:name w:val="不明显强调2"/>
    <w:qFormat/>
    <w:uiPriority w:val="0"/>
    <w:rPr>
      <w:i/>
      <w:iCs/>
      <w:color w:val="808080"/>
    </w:rPr>
  </w:style>
  <w:style w:type="character" w:customStyle="1" w:styleId="413">
    <w:name w:val="正文文本缩进 2 Char"/>
    <w:qFormat/>
    <w:locked/>
    <w:uiPriority w:val="99"/>
    <w:rPr>
      <w:rFonts w:eastAsia="宋体"/>
      <w:sz w:val="28"/>
      <w:szCs w:val="24"/>
    </w:rPr>
  </w:style>
  <w:style w:type="character" w:customStyle="1" w:styleId="414">
    <w:name w:val="HTML 预设格式 Char1"/>
    <w:link w:val="2"/>
    <w:qFormat/>
    <w:uiPriority w:val="0"/>
    <w:rPr>
      <w:rFonts w:ascii="Courier New" w:hAnsi="Courier New" w:cs="Courier New"/>
      <w:lang w:eastAsia="en-US"/>
    </w:rPr>
  </w:style>
  <w:style w:type="character" w:customStyle="1" w:styleId="415">
    <w:name w:val="t-link"/>
    <w:qFormat/>
    <w:uiPriority w:val="0"/>
  </w:style>
  <w:style w:type="paragraph" w:customStyle="1" w:styleId="416">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character" w:customStyle="1" w:styleId="417">
    <w:name w:val="书籍标题11"/>
    <w:qFormat/>
    <w:uiPriority w:val="0"/>
    <w:rPr>
      <w:b/>
      <w:smallCaps/>
      <w:spacing w:val="5"/>
    </w:rPr>
  </w:style>
  <w:style w:type="paragraph" w:customStyle="1" w:styleId="418">
    <w:name w:val="Char3"/>
    <w:basedOn w:val="1"/>
    <w:qFormat/>
    <w:uiPriority w:val="0"/>
    <w:pPr>
      <w:tabs>
        <w:tab w:val="left" w:pos="360"/>
      </w:tabs>
    </w:pPr>
    <w:rPr>
      <w:sz w:val="24"/>
    </w:rPr>
  </w:style>
  <w:style w:type="paragraph" w:customStyle="1" w:styleId="419">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420">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421">
    <w:name w:val="日期11"/>
    <w:basedOn w:val="1"/>
    <w:next w:val="1"/>
    <w:qFormat/>
    <w:uiPriority w:val="0"/>
    <w:pPr>
      <w:ind w:left="100" w:leftChars="2500"/>
    </w:pPr>
    <w:rPr>
      <w:rFonts w:ascii="宋体"/>
      <w:kern w:val="0"/>
      <w:sz w:val="28"/>
      <w:szCs w:val="20"/>
    </w:rPr>
  </w:style>
  <w:style w:type="character" w:customStyle="1" w:styleId="422">
    <w:name w:val="Char Char Char3"/>
    <w:qFormat/>
    <w:uiPriority w:val="0"/>
    <w:rPr>
      <w:rFonts w:eastAsia="宋体"/>
      <w:b/>
      <w:bCs/>
      <w:kern w:val="44"/>
      <w:sz w:val="44"/>
      <w:szCs w:val="44"/>
      <w:lang w:val="en-US" w:eastAsia="zh-CN" w:bidi="ar-SA"/>
    </w:rPr>
  </w:style>
  <w:style w:type="paragraph" w:customStyle="1" w:styleId="423">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424">
    <w:name w:val="明显引用12"/>
    <w:basedOn w:val="1"/>
    <w:next w:val="1"/>
    <w:qFormat/>
    <w:uiPriority w:val="0"/>
    <w:pPr>
      <w:pBdr>
        <w:bottom w:val="single" w:color="4F81BD" w:sz="4" w:space="4"/>
      </w:pBdr>
      <w:spacing w:before="200" w:after="280"/>
      <w:ind w:left="936" w:right="936"/>
    </w:pPr>
    <w:rPr>
      <w:b/>
      <w:bCs/>
      <w:i/>
      <w:iCs/>
      <w:color w:val="4F81BD"/>
      <w:szCs w:val="22"/>
    </w:rPr>
  </w:style>
  <w:style w:type="character" w:customStyle="1" w:styleId="425">
    <w:name w:val="正文文本首行缩进 字符1"/>
    <w:qFormat/>
    <w:uiPriority w:val="0"/>
    <w:rPr>
      <w:kern w:val="2"/>
      <w:sz w:val="21"/>
      <w:szCs w:val="24"/>
    </w:rPr>
  </w:style>
  <w:style w:type="character" w:customStyle="1" w:styleId="426">
    <w:name w:val="不明显强调21"/>
    <w:qFormat/>
    <w:uiPriority w:val="0"/>
    <w:rPr>
      <w:i/>
      <w:color w:val="808080"/>
    </w:rPr>
  </w:style>
  <w:style w:type="paragraph" w:customStyle="1" w:styleId="427">
    <w:name w:val="修订11"/>
    <w:qFormat/>
    <w:uiPriority w:val="0"/>
    <w:rPr>
      <w:rFonts w:asciiTheme="minorHAnsi" w:hAnsiTheme="minorHAnsi" w:eastAsiaTheme="minorEastAsia" w:cstheme="minorBidi"/>
      <w:kern w:val="2"/>
      <w:sz w:val="21"/>
      <w:szCs w:val="24"/>
      <w:lang w:val="en-US" w:eastAsia="zh-CN" w:bidi="ar-SA"/>
    </w:rPr>
  </w:style>
  <w:style w:type="paragraph" w:customStyle="1" w:styleId="428">
    <w:name w:val="样式1"/>
    <w:basedOn w:val="1"/>
    <w:link w:val="479"/>
    <w:qFormat/>
    <w:uiPriority w:val="0"/>
    <w:pPr>
      <w:tabs>
        <w:tab w:val="left" w:pos="1674"/>
      </w:tabs>
      <w:adjustRightInd w:val="0"/>
      <w:ind w:left="1674" w:hanging="1125"/>
      <w:textAlignment w:val="baseline"/>
    </w:pPr>
    <w:rPr>
      <w:rFonts w:ascii="宋体" w:hAnsi="宋体"/>
      <w:kern w:val="0"/>
      <w:szCs w:val="21"/>
    </w:rPr>
  </w:style>
  <w:style w:type="character" w:customStyle="1" w:styleId="429">
    <w:name w:val="Comment Text Char"/>
    <w:qFormat/>
    <w:locked/>
    <w:uiPriority w:val="0"/>
    <w:rPr>
      <w:kern w:val="2"/>
      <w:sz w:val="22"/>
    </w:rPr>
  </w:style>
  <w:style w:type="character" w:customStyle="1" w:styleId="430">
    <w:name w:val="Char Char22"/>
    <w:qFormat/>
    <w:uiPriority w:val="0"/>
    <w:rPr>
      <w:rFonts w:ascii="Arial" w:hAnsi="Arial" w:eastAsia="黑体" w:cs="Times New Roman"/>
      <w:b/>
      <w:bCs/>
      <w:kern w:val="0"/>
      <w:sz w:val="24"/>
      <w:szCs w:val="24"/>
    </w:rPr>
  </w:style>
  <w:style w:type="character" w:customStyle="1" w:styleId="431">
    <w:name w:val="标题 1 Char"/>
    <w:qFormat/>
    <w:uiPriority w:val="0"/>
    <w:rPr>
      <w:rFonts w:eastAsia="宋体"/>
      <w:b/>
      <w:bCs/>
      <w:kern w:val="44"/>
      <w:sz w:val="44"/>
      <w:szCs w:val="44"/>
      <w:lang w:val="en-US" w:eastAsia="zh-CN" w:bidi="ar-SA"/>
    </w:rPr>
  </w:style>
  <w:style w:type="character" w:customStyle="1" w:styleId="432">
    <w:name w:val="明显引用 Char1"/>
    <w:qFormat/>
    <w:uiPriority w:val="0"/>
    <w:rPr>
      <w:rFonts w:ascii="Times New Roman" w:hAnsi="Times New Roman" w:eastAsia="宋体" w:cs="Times New Roman"/>
      <w:b/>
      <w:bCs/>
      <w:i/>
      <w:iCs/>
      <w:color w:val="4F81BD"/>
      <w:szCs w:val="24"/>
    </w:rPr>
  </w:style>
  <w:style w:type="character" w:customStyle="1" w:styleId="433">
    <w:name w:val="Intense Quote Char"/>
    <w:link w:val="361"/>
    <w:qFormat/>
    <w:locked/>
    <w:uiPriority w:val="0"/>
    <w:rPr>
      <w:b/>
      <w:i/>
      <w:color w:val="4F81BD"/>
      <w:sz w:val="22"/>
    </w:rPr>
  </w:style>
  <w:style w:type="character" w:customStyle="1" w:styleId="434">
    <w:name w:val="列出段落 Char"/>
    <w:link w:val="214"/>
    <w:qFormat/>
    <w:uiPriority w:val="0"/>
    <w:rPr>
      <w:kern w:val="2"/>
      <w:sz w:val="21"/>
      <w:szCs w:val="21"/>
    </w:rPr>
  </w:style>
  <w:style w:type="paragraph" w:customStyle="1" w:styleId="435">
    <w:name w:val="正文文字3"/>
    <w:basedOn w:val="19"/>
    <w:qFormat/>
    <w:uiPriority w:val="0"/>
    <w:pPr>
      <w:adjustRightInd w:val="0"/>
      <w:spacing w:after="0" w:line="360" w:lineRule="atLeast"/>
      <w:ind w:left="72" w:leftChars="30" w:right="72" w:rightChars="30"/>
      <w:jc w:val="center"/>
      <w:textAlignment w:val="baseline"/>
    </w:pPr>
    <w:rPr>
      <w:rFonts w:ascii="宋体" w:hAnsi="宋体"/>
      <w:color w:val="000000"/>
      <w:sz w:val="20"/>
      <w:szCs w:val="20"/>
    </w:rPr>
  </w:style>
  <w:style w:type="character" w:customStyle="1" w:styleId="436">
    <w:name w:val="批注文字 Char Char"/>
    <w:qFormat/>
    <w:uiPriority w:val="0"/>
    <w:rPr>
      <w:rFonts w:ascii="宋体" w:hAnsi="Times New Roman" w:eastAsia="宋体"/>
      <w:sz w:val="20"/>
    </w:rPr>
  </w:style>
  <w:style w:type="character" w:customStyle="1" w:styleId="437">
    <w:name w:val="正文文本缩进 3 Char1"/>
    <w:qFormat/>
    <w:uiPriority w:val="0"/>
    <w:rPr>
      <w:rFonts w:ascii="Times New Roman" w:hAnsi="Times New Roman" w:eastAsia="宋体" w:cs="Times New Roman"/>
      <w:sz w:val="16"/>
      <w:szCs w:val="16"/>
    </w:rPr>
  </w:style>
  <w:style w:type="character" w:customStyle="1" w:styleId="438">
    <w:name w:val="Char Char21"/>
    <w:qFormat/>
    <w:uiPriority w:val="0"/>
    <w:rPr>
      <w:rFonts w:eastAsia="宋体"/>
      <w:kern w:val="2"/>
      <w:sz w:val="21"/>
      <w:szCs w:val="24"/>
      <w:lang w:val="en-US" w:eastAsia="zh-CN" w:bidi="ar-SA"/>
    </w:rPr>
  </w:style>
  <w:style w:type="character" w:customStyle="1" w:styleId="439">
    <w:name w:val="批注主题 Char Char"/>
    <w:qFormat/>
    <w:uiPriority w:val="0"/>
    <w:rPr>
      <w:rFonts w:ascii="宋体"/>
      <w:b/>
      <w:bCs/>
      <w:sz w:val="28"/>
      <w:lang w:bidi="ar-SA"/>
    </w:rPr>
  </w:style>
  <w:style w:type="character" w:customStyle="1" w:styleId="440">
    <w:name w:val="正文文本 Char"/>
    <w:qFormat/>
    <w:locked/>
    <w:uiPriority w:val="99"/>
    <w:rPr>
      <w:rFonts w:eastAsia="宋体"/>
      <w:kern w:val="2"/>
      <w:sz w:val="24"/>
      <w:lang w:val="en-US" w:eastAsia="zh-CN" w:bidi="ar-SA"/>
    </w:rPr>
  </w:style>
  <w:style w:type="character" w:customStyle="1" w:styleId="441">
    <w:name w:val="明显引用 Char2"/>
    <w:qFormat/>
    <w:uiPriority w:val="30"/>
    <w:rPr>
      <w:rFonts w:ascii="Times New Roman" w:hAnsi="Times New Roman" w:eastAsia="宋体" w:cs="Times New Roman"/>
      <w:b/>
      <w:bCs/>
      <w:i/>
      <w:iCs/>
      <w:color w:val="4F81BD"/>
      <w:szCs w:val="24"/>
    </w:rPr>
  </w:style>
  <w:style w:type="character" w:customStyle="1" w:styleId="442">
    <w:name w:val="纯文本 Char1"/>
    <w:link w:val="26"/>
    <w:qFormat/>
    <w:uiPriority w:val="0"/>
    <w:rPr>
      <w:rFonts w:ascii="宋体" w:hAnsi="Courier New"/>
      <w:sz w:val="21"/>
      <w:szCs w:val="21"/>
    </w:rPr>
  </w:style>
  <w:style w:type="paragraph" w:customStyle="1" w:styleId="443">
    <w:name w:val="索引 42"/>
    <w:basedOn w:val="1"/>
    <w:next w:val="1"/>
    <w:qFormat/>
    <w:uiPriority w:val="0"/>
    <w:pPr>
      <w:ind w:left="600" w:leftChars="600"/>
    </w:pPr>
  </w:style>
  <w:style w:type="paragraph" w:customStyle="1" w:styleId="444">
    <w:name w:val="修订12"/>
    <w:qFormat/>
    <w:uiPriority w:val="0"/>
    <w:rPr>
      <w:rFonts w:asciiTheme="minorHAnsi" w:hAnsiTheme="minorHAnsi" w:eastAsiaTheme="minorEastAsia" w:cstheme="minorBidi"/>
      <w:kern w:val="2"/>
      <w:sz w:val="21"/>
      <w:szCs w:val="24"/>
      <w:lang w:val="en-US" w:eastAsia="zh-CN" w:bidi="ar-SA"/>
    </w:rPr>
  </w:style>
  <w:style w:type="character" w:customStyle="1" w:styleId="445">
    <w:name w:val="Char Char15"/>
    <w:qFormat/>
    <w:uiPriority w:val="0"/>
    <w:rPr>
      <w:rFonts w:ascii="Arial" w:hAnsi="Arial" w:eastAsia="黑体"/>
      <w:b/>
      <w:bCs/>
      <w:kern w:val="2"/>
      <w:sz w:val="32"/>
      <w:szCs w:val="32"/>
      <w:lang w:val="en-US" w:eastAsia="zh-CN" w:bidi="ar-SA"/>
    </w:rPr>
  </w:style>
  <w:style w:type="paragraph" w:customStyle="1" w:styleId="446">
    <w:name w:val="！正文"/>
    <w:basedOn w:val="1"/>
    <w:qFormat/>
    <w:uiPriority w:val="0"/>
    <w:pPr>
      <w:spacing w:line="360" w:lineRule="auto"/>
      <w:ind w:firstLine="560" w:firstLineChars="200"/>
    </w:pPr>
    <w:rPr>
      <w:sz w:val="28"/>
      <w:szCs w:val="28"/>
    </w:rPr>
  </w:style>
  <w:style w:type="paragraph" w:customStyle="1" w:styleId="447">
    <w:name w:val="xl32"/>
    <w:basedOn w:val="1"/>
    <w:qFormat/>
    <w:uiPriority w:val="0"/>
    <w:pPr>
      <w:widowControl/>
      <w:pBdr>
        <w:top w:val="single" w:color="auto" w:sz="4" w:space="0"/>
        <w:bottom w:val="single" w:color="auto" w:sz="4" w:space="0"/>
      </w:pBdr>
      <w:spacing w:before="100" w:beforeAutospacing="1" w:after="100" w:afterAutospacing="1"/>
      <w:jc w:val="left"/>
    </w:pPr>
    <w:rPr>
      <w:kern w:val="0"/>
      <w:sz w:val="20"/>
      <w:szCs w:val="20"/>
    </w:rPr>
  </w:style>
  <w:style w:type="character" w:customStyle="1" w:styleId="448">
    <w:name w:val="font161"/>
    <w:qFormat/>
    <w:uiPriority w:val="0"/>
    <w:rPr>
      <w:b/>
      <w:bCs/>
      <w:sz w:val="32"/>
      <w:szCs w:val="32"/>
    </w:rPr>
  </w:style>
  <w:style w:type="character" w:customStyle="1" w:styleId="449">
    <w:name w:val="Blockquote Char"/>
    <w:qFormat/>
    <w:locked/>
    <w:uiPriority w:val="0"/>
    <w:rPr>
      <w:sz w:val="24"/>
    </w:rPr>
  </w:style>
  <w:style w:type="character" w:customStyle="1" w:styleId="450">
    <w:name w:val="标题 2 Char Char"/>
    <w:qFormat/>
    <w:uiPriority w:val="0"/>
    <w:rPr>
      <w:rFonts w:ascii="Arial" w:hAnsi="Arial" w:eastAsia="黑体"/>
      <w:b/>
      <w:bCs/>
      <w:kern w:val="2"/>
      <w:sz w:val="32"/>
      <w:szCs w:val="32"/>
      <w:lang w:val="en-US" w:eastAsia="zh-CN" w:bidi="ar-SA"/>
    </w:rPr>
  </w:style>
  <w:style w:type="character" w:customStyle="1" w:styleId="451">
    <w:name w:val="Char Char261"/>
    <w:qFormat/>
    <w:uiPriority w:val="0"/>
    <w:rPr>
      <w:rFonts w:eastAsia="宋体"/>
      <w:kern w:val="2"/>
      <w:sz w:val="21"/>
      <w:szCs w:val="24"/>
      <w:lang w:val="en-US" w:eastAsia="zh-CN" w:bidi="ar-SA"/>
    </w:rPr>
  </w:style>
  <w:style w:type="character" w:customStyle="1" w:styleId="452">
    <w:name w:val="不明显参考2"/>
    <w:qFormat/>
    <w:uiPriority w:val="0"/>
    <w:rPr>
      <w:smallCaps/>
      <w:color w:val="C0504D"/>
      <w:u w:val="single"/>
    </w:rPr>
  </w:style>
  <w:style w:type="paragraph" w:customStyle="1" w:styleId="453">
    <w:name w:val="Char8"/>
    <w:basedOn w:val="16"/>
    <w:qFormat/>
    <w:uiPriority w:val="0"/>
    <w:rPr>
      <w:rFonts w:ascii="Calibri" w:hAnsi="Calibri"/>
    </w:rPr>
  </w:style>
  <w:style w:type="character" w:customStyle="1" w:styleId="454">
    <w:name w:val="日期 Char2"/>
    <w:qFormat/>
    <w:uiPriority w:val="0"/>
    <w:rPr>
      <w:rFonts w:ascii="Times New Roman" w:hAnsi="Times New Roman" w:eastAsia="宋体" w:cs="Times New Roman"/>
      <w:sz w:val="24"/>
      <w:szCs w:val="20"/>
    </w:rPr>
  </w:style>
  <w:style w:type="character" w:customStyle="1" w:styleId="455">
    <w:name w:val="Char Char182"/>
    <w:qFormat/>
    <w:uiPriority w:val="0"/>
    <w:rPr>
      <w:b/>
      <w:bCs/>
      <w:kern w:val="44"/>
      <w:sz w:val="44"/>
      <w:szCs w:val="44"/>
    </w:rPr>
  </w:style>
  <w:style w:type="character" w:customStyle="1" w:styleId="456">
    <w:name w:val="纯文本 Char2"/>
    <w:qFormat/>
    <w:uiPriority w:val="99"/>
    <w:rPr>
      <w:rFonts w:ascii="宋体" w:hAnsi="Courier New"/>
      <w:sz w:val="21"/>
      <w:szCs w:val="21"/>
    </w:rPr>
  </w:style>
  <w:style w:type="paragraph" w:customStyle="1" w:styleId="457">
    <w:name w:val="索引 41"/>
    <w:basedOn w:val="1"/>
    <w:next w:val="1"/>
    <w:qFormat/>
    <w:uiPriority w:val="0"/>
    <w:pPr>
      <w:ind w:left="600" w:leftChars="600"/>
    </w:pPr>
  </w:style>
  <w:style w:type="paragraph" w:customStyle="1" w:styleId="458">
    <w:name w:val="正文 A"/>
    <w:qFormat/>
    <w:uiPriority w:val="0"/>
    <w:pPr>
      <w:widowControl w:val="0"/>
      <w:jc w:val="both"/>
    </w:pPr>
    <w:rPr>
      <w:rFonts w:ascii="宋体" w:cs="宋体" w:hAnsiTheme="minorHAnsi" w:eastAsiaTheme="minorEastAsia"/>
      <w:color w:val="000000"/>
      <w:kern w:val="2"/>
      <w:sz w:val="21"/>
      <w:szCs w:val="21"/>
      <w:u w:color="000000"/>
      <w:lang w:val="en-US" w:eastAsia="zh-CN" w:bidi="ar-SA"/>
    </w:rPr>
  </w:style>
  <w:style w:type="character" w:customStyle="1" w:styleId="459">
    <w:name w:val="引用 Char3"/>
    <w:link w:val="254"/>
    <w:qFormat/>
    <w:uiPriority w:val="0"/>
    <w:rPr>
      <w:rFonts w:ascii="Calibri" w:hAnsi="Calibri"/>
      <w:i/>
      <w:color w:val="000000"/>
      <w:kern w:val="2"/>
      <w:sz w:val="22"/>
      <w:szCs w:val="22"/>
    </w:rPr>
  </w:style>
  <w:style w:type="character" w:customStyle="1" w:styleId="460">
    <w:name w:val="批注主题 Char3"/>
    <w:link w:val="49"/>
    <w:qFormat/>
    <w:uiPriority w:val="99"/>
    <w:rPr>
      <w:b/>
      <w:bCs/>
      <w:kern w:val="2"/>
      <w:sz w:val="21"/>
      <w:szCs w:val="21"/>
    </w:rPr>
  </w:style>
  <w:style w:type="character" w:customStyle="1" w:styleId="461">
    <w:name w:val="正文文本 2 Char2"/>
    <w:link w:val="44"/>
    <w:qFormat/>
    <w:uiPriority w:val="0"/>
    <w:rPr>
      <w:rFonts w:ascii="Calibri" w:hAnsi="Calibri"/>
      <w:kern w:val="2"/>
      <w:sz w:val="24"/>
      <w:szCs w:val="22"/>
    </w:rPr>
  </w:style>
  <w:style w:type="character" w:customStyle="1" w:styleId="462">
    <w:name w:val="正文文本缩进 2 Char1"/>
    <w:qFormat/>
    <w:uiPriority w:val="99"/>
    <w:rPr>
      <w:kern w:val="2"/>
      <w:sz w:val="21"/>
      <w:szCs w:val="22"/>
    </w:rPr>
  </w:style>
  <w:style w:type="paragraph" w:customStyle="1" w:styleId="463">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464">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465">
    <w:name w:val="日期2"/>
    <w:basedOn w:val="1"/>
    <w:next w:val="1"/>
    <w:qFormat/>
    <w:uiPriority w:val="0"/>
    <w:pPr>
      <w:ind w:left="100" w:leftChars="2500"/>
    </w:pPr>
    <w:rPr>
      <w:rFonts w:ascii="宋体"/>
      <w:kern w:val="0"/>
      <w:sz w:val="28"/>
      <w:szCs w:val="20"/>
    </w:rPr>
  </w:style>
  <w:style w:type="paragraph" w:customStyle="1" w:styleId="466">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467">
    <w:name w:val="textcontents"/>
    <w:qFormat/>
    <w:uiPriority w:val="0"/>
  </w:style>
  <w:style w:type="character" w:customStyle="1" w:styleId="468">
    <w:name w:val="Balloon Text Char"/>
    <w:qFormat/>
    <w:uiPriority w:val="0"/>
    <w:rPr>
      <w:rFonts w:eastAsia="宋体"/>
      <w:kern w:val="2"/>
      <w:sz w:val="18"/>
      <w:szCs w:val="18"/>
      <w:lang w:val="en-US" w:eastAsia="zh-CN" w:bidi="ar-SA"/>
    </w:rPr>
  </w:style>
  <w:style w:type="paragraph" w:customStyle="1" w:styleId="469">
    <w:name w:val="xl29"/>
    <w:basedOn w:val="1"/>
    <w:qFormat/>
    <w:uiPriority w:val="0"/>
    <w:pPr>
      <w:widowControl/>
      <w:spacing w:before="100" w:beforeAutospacing="1" w:after="100" w:afterAutospacing="1"/>
      <w:jc w:val="center"/>
    </w:pPr>
    <w:rPr>
      <w:rFonts w:ascii="黑体" w:hAnsi="宋体" w:eastAsia="黑体" w:cs="宋体"/>
      <w:b/>
      <w:bCs/>
      <w:kern w:val="0"/>
      <w:sz w:val="26"/>
      <w:szCs w:val="26"/>
    </w:rPr>
  </w:style>
  <w:style w:type="paragraph" w:customStyle="1" w:styleId="470">
    <w:name w:val="默认段落字体 Para Char Char Char Char"/>
    <w:basedOn w:val="1"/>
    <w:qFormat/>
    <w:uiPriority w:val="0"/>
    <w:rPr>
      <w:szCs w:val="21"/>
    </w:rPr>
  </w:style>
  <w:style w:type="character" w:customStyle="1" w:styleId="471">
    <w:name w:val="Char Char4"/>
    <w:qFormat/>
    <w:uiPriority w:val="0"/>
    <w:rPr>
      <w:rFonts w:eastAsia="宋体"/>
      <w:b/>
      <w:bCs/>
      <w:kern w:val="44"/>
      <w:sz w:val="44"/>
      <w:szCs w:val="44"/>
      <w:lang w:val="en-US" w:eastAsia="zh-CN"/>
    </w:rPr>
  </w:style>
  <w:style w:type="character" w:customStyle="1" w:styleId="472">
    <w:name w:val="正文要点 Char Char"/>
    <w:link w:val="80"/>
    <w:qFormat/>
    <w:locked/>
    <w:uiPriority w:val="0"/>
    <w:rPr>
      <w:kern w:val="2"/>
      <w:sz w:val="21"/>
      <w:szCs w:val="21"/>
    </w:rPr>
  </w:style>
  <w:style w:type="paragraph" w:customStyle="1" w:styleId="473">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474">
    <w:name w:val="Heading 1 Char"/>
    <w:qFormat/>
    <w:locked/>
    <w:uiPriority w:val="0"/>
    <w:rPr>
      <w:rFonts w:eastAsia="宋体"/>
      <w:b/>
      <w:bCs/>
      <w:kern w:val="44"/>
      <w:sz w:val="44"/>
      <w:szCs w:val="44"/>
      <w:lang w:val="en-US" w:eastAsia="zh-CN" w:bidi="ar-SA"/>
    </w:rPr>
  </w:style>
  <w:style w:type="paragraph" w:customStyle="1" w:styleId="475">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476">
    <w:name w:val="文档结构图1"/>
    <w:basedOn w:val="1"/>
    <w:qFormat/>
    <w:uiPriority w:val="0"/>
    <w:pPr>
      <w:shd w:val="clear" w:color="auto" w:fill="000080"/>
    </w:pPr>
    <w:rPr>
      <w:kern w:val="0"/>
      <w:sz w:val="20"/>
      <w:shd w:val="clear" w:color="auto" w:fill="000080"/>
    </w:rPr>
  </w:style>
  <w:style w:type="character" w:customStyle="1" w:styleId="477">
    <w:name w:val="apple-converted-space"/>
    <w:qFormat/>
    <w:uiPriority w:val="0"/>
  </w:style>
  <w:style w:type="paragraph" w:customStyle="1" w:styleId="478">
    <w:name w:val="文本块12"/>
    <w:basedOn w:val="1"/>
    <w:next w:val="1"/>
    <w:qFormat/>
    <w:uiPriority w:val="0"/>
    <w:rPr>
      <w:i/>
      <w:iCs/>
      <w:color w:val="000000"/>
      <w:szCs w:val="22"/>
    </w:rPr>
  </w:style>
  <w:style w:type="character" w:customStyle="1" w:styleId="479">
    <w:name w:val="样式1 字符"/>
    <w:link w:val="428"/>
    <w:qFormat/>
    <w:uiPriority w:val="0"/>
    <w:rPr>
      <w:rFonts w:ascii="宋体" w:hAnsi="宋体" w:cs="宋体"/>
      <w:sz w:val="21"/>
      <w:szCs w:val="21"/>
    </w:rPr>
  </w:style>
  <w:style w:type="character" w:customStyle="1" w:styleId="480">
    <w:name w:val="正文文本 Char3"/>
    <w:link w:val="19"/>
    <w:qFormat/>
    <w:uiPriority w:val="99"/>
    <w:rPr>
      <w:sz w:val="24"/>
      <w:szCs w:val="24"/>
    </w:rPr>
  </w:style>
  <w:style w:type="character" w:customStyle="1" w:styleId="481">
    <w:name w:val="Char Char5"/>
    <w:qFormat/>
    <w:uiPriority w:val="0"/>
    <w:rPr>
      <w:rFonts w:ascii="Arial" w:hAnsi="Arial" w:eastAsia="黑体"/>
      <w:b/>
      <w:bCs/>
      <w:kern w:val="2"/>
      <w:sz w:val="32"/>
      <w:szCs w:val="32"/>
      <w:lang w:val="en-US" w:eastAsia="zh-CN" w:bidi="ar-SA"/>
    </w:rPr>
  </w:style>
  <w:style w:type="character" w:customStyle="1" w:styleId="482">
    <w:name w:val="日期 Char Char"/>
    <w:qFormat/>
    <w:uiPriority w:val="0"/>
    <w:rPr>
      <w:rFonts w:ascii="宋体"/>
      <w:sz w:val="28"/>
      <w:lang w:bidi="ar-SA"/>
    </w:rPr>
  </w:style>
  <w:style w:type="paragraph" w:customStyle="1" w:styleId="483">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character" w:customStyle="1" w:styleId="484">
    <w:name w:val="Char Char161"/>
    <w:qFormat/>
    <w:uiPriority w:val="0"/>
    <w:rPr>
      <w:b/>
      <w:bCs/>
      <w:kern w:val="2"/>
      <w:sz w:val="32"/>
      <w:szCs w:val="32"/>
    </w:rPr>
  </w:style>
  <w:style w:type="character" w:customStyle="1" w:styleId="485">
    <w:name w:val="不明显强调3"/>
    <w:qFormat/>
    <w:uiPriority w:val="99"/>
    <w:rPr>
      <w:i/>
      <w:iCs/>
      <w:color w:val="808080"/>
    </w:rPr>
  </w:style>
  <w:style w:type="character" w:customStyle="1" w:styleId="486">
    <w:name w:val="Char Char26"/>
    <w:qFormat/>
    <w:uiPriority w:val="0"/>
    <w:rPr>
      <w:rFonts w:ascii="Arial" w:hAnsi="Arial" w:eastAsia="黑体" w:cs="Times New Roman"/>
      <w:b/>
      <w:bCs/>
      <w:sz w:val="32"/>
      <w:szCs w:val="32"/>
    </w:rPr>
  </w:style>
  <w:style w:type="paragraph" w:customStyle="1" w:styleId="487">
    <w:name w:val="正文文本 312"/>
    <w:basedOn w:val="1"/>
    <w:qFormat/>
    <w:uiPriority w:val="0"/>
    <w:pPr>
      <w:spacing w:after="120"/>
    </w:pPr>
    <w:rPr>
      <w:sz w:val="16"/>
      <w:szCs w:val="16"/>
    </w:rPr>
  </w:style>
  <w:style w:type="paragraph" w:customStyle="1" w:styleId="488">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489">
    <w:name w:val="Styl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490">
    <w:name w:val="不明显参考3"/>
    <w:qFormat/>
    <w:uiPriority w:val="99"/>
    <w:rPr>
      <w:smallCaps/>
      <w:color w:val="C0504D"/>
      <w:u w:val="single"/>
    </w:rPr>
  </w:style>
  <w:style w:type="character" w:customStyle="1" w:styleId="491">
    <w:name w:val="标题 2 Char2"/>
    <w:basedOn w:val="54"/>
    <w:link w:val="4"/>
    <w:qFormat/>
    <w:uiPriority w:val="0"/>
    <w:rPr>
      <w:rFonts w:eastAsia="仿宋" w:asciiTheme="majorHAnsi" w:hAnsiTheme="majorHAnsi" w:cstheme="majorBidi"/>
      <w:b/>
      <w:bCs/>
      <w:sz w:val="28"/>
      <w:szCs w:val="32"/>
    </w:rPr>
  </w:style>
  <w:style w:type="paragraph" w:customStyle="1" w:styleId="492">
    <w:name w:val="_Style 2"/>
    <w:basedOn w:val="1"/>
    <w:next w:val="1"/>
    <w:unhideWhenUsed/>
    <w:qFormat/>
    <w:uiPriority w:val="99"/>
    <w:pPr>
      <w:ind w:firstLine="420" w:firstLineChars="200"/>
    </w:pPr>
    <w:rPr>
      <w:rFonts w:ascii="Calibri" w:hAnsi="Calibri" w:eastAsia="宋体" w:cs="Times New Roman"/>
      <w:szCs w:val="22"/>
    </w:rPr>
  </w:style>
  <w:style w:type="character" w:customStyle="1" w:styleId="493">
    <w:name w:val="flatpickr-day2"/>
    <w:basedOn w:val="54"/>
    <w:qFormat/>
    <w:uiPriority w:val="0"/>
  </w:style>
  <w:style w:type="character" w:customStyle="1" w:styleId="494">
    <w:name w:val="flatpickr-weekday"/>
    <w:basedOn w:val="54"/>
    <w:qFormat/>
    <w:uiPriority w:val="0"/>
    <w:rPr>
      <w:b/>
      <w:bCs/>
      <w:sz w:val="21"/>
      <w:szCs w:val="21"/>
    </w:rPr>
  </w:style>
  <w:style w:type="character" w:customStyle="1" w:styleId="495">
    <w:name w:val="flatpickr-weekday2"/>
    <w:basedOn w:val="54"/>
    <w:qFormat/>
    <w:uiPriority w:val="0"/>
    <w:rPr>
      <w:b/>
      <w:bCs/>
      <w:sz w:val="21"/>
      <w:szCs w:val="21"/>
    </w:rPr>
  </w:style>
  <w:style w:type="paragraph" w:customStyle="1" w:styleId="496">
    <w:name w:val="_Style 48"/>
    <w:basedOn w:val="1"/>
    <w:qFormat/>
    <w:uiPriority w:val="0"/>
    <w:pPr>
      <w:spacing w:line="480" w:lineRule="auto"/>
      <w:ind w:firstLine="403" w:firstLineChars="168"/>
      <w:jc w:val="center"/>
    </w:pPr>
    <w:rPr>
      <w:rFonts w:ascii="宋体" w:hAnsi="宋体" w:eastAsia="宋体" w:cs="Times New Roman"/>
    </w:rPr>
  </w:style>
  <w:style w:type="character" w:customStyle="1" w:styleId="497">
    <w:name w:val="普通(网站) Char"/>
    <w:link w:val="47"/>
    <w:qFormat/>
    <w:uiPriority w:val="99"/>
    <w:rPr>
      <w:rFonts w:ascii="宋体" w:hAnsi="宋体" w:cs="宋体" w:eastAsiaTheme="minorEastAsia"/>
      <w:sz w:val="24"/>
      <w:szCs w:val="24"/>
    </w:rPr>
  </w:style>
  <w:style w:type="paragraph" w:customStyle="1" w:styleId="498">
    <w:name w:val="xl65"/>
    <w:basedOn w:val="1"/>
    <w:qFormat/>
    <w:uiPriority w:val="0"/>
    <w:pPr>
      <w:widowControl/>
      <w:spacing w:before="100" w:beforeAutospacing="1" w:after="100" w:afterAutospacing="1"/>
      <w:jc w:val="center"/>
    </w:pPr>
    <w:rPr>
      <w:rFonts w:ascii="仿宋_GB2312" w:hAnsi="宋体" w:eastAsia="仿宋_GB2312" w:cs="宋体"/>
      <w:color w:val="000000"/>
      <w:kern w:val="0"/>
      <w:sz w:val="22"/>
      <w:szCs w:val="22"/>
    </w:rPr>
  </w:style>
  <w:style w:type="table" w:customStyle="1" w:styleId="499">
    <w:name w:val="网格型1"/>
    <w:basedOn w:val="52"/>
    <w:qFormat/>
    <w:uiPriority w:val="0"/>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500">
    <w:name w:val="NormalCharacter"/>
    <w:semiHidden/>
    <w:qFormat/>
    <w:uiPriority w:val="99"/>
  </w:style>
  <w:style w:type="paragraph" w:customStyle="1" w:styleId="501">
    <w:name w:val="HTML Preformatted1"/>
    <w:basedOn w:val="1"/>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502">
    <w:name w:val="font31"/>
    <w:basedOn w:val="54"/>
    <w:qFormat/>
    <w:uiPriority w:val="0"/>
    <w:rPr>
      <w:rFonts w:hint="eastAsia" w:ascii="仿宋_GB2312" w:eastAsia="仿宋_GB2312" w:cs="仿宋_GB2312"/>
      <w:b/>
      <w:bCs/>
      <w:color w:val="000000"/>
      <w:sz w:val="24"/>
      <w:szCs w:val="24"/>
      <w:u w:val="none"/>
    </w:rPr>
  </w:style>
  <w:style w:type="character" w:customStyle="1" w:styleId="503">
    <w:name w:val="font121"/>
    <w:basedOn w:val="54"/>
    <w:qFormat/>
    <w:uiPriority w:val="0"/>
    <w:rPr>
      <w:rFonts w:hint="eastAsia" w:ascii="仿宋_GB2312" w:eastAsia="仿宋_GB2312" w:cs="仿宋_GB2312"/>
      <w:b/>
      <w:bCs/>
      <w:color w:val="FF0000"/>
      <w:sz w:val="24"/>
      <w:szCs w:val="24"/>
      <w:u w:val="none"/>
    </w:rPr>
  </w:style>
  <w:style w:type="character" w:customStyle="1" w:styleId="504">
    <w:name w:val="font131"/>
    <w:basedOn w:val="54"/>
    <w:qFormat/>
    <w:uiPriority w:val="0"/>
    <w:rPr>
      <w:rFonts w:hint="eastAsia" w:ascii="仿宋_GB2312" w:eastAsia="仿宋_GB2312" w:cs="仿宋_GB2312"/>
      <w:color w:val="FF0000"/>
      <w:sz w:val="20"/>
      <w:szCs w:val="20"/>
      <w:u w:val="none"/>
    </w:rPr>
  </w:style>
  <w:style w:type="character" w:customStyle="1" w:styleId="505">
    <w:name w:val="font101"/>
    <w:basedOn w:val="54"/>
    <w:qFormat/>
    <w:uiPriority w:val="0"/>
    <w:rPr>
      <w:rFonts w:hint="eastAsia" w:ascii="仿宋_GB2312" w:eastAsia="仿宋_GB2312" w:cs="仿宋_GB2312"/>
      <w:b/>
      <w:bCs/>
      <w:color w:val="FF0000"/>
      <w:sz w:val="20"/>
      <w:szCs w:val="20"/>
      <w:u w:val="none"/>
    </w:rPr>
  </w:style>
  <w:style w:type="character" w:customStyle="1" w:styleId="506">
    <w:name w:val="font112"/>
    <w:basedOn w:val="54"/>
    <w:qFormat/>
    <w:uiPriority w:val="0"/>
    <w:rPr>
      <w:rFonts w:hint="eastAsia" w:ascii="仿宋_GB2312" w:eastAsia="仿宋_GB2312" w:cs="仿宋_GB2312"/>
      <w:color w:val="000000"/>
      <w:sz w:val="20"/>
      <w:szCs w:val="20"/>
      <w:u w:val="none"/>
    </w:rPr>
  </w:style>
  <w:style w:type="character" w:customStyle="1" w:styleId="507">
    <w:name w:val="font122"/>
    <w:basedOn w:val="54"/>
    <w:uiPriority w:val="0"/>
    <w:rPr>
      <w:rFonts w:hint="eastAsia" w:ascii="仿宋_GB2312" w:eastAsia="仿宋_GB2312" w:cs="仿宋_GB2312"/>
      <w:b/>
      <w:bCs/>
      <w:color w:val="FF0000"/>
      <w:sz w:val="24"/>
      <w:szCs w:val="24"/>
      <w:u w:val="none"/>
    </w:rPr>
  </w:style>
  <w:style w:type="character" w:customStyle="1" w:styleId="508">
    <w:name w:val="font111"/>
    <w:basedOn w:val="54"/>
    <w:qFormat/>
    <w:uiPriority w:val="0"/>
    <w:rPr>
      <w:rFonts w:hint="eastAsia" w:ascii="仿宋_GB2312" w:eastAsia="仿宋_GB2312" w:cs="仿宋_GB2312"/>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daohangxitong.com</Company>
  <Pages>79</Pages>
  <Words>24199</Words>
  <Characters>25647</Characters>
  <Lines>289</Lines>
  <Paragraphs>81</Paragraphs>
  <TotalTime>80</TotalTime>
  <ScaleCrop>false</ScaleCrop>
  <LinksUpToDate>false</LinksUpToDate>
  <CharactersWithSpaces>25760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2023-07-10T06:07:00Z</dcterms:created>
  <dc:creator>admin</dc:creator>
  <cp:lastModifiedBy>璥亹</cp:lastModifiedBy>
  <cp:lastPrinted>2024-09-02T07:00:00Z</cp:lastPrinted>
  <dcterms:modified xsi:type="dcterms:W3CDTF">2026-06-04T05:34:38Z</dcterms:modified>
  <cp:revision>346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455427D9D38846F0A7C0D44B0F659FD0_13</vt:lpwstr>
  </property>
  <property fmtid="{D5CDD505-2E9C-101B-9397-08002B2CF9AE}" pid="4" name="KSOTemplateDocerSaveRecord">
    <vt:lpwstr>eyJoZGlkIjoiYTRlMzA2OGVkZDM5ODRjMGNhZGE0ZDNhZGUzZWI3YTkiLCJ1c2VySWQiOiIzNjIyODMwNDIifQ==</vt:lpwstr>
  </property>
</Properties>
</file>