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45B33F">
      <w:pPr>
        <w:pStyle w:val="9"/>
        <w:keepNext w:val="0"/>
        <w:keepLines w:val="0"/>
        <w:pageBreakBefore w:val="0"/>
        <w:kinsoku/>
        <w:overflowPunct/>
        <w:topLinePunct/>
        <w:autoSpaceDE/>
        <w:autoSpaceDN/>
        <w:bidi w:val="0"/>
        <w:spacing w:line="460" w:lineRule="exact"/>
        <w:textAlignment w:val="auto"/>
        <w:rPr>
          <w:rFonts w:hint="eastAsia" w:ascii="宋体" w:hAnsi="宋体" w:eastAsia="宋体" w:cs="宋体"/>
          <w:highlight w:val="none"/>
        </w:rPr>
      </w:pPr>
    </w:p>
    <w:p w14:paraId="14D17702">
      <w:pPr>
        <w:pStyle w:val="9"/>
        <w:keepNext w:val="0"/>
        <w:keepLines w:val="0"/>
        <w:pageBreakBefore w:val="0"/>
        <w:kinsoku/>
        <w:overflowPunct/>
        <w:topLinePunct/>
        <w:autoSpaceDE/>
        <w:autoSpaceDN/>
        <w:bidi w:val="0"/>
        <w:spacing w:line="460" w:lineRule="exact"/>
        <w:textAlignment w:val="auto"/>
        <w:rPr>
          <w:rFonts w:hint="eastAsia" w:ascii="宋体" w:hAnsi="宋体" w:eastAsia="宋体" w:cs="宋体"/>
          <w:highlight w:val="none"/>
        </w:rPr>
      </w:pPr>
    </w:p>
    <w:p w14:paraId="4085B3F4">
      <w:pPr>
        <w:keepNext w:val="0"/>
        <w:keepLines w:val="0"/>
        <w:pageBreakBefore w:val="0"/>
        <w:kinsoku/>
        <w:overflowPunct/>
        <w:topLinePunct/>
        <w:autoSpaceDE/>
        <w:autoSpaceDN/>
        <w:bidi w:val="0"/>
        <w:spacing w:after="165" w:afterLines="50" w:line="360" w:lineRule="auto"/>
        <w:jc w:val="center"/>
        <w:textAlignment w:val="auto"/>
        <w:outlineLvl w:val="9"/>
        <w:rPr>
          <w:rFonts w:hint="eastAsia" w:ascii="仿宋" w:hAnsi="仿宋" w:eastAsia="仿宋" w:cs="仿宋"/>
          <w:b/>
          <w:bCs w:val="0"/>
          <w:sz w:val="72"/>
          <w:szCs w:val="72"/>
          <w:lang w:eastAsia="zh-CN"/>
        </w:rPr>
      </w:pPr>
      <w:r>
        <w:rPr>
          <w:rFonts w:hint="eastAsia" w:ascii="仿宋" w:hAnsi="仿宋" w:eastAsia="仿宋" w:cs="仿宋"/>
          <w:b/>
          <w:bCs w:val="0"/>
          <w:sz w:val="72"/>
          <w:szCs w:val="72"/>
          <w:lang w:eastAsia="zh-CN"/>
        </w:rPr>
        <w:t>威海环晟文旅发展有限公司</w:t>
      </w:r>
    </w:p>
    <w:p w14:paraId="7931E70A">
      <w:pPr>
        <w:keepNext w:val="0"/>
        <w:keepLines w:val="0"/>
        <w:pageBreakBefore w:val="0"/>
        <w:kinsoku/>
        <w:overflowPunct/>
        <w:topLinePunct/>
        <w:autoSpaceDE/>
        <w:autoSpaceDN/>
        <w:bidi w:val="0"/>
        <w:spacing w:after="165" w:afterLines="50" w:line="360" w:lineRule="auto"/>
        <w:jc w:val="center"/>
        <w:textAlignment w:val="auto"/>
        <w:outlineLvl w:val="9"/>
        <w:rPr>
          <w:rFonts w:hint="eastAsia" w:ascii="仿宋" w:hAnsi="仿宋" w:eastAsia="仿宋" w:cs="仿宋"/>
          <w:b/>
          <w:bCs w:val="0"/>
          <w:sz w:val="72"/>
          <w:szCs w:val="72"/>
          <w:lang w:eastAsia="zh-CN"/>
        </w:rPr>
      </w:pPr>
      <w:bookmarkStart w:id="0" w:name="_Toc12524"/>
      <w:r>
        <w:rPr>
          <w:rFonts w:hint="eastAsia" w:ascii="仿宋" w:hAnsi="仿宋" w:eastAsia="仿宋" w:cs="仿宋"/>
          <w:b/>
          <w:bCs w:val="0"/>
          <w:sz w:val="72"/>
          <w:szCs w:val="72"/>
          <w:lang w:eastAsia="zh-CN"/>
        </w:rPr>
        <w:t>选定景区物料供应入围单位</w:t>
      </w:r>
    </w:p>
    <w:p w14:paraId="74EC1F1E">
      <w:pPr>
        <w:keepNext w:val="0"/>
        <w:keepLines w:val="0"/>
        <w:pageBreakBefore w:val="0"/>
        <w:kinsoku/>
        <w:overflowPunct/>
        <w:topLinePunct/>
        <w:autoSpaceDE/>
        <w:autoSpaceDN/>
        <w:bidi w:val="0"/>
        <w:spacing w:after="165" w:afterLines="50" w:line="360" w:lineRule="auto"/>
        <w:jc w:val="center"/>
        <w:textAlignment w:val="auto"/>
        <w:outlineLvl w:val="9"/>
        <w:rPr>
          <w:rFonts w:hint="eastAsia" w:ascii="仿宋" w:hAnsi="仿宋" w:eastAsia="仿宋" w:cs="仿宋"/>
          <w:b/>
          <w:bCs/>
          <w:color w:val="auto"/>
          <w:spacing w:val="0"/>
          <w:kern w:val="2"/>
          <w:sz w:val="72"/>
          <w:szCs w:val="72"/>
          <w:highlight w:val="none"/>
          <w:lang w:val="en-US" w:eastAsia="zh-CN" w:bidi="ar-SA"/>
        </w:rPr>
      </w:pPr>
      <w:r>
        <w:rPr>
          <w:rFonts w:hint="eastAsia" w:ascii="仿宋" w:hAnsi="仿宋" w:eastAsia="仿宋" w:cs="仿宋"/>
          <w:b/>
          <w:sz w:val="72"/>
          <w:szCs w:val="72"/>
        </w:rPr>
        <w:t>公开</w:t>
      </w:r>
      <w:r>
        <w:rPr>
          <w:rFonts w:hint="eastAsia" w:ascii="仿宋" w:hAnsi="仿宋" w:eastAsia="仿宋" w:cs="仿宋"/>
          <w:b/>
          <w:bCs/>
          <w:color w:val="auto"/>
          <w:spacing w:val="0"/>
          <w:kern w:val="2"/>
          <w:sz w:val="72"/>
          <w:szCs w:val="72"/>
          <w:highlight w:val="none"/>
          <w:lang w:val="en-US" w:eastAsia="zh-CN" w:bidi="ar-SA"/>
        </w:rPr>
        <w:t>招标文件</w:t>
      </w:r>
      <w:bookmarkEnd w:id="0"/>
    </w:p>
    <w:p w14:paraId="78A031CA">
      <w:pPr>
        <w:pStyle w:val="9"/>
        <w:keepNext w:val="0"/>
        <w:keepLines w:val="0"/>
        <w:pageBreakBefore w:val="0"/>
        <w:kinsoku/>
        <w:overflowPunct/>
        <w:topLinePunct/>
        <w:autoSpaceDE/>
        <w:autoSpaceDN/>
        <w:bidi w:val="0"/>
        <w:spacing w:line="460" w:lineRule="exact"/>
        <w:textAlignment w:val="auto"/>
        <w:rPr>
          <w:rFonts w:hint="eastAsia" w:ascii="宋体" w:hAnsi="宋体" w:eastAsia="宋体" w:cs="宋体"/>
          <w:highlight w:val="none"/>
        </w:rPr>
      </w:pPr>
      <w:r>
        <w:rPr>
          <w:rFonts w:hint="eastAsia" w:ascii="宋体" w:hAnsi="宋体" w:eastAsia="宋体" w:cs="宋体"/>
          <w:sz w:val="21"/>
          <w:szCs w:val="21"/>
          <w:highlight w:val="none"/>
        </w:rPr>
        <w:drawing>
          <wp:anchor distT="0" distB="0" distL="114300" distR="114300" simplePos="0" relativeHeight="251659264" behindDoc="0" locked="0" layoutInCell="1" allowOverlap="1">
            <wp:simplePos x="0" y="0"/>
            <wp:positionH relativeFrom="column">
              <wp:posOffset>1543050</wp:posOffset>
            </wp:positionH>
            <wp:positionV relativeFrom="paragraph">
              <wp:posOffset>103505</wp:posOffset>
            </wp:positionV>
            <wp:extent cx="2666365" cy="2007235"/>
            <wp:effectExtent l="0" t="0" r="0" b="12700"/>
            <wp:wrapNone/>
            <wp:docPr id="4" name="图片 1"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LOGO1"/>
                    <pic:cNvPicPr>
                      <a:picLocks noChangeAspect="1"/>
                    </pic:cNvPicPr>
                  </pic:nvPicPr>
                  <pic:blipFill>
                    <a:blip r:embed="rId10"/>
                    <a:stretch>
                      <a:fillRect/>
                    </a:stretch>
                  </pic:blipFill>
                  <pic:spPr>
                    <a:xfrm>
                      <a:off x="0" y="0"/>
                      <a:ext cx="2666365" cy="2007235"/>
                    </a:xfrm>
                    <a:prstGeom prst="rect">
                      <a:avLst/>
                    </a:prstGeom>
                    <a:noFill/>
                    <a:ln>
                      <a:noFill/>
                    </a:ln>
                  </pic:spPr>
                </pic:pic>
              </a:graphicData>
            </a:graphic>
          </wp:anchor>
        </w:drawing>
      </w:r>
    </w:p>
    <w:p w14:paraId="2CD014F0">
      <w:pPr>
        <w:pStyle w:val="9"/>
        <w:keepNext w:val="0"/>
        <w:keepLines w:val="0"/>
        <w:pageBreakBefore w:val="0"/>
        <w:kinsoku/>
        <w:overflowPunct/>
        <w:topLinePunct/>
        <w:autoSpaceDE/>
        <w:autoSpaceDN/>
        <w:bidi w:val="0"/>
        <w:spacing w:line="460" w:lineRule="exact"/>
        <w:textAlignment w:val="auto"/>
        <w:rPr>
          <w:rFonts w:hint="eastAsia" w:ascii="宋体" w:hAnsi="宋体" w:eastAsia="宋体" w:cs="宋体"/>
          <w:highlight w:val="none"/>
        </w:rPr>
      </w:pPr>
    </w:p>
    <w:p w14:paraId="233A9ECB">
      <w:pPr>
        <w:keepNext w:val="0"/>
        <w:keepLines w:val="0"/>
        <w:pageBreakBefore w:val="0"/>
        <w:kinsoku/>
        <w:overflowPunct/>
        <w:topLinePunct/>
        <w:autoSpaceDE/>
        <w:autoSpaceDN/>
        <w:bidi w:val="0"/>
        <w:spacing w:line="460" w:lineRule="exact"/>
        <w:textAlignment w:val="auto"/>
        <w:rPr>
          <w:rFonts w:hint="eastAsia" w:ascii="宋体" w:hAnsi="宋体" w:eastAsia="宋体" w:cs="宋体"/>
          <w:highlight w:val="none"/>
        </w:rPr>
      </w:pPr>
    </w:p>
    <w:p w14:paraId="1EA6DEA2">
      <w:pPr>
        <w:pStyle w:val="9"/>
        <w:keepNext w:val="0"/>
        <w:keepLines w:val="0"/>
        <w:pageBreakBefore w:val="0"/>
        <w:kinsoku/>
        <w:overflowPunct/>
        <w:topLinePunct/>
        <w:autoSpaceDE/>
        <w:autoSpaceDN/>
        <w:bidi w:val="0"/>
        <w:spacing w:line="460" w:lineRule="exact"/>
        <w:textAlignment w:val="auto"/>
        <w:rPr>
          <w:rFonts w:hint="eastAsia" w:ascii="宋体" w:hAnsi="宋体" w:eastAsia="宋体" w:cs="宋体"/>
          <w:highlight w:val="none"/>
        </w:rPr>
      </w:pPr>
    </w:p>
    <w:p w14:paraId="2C7E74AE">
      <w:pPr>
        <w:keepNext w:val="0"/>
        <w:keepLines w:val="0"/>
        <w:pageBreakBefore w:val="0"/>
        <w:kinsoku/>
        <w:overflowPunct/>
        <w:topLinePunct/>
        <w:autoSpaceDE/>
        <w:autoSpaceDN/>
        <w:bidi w:val="0"/>
        <w:spacing w:line="460" w:lineRule="exact"/>
        <w:textAlignment w:val="auto"/>
        <w:rPr>
          <w:rFonts w:hint="eastAsia" w:ascii="宋体" w:hAnsi="宋体" w:eastAsia="宋体" w:cs="宋体"/>
          <w:highlight w:val="none"/>
        </w:rPr>
      </w:pPr>
    </w:p>
    <w:p w14:paraId="4CE5E3C2">
      <w:pPr>
        <w:keepNext w:val="0"/>
        <w:keepLines w:val="0"/>
        <w:pageBreakBefore w:val="0"/>
        <w:kinsoku/>
        <w:overflowPunct/>
        <w:topLinePunct/>
        <w:autoSpaceDE/>
        <w:autoSpaceDN/>
        <w:bidi w:val="0"/>
        <w:spacing w:line="460" w:lineRule="exact"/>
        <w:ind w:left="0" w:leftChars="0" w:firstLine="0" w:firstLineChars="0"/>
        <w:textAlignment w:val="auto"/>
        <w:rPr>
          <w:rFonts w:hint="eastAsia" w:ascii="宋体" w:hAnsi="宋体" w:eastAsia="宋体" w:cs="宋体"/>
          <w:highlight w:val="none"/>
        </w:rPr>
      </w:pPr>
    </w:p>
    <w:p w14:paraId="61444C20">
      <w:pPr>
        <w:keepNext w:val="0"/>
        <w:keepLines w:val="0"/>
        <w:pageBreakBefore w:val="0"/>
        <w:kinsoku/>
        <w:overflowPunct/>
        <w:topLinePunct/>
        <w:autoSpaceDE/>
        <w:autoSpaceDN/>
        <w:bidi w:val="0"/>
        <w:spacing w:line="460" w:lineRule="exact"/>
        <w:ind w:left="0" w:leftChars="0" w:firstLine="0" w:firstLineChars="0"/>
        <w:textAlignment w:val="auto"/>
        <w:rPr>
          <w:rFonts w:hint="eastAsia" w:ascii="宋体" w:hAnsi="宋体" w:eastAsia="宋体" w:cs="宋体"/>
          <w:highlight w:val="none"/>
        </w:rPr>
      </w:pPr>
    </w:p>
    <w:p w14:paraId="17F81738">
      <w:pPr>
        <w:keepNext w:val="0"/>
        <w:keepLines w:val="0"/>
        <w:pageBreakBefore w:val="0"/>
        <w:kinsoku/>
        <w:overflowPunct/>
        <w:topLinePunct/>
        <w:autoSpaceDE/>
        <w:autoSpaceDN/>
        <w:bidi w:val="0"/>
        <w:spacing w:line="460" w:lineRule="exact"/>
        <w:ind w:left="0" w:leftChars="0" w:firstLine="0" w:firstLineChars="0"/>
        <w:textAlignment w:val="auto"/>
        <w:rPr>
          <w:rFonts w:hint="eastAsia" w:ascii="宋体" w:hAnsi="宋体" w:eastAsia="宋体" w:cs="宋体"/>
          <w:highlight w:val="none"/>
        </w:rPr>
      </w:pPr>
    </w:p>
    <w:p w14:paraId="5FA8F536">
      <w:pPr>
        <w:pStyle w:val="33"/>
        <w:keepNext w:val="0"/>
        <w:keepLines w:val="0"/>
        <w:pageBreakBefore w:val="0"/>
        <w:kinsoku/>
        <w:overflowPunct/>
        <w:topLinePunct/>
        <w:autoSpaceDE/>
        <w:autoSpaceDN/>
        <w:bidi w:val="0"/>
        <w:textAlignment w:val="auto"/>
        <w:rPr>
          <w:rFonts w:hint="eastAsia" w:ascii="宋体" w:hAnsi="宋体" w:eastAsia="宋体" w:cs="宋体"/>
          <w:highlight w:val="none"/>
        </w:rPr>
      </w:pPr>
    </w:p>
    <w:p w14:paraId="0F5D37AA">
      <w:pPr>
        <w:keepNext w:val="0"/>
        <w:keepLines w:val="0"/>
        <w:pageBreakBefore w:val="0"/>
        <w:kinsoku/>
        <w:overflowPunct/>
        <w:topLinePunct/>
        <w:autoSpaceDE/>
        <w:autoSpaceDN/>
        <w:bidi w:val="0"/>
        <w:spacing w:before="165" w:beforeLines="50" w:line="480" w:lineRule="auto"/>
        <w:ind w:left="-198" w:leftChars="-189" w:hanging="199" w:hangingChars="62"/>
        <w:jc w:val="center"/>
        <w:textAlignment w:val="auto"/>
        <w:outlineLvl w:val="9"/>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招标人：威海环晟文旅发展有限公司</w:t>
      </w:r>
    </w:p>
    <w:p w14:paraId="47985D91">
      <w:pPr>
        <w:keepNext w:val="0"/>
        <w:keepLines w:val="0"/>
        <w:pageBreakBefore w:val="0"/>
        <w:kinsoku/>
        <w:overflowPunct/>
        <w:topLinePunct/>
        <w:autoSpaceDE/>
        <w:autoSpaceDN/>
        <w:bidi w:val="0"/>
        <w:spacing w:before="165" w:beforeLines="50" w:line="480" w:lineRule="auto"/>
        <w:ind w:left="-198" w:leftChars="-189" w:hanging="199" w:hangingChars="62"/>
        <w:jc w:val="center"/>
        <w:textAlignment w:val="auto"/>
        <w:outlineLvl w:val="9"/>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lang w:val="en-US" w:eastAsia="zh-CN"/>
        </w:rPr>
        <w:t>代理机构：</w:t>
      </w:r>
      <w:r>
        <w:rPr>
          <w:rFonts w:hint="eastAsia" w:ascii="仿宋" w:hAnsi="仿宋" w:eastAsia="仿宋" w:cs="仿宋"/>
          <w:b/>
          <w:color w:val="auto"/>
          <w:sz w:val="32"/>
          <w:szCs w:val="32"/>
          <w:highlight w:val="none"/>
          <w:lang w:eastAsia="zh-CN"/>
        </w:rPr>
        <w:t>山东瀚泰建设管理有限公司</w:t>
      </w:r>
    </w:p>
    <w:p w14:paraId="132C37D7">
      <w:pPr>
        <w:keepNext w:val="0"/>
        <w:keepLines w:val="0"/>
        <w:pageBreakBefore w:val="0"/>
        <w:kinsoku/>
        <w:overflowPunct/>
        <w:topLinePunct/>
        <w:autoSpaceDE/>
        <w:autoSpaceDN/>
        <w:bidi w:val="0"/>
        <w:spacing w:line="480" w:lineRule="auto"/>
        <w:jc w:val="center"/>
        <w:textAlignment w:val="auto"/>
        <w:rPr>
          <w:rFonts w:hint="eastAsia" w:ascii="宋体" w:hAnsi="宋体" w:eastAsia="宋体" w:cs="宋体"/>
          <w:b/>
          <w:sz w:val="32"/>
          <w:highlight w:val="none"/>
          <w:lang w:val="en-US" w:eastAsia="zh-CN"/>
        </w:rPr>
        <w:sectPr>
          <w:headerReference r:id="rId4" w:type="first"/>
          <w:headerReference r:id="rId3" w:type="default"/>
          <w:footerReference r:id="rId5" w:type="even"/>
          <w:pgSz w:w="11907" w:h="16840"/>
          <w:pgMar w:top="1318" w:right="1020" w:bottom="850" w:left="1134" w:header="1511" w:footer="572" w:gutter="567"/>
          <w:paperSrc w:first="7" w:other="7"/>
          <w:pgBorders>
            <w:top w:val="none" w:sz="0" w:space="0"/>
            <w:left w:val="none" w:sz="0" w:space="0"/>
            <w:bottom w:val="none" w:sz="0" w:space="0"/>
            <w:right w:val="none" w:sz="0" w:space="0"/>
          </w:pgBorders>
          <w:pgNumType w:fmt="decimal"/>
          <w:cols w:space="720" w:num="1"/>
          <w:titlePg/>
          <w:rtlGutter w:val="0"/>
          <w:docGrid w:linePitch="312" w:charSpace="0"/>
        </w:sectPr>
      </w:pPr>
      <w:r>
        <w:rPr>
          <w:rFonts w:hint="eastAsia" w:ascii="仿宋" w:hAnsi="仿宋" w:eastAsia="仿宋" w:cs="仿宋"/>
          <w:b/>
          <w:color w:val="auto"/>
          <w:sz w:val="32"/>
          <w:szCs w:val="32"/>
          <w:highlight w:val="none"/>
          <w:lang w:val="en-US" w:eastAsia="zh-CN"/>
        </w:rPr>
        <w:t>时间：二〇二六年七月</w:t>
      </w:r>
    </w:p>
    <w:sdt>
      <w:sdtPr>
        <w:rPr>
          <w:rFonts w:hint="eastAsia" w:ascii="仿宋" w:hAnsi="仿宋" w:eastAsia="仿宋" w:cs="仿宋"/>
          <w:b/>
          <w:bCs/>
          <w:color w:val="auto"/>
          <w:kern w:val="2"/>
          <w:sz w:val="44"/>
          <w:szCs w:val="44"/>
          <w:highlight w:val="none"/>
          <w:lang w:val="en-US" w:eastAsia="zh-CN" w:bidi="ar-SA"/>
        </w:rPr>
        <w:id w:val="147459276"/>
        <w15:color w:val="DBDBDB"/>
        <w:docPartObj>
          <w:docPartGallery w:val="Table of Contents"/>
          <w:docPartUnique/>
        </w:docPartObj>
      </w:sdtPr>
      <w:sdtEndPr>
        <w:rPr>
          <w:rFonts w:hint="eastAsia" w:ascii="仿宋" w:hAnsi="仿宋" w:eastAsia="仿宋" w:cs="仿宋"/>
          <w:b/>
          <w:bCs/>
          <w:color w:val="auto"/>
          <w:kern w:val="2"/>
          <w:sz w:val="20"/>
          <w:szCs w:val="32"/>
          <w:highlight w:val="none"/>
          <w:lang w:val="en-US" w:eastAsia="zh-CN" w:bidi="ar-SA"/>
        </w:rPr>
      </w:sdtEndPr>
      <w:sdtContent>
        <w:p w14:paraId="1ECB4717">
          <w:pPr>
            <w:pStyle w:val="23"/>
            <w:keepNext w:val="0"/>
            <w:keepLines w:val="0"/>
            <w:pageBreakBefore w:val="0"/>
            <w:kinsoku/>
            <w:overflowPunct/>
            <w:topLinePunct/>
            <w:autoSpaceDE/>
            <w:autoSpaceDN/>
            <w:bidi w:val="0"/>
            <w:spacing w:line="360" w:lineRule="auto"/>
            <w:jc w:val="center"/>
            <w:textAlignment w:val="auto"/>
            <w:rPr>
              <w:rFonts w:hint="eastAsia" w:ascii="仿宋" w:hAnsi="仿宋" w:eastAsia="仿宋" w:cs="仿宋"/>
              <w:b/>
              <w:bCs/>
              <w:color w:val="auto"/>
              <w:sz w:val="44"/>
              <w:szCs w:val="44"/>
              <w:highlight w:val="none"/>
            </w:rPr>
          </w:pPr>
          <w:r>
            <w:rPr>
              <w:rFonts w:hint="eastAsia" w:ascii="仿宋" w:hAnsi="仿宋" w:eastAsia="仿宋" w:cs="仿宋"/>
              <w:b/>
              <w:bCs/>
              <w:color w:val="auto"/>
              <w:kern w:val="0"/>
              <w:sz w:val="44"/>
              <w:szCs w:val="44"/>
              <w:highlight w:val="none"/>
              <w:lang w:val="en-US" w:eastAsia="zh-CN" w:bidi="ar-SA"/>
            </w:rPr>
            <w:t>目  录</w:t>
          </w:r>
        </w:p>
        <w:p w14:paraId="141FEDD1">
          <w:pPr>
            <w:pStyle w:val="21"/>
            <w:keepNext w:val="0"/>
            <w:keepLines w:val="0"/>
            <w:pageBreakBefore w:val="0"/>
            <w:tabs>
              <w:tab w:val="right" w:leader="dot" w:pos="9299"/>
            </w:tabs>
            <w:kinsoku/>
            <w:overflowPunct/>
            <w:topLinePunct/>
            <w:autoSpaceDE/>
            <w:autoSpaceDN/>
            <w:bidi w:val="0"/>
            <w:textAlignment w:val="auto"/>
            <w:rPr>
              <w:rFonts w:hint="eastAsia" w:ascii="仿宋" w:hAnsi="仿宋" w:eastAsia="仿宋" w:cs="仿宋"/>
              <w:color w:val="auto"/>
              <w:sz w:val="30"/>
              <w:szCs w:val="30"/>
              <w:highlight w:val="none"/>
            </w:rPr>
          </w:pPr>
          <w:r>
            <w:rPr>
              <w:rFonts w:hint="eastAsia" w:ascii="仿宋" w:hAnsi="仿宋" w:eastAsia="仿宋" w:cs="仿宋"/>
              <w:b/>
              <w:bCs/>
              <w:color w:val="auto"/>
              <w:kern w:val="2"/>
              <w:sz w:val="36"/>
              <w:szCs w:val="36"/>
              <w:highlight w:val="none"/>
              <w:lang w:val="en-US" w:eastAsia="zh-CN" w:bidi="ar-SA"/>
            </w:rPr>
            <w:fldChar w:fldCharType="begin"/>
          </w:r>
          <w:r>
            <w:rPr>
              <w:rFonts w:hint="eastAsia" w:ascii="仿宋" w:hAnsi="仿宋" w:eastAsia="仿宋" w:cs="仿宋"/>
              <w:b/>
              <w:bCs/>
              <w:color w:val="auto"/>
              <w:kern w:val="2"/>
              <w:sz w:val="36"/>
              <w:szCs w:val="36"/>
              <w:highlight w:val="none"/>
              <w:lang w:val="en-US" w:eastAsia="zh-CN" w:bidi="ar-SA"/>
            </w:rPr>
            <w:instrText xml:space="preserve">TOC \o "1-2" \h \u </w:instrText>
          </w:r>
          <w:r>
            <w:rPr>
              <w:rFonts w:hint="eastAsia" w:ascii="仿宋" w:hAnsi="仿宋" w:eastAsia="仿宋" w:cs="仿宋"/>
              <w:b/>
              <w:bCs/>
              <w:color w:val="auto"/>
              <w:kern w:val="2"/>
              <w:sz w:val="36"/>
              <w:szCs w:val="36"/>
              <w:highlight w:val="none"/>
              <w:lang w:val="en-US" w:eastAsia="zh-CN" w:bidi="ar-SA"/>
            </w:rPr>
            <w:fldChar w:fldCharType="separate"/>
          </w:r>
          <w:r>
            <w:rPr>
              <w:rFonts w:hint="eastAsia" w:ascii="仿宋" w:hAnsi="仿宋" w:eastAsia="仿宋" w:cs="仿宋"/>
              <w:bCs/>
              <w:color w:val="auto"/>
              <w:kern w:val="2"/>
              <w:sz w:val="30"/>
              <w:szCs w:val="30"/>
              <w:highlight w:val="none"/>
              <w:lang w:val="en-US" w:eastAsia="zh-CN" w:bidi="ar-SA"/>
            </w:rPr>
            <w:fldChar w:fldCharType="begin"/>
          </w:r>
          <w:r>
            <w:rPr>
              <w:rFonts w:hint="eastAsia" w:ascii="仿宋" w:hAnsi="仿宋" w:eastAsia="仿宋" w:cs="仿宋"/>
              <w:bCs/>
              <w:color w:val="auto"/>
              <w:kern w:val="2"/>
              <w:sz w:val="30"/>
              <w:szCs w:val="30"/>
              <w:highlight w:val="none"/>
              <w:lang w:val="en-US" w:eastAsia="zh-CN" w:bidi="ar-SA"/>
            </w:rPr>
            <w:instrText xml:space="preserve"> HYPERLINK \l _Toc7017 </w:instrText>
          </w:r>
          <w:r>
            <w:rPr>
              <w:rFonts w:hint="eastAsia" w:ascii="仿宋" w:hAnsi="仿宋" w:eastAsia="仿宋" w:cs="仿宋"/>
              <w:bCs/>
              <w:color w:val="auto"/>
              <w:kern w:val="2"/>
              <w:sz w:val="30"/>
              <w:szCs w:val="30"/>
              <w:highlight w:val="none"/>
              <w:lang w:val="en-US" w:eastAsia="zh-CN" w:bidi="ar-SA"/>
            </w:rPr>
            <w:fldChar w:fldCharType="separate"/>
          </w:r>
          <w:r>
            <w:rPr>
              <w:rFonts w:hint="eastAsia" w:ascii="仿宋" w:hAnsi="仿宋" w:eastAsia="仿宋" w:cs="仿宋"/>
              <w:bCs/>
              <w:color w:val="auto"/>
              <w:kern w:val="0"/>
              <w:sz w:val="30"/>
              <w:szCs w:val="30"/>
              <w:highlight w:val="none"/>
              <w:lang w:val="en-US" w:eastAsia="zh-CN" w:bidi="ar-SA"/>
            </w:rPr>
            <w:t>第一章</w:t>
          </w:r>
          <w:r>
            <w:rPr>
              <w:rFonts w:hint="eastAsia" w:ascii="仿宋" w:hAnsi="仿宋" w:eastAsia="仿宋" w:cs="仿宋"/>
              <w:color w:val="auto"/>
              <w:sz w:val="30"/>
              <w:szCs w:val="30"/>
              <w:highlight w:val="none"/>
              <w:lang w:val="en-US" w:eastAsia="zh-CN"/>
            </w:rPr>
            <w:t xml:space="preserve"> 招标</w:t>
          </w:r>
          <w:r>
            <w:rPr>
              <w:rFonts w:hint="eastAsia" w:ascii="仿宋" w:hAnsi="仿宋" w:eastAsia="仿宋" w:cs="仿宋"/>
              <w:color w:val="auto"/>
              <w:sz w:val="30"/>
              <w:szCs w:val="30"/>
              <w:highlight w:val="none"/>
            </w:rPr>
            <w:t>公告</w:t>
          </w:r>
          <w:r>
            <w:rPr>
              <w:rFonts w:hint="eastAsia" w:ascii="仿宋" w:hAnsi="仿宋" w:eastAsia="仿宋" w:cs="仿宋"/>
              <w:color w:val="auto"/>
              <w:sz w:val="30"/>
              <w:szCs w:val="30"/>
              <w:highlight w:val="none"/>
            </w:rPr>
            <w:tab/>
          </w: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PAGEREF _Toc7017 \h </w:instrText>
          </w:r>
          <w:r>
            <w:rPr>
              <w:rFonts w:hint="eastAsia" w:ascii="仿宋" w:hAnsi="仿宋" w:eastAsia="仿宋" w:cs="仿宋"/>
              <w:color w:val="auto"/>
              <w:sz w:val="30"/>
              <w:szCs w:val="30"/>
              <w:highlight w:val="none"/>
            </w:rPr>
            <w:fldChar w:fldCharType="separate"/>
          </w:r>
          <w:r>
            <w:rPr>
              <w:rFonts w:hint="eastAsia" w:ascii="仿宋" w:hAnsi="仿宋" w:eastAsia="仿宋" w:cs="仿宋"/>
              <w:color w:val="auto"/>
              <w:sz w:val="30"/>
              <w:szCs w:val="30"/>
              <w:highlight w:val="none"/>
            </w:rPr>
            <w:t>1</w:t>
          </w:r>
          <w:r>
            <w:rPr>
              <w:rFonts w:hint="eastAsia" w:ascii="仿宋" w:hAnsi="仿宋" w:eastAsia="仿宋" w:cs="仿宋"/>
              <w:color w:val="auto"/>
              <w:sz w:val="30"/>
              <w:szCs w:val="30"/>
              <w:highlight w:val="none"/>
            </w:rPr>
            <w:fldChar w:fldCharType="end"/>
          </w:r>
          <w:r>
            <w:rPr>
              <w:rFonts w:hint="eastAsia" w:ascii="仿宋" w:hAnsi="仿宋" w:eastAsia="仿宋" w:cs="仿宋"/>
              <w:bCs/>
              <w:color w:val="auto"/>
              <w:kern w:val="2"/>
              <w:sz w:val="30"/>
              <w:szCs w:val="30"/>
              <w:highlight w:val="none"/>
              <w:lang w:val="en-US" w:eastAsia="zh-CN" w:bidi="ar-SA"/>
            </w:rPr>
            <w:fldChar w:fldCharType="end"/>
          </w:r>
        </w:p>
        <w:p w14:paraId="27F1C86B">
          <w:pPr>
            <w:pStyle w:val="22"/>
            <w:keepNext w:val="0"/>
            <w:keepLines w:val="0"/>
            <w:pageBreakBefore w:val="0"/>
            <w:tabs>
              <w:tab w:val="right" w:leader="dot" w:pos="9299"/>
            </w:tabs>
            <w:kinsoku/>
            <w:overflowPunct/>
            <w:topLinePunct/>
            <w:autoSpaceDE/>
            <w:autoSpaceDN/>
            <w:bidi w:val="0"/>
            <w:textAlignment w:val="auto"/>
            <w:rPr>
              <w:rFonts w:hint="eastAsia" w:ascii="仿宋" w:hAnsi="仿宋" w:eastAsia="仿宋" w:cs="仿宋"/>
              <w:color w:val="auto"/>
              <w:sz w:val="30"/>
              <w:szCs w:val="30"/>
              <w:highlight w:val="none"/>
            </w:rPr>
          </w:pPr>
        </w:p>
        <w:p w14:paraId="2C266F92">
          <w:pPr>
            <w:pStyle w:val="21"/>
            <w:keepNext w:val="0"/>
            <w:keepLines w:val="0"/>
            <w:pageBreakBefore w:val="0"/>
            <w:tabs>
              <w:tab w:val="right" w:leader="dot" w:pos="9299"/>
            </w:tabs>
            <w:kinsoku/>
            <w:overflowPunct/>
            <w:topLinePunct/>
            <w:autoSpaceDE/>
            <w:autoSpaceDN/>
            <w:bidi w:val="0"/>
            <w:textAlignment w:val="auto"/>
            <w:rPr>
              <w:rFonts w:hint="eastAsia" w:ascii="仿宋" w:hAnsi="仿宋" w:eastAsia="仿宋" w:cs="仿宋"/>
              <w:color w:val="auto"/>
              <w:sz w:val="30"/>
              <w:szCs w:val="30"/>
              <w:highlight w:val="none"/>
            </w:rPr>
          </w:pPr>
          <w:r>
            <w:rPr>
              <w:rFonts w:hint="eastAsia" w:ascii="仿宋" w:hAnsi="仿宋" w:eastAsia="仿宋" w:cs="仿宋"/>
              <w:bCs/>
              <w:color w:val="auto"/>
              <w:kern w:val="2"/>
              <w:sz w:val="30"/>
              <w:szCs w:val="30"/>
              <w:highlight w:val="none"/>
              <w:lang w:val="en-US" w:eastAsia="zh-CN" w:bidi="ar-SA"/>
            </w:rPr>
            <w:fldChar w:fldCharType="begin"/>
          </w:r>
          <w:r>
            <w:rPr>
              <w:rFonts w:hint="eastAsia" w:ascii="仿宋" w:hAnsi="仿宋" w:eastAsia="仿宋" w:cs="仿宋"/>
              <w:bCs/>
              <w:color w:val="auto"/>
              <w:kern w:val="2"/>
              <w:sz w:val="30"/>
              <w:szCs w:val="30"/>
              <w:highlight w:val="none"/>
              <w:lang w:val="en-US" w:eastAsia="zh-CN" w:bidi="ar-SA"/>
            </w:rPr>
            <w:instrText xml:space="preserve"> HYPERLINK \l _Toc3210 </w:instrText>
          </w:r>
          <w:r>
            <w:rPr>
              <w:rFonts w:hint="eastAsia" w:ascii="仿宋" w:hAnsi="仿宋" w:eastAsia="仿宋" w:cs="仿宋"/>
              <w:bCs/>
              <w:color w:val="auto"/>
              <w:kern w:val="2"/>
              <w:sz w:val="30"/>
              <w:szCs w:val="30"/>
              <w:highlight w:val="none"/>
              <w:lang w:val="en-US" w:eastAsia="zh-CN" w:bidi="ar-SA"/>
            </w:rPr>
            <w:fldChar w:fldCharType="separate"/>
          </w:r>
          <w:r>
            <w:rPr>
              <w:rFonts w:hint="eastAsia" w:ascii="仿宋" w:hAnsi="仿宋" w:eastAsia="仿宋" w:cs="仿宋"/>
              <w:bCs/>
              <w:color w:val="auto"/>
              <w:kern w:val="0"/>
              <w:sz w:val="30"/>
              <w:szCs w:val="30"/>
              <w:highlight w:val="none"/>
              <w:lang w:val="en-US" w:eastAsia="zh-CN" w:bidi="ar-SA"/>
            </w:rPr>
            <w:t>第二章 投标须知</w:t>
          </w:r>
          <w:r>
            <w:rPr>
              <w:rFonts w:hint="eastAsia" w:ascii="仿宋" w:hAnsi="仿宋" w:eastAsia="仿宋" w:cs="仿宋"/>
              <w:color w:val="auto"/>
              <w:sz w:val="30"/>
              <w:szCs w:val="30"/>
              <w:highlight w:val="none"/>
            </w:rPr>
            <w:tab/>
          </w: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PAGEREF _Toc3210 \h </w:instrText>
          </w:r>
          <w:r>
            <w:rPr>
              <w:rFonts w:hint="eastAsia" w:ascii="仿宋" w:hAnsi="仿宋" w:eastAsia="仿宋" w:cs="仿宋"/>
              <w:color w:val="auto"/>
              <w:sz w:val="30"/>
              <w:szCs w:val="30"/>
              <w:highlight w:val="none"/>
            </w:rPr>
            <w:fldChar w:fldCharType="separate"/>
          </w:r>
          <w:r>
            <w:rPr>
              <w:rFonts w:hint="eastAsia" w:ascii="仿宋" w:hAnsi="仿宋" w:eastAsia="仿宋" w:cs="仿宋"/>
              <w:color w:val="auto"/>
              <w:sz w:val="30"/>
              <w:szCs w:val="30"/>
              <w:highlight w:val="none"/>
            </w:rPr>
            <w:t>4</w:t>
          </w:r>
          <w:r>
            <w:rPr>
              <w:rFonts w:hint="eastAsia" w:ascii="仿宋" w:hAnsi="仿宋" w:eastAsia="仿宋" w:cs="仿宋"/>
              <w:color w:val="auto"/>
              <w:sz w:val="30"/>
              <w:szCs w:val="30"/>
              <w:highlight w:val="none"/>
            </w:rPr>
            <w:fldChar w:fldCharType="end"/>
          </w:r>
          <w:r>
            <w:rPr>
              <w:rFonts w:hint="eastAsia" w:ascii="仿宋" w:hAnsi="仿宋" w:eastAsia="仿宋" w:cs="仿宋"/>
              <w:bCs/>
              <w:color w:val="auto"/>
              <w:kern w:val="2"/>
              <w:sz w:val="30"/>
              <w:szCs w:val="30"/>
              <w:highlight w:val="none"/>
              <w:lang w:val="en-US" w:eastAsia="zh-CN" w:bidi="ar-SA"/>
            </w:rPr>
            <w:fldChar w:fldCharType="end"/>
          </w:r>
        </w:p>
        <w:p w14:paraId="3BBA001A">
          <w:pPr>
            <w:pStyle w:val="22"/>
            <w:keepNext w:val="0"/>
            <w:keepLines w:val="0"/>
            <w:pageBreakBefore w:val="0"/>
            <w:tabs>
              <w:tab w:val="right" w:leader="dot" w:pos="9299"/>
            </w:tabs>
            <w:kinsoku/>
            <w:overflowPunct/>
            <w:topLinePunct/>
            <w:autoSpaceDE/>
            <w:autoSpaceDN/>
            <w:bidi w:val="0"/>
            <w:textAlignment w:val="auto"/>
            <w:rPr>
              <w:rFonts w:hint="eastAsia" w:ascii="仿宋" w:hAnsi="仿宋" w:eastAsia="仿宋" w:cs="仿宋"/>
              <w:color w:val="auto"/>
              <w:sz w:val="30"/>
              <w:szCs w:val="30"/>
              <w:highlight w:val="none"/>
            </w:rPr>
          </w:pPr>
        </w:p>
        <w:p w14:paraId="79455381">
          <w:pPr>
            <w:pStyle w:val="21"/>
            <w:keepNext w:val="0"/>
            <w:keepLines w:val="0"/>
            <w:pageBreakBefore w:val="0"/>
            <w:tabs>
              <w:tab w:val="right" w:leader="dot" w:pos="9299"/>
            </w:tabs>
            <w:kinsoku/>
            <w:overflowPunct/>
            <w:topLinePunct/>
            <w:autoSpaceDE/>
            <w:autoSpaceDN/>
            <w:bidi w:val="0"/>
            <w:textAlignment w:val="auto"/>
            <w:rPr>
              <w:rFonts w:hint="eastAsia" w:ascii="仿宋" w:hAnsi="仿宋" w:eastAsia="仿宋" w:cs="仿宋"/>
              <w:color w:val="auto"/>
              <w:sz w:val="30"/>
              <w:szCs w:val="30"/>
              <w:highlight w:val="none"/>
            </w:rPr>
          </w:pPr>
          <w:r>
            <w:rPr>
              <w:rFonts w:hint="eastAsia" w:ascii="仿宋" w:hAnsi="仿宋" w:eastAsia="仿宋" w:cs="仿宋"/>
              <w:bCs/>
              <w:color w:val="auto"/>
              <w:kern w:val="2"/>
              <w:sz w:val="30"/>
              <w:szCs w:val="30"/>
              <w:highlight w:val="none"/>
              <w:lang w:val="en-US" w:eastAsia="zh-CN" w:bidi="ar-SA"/>
            </w:rPr>
            <w:fldChar w:fldCharType="begin"/>
          </w:r>
          <w:r>
            <w:rPr>
              <w:rFonts w:hint="eastAsia" w:ascii="仿宋" w:hAnsi="仿宋" w:eastAsia="仿宋" w:cs="仿宋"/>
              <w:bCs/>
              <w:color w:val="auto"/>
              <w:kern w:val="2"/>
              <w:sz w:val="30"/>
              <w:szCs w:val="30"/>
              <w:highlight w:val="none"/>
              <w:lang w:val="en-US" w:eastAsia="zh-CN" w:bidi="ar-SA"/>
            </w:rPr>
            <w:instrText xml:space="preserve"> HYPERLINK \l _Toc27540 </w:instrText>
          </w:r>
          <w:r>
            <w:rPr>
              <w:rFonts w:hint="eastAsia" w:ascii="仿宋" w:hAnsi="仿宋" w:eastAsia="仿宋" w:cs="仿宋"/>
              <w:bCs/>
              <w:color w:val="auto"/>
              <w:kern w:val="2"/>
              <w:sz w:val="30"/>
              <w:szCs w:val="30"/>
              <w:highlight w:val="none"/>
              <w:lang w:val="en-US" w:eastAsia="zh-CN" w:bidi="ar-SA"/>
            </w:rPr>
            <w:fldChar w:fldCharType="separate"/>
          </w:r>
          <w:r>
            <w:rPr>
              <w:rFonts w:hint="eastAsia" w:ascii="仿宋" w:hAnsi="仿宋" w:eastAsia="仿宋" w:cs="仿宋"/>
              <w:bCs/>
              <w:color w:val="auto"/>
              <w:kern w:val="0"/>
              <w:sz w:val="30"/>
              <w:szCs w:val="30"/>
              <w:highlight w:val="none"/>
              <w:lang w:val="en-US" w:eastAsia="zh-CN" w:bidi="ar-SA"/>
            </w:rPr>
            <w:t>第三章 招标内容与要求</w:t>
          </w:r>
          <w:r>
            <w:rPr>
              <w:rFonts w:hint="eastAsia" w:ascii="仿宋" w:hAnsi="仿宋" w:eastAsia="仿宋" w:cs="仿宋"/>
              <w:color w:val="auto"/>
              <w:sz w:val="30"/>
              <w:szCs w:val="30"/>
              <w:highlight w:val="none"/>
            </w:rPr>
            <w:tab/>
          </w: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PAGEREF _Toc27540 \h </w:instrText>
          </w:r>
          <w:r>
            <w:rPr>
              <w:rFonts w:hint="eastAsia" w:ascii="仿宋" w:hAnsi="仿宋" w:eastAsia="仿宋" w:cs="仿宋"/>
              <w:color w:val="auto"/>
              <w:sz w:val="30"/>
              <w:szCs w:val="30"/>
              <w:highlight w:val="none"/>
            </w:rPr>
            <w:fldChar w:fldCharType="separate"/>
          </w:r>
          <w:r>
            <w:rPr>
              <w:rFonts w:hint="eastAsia" w:ascii="仿宋" w:hAnsi="仿宋" w:eastAsia="仿宋" w:cs="仿宋"/>
              <w:color w:val="auto"/>
              <w:sz w:val="30"/>
              <w:szCs w:val="30"/>
              <w:highlight w:val="none"/>
            </w:rPr>
            <w:t>38</w:t>
          </w:r>
          <w:r>
            <w:rPr>
              <w:rFonts w:hint="eastAsia" w:ascii="仿宋" w:hAnsi="仿宋" w:eastAsia="仿宋" w:cs="仿宋"/>
              <w:color w:val="auto"/>
              <w:sz w:val="30"/>
              <w:szCs w:val="30"/>
              <w:highlight w:val="none"/>
            </w:rPr>
            <w:fldChar w:fldCharType="end"/>
          </w:r>
          <w:r>
            <w:rPr>
              <w:rFonts w:hint="eastAsia" w:ascii="仿宋" w:hAnsi="仿宋" w:eastAsia="仿宋" w:cs="仿宋"/>
              <w:bCs/>
              <w:color w:val="auto"/>
              <w:kern w:val="2"/>
              <w:sz w:val="30"/>
              <w:szCs w:val="30"/>
              <w:highlight w:val="none"/>
              <w:lang w:val="en-US" w:eastAsia="zh-CN" w:bidi="ar-SA"/>
            </w:rPr>
            <w:fldChar w:fldCharType="end"/>
          </w:r>
        </w:p>
        <w:p w14:paraId="19AD5C2F">
          <w:pPr>
            <w:pStyle w:val="22"/>
            <w:keepNext w:val="0"/>
            <w:keepLines w:val="0"/>
            <w:pageBreakBefore w:val="0"/>
            <w:tabs>
              <w:tab w:val="right" w:leader="dot" w:pos="9299"/>
            </w:tabs>
            <w:kinsoku/>
            <w:overflowPunct/>
            <w:topLinePunct/>
            <w:autoSpaceDE/>
            <w:autoSpaceDN/>
            <w:bidi w:val="0"/>
            <w:textAlignment w:val="auto"/>
            <w:rPr>
              <w:rFonts w:hint="eastAsia" w:ascii="仿宋" w:hAnsi="仿宋" w:eastAsia="仿宋" w:cs="仿宋"/>
              <w:color w:val="auto"/>
              <w:sz w:val="30"/>
              <w:szCs w:val="30"/>
              <w:highlight w:val="none"/>
            </w:rPr>
          </w:pPr>
        </w:p>
        <w:p w14:paraId="70B8CE1A">
          <w:pPr>
            <w:pStyle w:val="21"/>
            <w:keepNext w:val="0"/>
            <w:keepLines w:val="0"/>
            <w:pageBreakBefore w:val="0"/>
            <w:tabs>
              <w:tab w:val="right" w:leader="dot" w:pos="9299"/>
            </w:tabs>
            <w:kinsoku/>
            <w:overflowPunct/>
            <w:topLinePunct/>
            <w:autoSpaceDE/>
            <w:autoSpaceDN/>
            <w:bidi w:val="0"/>
            <w:textAlignment w:val="auto"/>
            <w:rPr>
              <w:rFonts w:hint="eastAsia" w:ascii="仿宋" w:hAnsi="仿宋" w:eastAsia="仿宋" w:cs="仿宋"/>
              <w:color w:val="auto"/>
              <w:sz w:val="30"/>
              <w:szCs w:val="30"/>
              <w:highlight w:val="none"/>
            </w:rPr>
          </w:pPr>
          <w:r>
            <w:rPr>
              <w:rFonts w:hint="eastAsia" w:ascii="仿宋" w:hAnsi="仿宋" w:eastAsia="仿宋" w:cs="仿宋"/>
              <w:bCs/>
              <w:color w:val="auto"/>
              <w:kern w:val="2"/>
              <w:sz w:val="30"/>
              <w:szCs w:val="30"/>
              <w:highlight w:val="none"/>
              <w:lang w:val="en-US" w:eastAsia="zh-CN" w:bidi="ar-SA"/>
            </w:rPr>
            <w:fldChar w:fldCharType="begin"/>
          </w:r>
          <w:r>
            <w:rPr>
              <w:rFonts w:hint="eastAsia" w:ascii="仿宋" w:hAnsi="仿宋" w:eastAsia="仿宋" w:cs="仿宋"/>
              <w:bCs/>
              <w:color w:val="auto"/>
              <w:kern w:val="2"/>
              <w:sz w:val="30"/>
              <w:szCs w:val="30"/>
              <w:highlight w:val="none"/>
              <w:lang w:val="en-US" w:eastAsia="zh-CN" w:bidi="ar-SA"/>
            </w:rPr>
            <w:instrText xml:space="preserve"> HYPERLINK \l _Toc6837 </w:instrText>
          </w:r>
          <w:r>
            <w:rPr>
              <w:rFonts w:hint="eastAsia" w:ascii="仿宋" w:hAnsi="仿宋" w:eastAsia="仿宋" w:cs="仿宋"/>
              <w:bCs/>
              <w:color w:val="auto"/>
              <w:kern w:val="2"/>
              <w:sz w:val="30"/>
              <w:szCs w:val="30"/>
              <w:highlight w:val="none"/>
              <w:lang w:val="en-US" w:eastAsia="zh-CN" w:bidi="ar-SA"/>
            </w:rPr>
            <w:fldChar w:fldCharType="separate"/>
          </w:r>
          <w:r>
            <w:rPr>
              <w:rFonts w:hint="eastAsia" w:ascii="仿宋" w:hAnsi="仿宋" w:eastAsia="仿宋" w:cs="仿宋"/>
              <w:bCs/>
              <w:color w:val="auto"/>
              <w:kern w:val="0"/>
              <w:sz w:val="30"/>
              <w:szCs w:val="30"/>
              <w:highlight w:val="none"/>
              <w:lang w:val="en-US" w:eastAsia="zh-CN" w:bidi="ar-SA"/>
            </w:rPr>
            <w:t>第四章 评标原则、程序与方法</w:t>
          </w:r>
          <w:r>
            <w:rPr>
              <w:rFonts w:hint="eastAsia" w:ascii="仿宋" w:hAnsi="仿宋" w:eastAsia="仿宋" w:cs="仿宋"/>
              <w:color w:val="auto"/>
              <w:sz w:val="30"/>
              <w:szCs w:val="30"/>
              <w:highlight w:val="none"/>
            </w:rPr>
            <w:tab/>
          </w: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PAGEREF _Toc6837 \h </w:instrText>
          </w:r>
          <w:r>
            <w:rPr>
              <w:rFonts w:hint="eastAsia" w:ascii="仿宋" w:hAnsi="仿宋" w:eastAsia="仿宋" w:cs="仿宋"/>
              <w:color w:val="auto"/>
              <w:sz w:val="30"/>
              <w:szCs w:val="30"/>
              <w:highlight w:val="none"/>
            </w:rPr>
            <w:fldChar w:fldCharType="separate"/>
          </w:r>
          <w:r>
            <w:rPr>
              <w:rFonts w:hint="eastAsia" w:ascii="仿宋" w:hAnsi="仿宋" w:eastAsia="仿宋" w:cs="仿宋"/>
              <w:color w:val="auto"/>
              <w:sz w:val="30"/>
              <w:szCs w:val="30"/>
              <w:highlight w:val="none"/>
            </w:rPr>
            <w:t>41</w:t>
          </w:r>
          <w:r>
            <w:rPr>
              <w:rFonts w:hint="eastAsia" w:ascii="仿宋" w:hAnsi="仿宋" w:eastAsia="仿宋" w:cs="仿宋"/>
              <w:color w:val="auto"/>
              <w:sz w:val="30"/>
              <w:szCs w:val="30"/>
              <w:highlight w:val="none"/>
            </w:rPr>
            <w:fldChar w:fldCharType="end"/>
          </w:r>
          <w:r>
            <w:rPr>
              <w:rFonts w:hint="eastAsia" w:ascii="仿宋" w:hAnsi="仿宋" w:eastAsia="仿宋" w:cs="仿宋"/>
              <w:bCs/>
              <w:color w:val="auto"/>
              <w:kern w:val="2"/>
              <w:sz w:val="30"/>
              <w:szCs w:val="30"/>
              <w:highlight w:val="none"/>
              <w:lang w:val="en-US" w:eastAsia="zh-CN" w:bidi="ar-SA"/>
            </w:rPr>
            <w:fldChar w:fldCharType="end"/>
          </w:r>
        </w:p>
        <w:p w14:paraId="518AF0FF">
          <w:pPr>
            <w:pStyle w:val="22"/>
            <w:keepNext w:val="0"/>
            <w:keepLines w:val="0"/>
            <w:pageBreakBefore w:val="0"/>
            <w:tabs>
              <w:tab w:val="right" w:leader="dot" w:pos="9299"/>
            </w:tabs>
            <w:kinsoku/>
            <w:overflowPunct/>
            <w:topLinePunct/>
            <w:autoSpaceDE/>
            <w:autoSpaceDN/>
            <w:bidi w:val="0"/>
            <w:textAlignment w:val="auto"/>
            <w:rPr>
              <w:rFonts w:hint="eastAsia" w:ascii="仿宋" w:hAnsi="仿宋" w:eastAsia="仿宋" w:cs="仿宋"/>
              <w:color w:val="auto"/>
              <w:sz w:val="30"/>
              <w:szCs w:val="30"/>
              <w:highlight w:val="none"/>
            </w:rPr>
          </w:pPr>
        </w:p>
        <w:p w14:paraId="50474755">
          <w:pPr>
            <w:pStyle w:val="21"/>
            <w:keepNext w:val="0"/>
            <w:keepLines w:val="0"/>
            <w:pageBreakBefore w:val="0"/>
            <w:tabs>
              <w:tab w:val="right" w:leader="dot" w:pos="9299"/>
            </w:tabs>
            <w:kinsoku/>
            <w:overflowPunct/>
            <w:topLinePunct/>
            <w:autoSpaceDE/>
            <w:autoSpaceDN/>
            <w:bidi w:val="0"/>
            <w:textAlignment w:val="auto"/>
            <w:rPr>
              <w:rFonts w:hint="eastAsia" w:ascii="仿宋" w:hAnsi="仿宋" w:eastAsia="仿宋" w:cs="仿宋"/>
              <w:color w:val="auto"/>
              <w:sz w:val="30"/>
              <w:szCs w:val="30"/>
              <w:highlight w:val="none"/>
            </w:rPr>
          </w:pPr>
          <w:r>
            <w:rPr>
              <w:rFonts w:hint="eastAsia" w:ascii="仿宋" w:hAnsi="仿宋" w:eastAsia="仿宋" w:cs="仿宋"/>
              <w:bCs/>
              <w:color w:val="auto"/>
              <w:kern w:val="2"/>
              <w:sz w:val="30"/>
              <w:szCs w:val="30"/>
              <w:highlight w:val="none"/>
              <w:lang w:val="en-US" w:eastAsia="zh-CN" w:bidi="ar-SA"/>
            </w:rPr>
            <w:fldChar w:fldCharType="begin"/>
          </w:r>
          <w:r>
            <w:rPr>
              <w:rFonts w:hint="eastAsia" w:ascii="仿宋" w:hAnsi="仿宋" w:eastAsia="仿宋" w:cs="仿宋"/>
              <w:bCs/>
              <w:color w:val="auto"/>
              <w:kern w:val="2"/>
              <w:sz w:val="30"/>
              <w:szCs w:val="30"/>
              <w:highlight w:val="none"/>
              <w:lang w:val="en-US" w:eastAsia="zh-CN" w:bidi="ar-SA"/>
            </w:rPr>
            <w:instrText xml:space="preserve"> HYPERLINK \l _Toc18976 </w:instrText>
          </w:r>
          <w:r>
            <w:rPr>
              <w:rFonts w:hint="eastAsia" w:ascii="仿宋" w:hAnsi="仿宋" w:eastAsia="仿宋" w:cs="仿宋"/>
              <w:bCs/>
              <w:color w:val="auto"/>
              <w:kern w:val="2"/>
              <w:sz w:val="30"/>
              <w:szCs w:val="30"/>
              <w:highlight w:val="none"/>
              <w:lang w:val="en-US" w:eastAsia="zh-CN" w:bidi="ar-SA"/>
            </w:rPr>
            <w:fldChar w:fldCharType="separate"/>
          </w:r>
          <w:r>
            <w:rPr>
              <w:rFonts w:hint="eastAsia" w:ascii="仿宋" w:hAnsi="仿宋" w:eastAsia="仿宋" w:cs="仿宋"/>
              <w:bCs/>
              <w:color w:val="auto"/>
              <w:kern w:val="0"/>
              <w:sz w:val="30"/>
              <w:szCs w:val="30"/>
              <w:highlight w:val="none"/>
              <w:lang w:val="en-US" w:eastAsia="zh-CN" w:bidi="ar-SA"/>
            </w:rPr>
            <w:t>第五章 投标文件（格式）</w:t>
          </w:r>
          <w:r>
            <w:rPr>
              <w:rFonts w:hint="eastAsia" w:ascii="仿宋" w:hAnsi="仿宋" w:eastAsia="仿宋" w:cs="仿宋"/>
              <w:color w:val="auto"/>
              <w:sz w:val="30"/>
              <w:szCs w:val="30"/>
              <w:highlight w:val="none"/>
            </w:rPr>
            <w:tab/>
          </w: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PAGEREF _Toc18976 \h </w:instrText>
          </w:r>
          <w:r>
            <w:rPr>
              <w:rFonts w:hint="eastAsia" w:ascii="仿宋" w:hAnsi="仿宋" w:eastAsia="仿宋" w:cs="仿宋"/>
              <w:color w:val="auto"/>
              <w:sz w:val="30"/>
              <w:szCs w:val="30"/>
              <w:highlight w:val="none"/>
            </w:rPr>
            <w:fldChar w:fldCharType="separate"/>
          </w:r>
          <w:r>
            <w:rPr>
              <w:rFonts w:hint="eastAsia" w:ascii="仿宋" w:hAnsi="仿宋" w:eastAsia="仿宋" w:cs="仿宋"/>
              <w:color w:val="auto"/>
              <w:sz w:val="30"/>
              <w:szCs w:val="30"/>
              <w:highlight w:val="none"/>
            </w:rPr>
            <w:t>50</w:t>
          </w:r>
          <w:r>
            <w:rPr>
              <w:rFonts w:hint="eastAsia" w:ascii="仿宋" w:hAnsi="仿宋" w:eastAsia="仿宋" w:cs="仿宋"/>
              <w:color w:val="auto"/>
              <w:sz w:val="30"/>
              <w:szCs w:val="30"/>
              <w:highlight w:val="none"/>
            </w:rPr>
            <w:fldChar w:fldCharType="end"/>
          </w:r>
          <w:r>
            <w:rPr>
              <w:rFonts w:hint="eastAsia" w:ascii="仿宋" w:hAnsi="仿宋" w:eastAsia="仿宋" w:cs="仿宋"/>
              <w:bCs/>
              <w:color w:val="auto"/>
              <w:kern w:val="2"/>
              <w:sz w:val="30"/>
              <w:szCs w:val="30"/>
              <w:highlight w:val="none"/>
              <w:lang w:val="en-US" w:eastAsia="zh-CN" w:bidi="ar-SA"/>
            </w:rPr>
            <w:fldChar w:fldCharType="end"/>
          </w:r>
        </w:p>
        <w:p w14:paraId="1799011A">
          <w:pPr>
            <w:pStyle w:val="22"/>
            <w:keepNext w:val="0"/>
            <w:keepLines w:val="0"/>
            <w:pageBreakBefore w:val="0"/>
            <w:tabs>
              <w:tab w:val="right" w:leader="dot" w:pos="9299"/>
            </w:tabs>
            <w:kinsoku/>
            <w:overflowPunct/>
            <w:topLinePunct/>
            <w:autoSpaceDE/>
            <w:autoSpaceDN/>
            <w:bidi w:val="0"/>
            <w:textAlignment w:val="auto"/>
            <w:rPr>
              <w:rFonts w:hint="eastAsia" w:ascii="仿宋" w:hAnsi="仿宋" w:eastAsia="仿宋" w:cs="仿宋"/>
              <w:color w:val="auto"/>
              <w:sz w:val="30"/>
              <w:szCs w:val="30"/>
              <w:highlight w:val="none"/>
            </w:rPr>
          </w:pPr>
        </w:p>
        <w:p w14:paraId="3B58FDF3">
          <w:pPr>
            <w:pStyle w:val="21"/>
            <w:keepNext w:val="0"/>
            <w:keepLines w:val="0"/>
            <w:pageBreakBefore w:val="0"/>
            <w:tabs>
              <w:tab w:val="right" w:leader="dot" w:pos="9299"/>
            </w:tabs>
            <w:kinsoku/>
            <w:overflowPunct/>
            <w:topLinePunct/>
            <w:autoSpaceDE/>
            <w:autoSpaceDN/>
            <w:bidi w:val="0"/>
            <w:textAlignment w:val="auto"/>
            <w:rPr>
              <w:rFonts w:hint="eastAsia" w:ascii="仿宋" w:hAnsi="仿宋" w:eastAsia="仿宋" w:cs="仿宋"/>
              <w:color w:val="auto"/>
              <w:sz w:val="30"/>
              <w:szCs w:val="30"/>
              <w:highlight w:val="none"/>
            </w:rPr>
          </w:pPr>
          <w:r>
            <w:rPr>
              <w:rFonts w:hint="eastAsia" w:ascii="仿宋" w:hAnsi="仿宋" w:eastAsia="仿宋" w:cs="仿宋"/>
              <w:bCs/>
              <w:color w:val="auto"/>
              <w:kern w:val="2"/>
              <w:sz w:val="30"/>
              <w:szCs w:val="30"/>
              <w:highlight w:val="none"/>
              <w:lang w:val="en-US" w:eastAsia="zh-CN" w:bidi="ar-SA"/>
            </w:rPr>
            <w:fldChar w:fldCharType="begin"/>
          </w:r>
          <w:r>
            <w:rPr>
              <w:rFonts w:hint="eastAsia" w:ascii="仿宋" w:hAnsi="仿宋" w:eastAsia="仿宋" w:cs="仿宋"/>
              <w:bCs/>
              <w:color w:val="auto"/>
              <w:kern w:val="2"/>
              <w:sz w:val="30"/>
              <w:szCs w:val="30"/>
              <w:highlight w:val="none"/>
              <w:lang w:val="en-US" w:eastAsia="zh-CN" w:bidi="ar-SA"/>
            </w:rPr>
            <w:instrText xml:space="preserve"> HYPERLINK \l _Toc30028 </w:instrText>
          </w:r>
          <w:r>
            <w:rPr>
              <w:rFonts w:hint="eastAsia" w:ascii="仿宋" w:hAnsi="仿宋" w:eastAsia="仿宋" w:cs="仿宋"/>
              <w:bCs/>
              <w:color w:val="auto"/>
              <w:kern w:val="2"/>
              <w:sz w:val="30"/>
              <w:szCs w:val="30"/>
              <w:highlight w:val="none"/>
              <w:lang w:val="en-US" w:eastAsia="zh-CN" w:bidi="ar-SA"/>
            </w:rPr>
            <w:fldChar w:fldCharType="separate"/>
          </w:r>
          <w:r>
            <w:rPr>
              <w:rFonts w:hint="eastAsia" w:ascii="仿宋" w:hAnsi="仿宋" w:eastAsia="仿宋" w:cs="仿宋"/>
              <w:bCs/>
              <w:color w:val="auto"/>
              <w:kern w:val="0"/>
              <w:sz w:val="30"/>
              <w:szCs w:val="30"/>
              <w:highlight w:val="none"/>
              <w:lang w:val="en-US" w:eastAsia="zh-CN" w:bidi="ar-SA"/>
            </w:rPr>
            <w:t>第六章 合同（范本）</w:t>
          </w:r>
          <w:r>
            <w:rPr>
              <w:rFonts w:hint="eastAsia" w:ascii="仿宋" w:hAnsi="仿宋" w:eastAsia="仿宋" w:cs="仿宋"/>
              <w:color w:val="auto"/>
              <w:sz w:val="30"/>
              <w:szCs w:val="30"/>
              <w:highlight w:val="none"/>
            </w:rPr>
            <w:tab/>
          </w: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PAGEREF _Toc30028 \h </w:instrText>
          </w:r>
          <w:r>
            <w:rPr>
              <w:rFonts w:hint="eastAsia" w:ascii="仿宋" w:hAnsi="仿宋" w:eastAsia="仿宋" w:cs="仿宋"/>
              <w:color w:val="auto"/>
              <w:sz w:val="30"/>
              <w:szCs w:val="30"/>
              <w:highlight w:val="none"/>
            </w:rPr>
            <w:fldChar w:fldCharType="separate"/>
          </w:r>
          <w:r>
            <w:rPr>
              <w:rFonts w:hint="eastAsia" w:ascii="仿宋" w:hAnsi="仿宋" w:eastAsia="仿宋" w:cs="仿宋"/>
              <w:color w:val="auto"/>
              <w:sz w:val="30"/>
              <w:szCs w:val="30"/>
              <w:highlight w:val="none"/>
            </w:rPr>
            <w:t>69</w:t>
          </w:r>
          <w:r>
            <w:rPr>
              <w:rFonts w:hint="eastAsia" w:ascii="仿宋" w:hAnsi="仿宋" w:eastAsia="仿宋" w:cs="仿宋"/>
              <w:color w:val="auto"/>
              <w:sz w:val="30"/>
              <w:szCs w:val="30"/>
              <w:highlight w:val="none"/>
            </w:rPr>
            <w:fldChar w:fldCharType="end"/>
          </w:r>
          <w:r>
            <w:rPr>
              <w:rFonts w:hint="eastAsia" w:ascii="仿宋" w:hAnsi="仿宋" w:eastAsia="仿宋" w:cs="仿宋"/>
              <w:bCs/>
              <w:color w:val="auto"/>
              <w:kern w:val="2"/>
              <w:sz w:val="30"/>
              <w:szCs w:val="30"/>
              <w:highlight w:val="none"/>
              <w:lang w:val="en-US" w:eastAsia="zh-CN" w:bidi="ar-SA"/>
            </w:rPr>
            <w:fldChar w:fldCharType="end"/>
          </w:r>
        </w:p>
        <w:p w14:paraId="4EBB5710">
          <w:pPr>
            <w:pStyle w:val="21"/>
            <w:keepNext w:val="0"/>
            <w:keepLines w:val="0"/>
            <w:pageBreakBefore w:val="0"/>
            <w:tabs>
              <w:tab w:val="right" w:leader="dot" w:pos="9299"/>
            </w:tabs>
            <w:kinsoku/>
            <w:overflowPunct/>
            <w:topLinePunct/>
            <w:autoSpaceDE/>
            <w:autoSpaceDN/>
            <w:bidi w:val="0"/>
            <w:textAlignment w:val="auto"/>
            <w:rPr>
              <w:rFonts w:hint="eastAsia" w:ascii="仿宋" w:hAnsi="仿宋" w:eastAsia="仿宋" w:cs="仿宋"/>
              <w:color w:val="auto"/>
              <w:sz w:val="36"/>
              <w:szCs w:val="36"/>
              <w:highlight w:val="none"/>
            </w:rPr>
          </w:pPr>
        </w:p>
        <w:p w14:paraId="0F54C512">
          <w:pPr>
            <w:pStyle w:val="23"/>
            <w:keepNext w:val="0"/>
            <w:keepLines w:val="0"/>
            <w:pageBreakBefore w:val="0"/>
            <w:kinsoku/>
            <w:overflowPunct/>
            <w:topLinePunct/>
            <w:autoSpaceDE/>
            <w:autoSpaceDN/>
            <w:bidi w:val="0"/>
            <w:spacing w:line="360" w:lineRule="auto"/>
            <w:textAlignment w:val="auto"/>
            <w:rPr>
              <w:rFonts w:hint="eastAsia" w:ascii="仿宋" w:hAnsi="仿宋" w:eastAsia="仿宋" w:cs="仿宋"/>
              <w:color w:val="auto"/>
              <w:sz w:val="32"/>
              <w:szCs w:val="32"/>
              <w:highlight w:val="none"/>
            </w:rPr>
          </w:pPr>
          <w:r>
            <w:rPr>
              <w:rFonts w:hint="eastAsia" w:ascii="仿宋" w:hAnsi="仿宋" w:eastAsia="仿宋" w:cs="仿宋"/>
              <w:bCs/>
              <w:color w:val="auto"/>
              <w:kern w:val="2"/>
              <w:sz w:val="36"/>
              <w:szCs w:val="36"/>
              <w:highlight w:val="none"/>
              <w:lang w:val="en-US" w:eastAsia="zh-CN" w:bidi="ar-SA"/>
            </w:rPr>
            <w:fldChar w:fldCharType="end"/>
          </w:r>
        </w:p>
      </w:sdtContent>
    </w:sdt>
    <w:p w14:paraId="2A538A48">
      <w:pPr>
        <w:pStyle w:val="23"/>
        <w:keepNext w:val="0"/>
        <w:keepLines w:val="0"/>
        <w:pageBreakBefore w:val="0"/>
        <w:kinsoku/>
        <w:overflowPunct/>
        <w:topLinePunct/>
        <w:autoSpaceDE/>
        <w:autoSpaceDN/>
        <w:bidi w:val="0"/>
        <w:spacing w:line="360" w:lineRule="auto"/>
        <w:textAlignment w:val="auto"/>
        <w:rPr>
          <w:rFonts w:hint="eastAsia" w:ascii="仿宋" w:hAnsi="仿宋" w:eastAsia="仿宋" w:cs="仿宋"/>
          <w:color w:val="auto"/>
          <w:sz w:val="32"/>
          <w:szCs w:val="32"/>
          <w:highlight w:val="none"/>
        </w:rPr>
      </w:pPr>
    </w:p>
    <w:p w14:paraId="39FB4070">
      <w:pPr>
        <w:pStyle w:val="23"/>
        <w:keepNext w:val="0"/>
        <w:keepLines w:val="0"/>
        <w:pageBreakBefore w:val="0"/>
        <w:tabs>
          <w:tab w:val="clear" w:pos="916"/>
          <w:tab w:val="clear" w:pos="2748"/>
          <w:tab w:val="clear" w:pos="4580"/>
          <w:tab w:val="clear" w:pos="6412"/>
          <w:tab w:val="clear" w:pos="8244"/>
          <w:tab w:val="clear" w:pos="10076"/>
          <w:tab w:val="clear" w:pos="11908"/>
          <w:tab w:val="clear" w:pos="13740"/>
        </w:tabs>
        <w:kinsoku/>
        <w:overflowPunct/>
        <w:topLinePunct/>
        <w:autoSpaceDE/>
        <w:autoSpaceDN/>
        <w:bidi w:val="0"/>
        <w:spacing w:line="360" w:lineRule="auto"/>
        <w:jc w:val="center"/>
        <w:textAlignment w:val="auto"/>
        <w:rPr>
          <w:rFonts w:hint="eastAsia" w:ascii="仿宋" w:hAnsi="仿宋" w:eastAsia="仿宋" w:cs="仿宋"/>
          <w:color w:val="auto"/>
          <w:sz w:val="32"/>
          <w:szCs w:val="32"/>
          <w:highlight w:val="none"/>
        </w:rPr>
      </w:pPr>
    </w:p>
    <w:p w14:paraId="55EEC2CE">
      <w:pPr>
        <w:pStyle w:val="23"/>
        <w:keepNext w:val="0"/>
        <w:keepLines w:val="0"/>
        <w:pageBreakBefore w:val="0"/>
        <w:kinsoku/>
        <w:overflowPunct/>
        <w:topLinePunct/>
        <w:autoSpaceDE/>
        <w:autoSpaceDN/>
        <w:bidi w:val="0"/>
        <w:spacing w:line="360" w:lineRule="auto"/>
        <w:textAlignment w:val="auto"/>
        <w:rPr>
          <w:rFonts w:hint="eastAsia" w:ascii="仿宋" w:hAnsi="仿宋" w:eastAsia="仿宋" w:cs="仿宋"/>
          <w:color w:val="auto"/>
          <w:sz w:val="32"/>
          <w:szCs w:val="32"/>
          <w:highlight w:val="none"/>
        </w:rPr>
      </w:pPr>
    </w:p>
    <w:p w14:paraId="1F4B9270">
      <w:pPr>
        <w:pStyle w:val="23"/>
        <w:keepNext w:val="0"/>
        <w:keepLines w:val="0"/>
        <w:pageBreakBefore w:val="0"/>
        <w:kinsoku/>
        <w:overflowPunct/>
        <w:topLinePunct/>
        <w:autoSpaceDE/>
        <w:autoSpaceDN/>
        <w:bidi w:val="0"/>
        <w:spacing w:line="360" w:lineRule="auto"/>
        <w:textAlignment w:val="auto"/>
        <w:rPr>
          <w:rFonts w:hint="eastAsia" w:ascii="仿宋" w:hAnsi="仿宋" w:eastAsia="仿宋" w:cs="仿宋"/>
          <w:color w:val="auto"/>
          <w:sz w:val="32"/>
          <w:szCs w:val="32"/>
          <w:highlight w:val="none"/>
        </w:rPr>
      </w:pPr>
    </w:p>
    <w:p w14:paraId="1134B9AC">
      <w:pPr>
        <w:pStyle w:val="23"/>
        <w:keepNext w:val="0"/>
        <w:keepLines w:val="0"/>
        <w:pageBreakBefore w:val="0"/>
        <w:kinsoku/>
        <w:overflowPunct/>
        <w:topLinePunct/>
        <w:autoSpaceDE/>
        <w:autoSpaceDN/>
        <w:bidi w:val="0"/>
        <w:spacing w:line="360" w:lineRule="auto"/>
        <w:textAlignment w:val="auto"/>
        <w:rPr>
          <w:rFonts w:hint="eastAsia" w:ascii="仿宋" w:hAnsi="仿宋" w:eastAsia="仿宋" w:cs="仿宋"/>
          <w:color w:val="auto"/>
          <w:sz w:val="32"/>
          <w:szCs w:val="32"/>
          <w:highlight w:val="none"/>
        </w:rPr>
      </w:pPr>
    </w:p>
    <w:p w14:paraId="2CAA0B24">
      <w:pPr>
        <w:pStyle w:val="23"/>
        <w:keepNext w:val="0"/>
        <w:keepLines w:val="0"/>
        <w:pageBreakBefore w:val="0"/>
        <w:kinsoku/>
        <w:overflowPunct/>
        <w:topLinePunct/>
        <w:autoSpaceDE/>
        <w:autoSpaceDN/>
        <w:bidi w:val="0"/>
        <w:spacing w:line="360" w:lineRule="auto"/>
        <w:textAlignment w:val="auto"/>
        <w:rPr>
          <w:rFonts w:hint="eastAsia" w:ascii="仿宋" w:hAnsi="仿宋" w:eastAsia="仿宋" w:cs="仿宋"/>
          <w:color w:val="auto"/>
          <w:sz w:val="32"/>
          <w:szCs w:val="32"/>
          <w:highlight w:val="none"/>
        </w:rPr>
      </w:pPr>
    </w:p>
    <w:p w14:paraId="2A48602C">
      <w:pPr>
        <w:keepNext w:val="0"/>
        <w:keepLines w:val="0"/>
        <w:pageBreakBefore w:val="0"/>
        <w:kinsoku/>
        <w:overflowPunct/>
        <w:topLinePunct/>
        <w:autoSpaceDE/>
        <w:autoSpaceDN/>
        <w:bidi w:val="0"/>
        <w:spacing w:line="475" w:lineRule="exact"/>
        <w:ind w:right="140"/>
        <w:textAlignment w:val="auto"/>
        <w:rPr>
          <w:rFonts w:hint="eastAsia" w:ascii="仿宋" w:hAnsi="仿宋" w:eastAsia="仿宋" w:cs="仿宋"/>
          <w:color w:val="auto"/>
          <w:sz w:val="32"/>
          <w:highlight w:val="none"/>
        </w:rPr>
      </w:pPr>
    </w:p>
    <w:p w14:paraId="46EA0853">
      <w:pPr>
        <w:pStyle w:val="7"/>
        <w:keepNext w:val="0"/>
        <w:keepLines w:val="0"/>
        <w:pageBreakBefore w:val="0"/>
        <w:kinsoku/>
        <w:overflowPunct/>
        <w:topLinePunct/>
        <w:autoSpaceDE/>
        <w:autoSpaceDN/>
        <w:bidi w:val="0"/>
        <w:textAlignment w:val="auto"/>
        <w:rPr>
          <w:rFonts w:hint="eastAsia" w:ascii="仿宋" w:hAnsi="仿宋" w:eastAsia="仿宋" w:cs="仿宋"/>
          <w:color w:val="auto"/>
          <w:sz w:val="32"/>
          <w:highlight w:val="none"/>
        </w:rPr>
      </w:pPr>
    </w:p>
    <w:p w14:paraId="3069B900">
      <w:pPr>
        <w:pStyle w:val="7"/>
        <w:keepNext w:val="0"/>
        <w:keepLines w:val="0"/>
        <w:pageBreakBefore w:val="0"/>
        <w:kinsoku/>
        <w:overflowPunct/>
        <w:topLinePunct/>
        <w:autoSpaceDE/>
        <w:autoSpaceDN/>
        <w:bidi w:val="0"/>
        <w:textAlignment w:val="auto"/>
        <w:rPr>
          <w:rFonts w:hint="eastAsia" w:ascii="仿宋" w:hAnsi="仿宋" w:eastAsia="仿宋" w:cs="仿宋"/>
          <w:color w:val="auto"/>
          <w:sz w:val="32"/>
          <w:highlight w:val="none"/>
        </w:rPr>
      </w:pPr>
    </w:p>
    <w:p w14:paraId="0152305C">
      <w:pPr>
        <w:pStyle w:val="7"/>
        <w:keepNext w:val="0"/>
        <w:keepLines w:val="0"/>
        <w:pageBreakBefore w:val="0"/>
        <w:kinsoku/>
        <w:overflowPunct/>
        <w:topLinePunct/>
        <w:autoSpaceDE/>
        <w:autoSpaceDN/>
        <w:bidi w:val="0"/>
        <w:textAlignment w:val="auto"/>
        <w:rPr>
          <w:rFonts w:hint="eastAsia" w:ascii="仿宋" w:hAnsi="仿宋" w:eastAsia="仿宋" w:cs="仿宋"/>
          <w:color w:val="auto"/>
          <w:sz w:val="32"/>
          <w:highlight w:val="none"/>
        </w:rPr>
      </w:pPr>
    </w:p>
    <w:p w14:paraId="6A9BBC13">
      <w:pPr>
        <w:pStyle w:val="7"/>
        <w:keepNext w:val="0"/>
        <w:keepLines w:val="0"/>
        <w:pageBreakBefore w:val="0"/>
        <w:kinsoku/>
        <w:overflowPunct/>
        <w:topLinePunct/>
        <w:autoSpaceDE/>
        <w:autoSpaceDN/>
        <w:bidi w:val="0"/>
        <w:textAlignment w:val="auto"/>
        <w:rPr>
          <w:rFonts w:hint="eastAsia" w:ascii="仿宋" w:hAnsi="仿宋" w:eastAsia="仿宋" w:cs="仿宋"/>
          <w:color w:val="auto"/>
          <w:sz w:val="32"/>
          <w:highlight w:val="none"/>
        </w:rPr>
      </w:pPr>
    </w:p>
    <w:p w14:paraId="2E761F3A">
      <w:pPr>
        <w:pStyle w:val="7"/>
        <w:keepNext w:val="0"/>
        <w:keepLines w:val="0"/>
        <w:pageBreakBefore w:val="0"/>
        <w:kinsoku/>
        <w:overflowPunct/>
        <w:topLinePunct/>
        <w:autoSpaceDE/>
        <w:autoSpaceDN/>
        <w:bidi w:val="0"/>
        <w:textAlignment w:val="auto"/>
        <w:rPr>
          <w:rFonts w:hint="eastAsia" w:ascii="仿宋" w:hAnsi="仿宋" w:eastAsia="仿宋" w:cs="仿宋"/>
          <w:color w:val="auto"/>
          <w:sz w:val="32"/>
          <w:highlight w:val="none"/>
        </w:rPr>
      </w:pPr>
    </w:p>
    <w:p w14:paraId="020BAA1B">
      <w:pPr>
        <w:pStyle w:val="7"/>
        <w:keepNext w:val="0"/>
        <w:keepLines w:val="0"/>
        <w:pageBreakBefore w:val="0"/>
        <w:kinsoku/>
        <w:overflowPunct/>
        <w:topLinePunct/>
        <w:autoSpaceDE/>
        <w:autoSpaceDN/>
        <w:bidi w:val="0"/>
        <w:textAlignment w:val="auto"/>
        <w:rPr>
          <w:rFonts w:hint="eastAsia" w:ascii="仿宋" w:hAnsi="仿宋" w:eastAsia="仿宋" w:cs="仿宋"/>
          <w:color w:val="auto"/>
          <w:sz w:val="32"/>
          <w:highlight w:val="none"/>
        </w:rPr>
      </w:pPr>
    </w:p>
    <w:p w14:paraId="254E914C">
      <w:pPr>
        <w:pStyle w:val="7"/>
        <w:keepNext w:val="0"/>
        <w:keepLines w:val="0"/>
        <w:pageBreakBefore w:val="0"/>
        <w:kinsoku/>
        <w:overflowPunct/>
        <w:topLinePunct/>
        <w:autoSpaceDE/>
        <w:autoSpaceDN/>
        <w:bidi w:val="0"/>
        <w:textAlignment w:val="auto"/>
        <w:rPr>
          <w:rFonts w:hint="eastAsia" w:ascii="仿宋" w:hAnsi="仿宋" w:eastAsia="仿宋" w:cs="仿宋"/>
          <w:color w:val="auto"/>
          <w:sz w:val="32"/>
          <w:highlight w:val="none"/>
        </w:rPr>
      </w:pPr>
    </w:p>
    <w:p w14:paraId="306F3101">
      <w:pPr>
        <w:pStyle w:val="7"/>
        <w:keepNext w:val="0"/>
        <w:keepLines w:val="0"/>
        <w:pageBreakBefore w:val="0"/>
        <w:kinsoku/>
        <w:overflowPunct/>
        <w:topLinePunct/>
        <w:autoSpaceDE/>
        <w:autoSpaceDN/>
        <w:bidi w:val="0"/>
        <w:textAlignment w:val="auto"/>
        <w:rPr>
          <w:rFonts w:hint="eastAsia" w:ascii="仿宋" w:hAnsi="仿宋" w:eastAsia="仿宋" w:cs="仿宋"/>
          <w:color w:val="auto"/>
          <w:sz w:val="32"/>
          <w:highlight w:val="none"/>
        </w:rPr>
      </w:pPr>
    </w:p>
    <w:p w14:paraId="3A1C0FCD">
      <w:pPr>
        <w:pStyle w:val="24"/>
        <w:keepNext w:val="0"/>
        <w:keepLines w:val="0"/>
        <w:pageBreakBefore w:val="0"/>
        <w:numPr>
          <w:ilvl w:val="0"/>
          <w:numId w:val="0"/>
        </w:numPr>
        <w:kinsoku/>
        <w:overflowPunct/>
        <w:topLinePunct/>
        <w:autoSpaceDE/>
        <w:autoSpaceDN/>
        <w:bidi w:val="0"/>
        <w:spacing w:before="100" w:beforeAutospacing="1" w:after="100" w:afterAutospacing="1" w:line="240" w:lineRule="auto"/>
        <w:ind w:left="1440" w:leftChars="0" w:hanging="1440" w:firstLineChars="0"/>
        <w:jc w:val="center"/>
        <w:textAlignment w:val="auto"/>
        <w:rPr>
          <w:rFonts w:hint="eastAsia" w:ascii="仿宋" w:hAnsi="仿宋" w:eastAsia="仿宋" w:cs="仿宋"/>
          <w:b/>
          <w:bCs/>
          <w:color w:val="auto"/>
          <w:kern w:val="0"/>
          <w:sz w:val="40"/>
          <w:szCs w:val="44"/>
          <w:highlight w:val="none"/>
          <w:lang w:val="en-US" w:eastAsia="zh-CN" w:bidi="ar-SA"/>
        </w:rPr>
        <w:sectPr>
          <w:headerReference r:id="rId6" w:type="default"/>
          <w:footerReference r:id="rId7" w:type="default"/>
          <w:pgSz w:w="11906" w:h="16838"/>
          <w:pgMar w:top="1260" w:right="1142" w:bottom="1118" w:left="1324" w:header="567" w:footer="680" w:gutter="0"/>
          <w:pgNumType w:fmt="decimal"/>
          <w:cols w:space="0" w:num="1"/>
          <w:docGrid w:linePitch="312" w:charSpace="0"/>
        </w:sectPr>
      </w:pPr>
      <w:bookmarkStart w:id="1" w:name="_Toc7017"/>
    </w:p>
    <w:p w14:paraId="13DA0F2C">
      <w:pPr>
        <w:pStyle w:val="24"/>
        <w:keepNext w:val="0"/>
        <w:keepLines w:val="0"/>
        <w:pageBreakBefore w:val="0"/>
        <w:numPr>
          <w:ilvl w:val="0"/>
          <w:numId w:val="0"/>
        </w:numPr>
        <w:kinsoku/>
        <w:overflowPunct/>
        <w:topLinePunct/>
        <w:autoSpaceDE/>
        <w:autoSpaceDN/>
        <w:bidi w:val="0"/>
        <w:spacing w:before="100" w:beforeAutospacing="1" w:after="100" w:afterAutospacing="1" w:line="240" w:lineRule="auto"/>
        <w:ind w:left="1440" w:leftChars="0" w:hanging="1440" w:firstLineChars="0"/>
        <w:jc w:val="center"/>
        <w:textAlignment w:val="auto"/>
        <w:rPr>
          <w:rFonts w:hint="eastAsia" w:ascii="仿宋" w:hAnsi="仿宋" w:eastAsia="仿宋" w:cs="仿宋"/>
          <w:color w:val="auto"/>
          <w:sz w:val="48"/>
          <w:szCs w:val="48"/>
          <w:highlight w:val="none"/>
        </w:rPr>
      </w:pPr>
      <w:r>
        <w:rPr>
          <w:rFonts w:hint="eastAsia" w:ascii="仿宋" w:hAnsi="仿宋" w:eastAsia="仿宋" w:cs="仿宋"/>
          <w:b/>
          <w:bCs/>
          <w:color w:val="auto"/>
          <w:kern w:val="0"/>
          <w:sz w:val="48"/>
          <w:szCs w:val="48"/>
          <w:highlight w:val="none"/>
          <w:lang w:val="en-US" w:eastAsia="zh-CN" w:bidi="ar-SA"/>
        </w:rPr>
        <w:t>第一章</w:t>
      </w:r>
      <w:r>
        <w:rPr>
          <w:rFonts w:hint="eastAsia" w:ascii="仿宋" w:hAnsi="仿宋" w:eastAsia="仿宋" w:cs="仿宋"/>
          <w:color w:val="auto"/>
          <w:sz w:val="48"/>
          <w:szCs w:val="48"/>
          <w:highlight w:val="none"/>
          <w:lang w:val="en-US" w:eastAsia="zh-CN"/>
        </w:rPr>
        <w:t xml:space="preserve"> 招标</w:t>
      </w:r>
      <w:r>
        <w:rPr>
          <w:rFonts w:hint="eastAsia" w:ascii="仿宋" w:hAnsi="仿宋" w:eastAsia="仿宋" w:cs="仿宋"/>
          <w:color w:val="auto"/>
          <w:sz w:val="48"/>
          <w:szCs w:val="48"/>
          <w:highlight w:val="none"/>
        </w:rPr>
        <w:t>公告</w:t>
      </w:r>
      <w:bookmarkEnd w:id="1"/>
    </w:p>
    <w:p w14:paraId="757CEB6E">
      <w:pPr>
        <w:pStyle w:val="24"/>
        <w:keepNext w:val="0"/>
        <w:keepLines w:val="0"/>
        <w:pageBreakBefore w:val="0"/>
        <w:kinsoku/>
        <w:overflowPunct/>
        <w:topLinePunct/>
        <w:autoSpaceDE/>
        <w:autoSpaceDN/>
        <w:bidi w:val="0"/>
        <w:jc w:val="center"/>
        <w:textAlignment w:val="auto"/>
        <w:outlineLvl w:val="1"/>
        <w:rPr>
          <w:rFonts w:hint="eastAsia" w:ascii="仿宋" w:hAnsi="仿宋" w:eastAsia="仿宋" w:cs="仿宋"/>
          <w:color w:val="auto"/>
          <w:sz w:val="36"/>
          <w:szCs w:val="36"/>
          <w:highlight w:val="none"/>
        </w:rPr>
      </w:pPr>
      <w:bookmarkStart w:id="2" w:name="_Toc6197"/>
      <w:r>
        <w:rPr>
          <w:rFonts w:hint="eastAsia" w:ascii="仿宋" w:hAnsi="仿宋" w:eastAsia="仿宋" w:cs="仿宋"/>
          <w:color w:val="auto"/>
          <w:sz w:val="36"/>
          <w:szCs w:val="36"/>
          <w:highlight w:val="none"/>
          <w:lang w:val="en-US" w:eastAsia="zh-CN"/>
        </w:rPr>
        <w:t>选定景区物料供应入围单位</w:t>
      </w:r>
      <w:r>
        <w:rPr>
          <w:rFonts w:hint="eastAsia" w:ascii="仿宋" w:hAnsi="仿宋" w:eastAsia="仿宋" w:cs="仿宋"/>
          <w:color w:val="auto"/>
          <w:sz w:val="36"/>
          <w:szCs w:val="36"/>
          <w:highlight w:val="none"/>
          <w:lang w:eastAsia="zh-CN"/>
        </w:rPr>
        <w:t>招标</w:t>
      </w:r>
      <w:r>
        <w:rPr>
          <w:rFonts w:hint="eastAsia" w:ascii="仿宋" w:hAnsi="仿宋" w:eastAsia="仿宋" w:cs="仿宋"/>
          <w:color w:val="auto"/>
          <w:sz w:val="36"/>
          <w:szCs w:val="36"/>
          <w:highlight w:val="none"/>
        </w:rPr>
        <w:t>公告</w:t>
      </w:r>
      <w:bookmarkEnd w:id="2"/>
    </w:p>
    <w:p w14:paraId="3A22FFFA">
      <w:pPr>
        <w:keepNext w:val="0"/>
        <w:keepLines w:val="0"/>
        <w:pageBreakBefore w:val="0"/>
        <w:widowControl w:val="0"/>
        <w:shd w:val="clear"/>
        <w:kinsoku/>
        <w:wordWrap/>
        <w:overflowPunct/>
        <w:topLinePunct/>
        <w:autoSpaceDE/>
        <w:autoSpaceDN/>
        <w:bidi w:val="0"/>
        <w:adjustRightInd/>
        <w:snapToGrid/>
        <w:spacing w:afterLines="50" w:line="360" w:lineRule="auto"/>
        <w:jc w:val="center"/>
        <w:textAlignment w:val="auto"/>
        <w:rPr>
          <w:rFonts w:hint="default"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(采购</w:t>
      </w:r>
      <w:r>
        <w:rPr>
          <w:rFonts w:hint="eastAsia" w:ascii="仿宋" w:hAnsi="仿宋" w:eastAsia="仿宋" w:cs="仿宋"/>
          <w:b/>
          <w:color w:val="auto"/>
          <w:sz w:val="28"/>
          <w:szCs w:val="28"/>
          <w:highlight w:val="none"/>
        </w:rPr>
        <w:t>编号：HSZBFW20260001</w:t>
      </w:r>
      <w:r>
        <w:rPr>
          <w:rFonts w:hint="eastAsia" w:ascii="仿宋" w:hAnsi="仿宋" w:eastAsia="仿宋" w:cs="仿宋"/>
          <w:b/>
          <w:color w:val="auto"/>
          <w:sz w:val="28"/>
          <w:szCs w:val="28"/>
          <w:highlight w:val="none"/>
          <w:lang w:val="en-US" w:eastAsia="zh-CN"/>
        </w:rPr>
        <w:t>)</w:t>
      </w:r>
    </w:p>
    <w:p w14:paraId="21A5638B">
      <w:pPr>
        <w:keepNext w:val="0"/>
        <w:keepLines w:val="0"/>
        <w:pageBreakBefore w:val="0"/>
        <w:widowControl w:val="0"/>
        <w:kinsoku/>
        <w:wordWrap w:val="0"/>
        <w:overflowPunct/>
        <w:topLinePunct/>
        <w:autoSpaceDE/>
        <w:autoSpaceDN/>
        <w:bidi w:val="0"/>
        <w:snapToGrid/>
        <w:spacing w:line="520" w:lineRule="exact"/>
        <w:ind w:firstLine="562" w:firstLineChars="200"/>
        <w:jc w:val="left"/>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一、招标条件</w:t>
      </w:r>
    </w:p>
    <w:p w14:paraId="6B2C6D2B">
      <w:pPr>
        <w:keepNext w:val="0"/>
        <w:keepLines w:val="0"/>
        <w:pageBreakBefore w:val="0"/>
        <w:widowControl w:val="0"/>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本招标项目选定景区物料供应入围单位，招标申请已经相关部门批准，招标人为</w:t>
      </w:r>
      <w:r>
        <w:rPr>
          <w:rFonts w:hint="eastAsia" w:ascii="仿宋" w:hAnsi="仿宋" w:eastAsia="仿宋" w:cs="仿宋"/>
          <w:color w:val="auto"/>
          <w:sz w:val="28"/>
          <w:szCs w:val="28"/>
          <w:highlight w:val="none"/>
          <w:lang w:eastAsia="zh-CN"/>
        </w:rPr>
        <w:t>威海环晟文旅发展有限公司</w:t>
      </w:r>
      <w:r>
        <w:rPr>
          <w:rFonts w:hint="eastAsia" w:ascii="仿宋" w:hAnsi="仿宋" w:eastAsia="仿宋" w:cs="仿宋"/>
          <w:i w:val="0"/>
          <w:iCs w:val="0"/>
          <w:color w:val="auto"/>
          <w:spacing w:val="8"/>
          <w:kern w:val="0"/>
          <w:sz w:val="28"/>
          <w:szCs w:val="28"/>
          <w:highlight w:val="none"/>
          <w:lang w:val="en-US" w:eastAsia="zh-CN"/>
        </w:rPr>
        <w:t>，项目资金来源为自筹，出资比例为100%。项目已具备招标条件，现对该项目进行公开招标。</w:t>
      </w:r>
    </w:p>
    <w:p w14:paraId="7613DEAC">
      <w:pPr>
        <w:keepNext w:val="0"/>
        <w:keepLines w:val="0"/>
        <w:pageBreakBefore w:val="0"/>
        <w:widowControl w:val="0"/>
        <w:kinsoku/>
        <w:wordWrap w:val="0"/>
        <w:overflowPunct/>
        <w:topLinePunct/>
        <w:autoSpaceDE/>
        <w:autoSpaceDN/>
        <w:bidi w:val="0"/>
        <w:snapToGrid/>
        <w:spacing w:line="520" w:lineRule="exact"/>
        <w:ind w:firstLine="562" w:firstLineChars="200"/>
        <w:jc w:val="left"/>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二、项目概况和招标范围</w:t>
      </w:r>
    </w:p>
    <w:p w14:paraId="3EA767D8">
      <w:pPr>
        <w:keepNext w:val="0"/>
        <w:keepLines w:val="0"/>
        <w:pageBreakBefore w:val="0"/>
        <w:widowControl w:val="0"/>
        <w:kinsoku/>
        <w:wordWrap w:val="0"/>
        <w:overflowPunct/>
        <w:topLinePunct/>
        <w:autoSpaceDE/>
        <w:autoSpaceDN/>
        <w:bidi w:val="0"/>
        <w:adjustRightInd w:val="0"/>
        <w:snapToGrid/>
        <w:spacing w:line="520" w:lineRule="exact"/>
        <w:ind w:firstLine="592" w:firstLineChars="200"/>
        <w:jc w:val="left"/>
        <w:textAlignment w:val="auto"/>
        <w:rPr>
          <w:rFonts w:hint="default"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1、项目名称：选定景区物料供应入围单位；</w:t>
      </w:r>
    </w:p>
    <w:p w14:paraId="34B987AC">
      <w:pPr>
        <w:keepNext w:val="0"/>
        <w:keepLines w:val="0"/>
        <w:pageBreakBefore w:val="0"/>
        <w:widowControl w:val="0"/>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2、招标范围：选定2家入围单位，能够根据半月湾景区(包含但不限于环海路、中国油画交易中心等运营项目)日常运营及活动需求，提供各类通用物资、基础物品的供应或租赁服务，并配套仓储管理和紧急补货物流服务，</w:t>
      </w:r>
      <w:r>
        <w:rPr>
          <w:rFonts w:hint="eastAsia" w:ascii="仿宋" w:hAnsi="仿宋" w:eastAsia="仿宋" w:cs="仿宋"/>
          <w:bCs/>
          <w:color w:val="000000" w:themeColor="text1"/>
          <w:spacing w:val="8"/>
          <w:kern w:val="0"/>
          <w:sz w:val="28"/>
          <w:szCs w:val="28"/>
        </w:rPr>
        <w:t>具体要求详见招标文件。</w:t>
      </w:r>
    </w:p>
    <w:p w14:paraId="1F9D75E5">
      <w:pPr>
        <w:keepNext w:val="0"/>
        <w:keepLines w:val="0"/>
        <w:pageBreakBefore w:val="0"/>
        <w:widowControl w:val="0"/>
        <w:kinsoku/>
        <w:wordWrap w:val="0"/>
        <w:overflowPunct/>
        <w:topLinePunct/>
        <w:autoSpaceDE/>
        <w:autoSpaceDN/>
        <w:bidi w:val="0"/>
        <w:snapToGrid/>
        <w:spacing w:line="520" w:lineRule="exact"/>
        <w:ind w:firstLine="562" w:firstLineChars="200"/>
        <w:jc w:val="left"/>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三、投标人资格要求</w:t>
      </w:r>
    </w:p>
    <w:p w14:paraId="6C26B2A6">
      <w:pPr>
        <w:keepNext w:val="0"/>
        <w:keepLines w:val="0"/>
        <w:pageBreakBefore w:val="0"/>
        <w:widowControl w:val="0"/>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1、具有独立承担民事责任的能力；</w:t>
      </w:r>
    </w:p>
    <w:p w14:paraId="29E10EAD">
      <w:pPr>
        <w:keepNext w:val="0"/>
        <w:keepLines w:val="0"/>
        <w:pageBreakBefore w:val="0"/>
        <w:widowControl w:val="0"/>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2、具有良好的商业信誉和健全的财务会计制度；</w:t>
      </w:r>
    </w:p>
    <w:p w14:paraId="7FEC272A">
      <w:pPr>
        <w:keepNext w:val="0"/>
        <w:keepLines w:val="0"/>
        <w:pageBreakBefore w:val="0"/>
        <w:widowControl w:val="0"/>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3、具有依法缴纳税收和社会保障资金的良好记录；</w:t>
      </w:r>
    </w:p>
    <w:p w14:paraId="3176C230">
      <w:pPr>
        <w:keepNext w:val="0"/>
        <w:keepLines w:val="0"/>
        <w:pageBreakBefore w:val="0"/>
        <w:widowControl w:val="0"/>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4、具有履行合同所必需的设备和人员，并能提供优质的服务；</w:t>
      </w:r>
    </w:p>
    <w:p w14:paraId="26265C56">
      <w:pPr>
        <w:keepNext w:val="0"/>
        <w:keepLines w:val="0"/>
        <w:pageBreakBefore w:val="0"/>
        <w:widowControl w:val="0"/>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5、参加本次采购活动前三年内，在经营活动中没有重大违法记录；</w:t>
      </w:r>
    </w:p>
    <w:p w14:paraId="7DAA48C6">
      <w:pPr>
        <w:keepNext w:val="0"/>
        <w:keepLines w:val="0"/>
        <w:pageBreakBefore w:val="0"/>
        <w:widowControl w:val="0"/>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6、投标人、法定代表人、委托代理人未被最高法院列入失信被执行人；</w:t>
      </w:r>
    </w:p>
    <w:p w14:paraId="51432E8E">
      <w:pPr>
        <w:keepNext w:val="0"/>
        <w:keepLines w:val="0"/>
        <w:pageBreakBefore w:val="0"/>
        <w:widowControl w:val="0"/>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7、近一年在“信用中国”或“信用中国（山东）”无严重失信记录；</w:t>
      </w:r>
    </w:p>
    <w:p w14:paraId="0AFAFAAF">
      <w:pPr>
        <w:keepNext w:val="0"/>
        <w:keepLines w:val="0"/>
        <w:pageBreakBefore w:val="0"/>
        <w:widowControl w:val="0"/>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8、法律、行政法规及招标文件规定的其他要求；</w:t>
      </w:r>
    </w:p>
    <w:p w14:paraId="27EC6BB7">
      <w:pPr>
        <w:keepNext w:val="0"/>
        <w:keepLines w:val="0"/>
        <w:pageBreakBefore w:val="0"/>
        <w:widowControl w:val="0"/>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9、本次招标不接受联合体投标。</w:t>
      </w:r>
    </w:p>
    <w:p w14:paraId="564CD7F7">
      <w:pPr>
        <w:keepNext w:val="0"/>
        <w:keepLines w:val="0"/>
        <w:pageBreakBefore w:val="0"/>
        <w:widowControl w:val="0"/>
        <w:kinsoku/>
        <w:wordWrap w:val="0"/>
        <w:overflowPunct/>
        <w:topLinePunct/>
        <w:autoSpaceDE/>
        <w:autoSpaceDN/>
        <w:bidi w:val="0"/>
        <w:snapToGrid/>
        <w:spacing w:line="520" w:lineRule="exact"/>
        <w:ind w:firstLine="562" w:firstLineChars="200"/>
        <w:jc w:val="left"/>
        <w:textAlignment w:val="auto"/>
        <w:outlineLvl w:val="1"/>
        <w:rPr>
          <w:rFonts w:hint="eastAsia" w:ascii="仿宋" w:hAnsi="仿宋" w:eastAsia="仿宋" w:cs="仿宋"/>
          <w:b/>
          <w:bCs/>
          <w:color w:val="auto"/>
          <w:sz w:val="28"/>
          <w:szCs w:val="28"/>
          <w:highlight w:val="none"/>
          <w:lang w:val="en-US" w:eastAsia="zh-CN"/>
        </w:rPr>
      </w:pPr>
      <w:bookmarkStart w:id="3" w:name="_Toc17309"/>
      <w:r>
        <w:rPr>
          <w:rFonts w:hint="eastAsia" w:ascii="仿宋" w:hAnsi="仿宋" w:eastAsia="仿宋" w:cs="仿宋"/>
          <w:b/>
          <w:bCs/>
          <w:color w:val="auto"/>
          <w:sz w:val="28"/>
          <w:szCs w:val="28"/>
          <w:highlight w:val="none"/>
          <w:lang w:val="en-US" w:eastAsia="zh-CN"/>
        </w:rPr>
        <w:t>四、招标文件的获取</w:t>
      </w:r>
    </w:p>
    <w:p w14:paraId="4EDF0F4D">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获取时间：从202</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07</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21</w:t>
      </w:r>
      <w:r>
        <w:rPr>
          <w:rFonts w:hint="eastAsia" w:ascii="仿宋" w:hAnsi="仿宋" w:eastAsia="仿宋" w:cs="仿宋"/>
          <w:color w:val="auto"/>
          <w:sz w:val="28"/>
          <w:szCs w:val="28"/>
          <w:highlight w:val="none"/>
        </w:rPr>
        <w:t>日17时30分到202</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07</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28</w:t>
      </w:r>
      <w:r>
        <w:rPr>
          <w:rFonts w:hint="eastAsia" w:ascii="仿宋" w:hAnsi="仿宋" w:eastAsia="仿宋" w:cs="仿宋"/>
          <w:color w:val="auto"/>
          <w:sz w:val="28"/>
          <w:szCs w:val="28"/>
          <w:highlight w:val="none"/>
        </w:rPr>
        <w:t>日17时30分</w:t>
      </w:r>
      <w:r>
        <w:rPr>
          <w:rFonts w:hint="eastAsia" w:ascii="仿宋" w:hAnsi="仿宋" w:eastAsia="仿宋" w:cs="仿宋"/>
          <w:spacing w:val="8"/>
          <w:kern w:val="0"/>
          <w:sz w:val="28"/>
          <w:szCs w:val="28"/>
        </w:rPr>
        <w:t>（北京时间）</w:t>
      </w:r>
      <w:r>
        <w:rPr>
          <w:rFonts w:hint="eastAsia" w:ascii="仿宋" w:hAnsi="仿宋" w:eastAsia="仿宋" w:cs="仿宋"/>
          <w:spacing w:val="8"/>
          <w:kern w:val="0"/>
          <w:sz w:val="28"/>
          <w:szCs w:val="28"/>
          <w:lang w:eastAsia="zh-CN"/>
        </w:rPr>
        <w:t>。</w:t>
      </w:r>
    </w:p>
    <w:p w14:paraId="41801446">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获取方式：登录“威海市公共资源交易网”首页右侧“交易服务一网通办系统</w:t>
      </w:r>
      <w:r>
        <w:rPr>
          <w:rFonts w:hint="eastAsia" w:ascii="仿宋" w:hAnsi="仿宋" w:eastAsia="仿宋" w:cs="仿宋"/>
          <w:spacing w:val="8"/>
          <w:kern w:val="0"/>
          <w:sz w:val="28"/>
          <w:szCs w:val="28"/>
        </w:rPr>
        <w:t>-（新版）一网通办系统</w:t>
      </w:r>
      <w:r>
        <w:rPr>
          <w:rFonts w:hint="eastAsia" w:ascii="仿宋" w:hAnsi="仿宋" w:eastAsia="仿宋" w:cs="仿宋"/>
          <w:color w:val="auto"/>
          <w:sz w:val="28"/>
          <w:szCs w:val="28"/>
          <w:highlight w:val="none"/>
        </w:rPr>
        <w:t>”进行“平台切换”点击“国企采购”进入国企阳光采购平台获取文件(网址：http://ggzyjy</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weihai</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cn/)。逾期无法从威海市国有企业阳光采购服务平台中获取文件，未在规定时间内从系统中获取招标文件的报价单位将无法提交电子投标（响应）文件。交易服务一网通办系统技术支持电话：4009980000（受理问题：系统登录、CA锁绑定、平台切换），一网通办技术支持QQ群：1143439694；CA锁办理咨询电话：0631-5172975；国企采购技术支持电话：17863029936，国企采购技术支持QQ群（报价单位）：1046971257。</w:t>
      </w:r>
    </w:p>
    <w:p w14:paraId="681599E0">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bookmarkEnd w:id="3"/>
    <w:p w14:paraId="7A1C2F88">
      <w:pPr>
        <w:keepNext w:val="0"/>
        <w:keepLines w:val="0"/>
        <w:pageBreakBefore w:val="0"/>
        <w:widowControl w:val="0"/>
        <w:kinsoku/>
        <w:wordWrap w:val="0"/>
        <w:overflowPunct/>
        <w:topLinePunct/>
        <w:autoSpaceDE/>
        <w:autoSpaceDN/>
        <w:bidi w:val="0"/>
        <w:snapToGrid/>
        <w:spacing w:line="520" w:lineRule="exact"/>
        <w:ind w:firstLine="562" w:firstLineChars="200"/>
        <w:jc w:val="left"/>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五、投标文件的提交</w:t>
      </w:r>
    </w:p>
    <w:p w14:paraId="577BFC27">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递交截止时间:202</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08</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03</w:t>
      </w: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lang w:val="en-US" w:eastAsia="zh-CN"/>
        </w:rPr>
        <w:t>14</w:t>
      </w:r>
      <w:r>
        <w:rPr>
          <w:rFonts w:hint="eastAsia" w:ascii="仿宋" w:hAnsi="仿宋" w:eastAsia="仿宋" w:cs="仿宋"/>
          <w:color w:val="auto"/>
          <w:sz w:val="28"/>
          <w:szCs w:val="28"/>
          <w:highlight w:val="none"/>
        </w:rPr>
        <w:t>时00分</w:t>
      </w:r>
    </w:p>
    <w:p w14:paraId="5EB68590">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提交方式：登录“威海市公共资源交易网”首页右侧“交易服务一网通办系统-（新版）一网通办系统”进行“平台切换”点击“国企采购”进入国企阳光采购平台进行提交。报价单位对网上提交的响应文件应加密，在开标会上使用数字证书（CA）进行解密（可远程在线参与开标解密），才能读取或导入响应文件。</w:t>
      </w:r>
    </w:p>
    <w:p w14:paraId="6CC41773">
      <w:pPr>
        <w:keepNext w:val="0"/>
        <w:keepLines w:val="0"/>
        <w:pageBreakBefore w:val="0"/>
        <w:widowControl w:val="0"/>
        <w:kinsoku/>
        <w:wordWrap w:val="0"/>
        <w:overflowPunct/>
        <w:topLinePunct/>
        <w:autoSpaceDE/>
        <w:autoSpaceDN/>
        <w:bidi w:val="0"/>
        <w:snapToGrid/>
        <w:spacing w:line="520" w:lineRule="exact"/>
        <w:ind w:firstLine="562" w:firstLineChars="200"/>
        <w:jc w:val="left"/>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六、开标时间及地点</w:t>
      </w:r>
    </w:p>
    <w:p w14:paraId="018557AF">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开标时间：202</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08</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03</w:t>
      </w: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lang w:val="en-US" w:eastAsia="zh-CN"/>
        </w:rPr>
        <w:t>14</w:t>
      </w:r>
      <w:r>
        <w:rPr>
          <w:rFonts w:hint="eastAsia" w:ascii="仿宋" w:hAnsi="仿宋" w:eastAsia="仿宋" w:cs="仿宋"/>
          <w:color w:val="auto"/>
          <w:sz w:val="28"/>
          <w:szCs w:val="28"/>
          <w:highlight w:val="none"/>
        </w:rPr>
        <w:t>时00分</w:t>
      </w:r>
    </w:p>
    <w:p w14:paraId="10F791A9">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开标地点：威海市公共资源交易中心交易</w:t>
      </w:r>
      <w:r>
        <w:rPr>
          <w:rFonts w:hint="eastAsia" w:ascii="仿宋" w:hAnsi="仿宋" w:eastAsia="仿宋" w:cs="仿宋"/>
          <w:color w:val="auto"/>
          <w:sz w:val="28"/>
          <w:szCs w:val="28"/>
          <w:highlight w:val="none"/>
          <w:lang w:val="en-US" w:eastAsia="zh-CN"/>
        </w:rPr>
        <w:t>十</w:t>
      </w:r>
      <w:r>
        <w:rPr>
          <w:rFonts w:hint="eastAsia" w:ascii="仿宋" w:hAnsi="仿宋" w:eastAsia="仿宋" w:cs="仿宋"/>
          <w:color w:val="auto"/>
          <w:sz w:val="28"/>
          <w:szCs w:val="28"/>
          <w:highlight w:val="none"/>
        </w:rPr>
        <w:t>厅（威海市环翠区塔山中路317号）。</w:t>
      </w:r>
    </w:p>
    <w:p w14:paraId="635BF8E6">
      <w:pPr>
        <w:keepNext w:val="0"/>
        <w:keepLines w:val="0"/>
        <w:pageBreakBefore w:val="0"/>
        <w:widowControl w:val="0"/>
        <w:kinsoku/>
        <w:wordWrap w:val="0"/>
        <w:overflowPunct/>
        <w:topLinePunct/>
        <w:autoSpaceDE/>
        <w:autoSpaceDN/>
        <w:bidi w:val="0"/>
        <w:snapToGrid/>
        <w:spacing w:line="520" w:lineRule="exact"/>
        <w:ind w:firstLine="562" w:firstLineChars="200"/>
        <w:jc w:val="left"/>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七、发布公告的媒介</w:t>
      </w:r>
      <w:bookmarkStart w:id="45" w:name="_GoBack"/>
      <w:bookmarkEnd w:id="45"/>
    </w:p>
    <w:p w14:paraId="45F0257D">
      <w:pPr>
        <w:keepNext w:val="0"/>
        <w:keepLines w:val="0"/>
        <w:pageBreakBefore w:val="0"/>
        <w:widowControl w:val="0"/>
        <w:kinsoku/>
        <w:wordWrap w:val="0"/>
        <w:overflowPunct/>
        <w:topLinePunct/>
        <w:autoSpaceDE/>
        <w:autoSpaceDN/>
        <w:bidi w:val="0"/>
        <w:adjustRightInd/>
        <w:snapToGrid/>
        <w:spacing w:line="52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本次公告在威海市公共资源交易网（http://ggzyjy.weihai.cn/）</w:t>
      </w:r>
      <w:r>
        <w:rPr>
          <w:rFonts w:hint="eastAsia" w:ascii="仿宋_GB2312" w:hAnsi="微软雅黑" w:eastAsia="仿宋_GB2312" w:cs="宋体"/>
          <w:spacing w:val="8"/>
          <w:kern w:val="0"/>
          <w:sz w:val="28"/>
          <w:szCs w:val="28"/>
          <w:lang w:eastAsia="zh-CN"/>
        </w:rPr>
        <w:t>、</w:t>
      </w:r>
      <w:r>
        <w:rPr>
          <w:rFonts w:hint="eastAsia" w:ascii="仿宋" w:hAnsi="仿宋" w:eastAsia="仿宋" w:cs="仿宋"/>
          <w:color w:val="auto"/>
          <w:sz w:val="28"/>
          <w:szCs w:val="28"/>
          <w:highlight w:val="none"/>
          <w:lang w:val="en-US" w:eastAsia="zh-CN"/>
        </w:rPr>
        <w:t>中国招标投标公共服务平台（www.cebpubservice.com）发布。</w:t>
      </w:r>
    </w:p>
    <w:p w14:paraId="0AFFEB39">
      <w:pPr>
        <w:keepNext w:val="0"/>
        <w:keepLines w:val="0"/>
        <w:pageBreakBefore w:val="0"/>
        <w:widowControl w:val="0"/>
        <w:kinsoku/>
        <w:wordWrap w:val="0"/>
        <w:overflowPunct/>
        <w:topLinePunct/>
        <w:autoSpaceDE/>
        <w:autoSpaceDN/>
        <w:bidi w:val="0"/>
        <w:snapToGrid/>
        <w:spacing w:line="520" w:lineRule="exact"/>
        <w:ind w:firstLine="562" w:firstLineChars="200"/>
        <w:jc w:val="left"/>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八、其它补充事宜</w:t>
      </w:r>
    </w:p>
    <w:p w14:paraId="2F5FE943">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本项目实行全流程电子化，提交投标文件截止时间前，随时关注威海市公共资源交易网（变更公告栏）内变更提醒。</w:t>
      </w:r>
    </w:p>
    <w:p w14:paraId="63000FE5">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自行准备电脑，提前在个人电脑上进行测试确保音频、视频功能、CA签章功能可正常使用。投标人不到现场参与开评标，但应保持通讯畅通，因通讯不畅造成的一切后果由投标人自行承担；投标人提前熟悉交易系统（国企采购报价单位操作手册网址：https://ggzyjy.weihai.cn/bszn/005005/20260109/eb4ba418-4b35-4f05-aa69-44fd7d8a7ffb.html），通过交易系统线上参加开标活动，不熟悉系统操作产生的风险由投标人承担。</w:t>
      </w:r>
    </w:p>
    <w:p w14:paraId="578CE359">
      <w:pPr>
        <w:keepNext w:val="0"/>
        <w:keepLines w:val="0"/>
        <w:pageBreakBefore w:val="0"/>
        <w:widowControl w:val="0"/>
        <w:kinsoku/>
        <w:wordWrap w:val="0"/>
        <w:overflowPunct/>
        <w:topLinePunct/>
        <w:autoSpaceDE/>
        <w:autoSpaceDN/>
        <w:bidi w:val="0"/>
        <w:snapToGrid/>
        <w:spacing w:line="520" w:lineRule="exact"/>
        <w:ind w:firstLine="562" w:firstLineChars="200"/>
        <w:jc w:val="left"/>
        <w:textAlignment w:val="auto"/>
        <w:outlineLvl w:val="1"/>
        <w:rPr>
          <w:rFonts w:hint="eastAsia" w:ascii="仿宋" w:hAnsi="仿宋" w:eastAsia="仿宋" w:cs="仿宋"/>
          <w:b/>
          <w:bCs/>
          <w:color w:val="auto"/>
          <w:sz w:val="28"/>
          <w:szCs w:val="28"/>
          <w:highlight w:val="none"/>
        </w:rPr>
      </w:pPr>
      <w:bookmarkStart w:id="4" w:name="_Toc23324"/>
      <w:r>
        <w:rPr>
          <w:rFonts w:hint="eastAsia" w:ascii="仿宋" w:hAnsi="仿宋" w:eastAsia="仿宋" w:cs="仿宋"/>
          <w:b/>
          <w:bCs/>
          <w:color w:val="auto"/>
          <w:sz w:val="28"/>
          <w:szCs w:val="28"/>
          <w:highlight w:val="none"/>
          <w:lang w:val="en-US" w:eastAsia="zh-CN"/>
        </w:rPr>
        <w:t>九</w:t>
      </w:r>
      <w:r>
        <w:rPr>
          <w:rFonts w:hint="eastAsia" w:ascii="仿宋" w:hAnsi="仿宋" w:eastAsia="仿宋" w:cs="仿宋"/>
          <w:b/>
          <w:bCs/>
          <w:color w:val="auto"/>
          <w:sz w:val="28"/>
          <w:szCs w:val="28"/>
          <w:highlight w:val="none"/>
        </w:rPr>
        <w:t>、</w:t>
      </w:r>
      <w:bookmarkEnd w:id="4"/>
      <w:r>
        <w:rPr>
          <w:rFonts w:hint="eastAsia" w:ascii="仿宋" w:hAnsi="仿宋" w:eastAsia="仿宋" w:cs="仿宋"/>
          <w:b/>
          <w:bCs/>
          <w:color w:val="auto"/>
          <w:sz w:val="28"/>
          <w:szCs w:val="28"/>
          <w:highlight w:val="none"/>
        </w:rPr>
        <w:t>联系方式</w:t>
      </w:r>
    </w:p>
    <w:p w14:paraId="63500075">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招标人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威海环晟文旅发展有限公司</w:t>
      </w:r>
    </w:p>
    <w:p w14:paraId="1F1FF6A7">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lang w:eastAsia="zh-CN"/>
        </w:rPr>
        <w:t>威海市环翠区嵩山路106-2号2层3单元</w:t>
      </w:r>
    </w:p>
    <w:p w14:paraId="1F792B7A">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val="en-US" w:eastAsia="zh-CN"/>
        </w:rPr>
        <w:t>毕亚男</w:t>
      </w:r>
    </w:p>
    <w:p w14:paraId="7F076037">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联系方式：0631-5813181</w:t>
      </w:r>
    </w:p>
    <w:p w14:paraId="11F19592">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招标代理机构</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山东瀚泰建设管理有限公司</w:t>
      </w:r>
    </w:p>
    <w:p w14:paraId="52CC28BC">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址：威海市华田世昌名都-B区11号楼211室</w:t>
      </w:r>
    </w:p>
    <w:p w14:paraId="468DB4B7">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联系人：</w:t>
      </w:r>
      <w:r>
        <w:rPr>
          <w:rFonts w:hint="eastAsia" w:ascii="仿宋" w:hAnsi="仿宋" w:eastAsia="仿宋" w:cs="仿宋"/>
          <w:sz w:val="28"/>
          <w:szCs w:val="28"/>
        </w:rPr>
        <w:t>唐园园  崔祉毓</w:t>
      </w:r>
    </w:p>
    <w:p w14:paraId="45B3F3BA">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联系方式：0631-5866369</w:t>
      </w:r>
    </w:p>
    <w:p w14:paraId="72B1B391">
      <w:pPr>
        <w:keepNext w:val="0"/>
        <w:keepLines w:val="0"/>
        <w:pageBreakBefore w:val="0"/>
        <w:widowControl w:val="0"/>
        <w:kinsoku/>
        <w:wordWrap w:val="0"/>
        <w:overflowPunct/>
        <w:topLinePunct/>
        <w:autoSpaceDE/>
        <w:autoSpaceDN/>
        <w:bidi w:val="0"/>
        <w:snapToGrid/>
        <w:spacing w:line="52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电子邮箱：</w:t>
      </w:r>
      <w:r>
        <w:rPr>
          <w:rFonts w:hint="eastAsia" w:ascii="仿宋" w:hAnsi="仿宋" w:eastAsia="仿宋" w:cs="仿宋"/>
          <w:color w:val="auto"/>
          <w:sz w:val="28"/>
          <w:szCs w:val="28"/>
          <w:highlight w:val="none"/>
          <w:lang w:val="en-US" w:eastAsia="zh-CN"/>
        </w:rPr>
        <w:t>whhtgc@163.com</w:t>
      </w:r>
    </w:p>
    <w:p w14:paraId="29CC87F9">
      <w:pPr>
        <w:keepNext w:val="0"/>
        <w:keepLines w:val="0"/>
        <w:pageBreakBefore w:val="0"/>
        <w:kinsoku/>
        <w:wordWrap/>
        <w:overflowPunct/>
        <w:topLinePunct/>
        <w:autoSpaceDE/>
        <w:autoSpaceDN/>
        <w:bidi w:val="0"/>
        <w:snapToGrid/>
        <w:spacing w:line="520" w:lineRule="exact"/>
        <w:jc w:val="righ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发布人：</w:t>
      </w:r>
      <w:r>
        <w:rPr>
          <w:rFonts w:hint="eastAsia" w:ascii="仿宋" w:hAnsi="仿宋" w:eastAsia="仿宋" w:cs="仿宋"/>
          <w:color w:val="auto"/>
          <w:sz w:val="28"/>
          <w:szCs w:val="28"/>
          <w:highlight w:val="none"/>
          <w:lang w:eastAsia="zh-CN"/>
        </w:rPr>
        <w:t>山东瀚泰建设管理有限公司</w:t>
      </w:r>
      <w:r>
        <w:rPr>
          <w:rFonts w:hint="eastAsia" w:ascii="仿宋" w:hAnsi="仿宋" w:eastAsia="仿宋" w:cs="仿宋"/>
          <w:color w:val="auto"/>
          <w:sz w:val="28"/>
          <w:szCs w:val="28"/>
          <w:highlight w:val="none"/>
        </w:rPr>
        <w:t xml:space="preserve"> </w:t>
      </w:r>
    </w:p>
    <w:p w14:paraId="017876FC">
      <w:pPr>
        <w:keepNext w:val="0"/>
        <w:keepLines w:val="0"/>
        <w:pageBreakBefore w:val="0"/>
        <w:widowControl/>
        <w:kinsoku/>
        <w:wordWrap/>
        <w:overflowPunct/>
        <w:topLinePunct/>
        <w:autoSpaceDE/>
        <w:autoSpaceDN/>
        <w:bidi w:val="0"/>
        <w:adjustRightInd w:val="0"/>
        <w:snapToGrid/>
        <w:spacing w:line="520" w:lineRule="exact"/>
        <w:ind w:left="-240"/>
        <w:jc w:val="righ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发布时间：202</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07</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21</w:t>
      </w:r>
      <w:r>
        <w:rPr>
          <w:rFonts w:hint="eastAsia" w:ascii="仿宋" w:hAnsi="仿宋" w:eastAsia="仿宋" w:cs="仿宋"/>
          <w:color w:val="auto"/>
          <w:sz w:val="28"/>
          <w:szCs w:val="28"/>
          <w:highlight w:val="none"/>
        </w:rPr>
        <w:t>日</w:t>
      </w:r>
    </w:p>
    <w:p w14:paraId="7C14F584">
      <w:pPr>
        <w:pStyle w:val="23"/>
        <w:keepNext w:val="0"/>
        <w:keepLines w:val="0"/>
        <w:pageBreakBefore w:val="0"/>
        <w:kinsoku/>
        <w:overflowPunct/>
        <w:topLinePunct/>
        <w:autoSpaceDE/>
        <w:autoSpaceDN/>
        <w:bidi w:val="0"/>
        <w:spacing w:line="530" w:lineRule="exact"/>
        <w:textAlignment w:val="auto"/>
        <w:rPr>
          <w:rFonts w:hint="eastAsia" w:ascii="仿宋" w:hAnsi="仿宋" w:eastAsia="仿宋" w:cs="仿宋"/>
          <w:color w:val="auto"/>
          <w:sz w:val="24"/>
          <w:szCs w:val="24"/>
          <w:highlight w:val="none"/>
        </w:rPr>
      </w:pPr>
    </w:p>
    <w:p w14:paraId="3926F362">
      <w:pPr>
        <w:pStyle w:val="23"/>
        <w:keepNext w:val="0"/>
        <w:keepLines w:val="0"/>
        <w:pageBreakBefore w:val="0"/>
        <w:kinsoku/>
        <w:overflowPunct/>
        <w:topLinePunct/>
        <w:autoSpaceDE/>
        <w:autoSpaceDN/>
        <w:bidi w:val="0"/>
        <w:spacing w:line="530" w:lineRule="exact"/>
        <w:textAlignment w:val="auto"/>
        <w:rPr>
          <w:rFonts w:hint="eastAsia" w:ascii="仿宋" w:hAnsi="仿宋" w:eastAsia="仿宋" w:cs="仿宋"/>
          <w:color w:val="auto"/>
          <w:sz w:val="24"/>
          <w:szCs w:val="24"/>
          <w:highlight w:val="none"/>
        </w:rPr>
        <w:sectPr>
          <w:footerReference r:id="rId8" w:type="default"/>
          <w:pgSz w:w="11906" w:h="16838"/>
          <w:pgMar w:top="1260" w:right="1142" w:bottom="1118" w:left="1324" w:header="454" w:footer="680" w:gutter="0"/>
          <w:pgNumType w:fmt="decimal" w:start="1"/>
          <w:cols w:space="0" w:num="1"/>
          <w:docGrid w:linePitch="312" w:charSpace="0"/>
        </w:sectPr>
      </w:pPr>
    </w:p>
    <w:p w14:paraId="5404760B">
      <w:pPr>
        <w:pStyle w:val="24"/>
        <w:keepNext w:val="0"/>
        <w:keepLines w:val="0"/>
        <w:pageBreakBefore w:val="0"/>
        <w:numPr>
          <w:ilvl w:val="0"/>
          <w:numId w:val="0"/>
        </w:numPr>
        <w:kinsoku/>
        <w:overflowPunct/>
        <w:topLinePunct/>
        <w:autoSpaceDE/>
        <w:autoSpaceDN/>
        <w:bidi w:val="0"/>
        <w:spacing w:before="100" w:beforeAutospacing="1" w:after="100" w:afterAutospacing="1" w:line="240" w:lineRule="auto"/>
        <w:ind w:left="1440" w:leftChars="0" w:hanging="1440" w:firstLineChars="0"/>
        <w:jc w:val="center"/>
        <w:textAlignment w:val="auto"/>
        <w:rPr>
          <w:rFonts w:hint="eastAsia" w:ascii="仿宋" w:hAnsi="仿宋" w:eastAsia="仿宋" w:cs="仿宋"/>
          <w:b/>
          <w:bCs/>
          <w:color w:val="auto"/>
          <w:kern w:val="0"/>
          <w:sz w:val="48"/>
          <w:szCs w:val="48"/>
          <w:highlight w:val="none"/>
          <w:lang w:val="en-US" w:eastAsia="zh-CN" w:bidi="ar-SA"/>
        </w:rPr>
      </w:pPr>
      <w:bookmarkStart w:id="5" w:name="_Toc13991"/>
      <w:bookmarkStart w:id="6" w:name="_Toc3210"/>
      <w:r>
        <w:rPr>
          <w:rFonts w:hint="eastAsia" w:ascii="仿宋" w:hAnsi="仿宋" w:eastAsia="仿宋" w:cs="仿宋"/>
          <w:b/>
          <w:bCs/>
          <w:color w:val="auto"/>
          <w:kern w:val="0"/>
          <w:sz w:val="48"/>
          <w:szCs w:val="48"/>
          <w:highlight w:val="none"/>
          <w:lang w:val="en-US" w:eastAsia="zh-CN" w:bidi="ar-SA"/>
        </w:rPr>
        <w:t xml:space="preserve">第二章 </w:t>
      </w:r>
      <w:bookmarkEnd w:id="5"/>
      <w:r>
        <w:rPr>
          <w:rFonts w:hint="eastAsia" w:ascii="仿宋" w:hAnsi="仿宋" w:eastAsia="仿宋" w:cs="仿宋"/>
          <w:b/>
          <w:bCs/>
          <w:color w:val="auto"/>
          <w:kern w:val="0"/>
          <w:sz w:val="48"/>
          <w:szCs w:val="48"/>
          <w:highlight w:val="none"/>
          <w:lang w:val="en-US" w:eastAsia="zh-CN" w:bidi="ar-SA"/>
        </w:rPr>
        <w:t>投标须知</w:t>
      </w:r>
      <w:bookmarkEnd w:id="6"/>
    </w:p>
    <w:p w14:paraId="247BBEAE">
      <w:pPr>
        <w:pStyle w:val="24"/>
        <w:keepNext w:val="0"/>
        <w:keepLines w:val="0"/>
        <w:pageBreakBefore w:val="0"/>
        <w:kinsoku/>
        <w:overflowPunct/>
        <w:topLinePunct/>
        <w:autoSpaceDE/>
        <w:autoSpaceDN/>
        <w:bidi w:val="0"/>
        <w:jc w:val="center"/>
        <w:textAlignment w:val="auto"/>
        <w:outlineLvl w:val="1"/>
        <w:rPr>
          <w:rFonts w:hint="eastAsia" w:ascii="仿宋" w:hAnsi="仿宋" w:eastAsia="仿宋" w:cs="仿宋"/>
          <w:color w:val="auto"/>
          <w:sz w:val="36"/>
          <w:szCs w:val="36"/>
          <w:highlight w:val="none"/>
          <w:lang w:val="en-US" w:eastAsia="zh-CN"/>
        </w:rPr>
      </w:pPr>
      <w:bookmarkStart w:id="7" w:name="_Toc8001"/>
      <w:r>
        <w:rPr>
          <w:rFonts w:hint="eastAsia" w:ascii="仿宋" w:hAnsi="仿宋" w:eastAsia="仿宋" w:cs="仿宋"/>
          <w:color w:val="auto"/>
          <w:sz w:val="36"/>
          <w:szCs w:val="36"/>
          <w:highlight w:val="none"/>
          <w:lang w:val="en-US" w:eastAsia="zh-CN"/>
        </w:rPr>
        <w:t>投标须知前附表</w:t>
      </w:r>
      <w:bookmarkEnd w:id="7"/>
    </w:p>
    <w:p w14:paraId="3E1BB679">
      <w:pPr>
        <w:keepNext w:val="0"/>
        <w:keepLines w:val="0"/>
        <w:pageBreakBefore w:val="0"/>
        <w:widowControl w:val="0"/>
        <w:kinsoku/>
        <w:overflowPunct/>
        <w:topLinePunct/>
        <w:autoSpaceDE/>
        <w:autoSpaceDN/>
        <w:bidi w:val="0"/>
        <w:adjustRightInd/>
        <w:snapToGrid/>
        <w:spacing w:line="48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本表是本采购项目的具体资料，是对</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须知的汇总和补充，如本次</w:t>
      </w:r>
      <w:r>
        <w:rPr>
          <w:rFonts w:hint="eastAsia" w:ascii="仿宋" w:hAnsi="仿宋" w:eastAsia="仿宋" w:cs="仿宋"/>
          <w:color w:val="auto"/>
          <w:sz w:val="28"/>
          <w:szCs w:val="28"/>
          <w:highlight w:val="none"/>
          <w:lang w:eastAsia="zh-CN"/>
        </w:rPr>
        <w:t>招标文件</w:t>
      </w:r>
      <w:r>
        <w:rPr>
          <w:rFonts w:hint="eastAsia" w:ascii="仿宋" w:hAnsi="仿宋" w:eastAsia="仿宋" w:cs="仿宋"/>
          <w:color w:val="auto"/>
          <w:sz w:val="28"/>
          <w:szCs w:val="28"/>
          <w:highlight w:val="none"/>
        </w:rPr>
        <w:t>中其他内容与本表载明的内容不一致，应以本表为准。</w:t>
      </w:r>
    </w:p>
    <w:tbl>
      <w:tblPr>
        <w:tblStyle w:val="26"/>
        <w:tblW w:w="996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00"/>
        <w:gridCol w:w="2254"/>
        <w:gridCol w:w="6910"/>
      </w:tblGrid>
      <w:tr w14:paraId="5A03A7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800" w:type="dxa"/>
            <w:tcBorders>
              <w:top w:val="single" w:color="auto" w:sz="4" w:space="0"/>
              <w:bottom w:val="single" w:color="auto" w:sz="4" w:space="0"/>
              <w:right w:val="single" w:color="auto" w:sz="4" w:space="0"/>
            </w:tcBorders>
            <w:vAlign w:val="center"/>
          </w:tcPr>
          <w:p w14:paraId="5B357675">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254" w:type="dxa"/>
            <w:tcBorders>
              <w:top w:val="single" w:color="auto" w:sz="4" w:space="0"/>
              <w:left w:val="single" w:color="auto" w:sz="4" w:space="0"/>
              <w:bottom w:val="single" w:color="auto" w:sz="4" w:space="0"/>
              <w:right w:val="single" w:color="auto" w:sz="4" w:space="0"/>
            </w:tcBorders>
            <w:vAlign w:val="center"/>
          </w:tcPr>
          <w:p w14:paraId="07741E8F">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    目</w:t>
            </w:r>
          </w:p>
        </w:tc>
        <w:tc>
          <w:tcPr>
            <w:tcW w:w="6910" w:type="dxa"/>
            <w:tcBorders>
              <w:top w:val="single" w:color="auto" w:sz="4" w:space="0"/>
              <w:left w:val="single" w:color="auto" w:sz="4" w:space="0"/>
              <w:bottom w:val="single" w:color="auto" w:sz="4" w:space="0"/>
            </w:tcBorders>
            <w:vAlign w:val="center"/>
          </w:tcPr>
          <w:p w14:paraId="2AD486F4">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6B7E42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0" w:hRule="atLeast"/>
          <w:jc w:val="center"/>
        </w:trPr>
        <w:tc>
          <w:tcPr>
            <w:tcW w:w="800" w:type="dxa"/>
            <w:tcBorders>
              <w:top w:val="single" w:color="auto" w:sz="4" w:space="0"/>
              <w:bottom w:val="single" w:color="auto" w:sz="4" w:space="0"/>
              <w:right w:val="single" w:color="auto" w:sz="4" w:space="0"/>
            </w:tcBorders>
            <w:vAlign w:val="center"/>
          </w:tcPr>
          <w:p w14:paraId="77D0E722">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w:t>
            </w:r>
          </w:p>
        </w:tc>
        <w:tc>
          <w:tcPr>
            <w:tcW w:w="2254" w:type="dxa"/>
            <w:tcBorders>
              <w:top w:val="single" w:color="auto" w:sz="4" w:space="0"/>
              <w:left w:val="single" w:color="auto" w:sz="4" w:space="0"/>
              <w:bottom w:val="single" w:color="auto" w:sz="4" w:space="0"/>
              <w:right w:val="single" w:color="auto" w:sz="4" w:space="0"/>
            </w:tcBorders>
            <w:vAlign w:val="center"/>
          </w:tcPr>
          <w:p w14:paraId="1426C337">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910" w:type="dxa"/>
            <w:tcBorders>
              <w:top w:val="single" w:color="auto" w:sz="4" w:space="0"/>
              <w:left w:val="single" w:color="auto" w:sz="4" w:space="0"/>
              <w:bottom w:val="single" w:color="auto" w:sz="4" w:space="0"/>
            </w:tcBorders>
            <w:vAlign w:val="center"/>
          </w:tcPr>
          <w:p w14:paraId="06FFC032">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选定景区物料供应入围单位</w:t>
            </w:r>
          </w:p>
        </w:tc>
      </w:tr>
      <w:tr w14:paraId="602759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5" w:hRule="atLeast"/>
          <w:jc w:val="center"/>
        </w:trPr>
        <w:tc>
          <w:tcPr>
            <w:tcW w:w="800" w:type="dxa"/>
            <w:tcBorders>
              <w:top w:val="single" w:color="auto" w:sz="4" w:space="0"/>
              <w:bottom w:val="single" w:color="auto" w:sz="4" w:space="0"/>
              <w:right w:val="single" w:color="auto" w:sz="4" w:space="0"/>
            </w:tcBorders>
            <w:vAlign w:val="center"/>
          </w:tcPr>
          <w:p w14:paraId="3AEA9FF9">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w:t>
            </w:r>
          </w:p>
        </w:tc>
        <w:tc>
          <w:tcPr>
            <w:tcW w:w="2254" w:type="dxa"/>
            <w:tcBorders>
              <w:top w:val="single" w:color="auto" w:sz="4" w:space="0"/>
              <w:left w:val="single" w:color="auto" w:sz="4" w:space="0"/>
              <w:bottom w:val="single" w:color="auto" w:sz="4" w:space="0"/>
              <w:right w:val="single" w:color="auto" w:sz="4" w:space="0"/>
            </w:tcBorders>
            <w:vAlign w:val="center"/>
          </w:tcPr>
          <w:p w14:paraId="56D5BC39">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项目</w:t>
            </w:r>
            <w:r>
              <w:rPr>
                <w:rFonts w:hint="eastAsia" w:ascii="仿宋" w:hAnsi="仿宋" w:eastAsia="仿宋" w:cs="仿宋"/>
                <w:color w:val="auto"/>
                <w:sz w:val="28"/>
                <w:szCs w:val="28"/>
                <w:highlight w:val="none"/>
              </w:rPr>
              <w:t>编号</w:t>
            </w:r>
          </w:p>
        </w:tc>
        <w:tc>
          <w:tcPr>
            <w:tcW w:w="6910" w:type="dxa"/>
            <w:tcBorders>
              <w:top w:val="single" w:color="auto" w:sz="4" w:space="0"/>
              <w:left w:val="single" w:color="auto" w:sz="4" w:space="0"/>
              <w:bottom w:val="single" w:color="auto" w:sz="4" w:space="0"/>
            </w:tcBorders>
            <w:vAlign w:val="center"/>
          </w:tcPr>
          <w:p w14:paraId="553E6198">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HSZBFW20260001</w:t>
            </w:r>
          </w:p>
        </w:tc>
      </w:tr>
      <w:tr w14:paraId="79C29B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00" w:type="dxa"/>
            <w:tcBorders>
              <w:top w:val="single" w:color="auto" w:sz="4" w:space="0"/>
              <w:bottom w:val="single" w:color="auto" w:sz="4" w:space="0"/>
              <w:right w:val="single" w:color="auto" w:sz="4" w:space="0"/>
            </w:tcBorders>
            <w:vAlign w:val="center"/>
          </w:tcPr>
          <w:p w14:paraId="28DF12F2">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3</w:t>
            </w:r>
          </w:p>
        </w:tc>
        <w:tc>
          <w:tcPr>
            <w:tcW w:w="2254" w:type="dxa"/>
            <w:tcBorders>
              <w:top w:val="single" w:color="auto" w:sz="4" w:space="0"/>
              <w:left w:val="single" w:color="auto" w:sz="4" w:space="0"/>
              <w:bottom w:val="single" w:color="auto" w:sz="4" w:space="0"/>
              <w:right w:val="single" w:color="auto" w:sz="4" w:space="0"/>
            </w:tcBorders>
            <w:vAlign w:val="center"/>
          </w:tcPr>
          <w:p w14:paraId="58AE532D">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w:t>
            </w:r>
          </w:p>
        </w:tc>
        <w:tc>
          <w:tcPr>
            <w:tcW w:w="6910" w:type="dxa"/>
            <w:tcBorders>
              <w:top w:val="single" w:color="auto" w:sz="4" w:space="0"/>
              <w:left w:val="single" w:color="auto" w:sz="4" w:space="0"/>
              <w:bottom w:val="single" w:color="auto" w:sz="4" w:space="0"/>
            </w:tcBorders>
            <w:vAlign w:val="center"/>
          </w:tcPr>
          <w:p w14:paraId="256E789B">
            <w:pPr>
              <w:keepNext w:val="0"/>
              <w:keepLines w:val="0"/>
              <w:pageBreakBefore w:val="0"/>
              <w:tabs>
                <w:tab w:val="left" w:pos="4860"/>
              </w:tabs>
              <w:kinsoku/>
              <w:wordWrap/>
              <w:overflowPunct/>
              <w:topLinePunct/>
              <w:autoSpaceDE/>
              <w:autoSpaceDN/>
              <w:bidi w:val="0"/>
              <w:adjustRightInd/>
              <w:snapToGrid/>
              <w:spacing w:line="520" w:lineRule="exact"/>
              <w:jc w:val="left"/>
              <w:textAlignment w:val="auto"/>
              <w:rPr>
                <w:rFonts w:hint="eastAsia" w:ascii="仿宋" w:hAnsi="仿宋" w:eastAsia="仿宋" w:cs="仿宋"/>
                <w:color w:val="auto"/>
                <w:spacing w:val="-4"/>
                <w:sz w:val="28"/>
                <w:szCs w:val="28"/>
                <w:highlight w:val="none"/>
              </w:rPr>
            </w:pPr>
            <w:r>
              <w:rPr>
                <w:rFonts w:hint="eastAsia" w:ascii="仿宋" w:hAnsi="仿宋" w:eastAsia="仿宋" w:cs="仿宋"/>
                <w:color w:val="auto"/>
                <w:spacing w:val="-4"/>
                <w:sz w:val="28"/>
                <w:szCs w:val="28"/>
                <w:highlight w:val="none"/>
                <w:lang w:val="en-US" w:eastAsia="zh-CN"/>
              </w:rPr>
              <w:t>名  称</w:t>
            </w:r>
            <w:r>
              <w:rPr>
                <w:rFonts w:hint="eastAsia" w:ascii="仿宋" w:hAnsi="仿宋" w:eastAsia="仿宋" w:cs="仿宋"/>
                <w:color w:val="auto"/>
                <w:spacing w:val="-4"/>
                <w:sz w:val="28"/>
                <w:szCs w:val="28"/>
                <w:highlight w:val="none"/>
              </w:rPr>
              <w:t>：</w:t>
            </w:r>
            <w:r>
              <w:rPr>
                <w:rFonts w:hint="eastAsia" w:ascii="仿宋" w:hAnsi="仿宋" w:eastAsia="仿宋" w:cs="仿宋"/>
                <w:color w:val="auto"/>
                <w:spacing w:val="-4"/>
                <w:sz w:val="28"/>
                <w:szCs w:val="28"/>
                <w:highlight w:val="none"/>
                <w:lang w:val="en-US" w:eastAsia="zh-CN"/>
              </w:rPr>
              <w:t>威海环晟文旅发展有限公司</w:t>
            </w:r>
          </w:p>
          <w:p w14:paraId="55A5A020">
            <w:pPr>
              <w:keepNext w:val="0"/>
              <w:keepLines w:val="0"/>
              <w:pageBreakBefore w:val="0"/>
              <w:tabs>
                <w:tab w:val="left" w:pos="4860"/>
              </w:tabs>
              <w:kinsoku/>
              <w:wordWrap/>
              <w:overflowPunct/>
              <w:topLinePunct/>
              <w:autoSpaceDE/>
              <w:autoSpaceDN/>
              <w:bidi w:val="0"/>
              <w:adjustRightInd/>
              <w:snapToGrid/>
              <w:spacing w:line="520" w:lineRule="exact"/>
              <w:jc w:val="left"/>
              <w:textAlignment w:val="auto"/>
              <w:rPr>
                <w:rFonts w:hint="eastAsia" w:ascii="仿宋" w:hAnsi="仿宋" w:eastAsia="仿宋" w:cs="仿宋"/>
                <w:color w:val="auto"/>
                <w:spacing w:val="-4"/>
                <w:sz w:val="28"/>
                <w:szCs w:val="28"/>
                <w:highlight w:val="none"/>
              </w:rPr>
            </w:pPr>
            <w:r>
              <w:rPr>
                <w:rFonts w:hint="eastAsia" w:ascii="仿宋" w:hAnsi="仿宋" w:eastAsia="仿宋" w:cs="仿宋"/>
                <w:color w:val="auto"/>
                <w:spacing w:val="-4"/>
                <w:sz w:val="28"/>
                <w:szCs w:val="28"/>
                <w:highlight w:val="none"/>
              </w:rPr>
              <w:t>地</w:t>
            </w:r>
            <w:r>
              <w:rPr>
                <w:rFonts w:hint="eastAsia" w:ascii="仿宋" w:hAnsi="仿宋" w:eastAsia="仿宋" w:cs="仿宋"/>
                <w:color w:val="auto"/>
                <w:spacing w:val="-4"/>
                <w:sz w:val="28"/>
                <w:szCs w:val="28"/>
                <w:highlight w:val="none"/>
                <w:lang w:val="en-US" w:eastAsia="zh-CN"/>
              </w:rPr>
              <w:t xml:space="preserve"> </w:t>
            </w:r>
            <w:r>
              <w:rPr>
                <w:rFonts w:hint="eastAsia" w:ascii="仿宋" w:hAnsi="仿宋" w:eastAsia="仿宋" w:cs="仿宋"/>
                <w:color w:val="auto"/>
                <w:spacing w:val="-4"/>
                <w:sz w:val="28"/>
                <w:szCs w:val="28"/>
                <w:highlight w:val="none"/>
              </w:rPr>
              <w:t xml:space="preserve"> 址：</w:t>
            </w:r>
            <w:r>
              <w:rPr>
                <w:rFonts w:hint="eastAsia" w:ascii="仿宋" w:hAnsi="仿宋" w:eastAsia="仿宋" w:cs="仿宋"/>
                <w:color w:val="auto"/>
                <w:sz w:val="28"/>
                <w:szCs w:val="28"/>
                <w:highlight w:val="none"/>
                <w:lang w:eastAsia="zh-CN"/>
              </w:rPr>
              <w:t>威海市环翠区嵩山路106-2号2层3单元</w:t>
            </w:r>
          </w:p>
          <w:p w14:paraId="2B60975D">
            <w:pPr>
              <w:keepNext w:val="0"/>
              <w:keepLines w:val="0"/>
              <w:pageBreakBefore w:val="0"/>
              <w:widowControl/>
              <w:suppressLineNumbers w:val="0"/>
              <w:kinsoku/>
              <w:overflowPunct/>
              <w:topLinePunct/>
              <w:autoSpaceDE/>
              <w:autoSpaceDN/>
              <w:bidi w:val="0"/>
              <w:adjustRightInd w:val="0"/>
              <w:snapToGrid w:val="0"/>
              <w:spacing w:before="0" w:beforeAutospacing="0" w:after="0" w:afterAutospacing="0" w:line="520" w:lineRule="exact"/>
              <w:ind w:left="0" w:right="0"/>
              <w:jc w:val="left"/>
              <w:textAlignment w:val="auto"/>
              <w:rPr>
                <w:rFonts w:hint="eastAsia" w:ascii="仿宋" w:hAnsi="仿宋" w:eastAsia="仿宋" w:cs="仿宋"/>
                <w:bCs/>
                <w:color w:val="auto"/>
                <w:kern w:val="0"/>
                <w:sz w:val="28"/>
                <w:szCs w:val="28"/>
                <w:highlight w:val="none"/>
                <w:lang w:eastAsia="zh-CN"/>
              </w:rPr>
            </w:pPr>
            <w:r>
              <w:rPr>
                <w:rFonts w:hint="eastAsia" w:ascii="仿宋" w:hAnsi="仿宋" w:eastAsia="仿宋" w:cs="仿宋"/>
                <w:bCs/>
                <w:color w:val="auto"/>
                <w:kern w:val="0"/>
                <w:sz w:val="28"/>
                <w:szCs w:val="28"/>
                <w:highlight w:val="none"/>
                <w:lang w:eastAsia="zh-CN"/>
              </w:rPr>
              <w:t>联系人：</w:t>
            </w:r>
            <w:r>
              <w:rPr>
                <w:rFonts w:hint="eastAsia" w:ascii="仿宋" w:hAnsi="仿宋" w:eastAsia="仿宋" w:cs="仿宋"/>
                <w:color w:val="auto"/>
                <w:sz w:val="28"/>
                <w:szCs w:val="28"/>
                <w:highlight w:val="none"/>
                <w:lang w:val="en-US" w:eastAsia="zh-CN"/>
              </w:rPr>
              <w:t>毕亚男</w:t>
            </w:r>
          </w:p>
          <w:p w14:paraId="0F0C9A41">
            <w:pPr>
              <w:keepNext w:val="0"/>
              <w:keepLines w:val="0"/>
              <w:pageBreakBefore w:val="0"/>
              <w:widowControl/>
              <w:suppressLineNumbers w:val="0"/>
              <w:kinsoku/>
              <w:overflowPunct/>
              <w:topLinePunct/>
              <w:autoSpaceDE/>
              <w:autoSpaceDN/>
              <w:bidi w:val="0"/>
              <w:adjustRightInd w:val="0"/>
              <w:snapToGrid w:val="0"/>
              <w:spacing w:before="0" w:beforeAutospacing="0" w:after="0" w:afterAutospacing="0" w:line="520" w:lineRule="exact"/>
              <w:ind w:left="0" w:right="0"/>
              <w:jc w:val="left"/>
              <w:textAlignment w:val="auto"/>
              <w:rPr>
                <w:rFonts w:hint="eastAsia" w:ascii="仿宋" w:hAnsi="仿宋" w:eastAsia="仿宋" w:cs="仿宋"/>
                <w:bCs/>
                <w:color w:val="auto"/>
                <w:kern w:val="0"/>
                <w:sz w:val="28"/>
                <w:szCs w:val="28"/>
                <w:highlight w:val="none"/>
                <w:lang w:eastAsia="zh-CN"/>
              </w:rPr>
            </w:pPr>
            <w:r>
              <w:rPr>
                <w:rFonts w:hint="eastAsia" w:ascii="仿宋" w:hAnsi="仿宋" w:eastAsia="仿宋" w:cs="仿宋"/>
                <w:bCs/>
                <w:color w:val="auto"/>
                <w:kern w:val="0"/>
                <w:sz w:val="28"/>
                <w:szCs w:val="28"/>
                <w:highlight w:val="none"/>
                <w:lang w:eastAsia="zh-CN"/>
              </w:rPr>
              <w:t>联系方式：</w:t>
            </w:r>
            <w:r>
              <w:rPr>
                <w:rFonts w:hint="eastAsia" w:ascii="仿宋" w:hAnsi="仿宋" w:eastAsia="仿宋" w:cs="仿宋"/>
                <w:color w:val="auto"/>
                <w:sz w:val="28"/>
                <w:szCs w:val="28"/>
                <w:highlight w:val="none"/>
              </w:rPr>
              <w:t>0631-5813181</w:t>
            </w:r>
          </w:p>
        </w:tc>
      </w:tr>
      <w:tr w14:paraId="40D297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00" w:type="dxa"/>
            <w:tcBorders>
              <w:top w:val="single" w:color="auto" w:sz="4" w:space="0"/>
              <w:bottom w:val="single" w:color="auto" w:sz="4" w:space="0"/>
              <w:right w:val="single" w:color="auto" w:sz="4" w:space="0"/>
            </w:tcBorders>
            <w:vAlign w:val="center"/>
          </w:tcPr>
          <w:p w14:paraId="15093689">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4</w:t>
            </w:r>
          </w:p>
        </w:tc>
        <w:tc>
          <w:tcPr>
            <w:tcW w:w="2254" w:type="dxa"/>
            <w:tcBorders>
              <w:top w:val="single" w:color="auto" w:sz="4" w:space="0"/>
              <w:left w:val="single" w:color="auto" w:sz="4" w:space="0"/>
              <w:bottom w:val="single" w:color="auto" w:sz="4" w:space="0"/>
              <w:right w:val="single" w:color="auto" w:sz="4" w:space="0"/>
            </w:tcBorders>
            <w:vAlign w:val="center"/>
          </w:tcPr>
          <w:p w14:paraId="15A27E2A">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w:t>
            </w:r>
          </w:p>
        </w:tc>
        <w:tc>
          <w:tcPr>
            <w:tcW w:w="6910" w:type="dxa"/>
            <w:tcBorders>
              <w:top w:val="single" w:color="auto" w:sz="4" w:space="0"/>
              <w:left w:val="single" w:color="auto" w:sz="4" w:space="0"/>
              <w:bottom w:val="single" w:color="auto" w:sz="4" w:space="0"/>
            </w:tcBorders>
            <w:vAlign w:val="center"/>
          </w:tcPr>
          <w:p w14:paraId="71012816">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名  称：</w:t>
            </w:r>
            <w:r>
              <w:rPr>
                <w:rFonts w:hint="eastAsia" w:ascii="仿宋" w:hAnsi="仿宋" w:eastAsia="仿宋" w:cs="仿宋"/>
                <w:color w:val="auto"/>
                <w:sz w:val="28"/>
                <w:szCs w:val="28"/>
                <w:highlight w:val="none"/>
                <w:lang w:eastAsia="zh-CN"/>
              </w:rPr>
              <w:t>山东瀚泰建设管理有限公司</w:t>
            </w:r>
          </w:p>
          <w:p w14:paraId="1FB4C2F2">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  址：威海市华田世昌名都-B区11号楼211室</w:t>
            </w:r>
          </w:p>
          <w:p w14:paraId="1E75C748">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联系人：唐园园  崔祉毓</w:t>
            </w:r>
          </w:p>
          <w:p w14:paraId="2ADA7600">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联系方式：0631-5866369</w:t>
            </w:r>
          </w:p>
          <w:p w14:paraId="423542D7">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电子邮箱：whhtgc@163.com</w:t>
            </w:r>
          </w:p>
        </w:tc>
      </w:tr>
      <w:tr w14:paraId="391A27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5" w:hRule="atLeast"/>
          <w:jc w:val="center"/>
        </w:trPr>
        <w:tc>
          <w:tcPr>
            <w:tcW w:w="800" w:type="dxa"/>
            <w:tcBorders>
              <w:top w:val="single" w:color="auto" w:sz="4" w:space="0"/>
              <w:bottom w:val="single" w:color="auto" w:sz="4" w:space="0"/>
              <w:right w:val="single" w:color="auto" w:sz="4" w:space="0"/>
            </w:tcBorders>
            <w:vAlign w:val="center"/>
          </w:tcPr>
          <w:p w14:paraId="38767958">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2254" w:type="dxa"/>
            <w:tcBorders>
              <w:top w:val="single" w:color="auto" w:sz="4" w:space="0"/>
              <w:left w:val="single" w:color="auto" w:sz="4" w:space="0"/>
              <w:bottom w:val="single" w:color="auto" w:sz="4" w:space="0"/>
              <w:right w:val="single" w:color="auto" w:sz="4" w:space="0"/>
            </w:tcBorders>
            <w:vAlign w:val="center"/>
          </w:tcPr>
          <w:p w14:paraId="5B95DD9C">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资金来源及比例</w:t>
            </w:r>
          </w:p>
        </w:tc>
        <w:tc>
          <w:tcPr>
            <w:tcW w:w="6910" w:type="dxa"/>
            <w:tcBorders>
              <w:top w:val="single" w:color="auto" w:sz="4" w:space="0"/>
              <w:left w:val="single" w:color="auto" w:sz="4" w:space="0"/>
              <w:bottom w:val="single" w:color="auto" w:sz="4" w:space="0"/>
            </w:tcBorders>
            <w:vAlign w:val="center"/>
          </w:tcPr>
          <w:p w14:paraId="08BEE0B9">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自筹资金100%</w:t>
            </w:r>
          </w:p>
        </w:tc>
      </w:tr>
      <w:tr w14:paraId="01193F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800" w:type="dxa"/>
            <w:tcBorders>
              <w:top w:val="single" w:color="auto" w:sz="4" w:space="0"/>
              <w:bottom w:val="single" w:color="auto" w:sz="4" w:space="0"/>
              <w:right w:val="single" w:color="auto" w:sz="4" w:space="0"/>
            </w:tcBorders>
            <w:vAlign w:val="center"/>
          </w:tcPr>
          <w:p w14:paraId="16A8898B">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p>
        </w:tc>
        <w:tc>
          <w:tcPr>
            <w:tcW w:w="2254" w:type="dxa"/>
            <w:tcBorders>
              <w:top w:val="single" w:color="auto" w:sz="4" w:space="0"/>
              <w:left w:val="single" w:color="auto" w:sz="4" w:space="0"/>
              <w:bottom w:val="single" w:color="auto" w:sz="4" w:space="0"/>
              <w:right w:val="single" w:color="auto" w:sz="4" w:space="0"/>
            </w:tcBorders>
            <w:vAlign w:val="center"/>
          </w:tcPr>
          <w:p w14:paraId="600CBCB7">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资金落实情况</w:t>
            </w:r>
          </w:p>
        </w:tc>
        <w:tc>
          <w:tcPr>
            <w:tcW w:w="6910" w:type="dxa"/>
            <w:tcBorders>
              <w:top w:val="single" w:color="auto" w:sz="4" w:space="0"/>
              <w:left w:val="single" w:color="auto" w:sz="4" w:space="0"/>
              <w:bottom w:val="single" w:color="auto" w:sz="4" w:space="0"/>
            </w:tcBorders>
            <w:vAlign w:val="center"/>
          </w:tcPr>
          <w:p w14:paraId="7CCA1839">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已落实</w:t>
            </w:r>
          </w:p>
        </w:tc>
      </w:tr>
      <w:tr w14:paraId="7FCC78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3" w:hRule="atLeast"/>
          <w:jc w:val="center"/>
        </w:trPr>
        <w:tc>
          <w:tcPr>
            <w:tcW w:w="800" w:type="dxa"/>
            <w:tcBorders>
              <w:top w:val="single" w:color="auto" w:sz="4" w:space="0"/>
              <w:bottom w:val="single" w:color="auto" w:sz="4" w:space="0"/>
              <w:right w:val="single" w:color="auto" w:sz="4" w:space="0"/>
            </w:tcBorders>
            <w:vAlign w:val="center"/>
          </w:tcPr>
          <w:p w14:paraId="528DF1AA">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7</w:t>
            </w:r>
          </w:p>
        </w:tc>
        <w:tc>
          <w:tcPr>
            <w:tcW w:w="2254" w:type="dxa"/>
            <w:tcBorders>
              <w:top w:val="single" w:color="auto" w:sz="4" w:space="0"/>
              <w:left w:val="single" w:color="auto" w:sz="4" w:space="0"/>
              <w:bottom w:val="single" w:color="auto" w:sz="4" w:space="0"/>
              <w:right w:val="single" w:color="auto" w:sz="4" w:space="0"/>
            </w:tcBorders>
            <w:vAlign w:val="center"/>
          </w:tcPr>
          <w:p w14:paraId="19711602">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w:t>
            </w:r>
          </w:p>
          <w:p w14:paraId="42F4C9FD">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特别提示</w:t>
            </w:r>
          </w:p>
        </w:tc>
        <w:tc>
          <w:tcPr>
            <w:tcW w:w="6910" w:type="dxa"/>
            <w:tcBorders>
              <w:top w:val="single" w:color="auto" w:sz="4" w:space="0"/>
              <w:left w:val="single" w:color="auto" w:sz="4" w:space="0"/>
              <w:bottom w:val="single" w:color="auto" w:sz="4" w:space="0"/>
            </w:tcBorders>
            <w:vAlign w:val="center"/>
          </w:tcPr>
          <w:p w14:paraId="2DADBC9C">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105" w:rightChars="-5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.登录“威海市公共资源交易网”首页右侧“交易服务一网通办系统”进行注册，取得用户名和密码（已经完成注册的投标人无须重复注册）；首次注册的投标人应及时办理安全证书（CA锁）及电子签章。</w:t>
            </w:r>
          </w:p>
          <w:p w14:paraId="3B771A74">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105" w:rightChars="-5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登录威海市公共资源交易网（http://ggzyjy.weihai.cn/）首页右侧“交易服务一网通办系统-（新版）一网通办系统”进行“平台切换”点击“国企采购”进入“威海市国有企业阳光采购服务平台”获取招标文件，如跳转国企阳光采购平台时，提示用户不存在，可拨打技术支持电话（17863029936）咨询。</w:t>
            </w:r>
          </w:p>
          <w:p w14:paraId="67512C1B">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105" w:rightChars="-50"/>
              <w:jc w:val="left"/>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2</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本项目必须网上提交投标文件，</w:t>
            </w:r>
            <w:r>
              <w:rPr>
                <w:rFonts w:hint="eastAsia" w:ascii="仿宋" w:hAnsi="仿宋" w:eastAsia="仿宋" w:cs="仿宋"/>
                <w:color w:val="auto"/>
                <w:sz w:val="28"/>
                <w:szCs w:val="28"/>
                <w:highlight w:val="none"/>
              </w:rPr>
              <w:t>参与本项目投标人应利用办理好的CA锁登录威海市国有企业阳光采购电子化服务平台进行招标文件的获取、文件下载和网上提交投标文件，且安全证书（CA锁）在有效期内。</w:t>
            </w:r>
          </w:p>
          <w:p w14:paraId="3F48AB22">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105" w:rightChars="-5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w:t>
            </w:r>
          </w:p>
          <w:p w14:paraId="3FDE29DF">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105" w:rightChars="-5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投标文件制作及系统使用咨询电话：17863029936；平台QQ服务群：1046971257。</w:t>
            </w:r>
          </w:p>
          <w:p w14:paraId="319F8CCE">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105" w:rightChars="-5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eastAsia="zh-CN"/>
              </w:rPr>
              <w:t>.网上提交投标文件时，登录交易平台的电脑须满足环境要求（详见新版威海市国有企业阳光采购服务平台供应商用户手册https://ggzyjy.weihai.cn/bszn/005005/20260109/eb4ba418-4b35-4f05-aa69-44fd7d8a7ffb.html）</w:t>
            </w:r>
            <w:r>
              <w:rPr>
                <w:rFonts w:hint="eastAsia" w:ascii="仿宋" w:hAnsi="仿宋" w:eastAsia="仿宋" w:cs="仿宋"/>
                <w:color w:val="auto"/>
                <w:sz w:val="28"/>
                <w:szCs w:val="28"/>
                <w:highlight w:val="none"/>
              </w:rPr>
              <w:t>。</w:t>
            </w:r>
          </w:p>
          <w:p w14:paraId="7E3CE57F">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105" w:rightChars="-5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r>
              <w:rPr>
                <w:rFonts w:hint="eastAsia" w:ascii="仿宋" w:hAnsi="仿宋" w:eastAsia="仿宋" w:cs="仿宋"/>
                <w:color w:val="auto"/>
                <w:sz w:val="28"/>
                <w:szCs w:val="28"/>
                <w:highlight w:val="none"/>
              </w:rPr>
              <w:t>。</w:t>
            </w:r>
          </w:p>
          <w:p w14:paraId="055F6E15">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105" w:rightChars="-5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2EE1C98E">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105" w:rightChars="-5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投标人投标文件中的相关扫描件应保证清晰度，无法辨认的评审时受到影响的，由投标人承担相应责任。</w:t>
            </w:r>
          </w:p>
          <w:p w14:paraId="5551888C">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105" w:rightChars="-5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除网上提交电子投标文件外，如有要求递交相关资质证明文件原件的，还须按其要求独立密封递交（被授权人身份证原件除外）</w:t>
            </w:r>
            <w:r>
              <w:rPr>
                <w:rFonts w:hint="eastAsia" w:ascii="仿宋" w:hAnsi="仿宋" w:eastAsia="仿宋" w:cs="仿宋"/>
                <w:color w:val="auto"/>
                <w:sz w:val="28"/>
                <w:szCs w:val="28"/>
                <w:highlight w:val="none"/>
                <w:lang w:eastAsia="zh-CN"/>
              </w:rPr>
              <w:t>。</w:t>
            </w:r>
          </w:p>
          <w:p w14:paraId="2109B167">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105" w:rightChars="-5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投标人应充分考虑到网上提交投标文件会发生的故障和风险。对发生的任何故障和风险造成投标人报价内容不一致或利益受损或投标失败的，招标人及招标代理机构不承担任何责任。</w:t>
            </w:r>
          </w:p>
        </w:tc>
      </w:tr>
      <w:tr w14:paraId="4263C7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00" w:type="dxa"/>
            <w:tcBorders>
              <w:top w:val="single" w:color="auto" w:sz="4" w:space="0"/>
              <w:bottom w:val="single" w:color="auto" w:sz="4" w:space="0"/>
              <w:right w:val="single" w:color="auto" w:sz="4" w:space="0"/>
            </w:tcBorders>
            <w:vAlign w:val="center"/>
          </w:tcPr>
          <w:p w14:paraId="1F5351B8">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eastAsia="zh-CN"/>
              </w:rPr>
            </w:pPr>
            <w:r>
              <w:rPr>
                <w:rFonts w:hint="eastAsia" w:ascii="仿宋" w:hAnsi="仿宋" w:eastAsia="仿宋" w:cs="仿宋"/>
                <w:bCs/>
                <w:color w:val="auto"/>
                <w:kern w:val="0"/>
                <w:sz w:val="28"/>
                <w:szCs w:val="28"/>
                <w:highlight w:val="none"/>
                <w:lang w:val="en-US" w:eastAsia="zh-CN"/>
              </w:rPr>
              <w:t>8</w:t>
            </w:r>
          </w:p>
        </w:tc>
        <w:tc>
          <w:tcPr>
            <w:tcW w:w="2254" w:type="dxa"/>
            <w:tcBorders>
              <w:top w:val="single" w:color="auto" w:sz="4" w:space="0"/>
              <w:left w:val="single" w:color="auto" w:sz="4" w:space="0"/>
              <w:bottom w:val="single" w:color="auto" w:sz="4" w:space="0"/>
              <w:right w:val="single" w:color="auto" w:sz="4" w:space="0"/>
            </w:tcBorders>
            <w:vAlign w:val="center"/>
          </w:tcPr>
          <w:p w14:paraId="15682B41">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资质证明文件原件</w:t>
            </w:r>
          </w:p>
        </w:tc>
        <w:tc>
          <w:tcPr>
            <w:tcW w:w="6910" w:type="dxa"/>
            <w:tcBorders>
              <w:top w:val="single" w:color="auto" w:sz="4" w:space="0"/>
              <w:left w:val="single" w:color="auto" w:sz="4" w:space="0"/>
              <w:bottom w:val="single" w:color="auto" w:sz="4" w:space="0"/>
            </w:tcBorders>
            <w:vAlign w:val="center"/>
          </w:tcPr>
          <w:p w14:paraId="5DA988D0">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无需提供资质证明文件原件</w:t>
            </w:r>
          </w:p>
        </w:tc>
      </w:tr>
      <w:tr w14:paraId="564E5A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800" w:type="dxa"/>
            <w:tcBorders>
              <w:top w:val="single" w:color="auto" w:sz="4" w:space="0"/>
              <w:bottom w:val="single" w:color="auto" w:sz="4" w:space="0"/>
              <w:right w:val="single" w:color="auto" w:sz="4" w:space="0"/>
            </w:tcBorders>
            <w:vAlign w:val="center"/>
          </w:tcPr>
          <w:p w14:paraId="04DFEA4F">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9</w:t>
            </w:r>
          </w:p>
        </w:tc>
        <w:tc>
          <w:tcPr>
            <w:tcW w:w="2254" w:type="dxa"/>
            <w:tcBorders>
              <w:top w:val="single" w:color="auto" w:sz="4" w:space="0"/>
              <w:left w:val="single" w:color="auto" w:sz="4" w:space="0"/>
              <w:bottom w:val="single" w:color="auto" w:sz="4" w:space="0"/>
              <w:right w:val="single" w:color="auto" w:sz="4" w:space="0"/>
            </w:tcBorders>
            <w:vAlign w:val="center"/>
          </w:tcPr>
          <w:p w14:paraId="36E4741A">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投标文件份数</w:t>
            </w:r>
          </w:p>
        </w:tc>
        <w:tc>
          <w:tcPr>
            <w:tcW w:w="6910" w:type="dxa"/>
            <w:tcBorders>
              <w:top w:val="single" w:color="auto" w:sz="4" w:space="0"/>
              <w:left w:val="single" w:color="auto" w:sz="4" w:space="0"/>
              <w:bottom w:val="single" w:color="auto" w:sz="4" w:space="0"/>
            </w:tcBorders>
            <w:vAlign w:val="center"/>
          </w:tcPr>
          <w:p w14:paraId="4C38201B">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rPr>
              <w:t>网上按时</w:t>
            </w:r>
            <w:r>
              <w:rPr>
                <w:rFonts w:hint="eastAsia" w:ascii="仿宋" w:hAnsi="仿宋" w:eastAsia="仿宋" w:cs="仿宋"/>
                <w:bCs/>
                <w:color w:val="auto"/>
                <w:sz w:val="28"/>
                <w:szCs w:val="28"/>
                <w:highlight w:val="none"/>
                <w:lang w:val="en-US" w:eastAsia="zh-CN"/>
              </w:rPr>
              <w:t>提</w:t>
            </w:r>
            <w:r>
              <w:rPr>
                <w:rFonts w:hint="eastAsia" w:ascii="仿宋" w:hAnsi="仿宋" w:eastAsia="仿宋" w:cs="仿宋"/>
                <w:bCs/>
                <w:color w:val="auto"/>
                <w:sz w:val="28"/>
                <w:szCs w:val="28"/>
                <w:highlight w:val="none"/>
              </w:rPr>
              <w:t>交电子投标文件1份</w:t>
            </w:r>
            <w:r>
              <w:rPr>
                <w:rFonts w:hint="eastAsia" w:ascii="仿宋" w:hAnsi="仿宋" w:eastAsia="仿宋" w:cs="仿宋"/>
                <w:bCs/>
                <w:color w:val="auto"/>
                <w:sz w:val="28"/>
                <w:szCs w:val="28"/>
                <w:highlight w:val="none"/>
                <w:lang w:eastAsia="zh-CN"/>
              </w:rPr>
              <w:t>。</w:t>
            </w:r>
          </w:p>
          <w:p w14:paraId="710B7731">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bCs/>
                <w:color w:val="auto"/>
                <w:sz w:val="28"/>
                <w:szCs w:val="28"/>
                <w:highlight w:val="none"/>
              </w:rPr>
            </w:pPr>
            <w:r>
              <w:rPr>
                <w:rFonts w:hint="eastAsia" w:ascii="仿宋" w:hAnsi="仿宋" w:eastAsia="仿宋" w:cs="仿宋"/>
                <w:color w:val="auto"/>
                <w:sz w:val="28"/>
                <w:szCs w:val="28"/>
                <w:highlight w:val="none"/>
              </w:rPr>
              <w:t>纸质投标文件：</w:t>
            </w:r>
            <w:r>
              <w:rPr>
                <w:rFonts w:hint="eastAsia" w:ascii="仿宋" w:hAnsi="仿宋" w:eastAsia="仿宋" w:cs="仿宋"/>
                <w:color w:val="auto"/>
                <w:sz w:val="28"/>
                <w:szCs w:val="28"/>
                <w:highlight w:val="none"/>
                <w:lang w:val="en-US" w:eastAsia="zh-CN"/>
              </w:rPr>
              <w:t>2份</w:t>
            </w:r>
            <w:r>
              <w:rPr>
                <w:rFonts w:hint="eastAsia" w:ascii="仿宋" w:hAnsi="仿宋" w:eastAsia="仿宋" w:cs="仿宋"/>
                <w:color w:val="auto"/>
                <w:sz w:val="28"/>
                <w:szCs w:val="28"/>
                <w:highlight w:val="none"/>
              </w:rPr>
              <w:t>，请各投标单位将纸质投标文件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包含投标文件和数据文件两部分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胶装成</w:t>
            </w:r>
            <w:r>
              <w:rPr>
                <w:rFonts w:hint="eastAsia" w:ascii="仿宋" w:hAnsi="仿宋" w:eastAsia="仿宋" w:cs="仿宋"/>
                <w:color w:val="auto"/>
                <w:sz w:val="28"/>
                <w:szCs w:val="28"/>
                <w:highlight w:val="none"/>
                <w:lang w:val="en-US" w:eastAsia="zh-CN"/>
              </w:rPr>
              <w:t>一</w:t>
            </w:r>
            <w:r>
              <w:rPr>
                <w:rFonts w:hint="eastAsia" w:ascii="仿宋" w:hAnsi="仿宋" w:eastAsia="仿宋" w:cs="仿宋"/>
                <w:color w:val="auto"/>
                <w:sz w:val="28"/>
                <w:szCs w:val="28"/>
                <w:highlight w:val="none"/>
              </w:rPr>
              <w:t>册于开标</w:t>
            </w:r>
            <w:r>
              <w:rPr>
                <w:rFonts w:hint="eastAsia" w:ascii="仿宋" w:hAnsi="仿宋" w:eastAsia="仿宋" w:cs="仿宋"/>
                <w:color w:val="auto"/>
                <w:sz w:val="28"/>
                <w:szCs w:val="28"/>
                <w:highlight w:val="none"/>
                <w:lang w:val="en-US" w:eastAsia="zh-CN"/>
              </w:rPr>
              <w:t>结束</w:t>
            </w:r>
            <w:r>
              <w:rPr>
                <w:rFonts w:hint="eastAsia" w:ascii="仿宋" w:hAnsi="仿宋" w:eastAsia="仿宋" w:cs="仿宋"/>
                <w:color w:val="auto"/>
                <w:sz w:val="28"/>
                <w:szCs w:val="28"/>
                <w:highlight w:val="none"/>
              </w:rPr>
              <w:t>后三个工作日内递交或邮寄至招标代理公司，接收人：</w:t>
            </w:r>
            <w:r>
              <w:rPr>
                <w:rFonts w:hint="eastAsia" w:ascii="仿宋" w:hAnsi="仿宋" w:eastAsia="仿宋" w:cs="仿宋"/>
                <w:color w:val="auto"/>
                <w:sz w:val="28"/>
                <w:szCs w:val="28"/>
                <w:highlight w:val="none"/>
                <w:lang w:val="en-US" w:eastAsia="zh-CN"/>
              </w:rPr>
              <w:t>崔祉毓</w:t>
            </w:r>
            <w:r>
              <w:rPr>
                <w:rFonts w:hint="eastAsia" w:ascii="仿宋" w:hAnsi="仿宋" w:eastAsia="仿宋" w:cs="仿宋"/>
                <w:color w:val="auto"/>
                <w:sz w:val="28"/>
                <w:szCs w:val="28"/>
                <w:highlight w:val="none"/>
              </w:rPr>
              <w:t>，联系电话：</w:t>
            </w:r>
            <w:r>
              <w:rPr>
                <w:rFonts w:hint="eastAsia" w:ascii="仿宋" w:hAnsi="仿宋" w:eastAsia="仿宋" w:cs="仿宋"/>
                <w:color w:val="auto"/>
                <w:sz w:val="28"/>
                <w:szCs w:val="28"/>
                <w:highlight w:val="none"/>
                <w:lang w:eastAsia="zh-CN"/>
              </w:rPr>
              <w:t>0631-5866369</w:t>
            </w: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eastAsia="zh-CN"/>
              </w:rPr>
              <w:t>山东瀚泰建设管理有限公司</w:t>
            </w:r>
            <w:r>
              <w:rPr>
                <w:rFonts w:hint="eastAsia" w:ascii="仿宋" w:hAnsi="仿宋" w:eastAsia="仿宋" w:cs="仿宋"/>
                <w:color w:val="auto"/>
                <w:sz w:val="28"/>
                <w:szCs w:val="28"/>
                <w:highlight w:val="none"/>
                <w:lang w:val="en-US" w:eastAsia="zh-CN"/>
              </w:rPr>
              <w:t>招标部</w:t>
            </w:r>
            <w:r>
              <w:rPr>
                <w:rFonts w:hint="eastAsia" w:ascii="仿宋" w:hAnsi="仿宋" w:eastAsia="仿宋" w:cs="仿宋"/>
                <w:color w:val="auto"/>
                <w:sz w:val="28"/>
                <w:szCs w:val="28"/>
                <w:highlight w:val="none"/>
              </w:rPr>
              <w:t>（威海市华田世昌名</w:t>
            </w:r>
            <w:r>
              <w:rPr>
                <w:rFonts w:hint="eastAsia" w:ascii="仿宋" w:hAnsi="仿宋" w:eastAsia="仿宋" w:cs="仿宋"/>
                <w:bCs/>
                <w:color w:val="auto"/>
                <w:sz w:val="28"/>
                <w:szCs w:val="28"/>
                <w:highlight w:val="none"/>
              </w:rPr>
              <w:t>都-B区11号楼211</w:t>
            </w:r>
            <w:r>
              <w:rPr>
                <w:rFonts w:hint="eastAsia" w:ascii="仿宋" w:hAnsi="仿宋" w:eastAsia="仿宋" w:cs="仿宋"/>
                <w:bCs/>
                <w:color w:val="auto"/>
                <w:sz w:val="28"/>
                <w:szCs w:val="28"/>
                <w:highlight w:val="none"/>
                <w:lang w:eastAsia="zh-CN"/>
              </w:rPr>
              <w:t>室</w:t>
            </w:r>
            <w:r>
              <w:rPr>
                <w:rFonts w:hint="eastAsia" w:ascii="仿宋" w:hAnsi="仿宋" w:eastAsia="仿宋" w:cs="仿宋"/>
                <w:bCs/>
                <w:color w:val="auto"/>
                <w:sz w:val="28"/>
                <w:szCs w:val="28"/>
                <w:highlight w:val="none"/>
              </w:rPr>
              <w:t>）。</w:t>
            </w:r>
          </w:p>
          <w:p w14:paraId="59CFE62C">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将纸质投标文件密封在密封袋中，并在封口处粘贴封条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封套内容：</w:t>
            </w:r>
          </w:p>
          <w:p w14:paraId="72C2451D">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（1）代理机构：</w:t>
            </w:r>
          </w:p>
          <w:p w14:paraId="3B0E7023">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（2）项目名称：</w:t>
            </w:r>
          </w:p>
          <w:p w14:paraId="55A96130">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（3）招标编号：</w:t>
            </w:r>
          </w:p>
          <w:p w14:paraId="46DCF4E3">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w:t>
            </w:r>
          </w:p>
          <w:p w14:paraId="2FC9D0DF">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rPr>
            </w:pPr>
            <w:r>
              <w:rPr>
                <w:rFonts w:hint="eastAsia" w:ascii="仿宋" w:hAnsi="仿宋" w:eastAsia="仿宋" w:cs="仿宋"/>
                <w:color w:val="auto"/>
                <w:sz w:val="28"/>
                <w:szCs w:val="28"/>
                <w:highlight w:val="none"/>
              </w:rPr>
              <w:t>（5）注明“公开开标前不得启封”字样。</w:t>
            </w:r>
          </w:p>
        </w:tc>
      </w:tr>
      <w:tr w14:paraId="1DFEFE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5" w:hRule="atLeast"/>
          <w:jc w:val="center"/>
        </w:trPr>
        <w:tc>
          <w:tcPr>
            <w:tcW w:w="800" w:type="dxa"/>
            <w:tcBorders>
              <w:top w:val="single" w:color="auto" w:sz="4" w:space="0"/>
              <w:bottom w:val="single" w:color="auto" w:sz="4" w:space="0"/>
              <w:right w:val="single" w:color="auto" w:sz="4" w:space="0"/>
            </w:tcBorders>
            <w:shd w:val="clear" w:color="auto" w:fill="auto"/>
            <w:vAlign w:val="center"/>
          </w:tcPr>
          <w:p w14:paraId="2456A7F6">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default"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10</w:t>
            </w:r>
          </w:p>
        </w:tc>
        <w:tc>
          <w:tcPr>
            <w:tcW w:w="2254" w:type="dxa"/>
            <w:tcBorders>
              <w:top w:val="single" w:color="auto" w:sz="4" w:space="0"/>
              <w:left w:val="single" w:color="auto" w:sz="4" w:space="0"/>
              <w:bottom w:val="single" w:color="auto" w:sz="4" w:space="0"/>
              <w:right w:val="single" w:color="auto" w:sz="4" w:space="0"/>
            </w:tcBorders>
            <w:shd w:val="clear" w:color="auto" w:fill="auto"/>
            <w:vAlign w:val="center"/>
          </w:tcPr>
          <w:p w14:paraId="3DA3B163">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实物样品</w:t>
            </w:r>
          </w:p>
        </w:tc>
        <w:tc>
          <w:tcPr>
            <w:tcW w:w="6910" w:type="dxa"/>
            <w:tcBorders>
              <w:top w:val="single" w:color="auto" w:sz="4" w:space="0"/>
              <w:left w:val="single" w:color="auto" w:sz="4" w:space="0"/>
              <w:bottom w:val="single" w:color="auto" w:sz="4" w:space="0"/>
            </w:tcBorders>
            <w:shd w:val="clear" w:color="auto" w:fill="auto"/>
            <w:vAlign w:val="center"/>
          </w:tcPr>
          <w:p w14:paraId="1944F874">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left"/>
              <w:textAlignment w:val="auto"/>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无</w:t>
            </w:r>
          </w:p>
        </w:tc>
      </w:tr>
      <w:tr w14:paraId="1468DD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5" w:hRule="atLeast"/>
          <w:jc w:val="center"/>
        </w:trPr>
        <w:tc>
          <w:tcPr>
            <w:tcW w:w="800" w:type="dxa"/>
            <w:tcBorders>
              <w:top w:val="single" w:color="auto" w:sz="4" w:space="0"/>
              <w:bottom w:val="single" w:color="auto" w:sz="4" w:space="0"/>
              <w:right w:val="single" w:color="auto" w:sz="4" w:space="0"/>
            </w:tcBorders>
            <w:vAlign w:val="center"/>
          </w:tcPr>
          <w:p w14:paraId="08D566EE">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11</w:t>
            </w:r>
          </w:p>
        </w:tc>
        <w:tc>
          <w:tcPr>
            <w:tcW w:w="2254" w:type="dxa"/>
            <w:tcBorders>
              <w:top w:val="single" w:color="auto" w:sz="4" w:space="0"/>
              <w:left w:val="single" w:color="auto" w:sz="4" w:space="0"/>
              <w:bottom w:val="single" w:color="auto" w:sz="4" w:space="0"/>
              <w:right w:val="single" w:color="auto" w:sz="4" w:space="0"/>
            </w:tcBorders>
            <w:vAlign w:val="center"/>
          </w:tcPr>
          <w:p w14:paraId="1E7C543D">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现场踏勘</w:t>
            </w:r>
          </w:p>
        </w:tc>
        <w:tc>
          <w:tcPr>
            <w:tcW w:w="6910" w:type="dxa"/>
            <w:tcBorders>
              <w:top w:val="single" w:color="auto" w:sz="4" w:space="0"/>
              <w:left w:val="single" w:color="auto" w:sz="4" w:space="0"/>
              <w:bottom w:val="single" w:color="auto" w:sz="4" w:space="0"/>
            </w:tcBorders>
            <w:vAlign w:val="center"/>
          </w:tcPr>
          <w:p w14:paraId="070003BE">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left"/>
              <w:textAlignment w:val="auto"/>
              <w:rPr>
                <w:rFonts w:hint="eastAsia" w:ascii="仿宋" w:hAnsi="仿宋" w:eastAsia="仿宋" w:cs="仿宋"/>
                <w:bCs/>
                <w:color w:val="auto"/>
                <w:kern w:val="0"/>
                <w:sz w:val="28"/>
                <w:szCs w:val="28"/>
                <w:highlight w:val="none"/>
                <w:lang w:eastAsia="zh-CN"/>
              </w:rPr>
            </w:pPr>
            <w:r>
              <w:rPr>
                <w:rFonts w:hint="eastAsia" w:ascii="仿宋" w:hAnsi="仿宋" w:eastAsia="仿宋" w:cs="仿宋"/>
                <w:bCs/>
                <w:color w:val="auto"/>
                <w:kern w:val="0"/>
                <w:sz w:val="28"/>
                <w:szCs w:val="28"/>
                <w:highlight w:val="none"/>
                <w:lang w:val="en-US" w:eastAsia="zh-CN"/>
              </w:rPr>
              <w:t>不组织</w:t>
            </w:r>
          </w:p>
        </w:tc>
      </w:tr>
      <w:tr w14:paraId="7310B2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800" w:type="dxa"/>
            <w:tcBorders>
              <w:top w:val="single" w:color="auto" w:sz="4" w:space="0"/>
              <w:bottom w:val="single" w:color="auto" w:sz="4" w:space="0"/>
              <w:right w:val="single" w:color="auto" w:sz="4" w:space="0"/>
            </w:tcBorders>
            <w:shd w:val="clear" w:color="auto" w:fill="auto"/>
            <w:vAlign w:val="center"/>
          </w:tcPr>
          <w:p w14:paraId="780D0A48">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rPr>
              <w:t>1</w:t>
            </w:r>
            <w:r>
              <w:rPr>
                <w:rFonts w:hint="eastAsia" w:ascii="仿宋" w:hAnsi="仿宋" w:eastAsia="仿宋" w:cs="仿宋"/>
                <w:bCs/>
                <w:color w:val="auto"/>
                <w:kern w:val="0"/>
                <w:sz w:val="28"/>
                <w:szCs w:val="28"/>
                <w:highlight w:val="none"/>
                <w:lang w:val="en-US" w:eastAsia="zh-CN"/>
              </w:rPr>
              <w:t>2</w:t>
            </w:r>
          </w:p>
        </w:tc>
        <w:tc>
          <w:tcPr>
            <w:tcW w:w="2254" w:type="dxa"/>
            <w:tcBorders>
              <w:top w:val="single" w:color="auto" w:sz="4" w:space="0"/>
              <w:left w:val="single" w:color="auto" w:sz="4" w:space="0"/>
              <w:bottom w:val="single" w:color="auto" w:sz="4" w:space="0"/>
              <w:right w:val="single" w:color="auto" w:sz="4" w:space="0"/>
            </w:tcBorders>
            <w:shd w:val="clear" w:color="auto" w:fill="auto"/>
            <w:vAlign w:val="center"/>
          </w:tcPr>
          <w:p w14:paraId="57783FC5">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rPr>
              <w:t>投标预备会</w:t>
            </w:r>
          </w:p>
        </w:tc>
        <w:tc>
          <w:tcPr>
            <w:tcW w:w="6910" w:type="dxa"/>
            <w:tcBorders>
              <w:top w:val="single" w:color="auto" w:sz="4" w:space="0"/>
              <w:left w:val="single" w:color="auto" w:sz="4" w:space="0"/>
              <w:bottom w:val="single" w:color="auto" w:sz="4" w:space="0"/>
            </w:tcBorders>
            <w:shd w:val="clear" w:color="auto" w:fill="auto"/>
            <w:vAlign w:val="center"/>
          </w:tcPr>
          <w:p w14:paraId="3E5B3F1C">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left"/>
              <w:textAlignment w:val="auto"/>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rPr>
              <w:t>不召开</w:t>
            </w:r>
          </w:p>
        </w:tc>
      </w:tr>
      <w:tr w14:paraId="227F4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5" w:hRule="atLeast"/>
          <w:jc w:val="center"/>
        </w:trPr>
        <w:tc>
          <w:tcPr>
            <w:tcW w:w="800" w:type="dxa"/>
            <w:tcBorders>
              <w:top w:val="single" w:color="auto" w:sz="4" w:space="0"/>
              <w:bottom w:val="single" w:color="auto" w:sz="4" w:space="0"/>
              <w:right w:val="single" w:color="auto" w:sz="4" w:space="0"/>
            </w:tcBorders>
            <w:vAlign w:val="center"/>
          </w:tcPr>
          <w:p w14:paraId="2B40BCCD">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13</w:t>
            </w:r>
          </w:p>
        </w:tc>
        <w:tc>
          <w:tcPr>
            <w:tcW w:w="2254" w:type="dxa"/>
            <w:tcBorders>
              <w:top w:val="single" w:color="auto" w:sz="4" w:space="0"/>
              <w:left w:val="single" w:color="auto" w:sz="4" w:space="0"/>
              <w:bottom w:val="single" w:color="auto" w:sz="4" w:space="0"/>
              <w:right w:val="single" w:color="auto" w:sz="4" w:space="0"/>
            </w:tcBorders>
            <w:vAlign w:val="center"/>
          </w:tcPr>
          <w:p w14:paraId="6D6625BA">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投标有效期</w:t>
            </w:r>
          </w:p>
        </w:tc>
        <w:tc>
          <w:tcPr>
            <w:tcW w:w="6910" w:type="dxa"/>
            <w:tcBorders>
              <w:top w:val="single" w:color="auto" w:sz="4" w:space="0"/>
              <w:left w:val="single" w:color="auto" w:sz="4" w:space="0"/>
              <w:bottom w:val="single" w:color="auto" w:sz="4" w:space="0"/>
            </w:tcBorders>
            <w:vAlign w:val="center"/>
          </w:tcPr>
          <w:p w14:paraId="2A2568D7">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left"/>
              <w:textAlignment w:val="auto"/>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开标之日起90</w:t>
            </w:r>
            <w:r>
              <w:rPr>
                <w:rFonts w:hint="eastAsia" w:ascii="仿宋" w:hAnsi="仿宋" w:eastAsia="仿宋" w:cs="仿宋"/>
                <w:bCs/>
                <w:color w:val="auto"/>
                <w:kern w:val="0"/>
                <w:sz w:val="28"/>
                <w:szCs w:val="28"/>
                <w:highlight w:val="none"/>
                <w:lang w:val="en-US" w:eastAsia="zh-CN"/>
              </w:rPr>
              <w:t>日历</w:t>
            </w:r>
            <w:r>
              <w:rPr>
                <w:rFonts w:hint="eastAsia" w:ascii="仿宋" w:hAnsi="仿宋" w:eastAsia="仿宋" w:cs="仿宋"/>
                <w:bCs/>
                <w:color w:val="auto"/>
                <w:kern w:val="0"/>
                <w:sz w:val="28"/>
                <w:szCs w:val="28"/>
                <w:highlight w:val="none"/>
              </w:rPr>
              <w:t>天</w:t>
            </w:r>
          </w:p>
        </w:tc>
      </w:tr>
      <w:tr w14:paraId="2FA814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00" w:type="dxa"/>
            <w:tcBorders>
              <w:top w:val="single" w:color="auto" w:sz="4" w:space="0"/>
              <w:bottom w:val="single" w:color="auto" w:sz="4" w:space="0"/>
              <w:right w:val="single" w:color="auto" w:sz="4" w:space="0"/>
            </w:tcBorders>
            <w:vAlign w:val="center"/>
          </w:tcPr>
          <w:p w14:paraId="2FF5F116">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eastAsia="zh-CN"/>
              </w:rPr>
            </w:pPr>
            <w:r>
              <w:rPr>
                <w:rFonts w:hint="eastAsia" w:ascii="仿宋" w:hAnsi="仿宋" w:eastAsia="仿宋" w:cs="仿宋"/>
                <w:bCs/>
                <w:color w:val="auto"/>
                <w:kern w:val="0"/>
                <w:sz w:val="28"/>
                <w:szCs w:val="28"/>
                <w:highlight w:val="none"/>
              </w:rPr>
              <w:t>1</w:t>
            </w:r>
            <w:r>
              <w:rPr>
                <w:rFonts w:hint="eastAsia" w:ascii="仿宋" w:hAnsi="仿宋" w:eastAsia="仿宋" w:cs="仿宋"/>
                <w:bCs/>
                <w:color w:val="auto"/>
                <w:kern w:val="0"/>
                <w:sz w:val="28"/>
                <w:szCs w:val="28"/>
                <w:highlight w:val="none"/>
                <w:lang w:val="en-US" w:eastAsia="zh-CN"/>
              </w:rPr>
              <w:t>4</w:t>
            </w:r>
          </w:p>
        </w:tc>
        <w:tc>
          <w:tcPr>
            <w:tcW w:w="2254" w:type="dxa"/>
            <w:tcBorders>
              <w:top w:val="single" w:color="auto" w:sz="4" w:space="0"/>
              <w:left w:val="single" w:color="auto" w:sz="4" w:space="0"/>
              <w:bottom w:val="single" w:color="auto" w:sz="4" w:space="0"/>
              <w:right w:val="single" w:color="auto" w:sz="4" w:space="0"/>
            </w:tcBorders>
            <w:vAlign w:val="center"/>
          </w:tcPr>
          <w:p w14:paraId="400B9D52">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w:t>
            </w:r>
            <w:r>
              <w:rPr>
                <w:rFonts w:hint="eastAsia" w:ascii="仿宋" w:hAnsi="仿宋" w:eastAsia="仿宋" w:cs="仿宋"/>
                <w:color w:val="auto"/>
                <w:sz w:val="28"/>
                <w:szCs w:val="28"/>
                <w:highlight w:val="none"/>
                <w:lang w:val="en-US" w:eastAsia="zh-CN"/>
              </w:rPr>
              <w:t>提交</w:t>
            </w:r>
            <w:r>
              <w:rPr>
                <w:rFonts w:hint="eastAsia" w:ascii="仿宋" w:hAnsi="仿宋" w:eastAsia="仿宋" w:cs="仿宋"/>
                <w:color w:val="auto"/>
                <w:sz w:val="28"/>
                <w:szCs w:val="28"/>
                <w:highlight w:val="none"/>
              </w:rPr>
              <w:t>时间及地点</w:t>
            </w:r>
          </w:p>
        </w:tc>
        <w:tc>
          <w:tcPr>
            <w:tcW w:w="6910" w:type="dxa"/>
            <w:tcBorders>
              <w:top w:val="single" w:color="auto" w:sz="4" w:space="0"/>
              <w:left w:val="single" w:color="auto" w:sz="4" w:space="0"/>
              <w:bottom w:val="single" w:color="auto" w:sz="4" w:space="0"/>
            </w:tcBorders>
            <w:vAlign w:val="center"/>
          </w:tcPr>
          <w:p w14:paraId="254E047A">
            <w:pPr>
              <w:keepNext w:val="0"/>
              <w:keepLines w:val="0"/>
              <w:pageBreakBefore w:val="0"/>
              <w:numPr>
                <w:ilvl w:val="0"/>
                <w:numId w:val="0"/>
              </w:numPr>
              <w:suppressLineNumbers w:val="0"/>
              <w:kinsoku/>
              <w:wordWrap w:val="0"/>
              <w:overflowPunct/>
              <w:topLinePunct/>
              <w:autoSpaceDE/>
              <w:autoSpaceDN/>
              <w:bidi w:val="0"/>
              <w:spacing w:before="0" w:beforeAutospacing="0" w:after="0" w:afterAutospacing="0" w:line="520" w:lineRule="exact"/>
              <w:ind w:left="0" w:leftChars="0" w:right="0" w:rightChars="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电子投标文件递交时间：详见招标公告（以威海市国企采购电子交易平台具体显示时间为准）</w:t>
            </w:r>
          </w:p>
          <w:p w14:paraId="09B53677">
            <w:pPr>
              <w:keepNext w:val="0"/>
              <w:keepLines w:val="0"/>
              <w:pageBreakBefore w:val="0"/>
              <w:numPr>
                <w:ilvl w:val="0"/>
                <w:numId w:val="0"/>
              </w:numPr>
              <w:suppressLineNumbers w:val="0"/>
              <w:kinsoku/>
              <w:wordWrap w:val="0"/>
              <w:overflowPunct/>
              <w:topLinePunct/>
              <w:autoSpaceDE/>
              <w:autoSpaceDN/>
              <w:bidi w:val="0"/>
              <w:spacing w:before="0" w:beforeAutospacing="0" w:after="0" w:afterAutospacing="0" w:line="520" w:lineRule="exact"/>
              <w:ind w:left="0" w:leftChars="0" w:right="0" w:rightChars="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递交网址：http://60.212.191.167:28088/login?cloudid=12</w:t>
            </w:r>
          </w:p>
        </w:tc>
      </w:tr>
      <w:tr w14:paraId="296B61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00" w:type="dxa"/>
            <w:tcBorders>
              <w:top w:val="single" w:color="auto" w:sz="4" w:space="0"/>
              <w:bottom w:val="single" w:color="auto" w:sz="4" w:space="0"/>
              <w:right w:val="single" w:color="auto" w:sz="4" w:space="0"/>
            </w:tcBorders>
            <w:vAlign w:val="center"/>
          </w:tcPr>
          <w:p w14:paraId="5C877E3A">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eastAsia="zh-CN"/>
              </w:rPr>
            </w:pPr>
            <w:r>
              <w:rPr>
                <w:rFonts w:hint="eastAsia" w:ascii="仿宋" w:hAnsi="仿宋" w:eastAsia="仿宋" w:cs="仿宋"/>
                <w:bCs/>
                <w:color w:val="auto"/>
                <w:kern w:val="0"/>
                <w:sz w:val="28"/>
                <w:szCs w:val="28"/>
                <w:highlight w:val="none"/>
              </w:rPr>
              <w:t>1</w:t>
            </w:r>
            <w:r>
              <w:rPr>
                <w:rFonts w:hint="eastAsia" w:ascii="仿宋" w:hAnsi="仿宋" w:eastAsia="仿宋" w:cs="仿宋"/>
                <w:bCs/>
                <w:color w:val="auto"/>
                <w:kern w:val="0"/>
                <w:sz w:val="28"/>
                <w:szCs w:val="28"/>
                <w:highlight w:val="none"/>
                <w:lang w:val="en-US" w:eastAsia="zh-CN"/>
              </w:rPr>
              <w:t>5</w:t>
            </w:r>
          </w:p>
        </w:tc>
        <w:tc>
          <w:tcPr>
            <w:tcW w:w="2254" w:type="dxa"/>
            <w:tcBorders>
              <w:top w:val="single" w:color="auto" w:sz="4" w:space="0"/>
              <w:left w:val="single" w:color="auto" w:sz="4" w:space="0"/>
              <w:bottom w:val="single" w:color="auto" w:sz="4" w:space="0"/>
              <w:right w:val="single" w:color="auto" w:sz="4" w:space="0"/>
            </w:tcBorders>
            <w:vAlign w:val="center"/>
          </w:tcPr>
          <w:p w14:paraId="224A33AD">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开标时间</w:t>
            </w:r>
          </w:p>
        </w:tc>
        <w:tc>
          <w:tcPr>
            <w:tcW w:w="6910" w:type="dxa"/>
            <w:tcBorders>
              <w:top w:val="single" w:color="auto" w:sz="4" w:space="0"/>
              <w:left w:val="single" w:color="auto" w:sz="4" w:space="0"/>
              <w:bottom w:val="single" w:color="auto" w:sz="4" w:space="0"/>
            </w:tcBorders>
            <w:vAlign w:val="center"/>
          </w:tcPr>
          <w:p w14:paraId="7496A03D">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详见招标公告</w:t>
            </w:r>
          </w:p>
        </w:tc>
      </w:tr>
      <w:tr w14:paraId="63AC2E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1" w:hRule="atLeast"/>
          <w:jc w:val="center"/>
        </w:trPr>
        <w:tc>
          <w:tcPr>
            <w:tcW w:w="800" w:type="dxa"/>
            <w:tcBorders>
              <w:top w:val="single" w:color="auto" w:sz="4" w:space="0"/>
              <w:bottom w:val="single" w:color="auto" w:sz="4" w:space="0"/>
              <w:right w:val="single" w:color="auto" w:sz="4" w:space="0"/>
            </w:tcBorders>
            <w:vAlign w:val="center"/>
          </w:tcPr>
          <w:p w14:paraId="3BA07B5A">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eastAsia="zh-CN"/>
              </w:rPr>
            </w:pPr>
            <w:r>
              <w:rPr>
                <w:rFonts w:hint="eastAsia" w:ascii="仿宋" w:hAnsi="仿宋" w:eastAsia="仿宋" w:cs="仿宋"/>
                <w:bCs/>
                <w:color w:val="auto"/>
                <w:kern w:val="0"/>
                <w:sz w:val="28"/>
                <w:szCs w:val="28"/>
                <w:highlight w:val="none"/>
              </w:rPr>
              <w:t>1</w:t>
            </w:r>
            <w:r>
              <w:rPr>
                <w:rFonts w:hint="eastAsia" w:ascii="仿宋" w:hAnsi="仿宋" w:eastAsia="仿宋" w:cs="仿宋"/>
                <w:bCs/>
                <w:color w:val="auto"/>
                <w:kern w:val="0"/>
                <w:sz w:val="28"/>
                <w:szCs w:val="28"/>
                <w:highlight w:val="none"/>
                <w:lang w:val="en-US" w:eastAsia="zh-CN"/>
              </w:rPr>
              <w:t>6</w:t>
            </w:r>
          </w:p>
        </w:tc>
        <w:tc>
          <w:tcPr>
            <w:tcW w:w="2254" w:type="dxa"/>
            <w:tcBorders>
              <w:top w:val="single" w:color="auto" w:sz="4" w:space="0"/>
              <w:left w:val="single" w:color="auto" w:sz="4" w:space="0"/>
              <w:bottom w:val="single" w:color="auto" w:sz="4" w:space="0"/>
              <w:right w:val="single" w:color="auto" w:sz="4" w:space="0"/>
            </w:tcBorders>
            <w:vAlign w:val="center"/>
          </w:tcPr>
          <w:p w14:paraId="18CDB0E4">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开标地点</w:t>
            </w:r>
          </w:p>
        </w:tc>
        <w:tc>
          <w:tcPr>
            <w:tcW w:w="6910" w:type="dxa"/>
            <w:tcBorders>
              <w:top w:val="single" w:color="auto" w:sz="4" w:space="0"/>
              <w:left w:val="single" w:color="auto" w:sz="4" w:space="0"/>
              <w:bottom w:val="single" w:color="auto" w:sz="4" w:space="0"/>
            </w:tcBorders>
            <w:vAlign w:val="center"/>
          </w:tcPr>
          <w:p w14:paraId="4E2E0FCF">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详见招标公告</w:t>
            </w:r>
          </w:p>
        </w:tc>
      </w:tr>
      <w:tr w14:paraId="0A4C6E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3" w:hRule="atLeast"/>
          <w:jc w:val="center"/>
        </w:trPr>
        <w:tc>
          <w:tcPr>
            <w:tcW w:w="800" w:type="dxa"/>
            <w:tcBorders>
              <w:top w:val="single" w:color="auto" w:sz="4" w:space="0"/>
              <w:bottom w:val="single" w:color="auto" w:sz="4" w:space="0"/>
              <w:right w:val="single" w:color="auto" w:sz="4" w:space="0"/>
            </w:tcBorders>
            <w:vAlign w:val="center"/>
          </w:tcPr>
          <w:p w14:paraId="731C5454">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17</w:t>
            </w:r>
          </w:p>
        </w:tc>
        <w:tc>
          <w:tcPr>
            <w:tcW w:w="2254" w:type="dxa"/>
            <w:tcBorders>
              <w:top w:val="single" w:color="auto" w:sz="4" w:space="0"/>
              <w:left w:val="single" w:color="auto" w:sz="4" w:space="0"/>
              <w:bottom w:val="single" w:color="auto" w:sz="4" w:space="0"/>
              <w:right w:val="single" w:color="auto" w:sz="4" w:space="0"/>
            </w:tcBorders>
            <w:vAlign w:val="center"/>
          </w:tcPr>
          <w:p w14:paraId="3353BD74">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开标方式</w:t>
            </w:r>
          </w:p>
        </w:tc>
        <w:tc>
          <w:tcPr>
            <w:tcW w:w="6910" w:type="dxa"/>
            <w:tcBorders>
              <w:top w:val="single" w:color="auto" w:sz="4" w:space="0"/>
              <w:left w:val="single" w:color="auto" w:sz="4" w:space="0"/>
              <w:bottom w:val="single" w:color="auto" w:sz="4" w:space="0"/>
            </w:tcBorders>
            <w:vAlign w:val="center"/>
          </w:tcPr>
          <w:p w14:paraId="5318BFFC">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b w:val="0"/>
                <w:bCs w:val="0"/>
                <w:color w:val="auto"/>
                <w:spacing w:val="8"/>
                <w:kern w:val="0"/>
                <w:sz w:val="28"/>
                <w:szCs w:val="28"/>
                <w:highlight w:val="none"/>
              </w:rPr>
              <w:t>本项目实行全流程电子化，实行远程解密，投标人无需到现场，并保持通讯畅通，提前在个人电脑上进行测试确保音频、视频功能可正常使用，</w:t>
            </w:r>
            <w:r>
              <w:rPr>
                <w:rFonts w:hint="eastAsia" w:ascii="仿宋" w:hAnsi="仿宋" w:eastAsia="仿宋" w:cs="仿宋"/>
                <w:b w:val="0"/>
                <w:bCs w:val="0"/>
                <w:color w:val="auto"/>
                <w:sz w:val="28"/>
                <w:szCs w:val="28"/>
                <w:highlight w:val="none"/>
              </w:rPr>
              <w:t>开评标期间需实时关注交易系统相关通知，且被授权人的联络方式应保持畅通。</w:t>
            </w:r>
          </w:p>
        </w:tc>
      </w:tr>
      <w:tr w14:paraId="167B7E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800" w:type="dxa"/>
            <w:tcBorders>
              <w:top w:val="single" w:color="auto" w:sz="4" w:space="0"/>
              <w:bottom w:val="single" w:color="auto" w:sz="4" w:space="0"/>
              <w:right w:val="single" w:color="auto" w:sz="4" w:space="0"/>
            </w:tcBorders>
            <w:vAlign w:val="center"/>
          </w:tcPr>
          <w:p w14:paraId="7D9F7E44">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18</w:t>
            </w:r>
          </w:p>
        </w:tc>
        <w:tc>
          <w:tcPr>
            <w:tcW w:w="2254" w:type="dxa"/>
            <w:tcBorders>
              <w:top w:val="single" w:color="auto" w:sz="4" w:space="0"/>
              <w:left w:val="single" w:color="auto" w:sz="4" w:space="0"/>
              <w:bottom w:val="single" w:color="auto" w:sz="4" w:space="0"/>
              <w:right w:val="single" w:color="auto" w:sz="4" w:space="0"/>
            </w:tcBorders>
            <w:vAlign w:val="center"/>
          </w:tcPr>
          <w:p w14:paraId="4344394A">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开标程序</w:t>
            </w:r>
          </w:p>
        </w:tc>
        <w:tc>
          <w:tcPr>
            <w:tcW w:w="6910" w:type="dxa"/>
            <w:tcBorders>
              <w:top w:val="single" w:color="auto" w:sz="4" w:space="0"/>
              <w:left w:val="single" w:color="auto" w:sz="4" w:space="0"/>
              <w:bottom w:val="single" w:color="auto" w:sz="4" w:space="0"/>
            </w:tcBorders>
            <w:vAlign w:val="center"/>
          </w:tcPr>
          <w:p w14:paraId="5741635E">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签到时间：开标时间前30分钟内完成</w:t>
            </w:r>
          </w:p>
          <w:p w14:paraId="7698EAD9">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解密时间：开始解密后</w:t>
            </w:r>
            <w:r>
              <w:rPr>
                <w:rFonts w:hint="eastAsia" w:ascii="仿宋" w:hAnsi="仿宋" w:eastAsia="仿宋" w:cs="仿宋"/>
                <w:color w:val="auto"/>
                <w:sz w:val="28"/>
                <w:szCs w:val="28"/>
                <w:highlight w:val="none"/>
                <w:lang w:val="en-US" w:eastAsia="zh-CN"/>
              </w:rPr>
              <w:t>20</w:t>
            </w:r>
            <w:r>
              <w:rPr>
                <w:rFonts w:hint="eastAsia" w:ascii="仿宋" w:hAnsi="仿宋" w:eastAsia="仿宋" w:cs="仿宋"/>
                <w:color w:val="auto"/>
                <w:sz w:val="28"/>
                <w:szCs w:val="28"/>
                <w:highlight w:val="none"/>
              </w:rPr>
              <w:t>分钟内完成</w:t>
            </w:r>
          </w:p>
          <w:p w14:paraId="43DEA08E">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投标人随时关注交易系统，及时刷新页面，在规定时间内完成解密。未能按时完成解密的，将会被视为无效投标（响应）</w:t>
            </w:r>
          </w:p>
        </w:tc>
      </w:tr>
      <w:tr w14:paraId="793C12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5" w:hRule="atLeast"/>
          <w:jc w:val="center"/>
        </w:trPr>
        <w:tc>
          <w:tcPr>
            <w:tcW w:w="800" w:type="dxa"/>
            <w:tcBorders>
              <w:top w:val="single" w:color="auto" w:sz="4" w:space="0"/>
              <w:bottom w:val="single" w:color="auto" w:sz="4" w:space="0"/>
              <w:right w:val="single" w:color="auto" w:sz="4" w:space="0"/>
            </w:tcBorders>
            <w:shd w:val="clear" w:color="auto" w:fill="auto"/>
            <w:vAlign w:val="center"/>
          </w:tcPr>
          <w:p w14:paraId="2E2C7BB4">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default" w:ascii="仿宋" w:hAnsi="仿宋" w:eastAsia="仿宋" w:cs="仿宋"/>
                <w:color w:val="000000" w:themeColor="text1"/>
                <w:kern w:val="2"/>
                <w:sz w:val="28"/>
                <w:szCs w:val="28"/>
                <w:highlight w:val="none"/>
                <w:lang w:val="en-US" w:eastAsia="zh-CN" w:bidi="ar-SA"/>
              </w:rPr>
            </w:pPr>
            <w:r>
              <w:rPr>
                <w:rFonts w:hint="eastAsia" w:ascii="仿宋" w:hAnsi="仿宋" w:eastAsia="仿宋" w:cs="仿宋"/>
                <w:color w:val="000000" w:themeColor="text1"/>
                <w:sz w:val="28"/>
                <w:szCs w:val="28"/>
                <w:highlight w:val="none"/>
                <w:lang w:val="en-US" w:eastAsia="zh-CN"/>
              </w:rPr>
              <w:t>19</w:t>
            </w:r>
          </w:p>
        </w:tc>
        <w:tc>
          <w:tcPr>
            <w:tcW w:w="2254" w:type="dxa"/>
            <w:tcBorders>
              <w:top w:val="single" w:color="auto" w:sz="4" w:space="0"/>
              <w:left w:val="single" w:color="auto" w:sz="4" w:space="0"/>
              <w:bottom w:val="single" w:color="auto" w:sz="4" w:space="0"/>
              <w:right w:val="single" w:color="auto" w:sz="4" w:space="0"/>
            </w:tcBorders>
            <w:shd w:val="clear" w:color="auto" w:fill="auto"/>
            <w:vAlign w:val="center"/>
          </w:tcPr>
          <w:p w14:paraId="5105D727">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kern w:val="2"/>
                <w:sz w:val="28"/>
                <w:szCs w:val="28"/>
                <w:highlight w:val="none"/>
                <w:lang w:val="en-US" w:eastAsia="zh-CN" w:bidi="ar-SA"/>
              </w:rPr>
            </w:pPr>
            <w:r>
              <w:rPr>
                <w:rFonts w:hint="eastAsia" w:ascii="仿宋" w:hAnsi="仿宋" w:eastAsia="仿宋" w:cs="仿宋"/>
                <w:color w:val="000000" w:themeColor="text1"/>
                <w:sz w:val="28"/>
                <w:szCs w:val="28"/>
                <w:highlight w:val="none"/>
              </w:rPr>
              <w:t>资格审查方式</w:t>
            </w:r>
          </w:p>
        </w:tc>
        <w:tc>
          <w:tcPr>
            <w:tcW w:w="6910" w:type="dxa"/>
            <w:tcBorders>
              <w:top w:val="single" w:color="auto" w:sz="4" w:space="0"/>
              <w:left w:val="single" w:color="auto" w:sz="4" w:space="0"/>
              <w:bottom w:val="single" w:color="auto" w:sz="4" w:space="0"/>
            </w:tcBorders>
            <w:shd w:val="clear" w:color="auto" w:fill="auto"/>
            <w:vAlign w:val="center"/>
          </w:tcPr>
          <w:p w14:paraId="6F8B05F2">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kern w:val="2"/>
                <w:sz w:val="28"/>
                <w:szCs w:val="28"/>
                <w:highlight w:val="none"/>
                <w:lang w:val="en-US" w:eastAsia="zh-CN" w:bidi="ar-SA"/>
              </w:rPr>
            </w:pPr>
            <w:r>
              <w:rPr>
                <w:rFonts w:hint="eastAsia" w:ascii="仿宋" w:hAnsi="仿宋" w:eastAsia="仿宋" w:cs="仿宋"/>
                <w:color w:val="000000" w:themeColor="text1"/>
                <w:sz w:val="28"/>
                <w:szCs w:val="28"/>
                <w:highlight w:val="none"/>
              </w:rPr>
              <w:t>资格后审</w:t>
            </w:r>
          </w:p>
        </w:tc>
      </w:tr>
      <w:tr w14:paraId="452289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5" w:hRule="atLeast"/>
          <w:jc w:val="center"/>
        </w:trPr>
        <w:tc>
          <w:tcPr>
            <w:tcW w:w="800" w:type="dxa"/>
            <w:tcBorders>
              <w:top w:val="single" w:color="auto" w:sz="4" w:space="0"/>
              <w:bottom w:val="single" w:color="auto" w:sz="4" w:space="0"/>
              <w:right w:val="single" w:color="auto" w:sz="4" w:space="0"/>
            </w:tcBorders>
            <w:vAlign w:val="center"/>
          </w:tcPr>
          <w:p w14:paraId="2C4C41A5">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0"/>
              <w:jc w:val="center"/>
              <w:textAlignment w:val="auto"/>
              <w:rPr>
                <w:rFonts w:hint="default"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20</w:t>
            </w:r>
          </w:p>
        </w:tc>
        <w:tc>
          <w:tcPr>
            <w:tcW w:w="2254" w:type="dxa"/>
            <w:tcBorders>
              <w:top w:val="single" w:color="auto" w:sz="4" w:space="0"/>
              <w:left w:val="single" w:color="auto" w:sz="4" w:space="0"/>
              <w:bottom w:val="single" w:color="auto" w:sz="4" w:space="0"/>
              <w:right w:val="single" w:color="auto" w:sz="4" w:space="0"/>
            </w:tcBorders>
            <w:vAlign w:val="center"/>
          </w:tcPr>
          <w:p w14:paraId="7B36F50E">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评标办法</w:t>
            </w:r>
          </w:p>
        </w:tc>
        <w:tc>
          <w:tcPr>
            <w:tcW w:w="6910" w:type="dxa"/>
            <w:tcBorders>
              <w:top w:val="single" w:color="auto" w:sz="4" w:space="0"/>
              <w:left w:val="single" w:color="auto" w:sz="4" w:space="0"/>
              <w:bottom w:val="single" w:color="auto" w:sz="4" w:space="0"/>
            </w:tcBorders>
            <w:vAlign w:val="center"/>
          </w:tcPr>
          <w:p w14:paraId="291C3D8E">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综合评分法</w:t>
            </w:r>
          </w:p>
        </w:tc>
      </w:tr>
      <w:tr w14:paraId="468F98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800" w:type="dxa"/>
            <w:tcBorders>
              <w:top w:val="single" w:color="auto" w:sz="4" w:space="0"/>
              <w:bottom w:val="single" w:color="auto" w:sz="4" w:space="0"/>
              <w:right w:val="single" w:color="auto" w:sz="4" w:space="0"/>
            </w:tcBorders>
            <w:vAlign w:val="center"/>
          </w:tcPr>
          <w:p w14:paraId="0F0C3F61">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21</w:t>
            </w:r>
          </w:p>
        </w:tc>
        <w:tc>
          <w:tcPr>
            <w:tcW w:w="2254" w:type="dxa"/>
            <w:tcBorders>
              <w:top w:val="single" w:color="auto" w:sz="4" w:space="0"/>
              <w:left w:val="single" w:color="auto" w:sz="4" w:space="0"/>
              <w:bottom w:val="single" w:color="auto" w:sz="4" w:space="0"/>
              <w:right w:val="single" w:color="auto" w:sz="4" w:space="0"/>
            </w:tcBorders>
            <w:vAlign w:val="center"/>
          </w:tcPr>
          <w:p w14:paraId="55557FEE">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联合体投标</w:t>
            </w:r>
          </w:p>
        </w:tc>
        <w:tc>
          <w:tcPr>
            <w:tcW w:w="6910" w:type="dxa"/>
            <w:tcBorders>
              <w:top w:val="single" w:color="auto" w:sz="4" w:space="0"/>
              <w:left w:val="single" w:color="auto" w:sz="4" w:space="0"/>
              <w:bottom w:val="single" w:color="auto" w:sz="4" w:space="0"/>
            </w:tcBorders>
            <w:vAlign w:val="center"/>
          </w:tcPr>
          <w:p w14:paraId="2F30E925">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不</w:t>
            </w:r>
            <w:r>
              <w:rPr>
                <w:rFonts w:hint="eastAsia" w:ascii="仿宋" w:hAnsi="仿宋" w:eastAsia="仿宋" w:cs="仿宋"/>
                <w:color w:val="auto"/>
                <w:sz w:val="28"/>
                <w:szCs w:val="28"/>
                <w:highlight w:val="none"/>
                <w:lang w:val="en-US" w:eastAsia="zh-CN"/>
              </w:rPr>
              <w:t>允许</w:t>
            </w:r>
          </w:p>
        </w:tc>
      </w:tr>
      <w:tr w14:paraId="4DA276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800" w:type="dxa"/>
            <w:tcBorders>
              <w:top w:val="single" w:color="auto" w:sz="4" w:space="0"/>
              <w:bottom w:val="single" w:color="auto" w:sz="4" w:space="0"/>
              <w:right w:val="single" w:color="auto" w:sz="4" w:space="0"/>
            </w:tcBorders>
            <w:shd w:val="clear" w:color="auto" w:fill="auto"/>
            <w:vAlign w:val="center"/>
          </w:tcPr>
          <w:p w14:paraId="72480E93">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kern w:val="2"/>
                <w:sz w:val="28"/>
                <w:szCs w:val="28"/>
                <w:highlight w:val="none"/>
                <w:lang w:val="en-US" w:eastAsia="zh-CN" w:bidi="ar-SA"/>
              </w:rPr>
            </w:pPr>
            <w:r>
              <w:rPr>
                <w:rFonts w:hint="eastAsia" w:ascii="仿宋" w:hAnsi="仿宋" w:eastAsia="仿宋" w:cs="仿宋"/>
                <w:color w:val="000000" w:themeColor="text1"/>
                <w:sz w:val="28"/>
                <w:szCs w:val="28"/>
                <w:highlight w:val="none"/>
              </w:rPr>
              <w:t>2</w:t>
            </w:r>
            <w:r>
              <w:rPr>
                <w:rFonts w:hint="eastAsia" w:ascii="仿宋" w:hAnsi="仿宋" w:eastAsia="仿宋" w:cs="仿宋"/>
                <w:color w:val="000000" w:themeColor="text1"/>
                <w:sz w:val="28"/>
                <w:szCs w:val="28"/>
                <w:highlight w:val="none"/>
                <w:lang w:val="en-US" w:eastAsia="zh-CN"/>
              </w:rPr>
              <w:t>2</w:t>
            </w:r>
          </w:p>
        </w:tc>
        <w:tc>
          <w:tcPr>
            <w:tcW w:w="2254" w:type="dxa"/>
            <w:tcBorders>
              <w:top w:val="single" w:color="auto" w:sz="4" w:space="0"/>
              <w:left w:val="single" w:color="auto" w:sz="4" w:space="0"/>
              <w:bottom w:val="single" w:color="auto" w:sz="4" w:space="0"/>
              <w:right w:val="single" w:color="auto" w:sz="4" w:space="0"/>
            </w:tcBorders>
            <w:shd w:val="clear" w:color="auto" w:fill="auto"/>
            <w:vAlign w:val="center"/>
          </w:tcPr>
          <w:p w14:paraId="009D5DAA">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kern w:val="2"/>
                <w:sz w:val="28"/>
                <w:szCs w:val="28"/>
                <w:highlight w:val="none"/>
                <w:lang w:val="en-US" w:eastAsia="zh-CN" w:bidi="ar-SA"/>
              </w:rPr>
            </w:pPr>
            <w:r>
              <w:rPr>
                <w:rFonts w:hint="eastAsia" w:ascii="仿宋" w:hAnsi="仿宋" w:eastAsia="仿宋" w:cs="仿宋"/>
                <w:color w:val="000000" w:themeColor="text1"/>
                <w:sz w:val="28"/>
                <w:szCs w:val="28"/>
                <w:highlight w:val="none"/>
              </w:rPr>
              <w:t>分（转）包</w:t>
            </w:r>
          </w:p>
        </w:tc>
        <w:tc>
          <w:tcPr>
            <w:tcW w:w="6910" w:type="dxa"/>
            <w:tcBorders>
              <w:top w:val="single" w:color="auto" w:sz="4" w:space="0"/>
              <w:left w:val="single" w:color="auto" w:sz="4" w:space="0"/>
              <w:bottom w:val="single" w:color="auto" w:sz="4" w:space="0"/>
            </w:tcBorders>
            <w:shd w:val="clear" w:color="auto" w:fill="auto"/>
            <w:vAlign w:val="center"/>
          </w:tcPr>
          <w:p w14:paraId="02A636D6">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kern w:val="2"/>
                <w:sz w:val="28"/>
                <w:szCs w:val="28"/>
                <w:highlight w:val="none"/>
                <w:lang w:val="en-US" w:eastAsia="zh-CN" w:bidi="ar-SA"/>
              </w:rPr>
            </w:pPr>
            <w:r>
              <w:rPr>
                <w:rFonts w:hint="eastAsia" w:ascii="仿宋" w:hAnsi="仿宋" w:eastAsia="仿宋" w:cs="仿宋"/>
                <w:color w:val="000000" w:themeColor="text1"/>
                <w:sz w:val="28"/>
                <w:szCs w:val="28"/>
                <w:highlight w:val="none"/>
              </w:rPr>
              <w:t>不允许</w:t>
            </w:r>
          </w:p>
        </w:tc>
      </w:tr>
      <w:tr w14:paraId="55110A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800" w:type="dxa"/>
            <w:tcBorders>
              <w:top w:val="single" w:color="auto" w:sz="4" w:space="0"/>
              <w:bottom w:val="single" w:color="auto" w:sz="4" w:space="0"/>
              <w:right w:val="single" w:color="auto" w:sz="4" w:space="0"/>
            </w:tcBorders>
            <w:shd w:val="clear" w:color="auto" w:fill="auto"/>
            <w:vAlign w:val="center"/>
          </w:tcPr>
          <w:p w14:paraId="309F646D">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leftChars="0" w:right="0" w:rightChars="0"/>
              <w:jc w:val="center"/>
              <w:textAlignment w:val="auto"/>
              <w:rPr>
                <w:rFonts w:hint="eastAsia"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rPr>
              <w:t>2</w:t>
            </w:r>
            <w:r>
              <w:rPr>
                <w:rFonts w:hint="eastAsia" w:ascii="仿宋" w:hAnsi="仿宋" w:eastAsia="仿宋" w:cs="仿宋"/>
                <w:bCs/>
                <w:color w:val="auto"/>
                <w:kern w:val="0"/>
                <w:sz w:val="28"/>
                <w:szCs w:val="28"/>
                <w:highlight w:val="none"/>
                <w:lang w:val="en-US" w:eastAsia="zh-CN"/>
              </w:rPr>
              <w:t>3</w:t>
            </w:r>
          </w:p>
        </w:tc>
        <w:tc>
          <w:tcPr>
            <w:tcW w:w="2254" w:type="dxa"/>
            <w:tcBorders>
              <w:top w:val="single" w:color="auto" w:sz="4" w:space="0"/>
              <w:left w:val="single" w:color="auto" w:sz="4" w:space="0"/>
              <w:bottom w:val="single" w:color="auto" w:sz="4" w:space="0"/>
              <w:right w:val="single" w:color="auto" w:sz="4" w:space="0"/>
            </w:tcBorders>
            <w:vAlign w:val="center"/>
          </w:tcPr>
          <w:p w14:paraId="0A95542E">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投标保证金</w:t>
            </w:r>
          </w:p>
        </w:tc>
        <w:tc>
          <w:tcPr>
            <w:tcW w:w="6910" w:type="dxa"/>
            <w:tcBorders>
              <w:top w:val="single" w:color="auto" w:sz="4" w:space="0"/>
              <w:left w:val="single" w:color="auto" w:sz="4" w:space="0"/>
              <w:bottom w:val="single" w:color="auto" w:sz="4" w:space="0"/>
            </w:tcBorders>
            <w:vAlign w:val="center"/>
          </w:tcPr>
          <w:p w14:paraId="72C21622">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yellow"/>
                <w:lang w:val="en-US" w:eastAsia="zh-CN"/>
              </w:rPr>
            </w:pPr>
            <w:r>
              <w:rPr>
                <w:rFonts w:hint="eastAsia" w:ascii="仿宋" w:hAnsi="仿宋" w:eastAsia="仿宋" w:cs="仿宋"/>
                <w:color w:val="auto"/>
                <w:sz w:val="28"/>
                <w:szCs w:val="28"/>
                <w:highlight w:val="none"/>
                <w:lang w:val="en-US" w:eastAsia="zh-CN"/>
              </w:rPr>
              <w:t>1.投标保证金的金额：人民币5000元整。</w:t>
            </w:r>
          </w:p>
          <w:p w14:paraId="25CD8048">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1.1本项目的投标保证金必须通过威海市国有企业阳光采购服务平台交纳，使用说明参见威海市公共资源交易网（http://ggzyjy.weihai.cn）的“办事指南—国企采购专区”中《新版威海市国有企业阳光采购服务平台供应商线上投标保证金操作手册》。</w:t>
            </w:r>
          </w:p>
          <w:p w14:paraId="75A2FCDA">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1.2为确保投标工作有序进行，保证金应当在开标（提交投标文件截止）时间前（以到账时间为准）到达威海公共资源交易服务有限公司账户，以网银、电汇等方式一次性足额交纳保证金，不接受支付宝等第三方平台转账。禁止第三方代交。保证金交纳单位应与提交投标文件的投标人名称一致。</w:t>
            </w:r>
          </w:p>
          <w:p w14:paraId="6F88D30B">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1.3为确保投标人保证金及时足额到账，请尽量提前交纳保证金，由于银行系统原因，请至少在提交投标文件截止时间前12小时将保证金汇出。如不按招标文件和系统使用指南操作，导致开标过程中威海市国有企业阳光采购服务平台未出现投标人名称或者显示保证金未按时到账，视为其未按照招标文件的规定提交投标保证金，投标人对此应有明确的认识，自行承担后果。投标人可以使用威海市国有企业阳光采购服务平台查询并及时更新交纳情况。</w:t>
            </w:r>
          </w:p>
          <w:p w14:paraId="3843CB6B">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注意：每个标段（若分多个标段）都应申请收款人虚拟账号，一个收款人虚拟账号仅限定一个投标人在本项目上使用。各投标人应严格按照招标文件的要求进行保证金的缴纳工作，在汇款时认真核对国企阳光采购平台的收款人名称和开户银行等信息是否与招标文件提供的信息一致，如有出入请及时联系招标人或采购代理机构，未按招标文件要求操作的，可能导致保证金无法确认，进而影响投标资格，由此引发的后果由投标人自行承担。</w:t>
            </w:r>
          </w:p>
          <w:p w14:paraId="736E65D6">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1.4.退还保证金：目前系统采用自动退还保证金操作，分为未中标人退还和中标人退还。代理机构向中标人发送中标通知书后，系统自动退还未中标人保证金；招标人和中标人签署完合同后，系统自动退还中标人保证金。</w:t>
            </w:r>
          </w:p>
          <w:p w14:paraId="4C1B3765">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2.要求：</w:t>
            </w:r>
          </w:p>
          <w:p w14:paraId="3F296AF9">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2.1保证金必须从投标人基本账户转出。</w:t>
            </w:r>
          </w:p>
          <w:p w14:paraId="451BFBAC">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2.2提供基本账户汇款证明，且保证金转出账户需与基本账户相同。</w:t>
            </w:r>
          </w:p>
          <w:p w14:paraId="13C18427">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未按规定交纳保证金否决其投标（报价）。</w:t>
            </w:r>
          </w:p>
        </w:tc>
      </w:tr>
      <w:tr w14:paraId="07F04E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800" w:type="dxa"/>
            <w:tcBorders>
              <w:top w:val="single" w:color="auto" w:sz="4" w:space="0"/>
              <w:bottom w:val="single" w:color="auto" w:sz="4" w:space="0"/>
              <w:right w:val="single" w:color="auto" w:sz="4" w:space="0"/>
            </w:tcBorders>
            <w:shd w:val="clear" w:color="auto" w:fill="auto"/>
            <w:vAlign w:val="center"/>
          </w:tcPr>
          <w:p w14:paraId="72917B40">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leftChars="0" w:right="0" w:rightChars="0"/>
              <w:jc w:val="center"/>
              <w:textAlignment w:val="auto"/>
              <w:rPr>
                <w:rFonts w:hint="default"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rPr>
              <w:t>24</w:t>
            </w:r>
          </w:p>
        </w:tc>
        <w:tc>
          <w:tcPr>
            <w:tcW w:w="2254" w:type="dxa"/>
            <w:tcBorders>
              <w:top w:val="single" w:color="auto" w:sz="4" w:space="0"/>
              <w:left w:val="single" w:color="auto" w:sz="4" w:space="0"/>
              <w:bottom w:val="single" w:color="auto" w:sz="4" w:space="0"/>
              <w:right w:val="single" w:color="auto" w:sz="4" w:space="0"/>
            </w:tcBorders>
            <w:vAlign w:val="center"/>
          </w:tcPr>
          <w:p w14:paraId="37DEF8B8">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履约保证金</w:t>
            </w:r>
          </w:p>
        </w:tc>
        <w:tc>
          <w:tcPr>
            <w:tcW w:w="6910" w:type="dxa"/>
            <w:tcBorders>
              <w:top w:val="single" w:color="auto" w:sz="4" w:space="0"/>
              <w:left w:val="single" w:color="auto" w:sz="4" w:space="0"/>
              <w:bottom w:val="single" w:color="auto" w:sz="4" w:space="0"/>
            </w:tcBorders>
            <w:vAlign w:val="center"/>
          </w:tcPr>
          <w:p w14:paraId="6125ABD9">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本项目不收取履约保证金</w:t>
            </w:r>
          </w:p>
        </w:tc>
      </w:tr>
      <w:tr w14:paraId="5EDA85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5" w:hRule="atLeast"/>
          <w:jc w:val="center"/>
        </w:trPr>
        <w:tc>
          <w:tcPr>
            <w:tcW w:w="800" w:type="dxa"/>
            <w:tcBorders>
              <w:top w:val="single" w:color="auto" w:sz="4" w:space="0"/>
              <w:bottom w:val="single" w:color="auto" w:sz="4" w:space="0"/>
              <w:right w:val="single" w:color="auto" w:sz="4" w:space="0"/>
            </w:tcBorders>
            <w:shd w:val="clear" w:color="auto" w:fill="auto"/>
            <w:vAlign w:val="center"/>
          </w:tcPr>
          <w:p w14:paraId="2EE6892A">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leftChars="0" w:right="0" w:rightChars="0"/>
              <w:jc w:val="center"/>
              <w:textAlignment w:val="auto"/>
              <w:rPr>
                <w:rFonts w:hint="default"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bidi="ar-SA"/>
              </w:rPr>
              <w:t>25</w:t>
            </w:r>
          </w:p>
        </w:tc>
        <w:tc>
          <w:tcPr>
            <w:tcW w:w="2254" w:type="dxa"/>
            <w:tcBorders>
              <w:top w:val="single" w:color="auto" w:sz="4" w:space="0"/>
              <w:left w:val="single" w:color="auto" w:sz="4" w:space="0"/>
              <w:bottom w:val="single" w:color="auto" w:sz="4" w:space="0"/>
              <w:right w:val="single" w:color="auto" w:sz="4" w:space="0"/>
            </w:tcBorders>
            <w:vAlign w:val="center"/>
          </w:tcPr>
          <w:p w14:paraId="22FFD2F5">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服务费</w:t>
            </w:r>
          </w:p>
        </w:tc>
        <w:tc>
          <w:tcPr>
            <w:tcW w:w="6910" w:type="dxa"/>
            <w:tcBorders>
              <w:top w:val="single" w:color="auto" w:sz="4" w:space="0"/>
              <w:left w:val="single" w:color="auto" w:sz="4" w:space="0"/>
              <w:bottom w:val="single" w:color="auto" w:sz="4" w:space="0"/>
            </w:tcBorders>
            <w:vAlign w:val="center"/>
          </w:tcPr>
          <w:p w14:paraId="4555C564">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代理服务费和评审费均由中标人支付，此费用包含在投标报价中，采购人不再另行考虑，评审费均摊。</w:t>
            </w:r>
          </w:p>
          <w:p w14:paraId="12AE92DD">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代理服务费人民币3000.00元整/家，由各中标人在领取中标通知书的同时向招标公司全额交纳。</w:t>
            </w:r>
          </w:p>
          <w:p w14:paraId="442A6B2F">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户名：山东瀚泰建设管理有限公司</w:t>
            </w:r>
          </w:p>
          <w:p w14:paraId="30D32BC0">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开户行：中信银行股份有限公司威海火炬高技术产业开发区支行</w:t>
            </w:r>
          </w:p>
          <w:p w14:paraId="4B48328F">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账号：8110601014200864050</w:t>
            </w:r>
          </w:p>
        </w:tc>
      </w:tr>
      <w:tr w14:paraId="2F088F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800" w:type="dxa"/>
            <w:tcBorders>
              <w:top w:val="single" w:color="auto" w:sz="4" w:space="0"/>
              <w:bottom w:val="single" w:color="auto" w:sz="4" w:space="0"/>
              <w:right w:val="single" w:color="auto" w:sz="4" w:space="0"/>
            </w:tcBorders>
            <w:shd w:val="clear" w:color="auto" w:fill="auto"/>
            <w:vAlign w:val="center"/>
          </w:tcPr>
          <w:p w14:paraId="77D452A9">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leftChars="0" w:right="0" w:rightChars="0"/>
              <w:jc w:val="center"/>
              <w:textAlignment w:val="auto"/>
              <w:rPr>
                <w:rFonts w:hint="default"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rPr>
              <w:t>26</w:t>
            </w:r>
          </w:p>
        </w:tc>
        <w:tc>
          <w:tcPr>
            <w:tcW w:w="2254" w:type="dxa"/>
            <w:tcBorders>
              <w:top w:val="single" w:color="auto" w:sz="4" w:space="0"/>
              <w:left w:val="single" w:color="auto" w:sz="4" w:space="0"/>
              <w:bottom w:val="single" w:color="auto" w:sz="4" w:space="0"/>
              <w:right w:val="single" w:color="auto" w:sz="4" w:space="0"/>
            </w:tcBorders>
            <w:vAlign w:val="center"/>
          </w:tcPr>
          <w:p w14:paraId="40491678">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是否委托定标</w:t>
            </w:r>
          </w:p>
        </w:tc>
        <w:tc>
          <w:tcPr>
            <w:tcW w:w="6910" w:type="dxa"/>
            <w:tcBorders>
              <w:top w:val="single" w:color="auto" w:sz="4" w:space="0"/>
              <w:left w:val="single" w:color="auto" w:sz="4" w:space="0"/>
              <w:bottom w:val="single" w:color="auto" w:sz="4" w:space="0"/>
            </w:tcBorders>
            <w:vAlign w:val="center"/>
          </w:tcPr>
          <w:p w14:paraId="3348EF69">
            <w:pPr>
              <w:keepNext w:val="0"/>
              <w:keepLines w:val="0"/>
              <w:pageBreakBefore w:val="0"/>
              <w:widowControl/>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kern w:val="0"/>
                <w:sz w:val="28"/>
                <w:szCs w:val="28"/>
                <w:highlight w:val="none"/>
                <w:lang w:val="en-US" w:eastAsia="zh-CN"/>
              </w:rPr>
              <w:t>是</w:t>
            </w:r>
          </w:p>
        </w:tc>
      </w:tr>
      <w:tr w14:paraId="6A1E24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5" w:hRule="atLeast"/>
          <w:jc w:val="center"/>
        </w:trPr>
        <w:tc>
          <w:tcPr>
            <w:tcW w:w="800" w:type="dxa"/>
            <w:tcBorders>
              <w:top w:val="single" w:color="auto" w:sz="4" w:space="0"/>
              <w:bottom w:val="single" w:color="auto" w:sz="4" w:space="0"/>
              <w:right w:val="single" w:color="auto" w:sz="4" w:space="0"/>
            </w:tcBorders>
            <w:shd w:val="clear" w:color="auto" w:fill="auto"/>
            <w:vAlign w:val="center"/>
          </w:tcPr>
          <w:p w14:paraId="37B7F8C9">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leftChars="0" w:right="0" w:rightChars="0"/>
              <w:jc w:val="center"/>
              <w:textAlignment w:val="auto"/>
              <w:rPr>
                <w:rFonts w:hint="default"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rPr>
              <w:t>27</w:t>
            </w:r>
          </w:p>
        </w:tc>
        <w:tc>
          <w:tcPr>
            <w:tcW w:w="2254" w:type="dxa"/>
            <w:tcBorders>
              <w:top w:val="single" w:color="auto" w:sz="4" w:space="0"/>
              <w:left w:val="single" w:color="auto" w:sz="4" w:space="0"/>
              <w:bottom w:val="single" w:color="auto" w:sz="4" w:space="0"/>
              <w:right w:val="single" w:color="auto" w:sz="4" w:space="0"/>
            </w:tcBorders>
            <w:vAlign w:val="center"/>
          </w:tcPr>
          <w:p w14:paraId="1ABF861C">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其他</w:t>
            </w:r>
          </w:p>
        </w:tc>
        <w:tc>
          <w:tcPr>
            <w:tcW w:w="6910" w:type="dxa"/>
            <w:tcBorders>
              <w:top w:val="single" w:color="auto" w:sz="4" w:space="0"/>
              <w:left w:val="single" w:color="auto" w:sz="4" w:space="0"/>
              <w:bottom w:val="single" w:color="auto" w:sz="4" w:space="0"/>
            </w:tcBorders>
            <w:vAlign w:val="center"/>
          </w:tcPr>
          <w:p w14:paraId="5D513EF3">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本项目按</w:t>
            </w:r>
            <w:r>
              <w:rPr>
                <w:rFonts w:hint="eastAsia" w:ascii="仿宋" w:hAnsi="仿宋" w:eastAsia="仿宋" w:cs="仿宋"/>
                <w:color w:val="auto"/>
                <w:sz w:val="28"/>
                <w:szCs w:val="28"/>
                <w:highlight w:val="none"/>
                <w:lang w:val="en-US" w:eastAsia="zh-CN"/>
              </w:rPr>
              <w:t>服务</w:t>
            </w:r>
            <w:r>
              <w:rPr>
                <w:rFonts w:hint="eastAsia" w:ascii="仿宋" w:hAnsi="仿宋" w:eastAsia="仿宋" w:cs="仿宋"/>
                <w:color w:val="auto"/>
                <w:sz w:val="28"/>
                <w:szCs w:val="28"/>
                <w:highlight w:val="none"/>
              </w:rPr>
              <w:t>类以公开招标方式实施采购。</w:t>
            </w:r>
          </w:p>
          <w:p w14:paraId="05857954">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如投标人在本次项目中弄虚作假成为中标人的，后期一经发现将取消其已中标资格，且今后不再录用，给招标人造成损失的，招标人有权索要赔偿。</w:t>
            </w:r>
          </w:p>
          <w:p w14:paraId="04FC16F5">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投标人在本次招标成功中标后，拒绝或不能按照招标人的要求完成任务等，招标人有权撤销其已中标资格，给招标人造成损失的，招标人有权索要赔偿。</w:t>
            </w:r>
          </w:p>
          <w:p w14:paraId="7902CFD7">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信用信息报告查询路径：</w:t>
            </w:r>
          </w:p>
          <w:p w14:paraId="72EBAD47">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（1）信用中国：进入信用中国首页→右上方“信用信息”查询框内输入企业名称/统一社会信用代码等信息搜索→点击要查询的企业→下载信用信息报告。</w:t>
            </w:r>
          </w:p>
          <w:p w14:paraId="787D1CB8">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（2）信用中国（山东）：进入信用中国（山东）首页→上方“信用中国信息查询”查询框内输入企业名称/统一社会信用代码等信息查询→点击要查询的企业→下载信用信息报告。</w:t>
            </w:r>
          </w:p>
          <w:p w14:paraId="0B28B85B">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注：若投标人所附信用信息报告与以上查询路径内容不一致的，以招标文件中查询路径内容为准。</w:t>
            </w:r>
          </w:p>
        </w:tc>
      </w:tr>
    </w:tbl>
    <w:p w14:paraId="4DDB942B">
      <w:pPr>
        <w:pStyle w:val="24"/>
        <w:keepNext w:val="0"/>
        <w:keepLines w:val="0"/>
        <w:pageBreakBefore w:val="0"/>
        <w:kinsoku/>
        <w:overflowPunct/>
        <w:topLinePunct/>
        <w:autoSpaceDE/>
        <w:autoSpaceDN/>
        <w:bidi w:val="0"/>
        <w:textAlignment w:val="auto"/>
        <w:outlineLvl w:val="9"/>
        <w:rPr>
          <w:rFonts w:hint="eastAsia" w:ascii="仿宋" w:hAnsi="仿宋" w:eastAsia="仿宋" w:cs="仿宋"/>
          <w:color w:val="auto"/>
          <w:sz w:val="32"/>
          <w:szCs w:val="32"/>
          <w:highlight w:val="none"/>
          <w:lang w:val="en-US" w:eastAsia="zh-CN"/>
        </w:rPr>
      </w:pPr>
      <w:bookmarkStart w:id="8" w:name="_Toc7818"/>
    </w:p>
    <w:p w14:paraId="23907A26">
      <w:pPr>
        <w:keepNext w:val="0"/>
        <w:keepLines w:val="0"/>
        <w:pageBreakBefore w:val="0"/>
        <w:kinsoku/>
        <w:overflowPunct/>
        <w:autoSpaceDE/>
        <w:autoSpaceDN/>
        <w:bidi w:val="0"/>
        <w:rPr>
          <w:rFonts w:hint="eastAsia" w:ascii="仿宋" w:hAnsi="仿宋" w:eastAsia="仿宋" w:cs="仿宋"/>
          <w:color w:val="auto"/>
          <w:sz w:val="32"/>
          <w:szCs w:val="32"/>
          <w:highlight w:val="none"/>
          <w:lang w:val="en-US" w:eastAsia="zh-CN"/>
        </w:rPr>
        <w:sectPr>
          <w:pgSz w:w="11906" w:h="16838"/>
          <w:pgMar w:top="1300" w:right="1142" w:bottom="1118" w:left="1324" w:header="454" w:footer="680" w:gutter="0"/>
          <w:pgNumType w:fmt="decimal"/>
          <w:cols w:space="0" w:num="1"/>
          <w:docGrid w:linePitch="312" w:charSpace="0"/>
        </w:sectPr>
      </w:pPr>
    </w:p>
    <w:p w14:paraId="6BB4BCD9">
      <w:pPr>
        <w:pStyle w:val="24"/>
        <w:keepNext w:val="0"/>
        <w:keepLines w:val="0"/>
        <w:pageBreakBefore w:val="0"/>
        <w:kinsoku/>
        <w:overflowPunct/>
        <w:topLinePunct/>
        <w:autoSpaceDE/>
        <w:autoSpaceDN/>
        <w:bidi w:val="0"/>
        <w:textAlignment w:val="auto"/>
        <w:outlineLvl w:val="1"/>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《实质性条款一览表》</w:t>
      </w:r>
      <w:bookmarkEnd w:id="8"/>
    </w:p>
    <w:p w14:paraId="2E53B6C6">
      <w:pPr>
        <w:keepNext w:val="0"/>
        <w:keepLines w:val="0"/>
        <w:pageBreakBefore w:val="0"/>
        <w:widowControl w:val="0"/>
        <w:kinsoku/>
        <w:wordWrap/>
        <w:overflowPunct/>
        <w:topLinePunct/>
        <w:autoSpaceDE/>
        <w:autoSpaceDN/>
        <w:bidi w:val="0"/>
        <w:adjustRightInd/>
        <w:snapToGrid w:val="0"/>
        <w:spacing w:line="480" w:lineRule="exact"/>
        <w:ind w:firstLine="561"/>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说明：本表系招标文件及修改性文件中涉及的所有实质性条款的汇总。不允许有任何负偏离，否则投标将被否决。</w:t>
      </w:r>
    </w:p>
    <w:tbl>
      <w:tblPr>
        <w:tblStyle w:val="26"/>
        <w:tblW w:w="956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498"/>
      </w:tblGrid>
      <w:tr w14:paraId="46A10E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4379B24E">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25B7D64F">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498" w:type="dxa"/>
            <w:tcBorders>
              <w:top w:val="single" w:color="auto" w:sz="4" w:space="0"/>
              <w:left w:val="single" w:color="auto" w:sz="4" w:space="0"/>
              <w:bottom w:val="single" w:color="auto" w:sz="4" w:space="0"/>
            </w:tcBorders>
            <w:vAlign w:val="center"/>
          </w:tcPr>
          <w:p w14:paraId="477CB7BC">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703C9E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1D78FA2B">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155" w:type="dxa"/>
            <w:tcBorders>
              <w:top w:val="single" w:color="auto" w:sz="4" w:space="0"/>
              <w:left w:val="single" w:color="auto" w:sz="4" w:space="0"/>
              <w:bottom w:val="single" w:color="auto" w:sz="4" w:space="0"/>
              <w:right w:val="single" w:color="auto" w:sz="4" w:space="0"/>
            </w:tcBorders>
            <w:vAlign w:val="center"/>
          </w:tcPr>
          <w:p w14:paraId="5DCD3FCB">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资格性核查</w:t>
            </w:r>
          </w:p>
        </w:tc>
        <w:tc>
          <w:tcPr>
            <w:tcW w:w="6498" w:type="dxa"/>
            <w:tcBorders>
              <w:top w:val="single" w:color="auto" w:sz="4" w:space="0"/>
              <w:left w:val="single" w:color="auto" w:sz="4" w:space="0"/>
              <w:bottom w:val="single" w:color="auto" w:sz="4" w:space="0"/>
            </w:tcBorders>
          </w:tcPr>
          <w:p w14:paraId="7646D3E9">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投标人具有有效的营业执照扫描件</w:t>
            </w:r>
            <w:r>
              <w:rPr>
                <w:rFonts w:hint="eastAsia" w:ascii="仿宋" w:hAnsi="仿宋" w:eastAsia="仿宋" w:cs="仿宋"/>
                <w:color w:val="auto"/>
                <w:sz w:val="28"/>
                <w:szCs w:val="28"/>
                <w:highlight w:val="none"/>
                <w:lang w:val="en-US" w:eastAsia="zh-CN"/>
              </w:rPr>
              <w:t>或其他能证明具有独立承担民事责任能力的材料扫描件</w:t>
            </w:r>
            <w:r>
              <w:rPr>
                <w:rFonts w:hint="eastAsia" w:ascii="仿宋" w:hAnsi="仿宋" w:eastAsia="仿宋" w:cs="仿宋"/>
                <w:color w:val="auto"/>
                <w:sz w:val="28"/>
                <w:szCs w:val="28"/>
                <w:highlight w:val="none"/>
              </w:rPr>
              <w:t>；</w:t>
            </w:r>
          </w:p>
          <w:p w14:paraId="378F841C">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法定代表人授权委托书；被授权人身份证扫描件；</w:t>
            </w:r>
          </w:p>
          <w:p w14:paraId="2CEA3A20">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若投标人代表为企业法定代表人的，则只需提供企业法定代表人身份证明及法定代表人身份证扫描件；</w:t>
            </w:r>
          </w:p>
          <w:p w14:paraId="3066E34E">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投标人信用承诺书；</w:t>
            </w:r>
          </w:p>
          <w:p w14:paraId="3CB8F337">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投标人参与投标的声明函；</w:t>
            </w:r>
          </w:p>
          <w:p w14:paraId="1B3F7A63">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lang w:eastAsia="zh-CN"/>
              </w:rPr>
              <w:t>.</w:t>
            </w:r>
            <w:r>
              <w:rPr>
                <w:rFonts w:hint="eastAsia" w:ascii="仿宋" w:hAnsi="仿宋" w:eastAsia="仿宋" w:cs="仿宋"/>
                <w:i w:val="0"/>
                <w:iCs w:val="0"/>
                <w:color w:val="auto"/>
                <w:spacing w:val="8"/>
                <w:kern w:val="0"/>
                <w:sz w:val="28"/>
                <w:szCs w:val="28"/>
                <w:highlight w:val="none"/>
                <w:lang w:val="en-US" w:eastAsia="zh-CN"/>
              </w:rPr>
              <w:t>投标人、法定代表人、委托代理人</w:t>
            </w:r>
            <w:r>
              <w:rPr>
                <w:rFonts w:hint="eastAsia" w:ascii="仿宋" w:hAnsi="仿宋" w:eastAsia="仿宋" w:cs="仿宋"/>
                <w:color w:val="auto"/>
                <w:sz w:val="28"/>
                <w:szCs w:val="28"/>
                <w:highlight w:val="none"/>
                <w:lang w:val="en-US" w:eastAsia="zh-CN"/>
              </w:rPr>
              <w:t>未被最高法院列入失信被执行人（查询网址:http://zxgk.court.gov.cn/shixin/，须填写完整，查询省份为全部），附网上查询截图</w:t>
            </w:r>
            <w:r>
              <w:rPr>
                <w:rFonts w:hint="eastAsia" w:ascii="仿宋" w:hAnsi="仿宋" w:eastAsia="仿宋" w:cs="仿宋"/>
                <w:color w:val="auto"/>
                <w:sz w:val="28"/>
                <w:szCs w:val="28"/>
                <w:highlight w:val="none"/>
                <w:lang w:eastAsia="zh-CN"/>
              </w:rPr>
              <w:t>；</w:t>
            </w:r>
          </w:p>
          <w:p w14:paraId="6D0E0FF2">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6.投标人近一年在“信用中国”或“信用中国（山东）”无严重失信记录。附信用中国（www.creditchina.gov.cn）或信用中国（山东）（credit.shandong.gov.cn）查询的信用报告；</w:t>
            </w:r>
          </w:p>
          <w:p w14:paraId="5BD6846F">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本项目不接受联合体投标。</w:t>
            </w:r>
          </w:p>
        </w:tc>
      </w:tr>
      <w:tr w14:paraId="634ED8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268E0209">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155" w:type="dxa"/>
            <w:tcBorders>
              <w:top w:val="single" w:color="auto" w:sz="4" w:space="0"/>
              <w:left w:val="single" w:color="auto" w:sz="4" w:space="0"/>
              <w:bottom w:val="single" w:color="auto" w:sz="4" w:space="0"/>
              <w:right w:val="single" w:color="auto" w:sz="4" w:space="0"/>
            </w:tcBorders>
            <w:vAlign w:val="center"/>
          </w:tcPr>
          <w:p w14:paraId="2C7A8C6C">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符合性检查</w:t>
            </w:r>
          </w:p>
        </w:tc>
        <w:tc>
          <w:tcPr>
            <w:tcW w:w="6498" w:type="dxa"/>
            <w:tcBorders>
              <w:top w:val="single" w:color="auto" w:sz="4" w:space="0"/>
              <w:left w:val="single" w:color="auto" w:sz="4" w:space="0"/>
              <w:bottom w:val="single" w:color="auto" w:sz="4" w:space="0"/>
            </w:tcBorders>
            <w:vAlign w:val="center"/>
          </w:tcPr>
          <w:p w14:paraId="7AFB0179">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投标文件按规定签署及盖章的；</w:t>
            </w:r>
          </w:p>
          <w:p w14:paraId="037F6653">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投标总报价</w:t>
            </w:r>
            <w:r>
              <w:rPr>
                <w:rFonts w:hint="eastAsia" w:ascii="仿宋" w:hAnsi="仿宋" w:eastAsia="仿宋" w:cs="仿宋"/>
                <w:color w:val="auto"/>
                <w:sz w:val="28"/>
                <w:szCs w:val="28"/>
                <w:highlight w:val="none"/>
                <w:lang w:val="en-US" w:eastAsia="zh-CN"/>
              </w:rPr>
              <w:t>未</w:t>
            </w:r>
            <w:r>
              <w:rPr>
                <w:rFonts w:hint="eastAsia" w:ascii="仿宋" w:hAnsi="仿宋" w:eastAsia="仿宋" w:cs="仿宋"/>
                <w:color w:val="auto"/>
                <w:sz w:val="28"/>
                <w:szCs w:val="28"/>
                <w:highlight w:val="none"/>
              </w:rPr>
              <w:t>超出最高限价的；</w:t>
            </w:r>
          </w:p>
          <w:p w14:paraId="3FC4C9B4">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.投标保证金按招标文件要求交纳；</w:t>
            </w:r>
          </w:p>
          <w:p w14:paraId="303E697A">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报价有效期未比招标文件规定短的；</w:t>
            </w:r>
          </w:p>
          <w:p w14:paraId="58BE2D7C">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服务期限</w:t>
            </w:r>
            <w:r>
              <w:rPr>
                <w:rFonts w:hint="eastAsia" w:ascii="仿宋" w:hAnsi="仿宋" w:eastAsia="仿宋" w:cs="仿宋"/>
                <w:color w:val="auto"/>
                <w:sz w:val="28"/>
                <w:szCs w:val="28"/>
                <w:highlight w:val="none"/>
              </w:rPr>
              <w:t>、质量标准满足招标文件要求；</w:t>
            </w:r>
          </w:p>
          <w:p w14:paraId="72FE50D0">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lang w:eastAsia="zh-CN"/>
              </w:rPr>
              <w:t>.不存在招标文件规定的关于投标人串通投标的情形及其他投标无效的情形</w:t>
            </w:r>
            <w:r>
              <w:rPr>
                <w:rFonts w:hint="eastAsia" w:ascii="仿宋" w:hAnsi="仿宋" w:eastAsia="仿宋" w:cs="仿宋"/>
                <w:color w:val="auto"/>
                <w:sz w:val="28"/>
                <w:szCs w:val="28"/>
                <w:highlight w:val="none"/>
              </w:rPr>
              <w:t>。</w:t>
            </w:r>
          </w:p>
        </w:tc>
      </w:tr>
    </w:tbl>
    <w:p w14:paraId="6F14418C">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rPr>
        <w:sectPr>
          <w:pgSz w:w="11906" w:h="16838"/>
          <w:pgMar w:top="1280" w:right="1142" w:bottom="1118" w:left="1324" w:header="454" w:footer="680" w:gutter="0"/>
          <w:pgNumType w:fmt="decimal"/>
          <w:cols w:space="0" w:num="1"/>
          <w:docGrid w:linePitch="312" w:charSpace="0"/>
        </w:sectPr>
      </w:pPr>
      <w:bookmarkStart w:id="9" w:name="_Toc13586"/>
    </w:p>
    <w:p w14:paraId="711BA51E">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一、说明</w:t>
      </w:r>
      <w:bookmarkEnd w:id="9"/>
    </w:p>
    <w:p w14:paraId="5A9E265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本文件依据《山东省省属企业阳光采购监督</w:t>
      </w:r>
      <w:r>
        <w:rPr>
          <w:rFonts w:hint="eastAsia" w:ascii="仿宋" w:hAnsi="仿宋" w:eastAsia="仿宋" w:cs="仿宋"/>
          <w:color w:val="auto"/>
          <w:sz w:val="28"/>
          <w:szCs w:val="28"/>
          <w:highlight w:val="none"/>
          <w:lang w:val="en-US" w:eastAsia="zh-CN"/>
        </w:rPr>
        <w:t>管理</w:t>
      </w:r>
      <w:r>
        <w:rPr>
          <w:rFonts w:hint="eastAsia" w:ascii="仿宋" w:hAnsi="仿宋" w:eastAsia="仿宋" w:cs="仿宋"/>
          <w:color w:val="auto"/>
          <w:sz w:val="28"/>
          <w:szCs w:val="28"/>
          <w:highlight w:val="none"/>
        </w:rPr>
        <w:t>办法》等法律法规，参照《国有企业采购操作规范》《国有企业采购管理规范》，结合《威海市市属国有企业阳光采购监督管理暂行办法》</w:t>
      </w:r>
      <w:r>
        <w:rPr>
          <w:rFonts w:hint="eastAsia" w:ascii="仿宋_GB2312" w:hAnsi="仿宋" w:eastAsia="仿宋_GB2312" w:cs="宋体"/>
          <w:sz w:val="28"/>
          <w:szCs w:val="28"/>
          <w:highlight w:val="none"/>
        </w:rPr>
        <w:t>《环翠区区属国有企业阳光采购监督管理暂行办法》</w:t>
      </w:r>
      <w:r>
        <w:rPr>
          <w:rFonts w:hint="eastAsia" w:ascii="仿宋" w:hAnsi="仿宋" w:eastAsia="仿宋" w:cs="仿宋"/>
          <w:color w:val="auto"/>
          <w:sz w:val="28"/>
          <w:szCs w:val="28"/>
          <w:highlight w:val="none"/>
        </w:rPr>
        <w:t>及国家和山东省有关法律、法规、规章制度编制。参加本项目投标人应接受本招标文件关于电子招投标各项规定。</w:t>
      </w:r>
    </w:p>
    <w:p w14:paraId="0BCB6022">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适用范围</w:t>
      </w:r>
    </w:p>
    <w:p w14:paraId="4F72BF8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1本招标文件仅适用于本次招标公告中所涉及的项目和内容。</w:t>
      </w:r>
    </w:p>
    <w:p w14:paraId="1750EB5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2本招标文件的解释权为招标代理机构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以书面解释为准。</w:t>
      </w:r>
    </w:p>
    <w:p w14:paraId="68F8192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3招标文件未做须知明示，而又有相关法律、法规规定的，从其规定。</w:t>
      </w:r>
    </w:p>
    <w:p w14:paraId="3285694D">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相关要求</w:t>
      </w:r>
    </w:p>
    <w:p w14:paraId="254343B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1投标人应承担所有与准备和参加投标有关的费用。不论投标结果如何，招标代理机构和招标人均无义务和责任承担这些费用。</w:t>
      </w:r>
    </w:p>
    <w:p w14:paraId="6B5C3D3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2本项目若涉及采购货物，则合格的货物及相应服务应满足以下要求：</w:t>
      </w:r>
    </w:p>
    <w:p w14:paraId="1FC5384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1必须是全新、未使用过的原装合格正品（包括零部件），如安装或配置了软件的，须为正版软件。</w:t>
      </w:r>
    </w:p>
    <w:p w14:paraId="4E8C629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2国产的货物及其有关服务必须符合中华人民共和国的设计和制造生产标准或行业标准。招标公告有其他要求的，亦应符合其要求。</w:t>
      </w:r>
    </w:p>
    <w:p w14:paraId="1F000F5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52274F7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441C8214">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3投标人应通过威海市公共资源交易网首页右侧“交易服务一网通办系统”进行平台切换点击“国企采购”进入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获取招标文件的投标人不足3家的，本项目直接废标。</w:t>
      </w:r>
    </w:p>
    <w:p w14:paraId="424A8325">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4招标人或招标代理机构均无义务向投标人解释其中标或未中标的原因，且不予退还其投标文件。</w:t>
      </w:r>
    </w:p>
    <w:p w14:paraId="64A6C757">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rPr>
      </w:pPr>
      <w:bookmarkStart w:id="10" w:name="_Toc17471"/>
      <w:r>
        <w:rPr>
          <w:rFonts w:hint="eastAsia" w:ascii="仿宋" w:hAnsi="仿宋" w:eastAsia="仿宋" w:cs="仿宋"/>
          <w:b/>
          <w:bCs/>
          <w:color w:val="auto"/>
          <w:sz w:val="28"/>
          <w:szCs w:val="28"/>
          <w:highlight w:val="none"/>
        </w:rPr>
        <w:t>二、招标文件</w:t>
      </w:r>
      <w:bookmarkEnd w:id="10"/>
    </w:p>
    <w:p w14:paraId="5B685999">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招标文件的构成</w:t>
      </w:r>
    </w:p>
    <w:p w14:paraId="6138272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由各包段文本文件（word格式）和各包段的数据文件（excel格式）构成，采用压缩包电子版文件格式提供。</w:t>
      </w:r>
    </w:p>
    <w:p w14:paraId="6B8B79C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1本文件（word格式）由下列文件组成：</w:t>
      </w:r>
    </w:p>
    <w:p w14:paraId="3CB5A3E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w:t>
      </w:r>
    </w:p>
    <w:p w14:paraId="538AC93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w:t>
      </w:r>
    </w:p>
    <w:p w14:paraId="27F3B98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（3）采购内容与要求</w:t>
      </w:r>
    </w:p>
    <w:p w14:paraId="42EC774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（4）评标原则、程序与方法</w:t>
      </w:r>
    </w:p>
    <w:p w14:paraId="561870F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p>
    <w:p w14:paraId="3C0AE44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val="en-US" w:eastAsia="zh-CN"/>
        </w:rPr>
        <w:t>合同（范本）</w:t>
      </w:r>
    </w:p>
    <w:p w14:paraId="4DF17CD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（7）在采购过程中由招标人或招标代理机构发出的修正和补充文件等（如有）</w:t>
      </w:r>
    </w:p>
    <w:p w14:paraId="6451471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2数据文件（excel格式）由下列文件组成：</w:t>
      </w:r>
    </w:p>
    <w:p w14:paraId="6F1A1FD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01284AE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08AA4D6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1F67510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5E8C235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5F3E811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14:paraId="6B03AE4D">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4</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招标文件的澄清</w:t>
      </w:r>
    </w:p>
    <w:p w14:paraId="22D5803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1投标人在收到招标文件后，对招标文件若有任何疑问或要求澄清招标文件的，应在有效期投标截止前2日内按“投标须知前附表”第四项向招标代理机构提出，必要时招标代理机构将协助招标人组织所有获取</w:t>
      </w:r>
      <w:r>
        <w:rPr>
          <w:rFonts w:hint="eastAsia" w:ascii="仿宋" w:hAnsi="仿宋" w:eastAsia="仿宋" w:cs="仿宋"/>
          <w:color w:val="auto"/>
          <w:sz w:val="28"/>
          <w:szCs w:val="28"/>
          <w:highlight w:val="none"/>
          <w:lang w:eastAsia="zh-CN"/>
        </w:rPr>
        <w:t>招标文件</w:t>
      </w:r>
      <w:r>
        <w:rPr>
          <w:rFonts w:hint="eastAsia" w:ascii="仿宋" w:hAnsi="仿宋" w:eastAsia="仿宋" w:cs="仿宋"/>
          <w:color w:val="auto"/>
          <w:sz w:val="28"/>
          <w:szCs w:val="28"/>
          <w:highlight w:val="none"/>
        </w:rPr>
        <w:t>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58009695">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2投标人在规定的时间内未对招标文件澄清或提出疑问的，招标代理机构将视其为接受招标文件的所有条款，对招标文件没有异议，此后也不再受理对招标文件的相关质疑。</w:t>
      </w:r>
    </w:p>
    <w:p w14:paraId="4B2637A1">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5</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招标文件的修改</w:t>
      </w:r>
    </w:p>
    <w:p w14:paraId="49B4519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l在投标截止时间</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日以前，无论出于何种原因，招标代理机构或招标人可主动或在解答投标人提出的疑问时对招标文件进行修改。</w:t>
      </w:r>
    </w:p>
    <w:p w14:paraId="765DC59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修改后的内容是招标文件的组成部分，招标人、招标代理机构将会通过“原发布媒介”，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710ECCD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3澄清或者修改的内容可能影响投标文件编制的，招标人或招标代理机构将在投标截止时间</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日前，通过原网站发布公告的形式（电子交易系统内发送更正提醒通知）通知所有获取招标文件的潜在投标人（</w:t>
      </w:r>
      <w:r>
        <w:rPr>
          <w:rFonts w:hint="eastAsia" w:ascii="仿宋" w:hAnsi="仿宋" w:eastAsia="仿宋" w:cs="仿宋"/>
          <w:color w:val="auto"/>
          <w:sz w:val="28"/>
          <w:szCs w:val="28"/>
          <w:highlight w:val="none"/>
          <w:lang w:eastAsia="zh-CN"/>
        </w:rPr>
        <w:t>招标文件</w:t>
      </w:r>
      <w:r>
        <w:rPr>
          <w:rFonts w:hint="eastAsia" w:ascii="仿宋" w:hAnsi="仿宋" w:eastAsia="仿宋" w:cs="仿宋"/>
          <w:color w:val="auto"/>
          <w:sz w:val="28"/>
          <w:szCs w:val="28"/>
          <w:highlight w:val="none"/>
        </w:rPr>
        <w:t>变更的，投标人必须从电子交易系统中重新下载</w:t>
      </w:r>
      <w:r>
        <w:rPr>
          <w:rFonts w:hint="eastAsia" w:ascii="仿宋" w:hAnsi="仿宋" w:eastAsia="仿宋" w:cs="仿宋"/>
          <w:color w:val="auto"/>
          <w:sz w:val="28"/>
          <w:szCs w:val="28"/>
          <w:highlight w:val="none"/>
          <w:lang w:eastAsia="zh-CN"/>
        </w:rPr>
        <w:t>招标文件</w:t>
      </w:r>
      <w:r>
        <w:rPr>
          <w:rFonts w:hint="eastAsia" w:ascii="仿宋" w:hAnsi="仿宋" w:eastAsia="仿宋" w:cs="仿宋"/>
          <w:color w:val="auto"/>
          <w:sz w:val="28"/>
          <w:szCs w:val="28"/>
          <w:highlight w:val="none"/>
        </w:rPr>
        <w:t>，并在新下载文件的基础上编制投标文件）；不足</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日的，招标人或者招标代理机构将顺延提交投标文件的截止时间。</w:t>
      </w:r>
    </w:p>
    <w:p w14:paraId="3A147414">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rPr>
      </w:pPr>
      <w:bookmarkStart w:id="11" w:name="_Toc11926"/>
      <w:r>
        <w:rPr>
          <w:rFonts w:hint="eastAsia" w:ascii="仿宋" w:hAnsi="仿宋" w:eastAsia="仿宋" w:cs="仿宋"/>
          <w:b/>
          <w:bCs/>
          <w:color w:val="auto"/>
          <w:sz w:val="28"/>
          <w:szCs w:val="28"/>
          <w:highlight w:val="none"/>
        </w:rPr>
        <w:t>三、投标文件的编制</w:t>
      </w:r>
      <w:bookmarkEnd w:id="11"/>
    </w:p>
    <w:p w14:paraId="4D5CA48A">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6</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投标文件编制要求</w:t>
      </w:r>
    </w:p>
    <w:p w14:paraId="4870493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1投标人编写的文件和往来信件应以简体中文书写。如果投标文件或与投标有关的其它文件、信件及来往函电以其它语言书写的，投标人应将其译成中文，如未翻译该文件为无效文件。</w:t>
      </w:r>
    </w:p>
    <w:p w14:paraId="1AE58F7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2投标文件中使用的计量单位应使用中华人民共和国法定计量单位。</w:t>
      </w:r>
    </w:p>
    <w:p w14:paraId="2D97956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3B12D25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4投标人应按招标文件中提供的投标文件格式（详见第五部分 投标文件（格式）按包段编写投标文件，并使用A4规格编制。投标文件应编写目录，具有结构清晰的文档结构图（打开word视图中的“文档结构图”后能看到详细章节），页码连续。</w:t>
      </w:r>
    </w:p>
    <w:p w14:paraId="5425297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5投标人按照</w:t>
      </w:r>
      <w:r>
        <w:rPr>
          <w:rFonts w:hint="eastAsia" w:ascii="仿宋" w:hAnsi="仿宋" w:eastAsia="仿宋" w:cs="仿宋"/>
          <w:color w:val="auto"/>
          <w:sz w:val="28"/>
          <w:szCs w:val="28"/>
          <w:highlight w:val="none"/>
          <w:lang w:eastAsia="zh-CN"/>
        </w:rPr>
        <w:t>招标文件</w:t>
      </w:r>
      <w:r>
        <w:rPr>
          <w:rFonts w:hint="eastAsia" w:ascii="仿宋" w:hAnsi="仿宋" w:eastAsia="仿宋" w:cs="仿宋"/>
          <w:color w:val="auto"/>
          <w:sz w:val="28"/>
          <w:szCs w:val="28"/>
          <w:highlight w:val="none"/>
        </w:rPr>
        <w:t>要求所提供的各种证明文件必须真实且合法有效,经扫描后粘贴到投标文件的相关页上，确保清晰度可辨认，评审时由于无法辨认所产生的后果，由投标人自行承担。</w:t>
      </w:r>
    </w:p>
    <w:p w14:paraId="285361A4">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6</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68F91CF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7为了保证系统整体效率，系统对所投递的电子文件有大小的限制，因此，投标人应尽可能降低本文件的大小，小尺寸投标文件将使递交更快捷、减少差错发生几率，避免投标截止时间前未能完整上传文件。</w:t>
      </w:r>
    </w:p>
    <w:p w14:paraId="424ADEC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8投标文件具有法律效力，投标人与招标代理机构或招标人任何人的口头协议不影响投标文件的任何条款和内容。</w:t>
      </w:r>
    </w:p>
    <w:p w14:paraId="7023BC2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9招标人或招标代理机构均无义务向投标人解释其中标或未中标的原因，且无论投标人是否中标，投标人所递交的投标文件均不予退还，不提供副本拷贝。</w:t>
      </w:r>
    </w:p>
    <w:p w14:paraId="0106BD56">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7</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数据文件编制要求</w:t>
      </w:r>
    </w:p>
    <w:p w14:paraId="2FAFDFF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Pr>
          <w:rFonts w:hint="eastAsia" w:ascii="仿宋" w:hAnsi="仿宋" w:eastAsia="仿宋" w:cs="仿宋"/>
          <w:b/>
          <w:bCs/>
          <w:color w:val="auto"/>
          <w:sz w:val="28"/>
          <w:szCs w:val="28"/>
          <w:highlight w:val="none"/>
        </w:rPr>
        <w:t>文件另存到其他文件</w:t>
      </w:r>
      <w:r>
        <w:rPr>
          <w:rFonts w:hint="eastAsia" w:ascii="仿宋" w:hAnsi="仿宋" w:eastAsia="仿宋" w:cs="仿宋"/>
          <w:color w:val="auto"/>
          <w:sz w:val="28"/>
          <w:szCs w:val="28"/>
          <w:highlight w:val="none"/>
        </w:rPr>
        <w:t>等违规性操作，都会破坏本文件中的数字指纹，导致系统无法接收该文件使其</w:t>
      </w:r>
      <w:r>
        <w:rPr>
          <w:rFonts w:hint="eastAsia" w:ascii="仿宋" w:hAnsi="仿宋" w:eastAsia="仿宋" w:cs="仿宋"/>
          <w:b/>
          <w:bCs/>
          <w:color w:val="auto"/>
          <w:sz w:val="28"/>
          <w:szCs w:val="28"/>
          <w:highlight w:val="none"/>
        </w:rPr>
        <w:t>投标失败</w:t>
      </w:r>
      <w:r>
        <w:rPr>
          <w:rFonts w:hint="eastAsia" w:ascii="仿宋" w:hAnsi="仿宋" w:eastAsia="仿宋" w:cs="仿宋"/>
          <w:color w:val="auto"/>
          <w:sz w:val="28"/>
          <w:szCs w:val="28"/>
          <w:highlight w:val="none"/>
        </w:rPr>
        <w:t>。</w:t>
      </w:r>
    </w:p>
    <w:p w14:paraId="04F2E34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 w:hAnsi="仿宋" w:eastAsia="仿宋" w:cs="仿宋"/>
          <w:b/>
          <w:bCs/>
          <w:color w:val="auto"/>
          <w:sz w:val="28"/>
          <w:szCs w:val="28"/>
          <w:highlight w:val="none"/>
        </w:rPr>
        <w:t>投标失败</w:t>
      </w:r>
      <w:r>
        <w:rPr>
          <w:rFonts w:hint="eastAsia" w:ascii="仿宋" w:hAnsi="仿宋" w:eastAsia="仿宋" w:cs="仿宋"/>
          <w:color w:val="auto"/>
          <w:sz w:val="28"/>
          <w:szCs w:val="28"/>
          <w:highlight w:val="none"/>
        </w:rPr>
        <w:t>。</w:t>
      </w:r>
    </w:p>
    <w:p w14:paraId="6625327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3投标人在对数据文件电子签章前，应按照上述2项的要求进行认真检查、确认。因投标人自身原因所导致其投标失败的，须自行承担相关责任。</w:t>
      </w:r>
    </w:p>
    <w:p w14:paraId="79363C56">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8</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文件构成</w:t>
      </w:r>
    </w:p>
    <w:p w14:paraId="2EB3C8C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投标人应按不同包段分别编制投标文件，每个包段的投标文件分两册必须包括：投标文件（pdf格式）（第一册）、数据文件（PDF格式）（第二册），以上内容缺一不可，否则为</w:t>
      </w:r>
      <w:r>
        <w:rPr>
          <w:rFonts w:hint="eastAsia" w:ascii="仿宋" w:hAnsi="仿宋" w:eastAsia="仿宋" w:cs="仿宋"/>
          <w:b/>
          <w:bCs/>
          <w:color w:val="auto"/>
          <w:sz w:val="28"/>
          <w:szCs w:val="28"/>
          <w:highlight w:val="none"/>
        </w:rPr>
        <w:t>无效投标（响应）</w:t>
      </w:r>
      <w:r>
        <w:rPr>
          <w:rFonts w:hint="eastAsia" w:ascii="仿宋" w:hAnsi="仿宋" w:eastAsia="仿宋" w:cs="仿宋"/>
          <w:color w:val="auto"/>
          <w:sz w:val="28"/>
          <w:szCs w:val="28"/>
          <w:highlight w:val="none"/>
        </w:rPr>
        <w:t>。</w:t>
      </w:r>
    </w:p>
    <w:p w14:paraId="7A72F53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1投标人编制的投标文件（pdf格式）（第一册）应包括但不少于下列内容：</w:t>
      </w:r>
    </w:p>
    <w:p w14:paraId="4042CD2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（1）投标文件封面</w:t>
      </w:r>
    </w:p>
    <w:p w14:paraId="3B73DB4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（2）投标文件目录</w:t>
      </w:r>
    </w:p>
    <w:p w14:paraId="4D9E1B2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（3）投标承诺函</w:t>
      </w:r>
    </w:p>
    <w:p w14:paraId="78CD649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投标人资格证明文件</w:t>
      </w:r>
      <w:r>
        <w:rPr>
          <w:rFonts w:hint="eastAsia" w:ascii="仿宋" w:hAnsi="仿宋" w:eastAsia="仿宋" w:cs="仿宋"/>
          <w:color w:val="auto"/>
          <w:sz w:val="28"/>
          <w:szCs w:val="28"/>
          <w:highlight w:val="none"/>
          <w:lang w:eastAsia="zh-CN"/>
        </w:rPr>
        <w:t>：</w:t>
      </w:r>
    </w:p>
    <w:p w14:paraId="53915A6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①</w:t>
      </w:r>
      <w:r>
        <w:rPr>
          <w:rFonts w:hint="eastAsia" w:ascii="仿宋" w:hAnsi="仿宋" w:eastAsia="仿宋" w:cs="仿宋"/>
          <w:color w:val="auto"/>
          <w:sz w:val="28"/>
          <w:szCs w:val="28"/>
          <w:highlight w:val="none"/>
          <w:lang w:val="en-US" w:eastAsia="zh-CN"/>
        </w:rPr>
        <w:t>投标人具有</w:t>
      </w:r>
      <w:r>
        <w:rPr>
          <w:rFonts w:hint="eastAsia" w:ascii="仿宋" w:hAnsi="仿宋" w:eastAsia="仿宋" w:cs="仿宋"/>
          <w:color w:val="auto"/>
          <w:sz w:val="28"/>
          <w:szCs w:val="28"/>
          <w:highlight w:val="none"/>
        </w:rPr>
        <w:t>有效的营业执照扫描件</w:t>
      </w:r>
      <w:r>
        <w:rPr>
          <w:rFonts w:hint="eastAsia" w:ascii="仿宋" w:hAnsi="仿宋" w:eastAsia="仿宋" w:cs="仿宋"/>
          <w:color w:val="auto"/>
          <w:sz w:val="28"/>
          <w:szCs w:val="28"/>
          <w:highlight w:val="none"/>
          <w:lang w:val="en-US" w:eastAsia="zh-CN"/>
        </w:rPr>
        <w:t>或其他能证明具有独立承担民事责任能力的材料扫描件</w:t>
      </w:r>
      <w:r>
        <w:rPr>
          <w:rFonts w:hint="eastAsia" w:ascii="仿宋" w:hAnsi="仿宋" w:eastAsia="仿宋" w:cs="仿宋"/>
          <w:color w:val="auto"/>
          <w:sz w:val="28"/>
          <w:szCs w:val="28"/>
          <w:highlight w:val="none"/>
        </w:rPr>
        <w:t>；</w:t>
      </w:r>
    </w:p>
    <w:p w14:paraId="69F6DC7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②法定代表人授权委托书；被授权人身份证扫描件；</w:t>
      </w:r>
    </w:p>
    <w:p w14:paraId="6445A15D">
      <w:pPr>
        <w:keepNext w:val="0"/>
        <w:keepLines w:val="0"/>
        <w:pageBreakBefore w:val="0"/>
        <w:widowControl/>
        <w:kinsoku/>
        <w:wordWrap w:val="0"/>
        <w:overflowPunct/>
        <w:topLinePunct/>
        <w:autoSpaceDE/>
        <w:autoSpaceDN/>
        <w:bidi w:val="0"/>
        <w:adjustRightInd w:val="0"/>
        <w:snapToGrid/>
        <w:spacing w:line="520" w:lineRule="exact"/>
        <w:ind w:firstLine="560"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color w:val="auto"/>
          <w:sz w:val="28"/>
          <w:szCs w:val="28"/>
          <w:highlight w:val="none"/>
        </w:rPr>
        <w:t>若投标人代表为企业法定代表人，则只需提供企业法定代表人身份证明及法定代表人身份证扫描件</w:t>
      </w:r>
      <w:r>
        <w:rPr>
          <w:rFonts w:hint="eastAsia" w:ascii="仿宋" w:hAnsi="仿宋" w:eastAsia="仿宋" w:cs="仿宋"/>
          <w:i w:val="0"/>
          <w:iCs w:val="0"/>
          <w:color w:val="auto"/>
          <w:spacing w:val="8"/>
          <w:kern w:val="0"/>
          <w:sz w:val="28"/>
          <w:szCs w:val="28"/>
          <w:highlight w:val="none"/>
          <w:lang w:val="en-US" w:eastAsia="zh-CN"/>
        </w:rPr>
        <w:t>；</w:t>
      </w:r>
    </w:p>
    <w:p w14:paraId="3381AF12">
      <w:pPr>
        <w:keepNext w:val="0"/>
        <w:keepLines w:val="0"/>
        <w:pageBreakBefore w:val="0"/>
        <w:widowControl/>
        <w:kinsoku/>
        <w:wordWrap w:val="0"/>
        <w:overflowPunct/>
        <w:topLinePunct/>
        <w:autoSpaceDE/>
        <w:autoSpaceDN/>
        <w:bidi w:val="0"/>
        <w:adjustRightInd w:val="0"/>
        <w:snapToGrid/>
        <w:spacing w:line="52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③</w:t>
      </w:r>
      <w:r>
        <w:rPr>
          <w:rFonts w:hint="eastAsia" w:ascii="仿宋" w:hAnsi="仿宋" w:eastAsia="仿宋" w:cs="仿宋"/>
          <w:color w:val="auto"/>
          <w:sz w:val="28"/>
          <w:szCs w:val="28"/>
          <w:highlight w:val="none"/>
          <w:lang w:val="en-US" w:eastAsia="zh-CN"/>
        </w:rPr>
        <w:t>投标人信用承诺书</w:t>
      </w:r>
      <w:r>
        <w:rPr>
          <w:rFonts w:hint="eastAsia" w:ascii="仿宋" w:hAnsi="仿宋" w:eastAsia="仿宋" w:cs="仿宋"/>
          <w:color w:val="auto"/>
          <w:sz w:val="28"/>
          <w:szCs w:val="28"/>
          <w:highlight w:val="none"/>
        </w:rPr>
        <w:t>；</w:t>
      </w:r>
    </w:p>
    <w:p w14:paraId="3A1BA26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④</w:t>
      </w:r>
      <w:r>
        <w:rPr>
          <w:rFonts w:hint="eastAsia" w:ascii="仿宋" w:hAnsi="仿宋" w:eastAsia="仿宋" w:cs="仿宋"/>
          <w:color w:val="auto"/>
          <w:sz w:val="28"/>
          <w:szCs w:val="28"/>
          <w:highlight w:val="none"/>
          <w:lang w:val="en-US" w:eastAsia="zh-CN"/>
        </w:rPr>
        <w:t>投标人参与投标的声明函；</w:t>
      </w:r>
    </w:p>
    <w:p w14:paraId="52AD065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⑤</w:t>
      </w:r>
      <w:r>
        <w:rPr>
          <w:rFonts w:hint="eastAsia" w:ascii="仿宋" w:hAnsi="仿宋" w:eastAsia="仿宋" w:cs="仿宋"/>
          <w:i w:val="0"/>
          <w:iCs w:val="0"/>
          <w:color w:val="auto"/>
          <w:spacing w:val="8"/>
          <w:kern w:val="0"/>
          <w:sz w:val="28"/>
          <w:szCs w:val="28"/>
          <w:highlight w:val="none"/>
          <w:lang w:val="en-US" w:eastAsia="zh-CN"/>
        </w:rPr>
        <w:t>投标单位、法定代表人、委托代理人</w:t>
      </w:r>
      <w:r>
        <w:rPr>
          <w:rFonts w:hint="eastAsia" w:ascii="仿宋" w:hAnsi="仿宋" w:eastAsia="仿宋" w:cs="仿宋"/>
          <w:color w:val="auto"/>
          <w:sz w:val="28"/>
          <w:szCs w:val="28"/>
          <w:highlight w:val="none"/>
          <w:lang w:val="en-US" w:eastAsia="zh-CN"/>
        </w:rPr>
        <w:t>未被最高法院列入失信被执行人（查询网址:http://zxgk.court.gov.cn/shixin/，须填写完整，查询省份为全部），附网上查询截图</w:t>
      </w:r>
      <w:r>
        <w:rPr>
          <w:rFonts w:hint="eastAsia" w:ascii="仿宋" w:hAnsi="仿宋" w:eastAsia="仿宋" w:cs="仿宋"/>
          <w:color w:val="auto"/>
          <w:sz w:val="28"/>
          <w:szCs w:val="28"/>
          <w:highlight w:val="none"/>
          <w:lang w:eastAsia="zh-CN"/>
        </w:rPr>
        <w:t>；</w:t>
      </w:r>
    </w:p>
    <w:p w14:paraId="57C63FF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⑥投标人近一年在“信用中国”或“信用中国（山东）”无严重失信记录。附信</w:t>
      </w:r>
      <w:r>
        <w:rPr>
          <w:rFonts w:hint="eastAsia" w:ascii="仿宋" w:hAnsi="仿宋" w:eastAsia="仿宋" w:cs="仿宋"/>
          <w:color w:val="auto"/>
          <w:sz w:val="28"/>
          <w:szCs w:val="28"/>
          <w:highlight w:val="none"/>
        </w:rPr>
        <w:t>用中国（www</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creditchina</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gov</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cn）或信用中国（山东）（credit</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shandong</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gov</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cn）查询的信用报告</w:t>
      </w:r>
      <w:r>
        <w:rPr>
          <w:rFonts w:hint="eastAsia" w:ascii="仿宋" w:hAnsi="仿宋" w:eastAsia="仿宋" w:cs="仿宋"/>
          <w:color w:val="auto"/>
          <w:sz w:val="28"/>
          <w:szCs w:val="28"/>
          <w:highlight w:val="none"/>
          <w:lang w:val="en-US" w:eastAsia="zh-CN"/>
        </w:rPr>
        <w:t>；</w:t>
      </w:r>
    </w:p>
    <w:p w14:paraId="47F51025">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⑦交纳投标保证金的证明材料；</w:t>
      </w:r>
    </w:p>
    <w:p w14:paraId="7AFFCCE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fldChar w:fldCharType="begin"/>
      </w:r>
      <w:r>
        <w:rPr>
          <w:rFonts w:hint="eastAsia" w:ascii="仿宋" w:hAnsi="仿宋" w:eastAsia="仿宋" w:cs="仿宋"/>
          <w:color w:val="auto"/>
          <w:sz w:val="28"/>
          <w:szCs w:val="28"/>
          <w:highlight w:val="none"/>
          <w:lang w:val="en-US" w:eastAsia="zh-CN"/>
        </w:rPr>
        <w:instrText xml:space="preserve"> = 8 \* GB3 \* MERGEFORMAT </w:instrText>
      </w:r>
      <w:r>
        <w:rPr>
          <w:rFonts w:hint="eastAsia" w:ascii="仿宋" w:hAnsi="仿宋" w:eastAsia="仿宋" w:cs="仿宋"/>
          <w:color w:val="auto"/>
          <w:sz w:val="28"/>
          <w:szCs w:val="28"/>
          <w:highlight w:val="none"/>
          <w:lang w:val="en-US" w:eastAsia="zh-CN"/>
        </w:rPr>
        <w:fldChar w:fldCharType="separate"/>
      </w:r>
      <w:r>
        <w:rPr>
          <w:rFonts w:hint="eastAsia" w:ascii="仿宋" w:hAnsi="仿宋" w:eastAsia="仿宋" w:cs="仿宋"/>
          <w:color w:val="auto"/>
          <w:sz w:val="28"/>
          <w:szCs w:val="28"/>
          <w:highlight w:val="none"/>
          <w:lang w:val="en-US" w:eastAsia="zh-CN"/>
        </w:rPr>
        <w:t>⑧</w:t>
      </w:r>
      <w:r>
        <w:rPr>
          <w:rFonts w:hint="eastAsia" w:ascii="仿宋" w:hAnsi="仿宋" w:eastAsia="仿宋" w:cs="仿宋"/>
          <w:color w:val="auto"/>
          <w:sz w:val="28"/>
          <w:szCs w:val="28"/>
          <w:highlight w:val="none"/>
          <w:lang w:val="en-US" w:eastAsia="zh-CN"/>
        </w:rPr>
        <w:fldChar w:fldCharType="end"/>
      </w:r>
      <w:r>
        <w:rPr>
          <w:rFonts w:hint="eastAsia" w:ascii="仿宋" w:hAnsi="仿宋" w:eastAsia="仿宋" w:cs="仿宋"/>
          <w:color w:val="auto"/>
          <w:sz w:val="28"/>
          <w:szCs w:val="28"/>
          <w:highlight w:val="none"/>
        </w:rPr>
        <w:t>投标人认为需要提供的资质资格证明文件。</w:t>
      </w:r>
    </w:p>
    <w:p w14:paraId="02A630EE">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以上所有资质资格证明文件均需加盖投标人</w:t>
      </w:r>
      <w:r>
        <w:rPr>
          <w:rFonts w:hint="eastAsia" w:ascii="仿宋" w:hAnsi="仿宋" w:eastAsia="仿宋" w:cs="仿宋"/>
          <w:b/>
          <w:bCs/>
          <w:color w:val="auto"/>
          <w:sz w:val="28"/>
          <w:szCs w:val="28"/>
          <w:highlight w:val="none"/>
          <w:lang w:val="en-US" w:eastAsia="zh-CN"/>
        </w:rPr>
        <w:t>公</w:t>
      </w:r>
      <w:r>
        <w:rPr>
          <w:rFonts w:hint="eastAsia" w:ascii="仿宋" w:hAnsi="仿宋" w:eastAsia="仿宋" w:cs="仿宋"/>
          <w:b/>
          <w:bCs/>
          <w:color w:val="auto"/>
          <w:sz w:val="28"/>
          <w:szCs w:val="28"/>
          <w:highlight w:val="none"/>
        </w:rPr>
        <w:t>章。</w:t>
      </w:r>
    </w:p>
    <w:p w14:paraId="7638472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商务文件</w:t>
      </w:r>
    </w:p>
    <w:p w14:paraId="0A1EC3E5">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①投标人基本情况</w:t>
      </w:r>
      <w:r>
        <w:rPr>
          <w:rFonts w:hint="eastAsia" w:ascii="仿宋" w:hAnsi="仿宋" w:eastAsia="仿宋" w:cs="仿宋"/>
          <w:color w:val="auto"/>
          <w:sz w:val="28"/>
          <w:szCs w:val="28"/>
          <w:highlight w:val="none"/>
          <w:lang w:eastAsia="zh-CN"/>
        </w:rPr>
        <w:t>；</w:t>
      </w:r>
    </w:p>
    <w:p w14:paraId="1B2DB16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②</w:t>
      </w:r>
      <w:r>
        <w:rPr>
          <w:rFonts w:hint="eastAsia" w:ascii="仿宋" w:hAnsi="仿宋" w:eastAsia="仿宋" w:cs="仿宋"/>
          <w:color w:val="auto"/>
          <w:sz w:val="28"/>
          <w:szCs w:val="28"/>
          <w:highlight w:val="none"/>
          <w:lang w:val="en-US" w:eastAsia="zh-CN"/>
        </w:rPr>
        <w:t>企业</w:t>
      </w:r>
      <w:r>
        <w:rPr>
          <w:rFonts w:hint="eastAsia" w:ascii="仿宋" w:hAnsi="仿宋" w:eastAsia="仿宋" w:cs="仿宋"/>
          <w:color w:val="auto"/>
          <w:sz w:val="28"/>
          <w:szCs w:val="28"/>
          <w:highlight w:val="none"/>
        </w:rPr>
        <w:t>业绩表</w:t>
      </w:r>
      <w:r>
        <w:rPr>
          <w:rFonts w:hint="eastAsia" w:ascii="仿宋" w:hAnsi="仿宋" w:eastAsia="仿宋" w:cs="仿宋"/>
          <w:color w:val="auto"/>
          <w:sz w:val="28"/>
          <w:szCs w:val="28"/>
          <w:highlight w:val="none"/>
          <w:lang w:val="en-US" w:eastAsia="zh-CN"/>
        </w:rPr>
        <w:t>;</w:t>
      </w:r>
    </w:p>
    <w:p w14:paraId="4CDC07D5">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③</w:t>
      </w:r>
      <w:r>
        <w:rPr>
          <w:rFonts w:hint="eastAsia" w:ascii="仿宋" w:hAnsi="仿宋" w:eastAsia="仿宋" w:cs="仿宋"/>
          <w:color w:val="auto"/>
          <w:sz w:val="28"/>
          <w:szCs w:val="28"/>
          <w:highlight w:val="none"/>
          <w:lang w:val="en-US" w:eastAsia="zh-CN"/>
        </w:rPr>
        <w:t>响应偏离表</w:t>
      </w:r>
      <w:r>
        <w:rPr>
          <w:rFonts w:hint="eastAsia" w:ascii="仿宋" w:hAnsi="仿宋" w:eastAsia="仿宋" w:cs="仿宋"/>
          <w:color w:val="auto"/>
          <w:sz w:val="28"/>
          <w:szCs w:val="28"/>
          <w:highlight w:val="none"/>
          <w:lang w:eastAsia="zh-CN"/>
        </w:rPr>
        <w:t>；</w:t>
      </w:r>
    </w:p>
    <w:p w14:paraId="6A7FC24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④</w:t>
      </w:r>
      <w:r>
        <w:rPr>
          <w:rFonts w:hint="eastAsia" w:ascii="仿宋" w:hAnsi="仿宋" w:eastAsia="仿宋" w:cs="仿宋"/>
          <w:color w:val="auto"/>
          <w:sz w:val="28"/>
          <w:szCs w:val="28"/>
          <w:highlight w:val="none"/>
          <w:lang w:val="en-US" w:eastAsia="zh-CN"/>
        </w:rPr>
        <w:t>投标人认为需要提交的其他材料。</w:t>
      </w:r>
    </w:p>
    <w:p w14:paraId="4E179479">
      <w:pPr>
        <w:keepNext w:val="0"/>
        <w:keepLines w:val="0"/>
        <w:pageBreakBefore w:val="0"/>
        <w:widowControl w:val="0"/>
        <w:kinsoku/>
        <w:wordWrap/>
        <w:overflowPunct/>
        <w:topLinePunct/>
        <w:autoSpaceDE/>
        <w:autoSpaceDN/>
        <w:bidi w:val="0"/>
        <w:adjustRightInd/>
        <w:snapToGrid w:val="0"/>
        <w:spacing w:line="520" w:lineRule="exact"/>
        <w:ind w:firstLine="565" w:firstLineChars="202"/>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lang w:eastAsia="zh-CN"/>
        </w:rPr>
        <w:t>技术文件。</w:t>
      </w:r>
    </w:p>
    <w:p w14:paraId="6DFE7EF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2数据文件（PDF格式）（第二册）</w:t>
      </w:r>
    </w:p>
    <w:p w14:paraId="6176FB1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仿宋" w:hAnsi="仿宋" w:eastAsia="仿宋" w:cs="仿宋"/>
          <w:b/>
          <w:bCs/>
          <w:color w:val="auto"/>
          <w:sz w:val="28"/>
          <w:szCs w:val="28"/>
          <w:highlight w:val="none"/>
        </w:rPr>
        <w:t>无效投标（响应）</w:t>
      </w:r>
      <w:r>
        <w:rPr>
          <w:rFonts w:hint="eastAsia" w:ascii="仿宋" w:hAnsi="仿宋" w:eastAsia="仿宋" w:cs="仿宋"/>
          <w:color w:val="auto"/>
          <w:sz w:val="28"/>
          <w:szCs w:val="28"/>
          <w:highlight w:val="none"/>
        </w:rPr>
        <w:t>。</w:t>
      </w:r>
    </w:p>
    <w:p w14:paraId="44D01E9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数据文件（PDF格式）包含下列内容：</w:t>
      </w:r>
    </w:p>
    <w:p w14:paraId="0C16A92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1510480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05A5D70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7113B0E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52C471F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0FBAC833">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9</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投标报价</w:t>
      </w:r>
    </w:p>
    <w:p w14:paraId="7050E7B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1投标人所提供的服务均以人民币报价，精确到小数点后两位。</w:t>
      </w:r>
    </w:p>
    <w:p w14:paraId="54F9078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2投标人应按照“第三章 采购内容与要求”的服务内容、责任范围以及合同条款进行报价。并按数据文件中“投标报价表（含明细）”规定的格式报出分项价格和总价。</w:t>
      </w:r>
    </w:p>
    <w:p w14:paraId="5CE6388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3投标人应按数据文件“投标报价表（含明细）”要求的统一格式填写，并加盖电子公章。</w:t>
      </w:r>
    </w:p>
    <w:p w14:paraId="74C783F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4《投标报价表（含明细）》填写时应响应下列要求：</w:t>
      </w:r>
    </w:p>
    <w:p w14:paraId="134B6875">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（1）所有根据合同或其它原因应由投标人支付的税款和其它应交纳的费用都要包括在投标人提交的报价中；</w:t>
      </w:r>
    </w:p>
    <w:p w14:paraId="59875EC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（2）投标报价包括完成该项目的一切费用总和，以及招标文件和合同中明确的其他责任和义务,包括合同条款中以及招标文件中规定的及合理推算出履行自身义务需支付的所有费用。</w:t>
      </w:r>
    </w:p>
    <w:p w14:paraId="1E85DA3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（3）投标人应对本次招标的全部内容进行报价，缺项报价投标无效。如因投标人自身的原因报价失误而造成的损失，由投标人自行承担。</w:t>
      </w:r>
    </w:p>
    <w:p w14:paraId="5878DB1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（4）投标人须严格按照报价明细表说明进行填写，报价明细表中“*”是必填项，任何必填项为空时都可能导致本次投标无效。</w:t>
      </w:r>
    </w:p>
    <w:p w14:paraId="3F8CA60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（5）《投标报价表（含明细）》中合价将由单价*数量自动计算，无需手工录入。</w:t>
      </w:r>
    </w:p>
    <w:p w14:paraId="73EDB5D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b/>
          <w:bCs/>
          <w:color w:val="auto"/>
          <w:sz w:val="28"/>
          <w:szCs w:val="28"/>
          <w:highlight w:val="none"/>
        </w:rPr>
        <w:t>《投标报价表（含明细）》中的交付期填报“响应招标文件要求”、服务期填报“响应招标文件要求”、服务地点填报“响应招标文件要求”。</w:t>
      </w:r>
    </w:p>
    <w:p w14:paraId="44EDC63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5《需求响应表》（如有）填写时应响应下列要求：</w:t>
      </w:r>
    </w:p>
    <w:p w14:paraId="4865487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（1）有底色标识的单元格须填写，有“*”的列是必输项，任何必输项为空都可能导致您的本次投标（响应）无效；</w:t>
      </w:r>
    </w:p>
    <w:p w14:paraId="2BCB909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（2）如想拷贝数据到某个待填写单元格，应采用选择性粘贴(只粘贴文本)，否则单元格填写无效或被锁死；</w:t>
      </w:r>
    </w:p>
    <w:p w14:paraId="6D57CCE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（3）当招标需求列的内容显示不完整时，请点击编辑栏进行查看；</w:t>
      </w:r>
    </w:p>
    <w:p w14:paraId="38A7C59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hint="eastAsia" w:ascii="仿宋" w:hAnsi="仿宋" w:eastAsia="仿宋" w:cs="仿宋"/>
          <w:b/>
          <w:bCs/>
          <w:color w:val="auto"/>
          <w:sz w:val="28"/>
          <w:szCs w:val="28"/>
          <w:highlight w:val="none"/>
        </w:rPr>
        <w:t>无效投标（响应）处理</w:t>
      </w:r>
      <w:r>
        <w:rPr>
          <w:rFonts w:hint="eastAsia" w:ascii="仿宋" w:hAnsi="仿宋" w:eastAsia="仿宋" w:cs="仿宋"/>
          <w:color w:val="auto"/>
          <w:sz w:val="28"/>
          <w:szCs w:val="28"/>
          <w:highlight w:val="none"/>
          <w:lang w:eastAsia="zh-CN"/>
        </w:rPr>
        <w:t>；</w:t>
      </w:r>
    </w:p>
    <w:p w14:paraId="6EA74E8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（5）按照该表显示位置加盖一个电子印章；</w:t>
      </w:r>
    </w:p>
    <w:p w14:paraId="5BD8C38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（6）该表为固定格式且有数字指纹，必须在原表上填写，填写完毕后只可保存不可另存。删除该表、增加该表、增加行列、删除行列、对固定格式的任何改动均会导致</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lang w:eastAsia="zh-CN"/>
        </w:rPr>
        <w:t>。</w:t>
      </w:r>
    </w:p>
    <w:p w14:paraId="52827AD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6投标人的报价在合同执行过程中是固定不变的，不得以任何理由改变。所有价格折扣、优惠条件必须在投标（报价）一览表中注明，否则评审时不予认可。</w:t>
      </w:r>
    </w:p>
    <w:p w14:paraId="2A2FF40C">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10</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联合体投标</w:t>
      </w:r>
    </w:p>
    <w:p w14:paraId="149BA0A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两个以上的自然人、法人或者其他组织可以组成一个联合体，以一个投标人的身份共同参加投标。</w:t>
      </w:r>
    </w:p>
    <w:p w14:paraId="671418E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1以联合体形式进行投标的，应当提交联合协议，载明联合体各方承担的工作和义务。联合体各方应当共同与招标人签订采购合同，就采购合同约定的事项对招标人承担连带责任。</w:t>
      </w:r>
    </w:p>
    <w:p w14:paraId="27BC5CC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2联合体中有同类资质的投标人按照联合体分工承担相同工作的，应当按照资质等级较低的投标人确定资质等级。</w:t>
      </w:r>
    </w:p>
    <w:p w14:paraId="5DAB5725">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3联合体的各方应当共同推荐一名联合体投标授权代表方，由联合体各方提交一份授权书，证明其有资格代表联合体各方签署投标文件，该授权书作为投标文件的组成部分一并提交给</w:t>
      </w:r>
      <w:r>
        <w:rPr>
          <w:rFonts w:hint="eastAsia" w:ascii="仿宋" w:hAnsi="仿宋" w:eastAsia="仿宋" w:cs="仿宋"/>
          <w:color w:val="auto"/>
          <w:sz w:val="28"/>
          <w:szCs w:val="28"/>
          <w:highlight w:val="none"/>
          <w:lang w:eastAsia="zh-CN"/>
        </w:rPr>
        <w:t>山东瀚泰建设管理有限公司</w:t>
      </w:r>
      <w:r>
        <w:rPr>
          <w:rFonts w:hint="eastAsia" w:ascii="仿宋" w:hAnsi="仿宋" w:eastAsia="仿宋" w:cs="仿宋"/>
          <w:color w:val="auto"/>
          <w:sz w:val="28"/>
          <w:szCs w:val="28"/>
          <w:highlight w:val="none"/>
        </w:rPr>
        <w:t>。</w:t>
      </w:r>
    </w:p>
    <w:p w14:paraId="4DA0DD0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4以联合体形式参加采购活动的，联合体各方不得再单独参加或者与其他投标人另外组成联合体参加同一合同项下的采购活动。</w:t>
      </w:r>
    </w:p>
    <w:p w14:paraId="548E11E1">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本项目是否接受联合体投标详见《投标须知前附表》。</w:t>
      </w:r>
    </w:p>
    <w:p w14:paraId="3D30F8E9">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11</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关于分包</w:t>
      </w:r>
    </w:p>
    <w:p w14:paraId="75942D0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1投标人拟将成交项目的非主体、非关键性工作分包的，应当在投标文件中载明分包承担主体，分包承担主体应当具备相应资质条件且不得再次分包。</w:t>
      </w:r>
    </w:p>
    <w:p w14:paraId="07BFBE2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2投标人应当就分包项目向招标人负责，分包承担主体就分包项目承担责任。</w:t>
      </w:r>
    </w:p>
    <w:p w14:paraId="4B18636D">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rPr>
        <w:t>本项目是否接受分包投标详见《投标须知前附表》</w:t>
      </w:r>
      <w:r>
        <w:rPr>
          <w:rFonts w:hint="eastAsia" w:ascii="仿宋" w:hAnsi="仿宋" w:eastAsia="仿宋" w:cs="仿宋"/>
          <w:b/>
          <w:bCs/>
          <w:color w:val="auto"/>
          <w:sz w:val="28"/>
          <w:szCs w:val="28"/>
          <w:highlight w:val="none"/>
          <w:lang w:eastAsia="zh-CN"/>
        </w:rPr>
        <w:t>。</w:t>
      </w:r>
    </w:p>
    <w:p w14:paraId="024C895A">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12</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现场踏勘</w:t>
      </w:r>
    </w:p>
    <w:p w14:paraId="54DFFE6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6481A4C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2投标人及其人员经过招标人的允许，可以踏勘目的进入招标单位的项目现场。若本项目招标文件要求投标人于统一时间地点踏勘现场的，投标人应当按时前往。</w:t>
      </w:r>
    </w:p>
    <w:p w14:paraId="41F0DEB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3除招标人的原因外，投标人自行负责在踏勘现场中所发生的人员伤亡和财产损失。</w:t>
      </w:r>
    </w:p>
    <w:p w14:paraId="6A0B9C1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4未参与现场踏勘不作为否定投标人资格的理由。</w:t>
      </w:r>
    </w:p>
    <w:p w14:paraId="4DB3BACF">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本项目是否组织现场踏勘详见《投标须知前附表》</w:t>
      </w:r>
    </w:p>
    <w:p w14:paraId="24B3BFA2">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13</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投标的有效期</w:t>
      </w:r>
    </w:p>
    <w:p w14:paraId="544D029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1从开标之日起，投标有效期为90天。投标有效期短于90天的，其投标为无效投标（响应）。</w:t>
      </w:r>
    </w:p>
    <w:p w14:paraId="5C0C7D1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2特殊情况下，在投标有效期满之前，招标代理机构可以要求投标人延长投标有效期，投标人可以书面形式拒绝或接受上述要求。同意延长投标有效期的投标人不得修改投标文件的实质性内容。</w:t>
      </w:r>
    </w:p>
    <w:p w14:paraId="63CDB38C">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14</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投标保证金</w:t>
      </w:r>
    </w:p>
    <w:p w14:paraId="7A89094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本项目投标保证金要求：详见投标须知前附表。</w:t>
      </w:r>
    </w:p>
    <w:p w14:paraId="47D3B4B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缴纳截止时间：投标文件递交截止时间前。</w:t>
      </w:r>
    </w:p>
    <w:p w14:paraId="6ECC4F1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投标保证金的交纳单位必须与投标人名称一致，投标保证金须从其基本账户转出，否则其投标无效；</w:t>
      </w:r>
    </w:p>
    <w:p w14:paraId="1CA0C39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4本项目的投标保证金必须通过威海市国有企业阳光采购电子化服务平台交纳，使用说明参见威海市公共资源交易网（http://ggzyjy</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weihai</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cn）的“办事指南—国企采购专区”中《威海市国有企业阳光采购电子化服务平台线上投标保证金操作手册》。</w:t>
      </w:r>
    </w:p>
    <w:p w14:paraId="4ABDBBA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5为确保投标工作有序进行，投标保证金应当在递交投标文件截止时间前（以到账时间为准）到达威海公共资源交易服务有限公司账户，以网银、电汇等方式一次性足额交纳保证金，不接受支付宝等第三方平台转账。禁止第三方代交。投标保证金交纳单位应与递交投标文件的投标人名称一致。</w:t>
      </w:r>
    </w:p>
    <w:p w14:paraId="3227F92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6为确保投标人投标保证金及时足额到账，请尽量提前交纳保证金，由于银行系统原因，请至少在递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14:paraId="556B3E0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7退还保证金：目前系统采用自动退还保证金操作，分为未中标人退还和中标人退还。代理公司向中标人发送中标通知书后，系统自动退还未中标人保证金；</w:t>
      </w:r>
      <w:r>
        <w:rPr>
          <w:rFonts w:hint="eastAsia" w:ascii="仿宋" w:hAnsi="仿宋" w:eastAsia="仿宋" w:cs="仿宋"/>
          <w:color w:val="auto"/>
          <w:sz w:val="28"/>
          <w:szCs w:val="28"/>
          <w:highlight w:val="none"/>
          <w:lang w:eastAsia="zh-CN"/>
        </w:rPr>
        <w:t>招标人</w:t>
      </w:r>
      <w:r>
        <w:rPr>
          <w:rFonts w:hint="eastAsia" w:ascii="仿宋" w:hAnsi="仿宋" w:eastAsia="仿宋" w:cs="仿宋"/>
          <w:color w:val="auto"/>
          <w:sz w:val="28"/>
          <w:szCs w:val="28"/>
          <w:highlight w:val="none"/>
        </w:rPr>
        <w:t>和中标人签署完合同后，系统自动退还中标人保证金。非由中标人原因未能签订合同的，应在</w:t>
      </w:r>
      <w:r>
        <w:rPr>
          <w:rFonts w:hint="eastAsia" w:ascii="仿宋" w:hAnsi="仿宋" w:eastAsia="仿宋" w:cs="仿宋"/>
          <w:color w:val="auto"/>
          <w:sz w:val="28"/>
          <w:szCs w:val="28"/>
          <w:highlight w:val="none"/>
          <w:lang w:eastAsia="zh-CN"/>
        </w:rPr>
        <w:t>招标人</w:t>
      </w:r>
      <w:r>
        <w:rPr>
          <w:rFonts w:hint="eastAsia" w:ascii="仿宋" w:hAnsi="仿宋" w:eastAsia="仿宋" w:cs="仿宋"/>
          <w:color w:val="auto"/>
          <w:sz w:val="28"/>
          <w:szCs w:val="28"/>
          <w:highlight w:val="none"/>
        </w:rPr>
        <w:t>作出处理结果之日起五个工作日内退还中标人的保证金。采购项目流标的，应在确定流标之日起五个工作日内退还所有投标人的保证金。</w:t>
      </w:r>
    </w:p>
    <w:p w14:paraId="26122B5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8有下列情况之一的，投标保证金不予返还。</w:t>
      </w:r>
    </w:p>
    <w:p w14:paraId="1B75DBF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(1)投标人提供不真实资格、资质证明文件的；</w:t>
      </w:r>
    </w:p>
    <w:p w14:paraId="486ABEB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(2)在投标有效期内撤回报价的；</w:t>
      </w:r>
    </w:p>
    <w:p w14:paraId="0AC866C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(3)除因不可抗力或招标文件认可的情形以外，中标人不与</w:t>
      </w:r>
      <w:r>
        <w:rPr>
          <w:rFonts w:hint="eastAsia" w:ascii="仿宋" w:hAnsi="仿宋" w:eastAsia="仿宋" w:cs="仿宋"/>
          <w:color w:val="auto"/>
          <w:sz w:val="28"/>
          <w:szCs w:val="28"/>
          <w:highlight w:val="none"/>
          <w:lang w:eastAsia="zh-CN"/>
        </w:rPr>
        <w:t>招标人</w:t>
      </w:r>
      <w:r>
        <w:rPr>
          <w:rFonts w:hint="eastAsia" w:ascii="仿宋" w:hAnsi="仿宋" w:eastAsia="仿宋" w:cs="仿宋"/>
          <w:color w:val="auto"/>
          <w:sz w:val="28"/>
          <w:szCs w:val="28"/>
          <w:highlight w:val="none"/>
        </w:rPr>
        <w:t>签订合同的；</w:t>
      </w:r>
    </w:p>
    <w:p w14:paraId="1EFCAC2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(4)投标人与</w:t>
      </w:r>
      <w:r>
        <w:rPr>
          <w:rFonts w:hint="eastAsia" w:ascii="仿宋" w:hAnsi="仿宋" w:eastAsia="仿宋" w:cs="仿宋"/>
          <w:color w:val="auto"/>
          <w:sz w:val="28"/>
          <w:szCs w:val="28"/>
          <w:highlight w:val="none"/>
          <w:lang w:eastAsia="zh-CN"/>
        </w:rPr>
        <w:t>招标人</w:t>
      </w:r>
      <w:r>
        <w:rPr>
          <w:rFonts w:hint="eastAsia" w:ascii="仿宋" w:hAnsi="仿宋" w:eastAsia="仿宋" w:cs="仿宋"/>
          <w:color w:val="auto"/>
          <w:sz w:val="28"/>
          <w:szCs w:val="28"/>
          <w:highlight w:val="none"/>
        </w:rPr>
        <w:t>、其他投标人或者采购代理机构恶意串通的；</w:t>
      </w:r>
    </w:p>
    <w:p w14:paraId="1CFD1C9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(5)评审委员会认定的其他事项。</w:t>
      </w:r>
    </w:p>
    <w:p w14:paraId="0B79A0A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对以提供虚假材料或恶意串通或采取不正当竞争手段谋取中标的投标人，一经发现将依法取消其投标人资格，投标保证金不予返还，列入平台黑名单。</w:t>
      </w:r>
    </w:p>
    <w:p w14:paraId="4B84286F">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本项目投标保证金收取情况见《投标须知前附表》。</w:t>
      </w:r>
    </w:p>
    <w:p w14:paraId="049D4C22">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15</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履约保证金的交纳与返还</w:t>
      </w:r>
    </w:p>
    <w:p w14:paraId="72D1149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本项目不收取履约保证金。</w:t>
      </w:r>
    </w:p>
    <w:p w14:paraId="49E43A05">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16</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投标文件的数量和签署</w:t>
      </w:r>
    </w:p>
    <w:p w14:paraId="7F1B8C0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1投标文件（pdf格式）（第一册）1份</w:t>
      </w:r>
    </w:p>
    <w:p w14:paraId="17C477F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1投标人应使用带电子签章功能的CA锁对投标文件须盖章或签名的部位加盖电子印章（单位电子公章、法定代表人电子人名章），电子印章与实物印章具有同等法律效力。</w:t>
      </w:r>
    </w:p>
    <w:p w14:paraId="4E736FB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否则为无效投标。</w:t>
      </w:r>
    </w:p>
    <w:p w14:paraId="313E2E3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3文件中要求法定代表人签字或签章的须加盖法定代表人电子人名章。</w:t>
      </w:r>
    </w:p>
    <w:p w14:paraId="000F108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4须被授权人签字的，被授权人又无电子章，在word编制时可将被授权人手写签字扫描后的图片粘贴到投标文件中对应位置，并加盖单位电子公章。</w:t>
      </w:r>
    </w:p>
    <w:p w14:paraId="51D84DD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5可使用系统的批量盖章功能快速签章。但须逐页浏览检查并注意印章重叠及完整性。</w:t>
      </w:r>
    </w:p>
    <w:p w14:paraId="1D52A06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6采用扫描粘贴投标人公章或扫描法定代表人人名章而不加盖单位电子公章的为</w:t>
      </w:r>
      <w:r>
        <w:rPr>
          <w:rFonts w:hint="eastAsia" w:ascii="仿宋" w:hAnsi="仿宋" w:eastAsia="仿宋" w:cs="仿宋"/>
          <w:b/>
          <w:bCs/>
          <w:color w:val="auto"/>
          <w:sz w:val="28"/>
          <w:szCs w:val="28"/>
          <w:highlight w:val="none"/>
        </w:rPr>
        <w:t>无效投标（响应）</w:t>
      </w:r>
      <w:r>
        <w:rPr>
          <w:rFonts w:hint="eastAsia" w:ascii="仿宋" w:hAnsi="仿宋" w:eastAsia="仿宋" w:cs="仿宋"/>
          <w:color w:val="auto"/>
          <w:sz w:val="28"/>
          <w:szCs w:val="28"/>
          <w:highlight w:val="none"/>
        </w:rPr>
        <w:t>。</w:t>
      </w:r>
    </w:p>
    <w:p w14:paraId="42559B0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2数据文件（PDF格式）（第二册）1份</w:t>
      </w:r>
    </w:p>
    <w:p w14:paraId="3165354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0C673DF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2文件中要求法定代表人签字或签章的须加盖法定代表人电子人名章。</w:t>
      </w:r>
    </w:p>
    <w:p w14:paraId="3F90F19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3采用扫描粘贴投标人公章或法定代表人人名章的为</w:t>
      </w:r>
      <w:r>
        <w:rPr>
          <w:rFonts w:hint="eastAsia" w:ascii="仿宋" w:hAnsi="仿宋" w:eastAsia="仿宋" w:cs="仿宋"/>
          <w:b/>
          <w:bCs/>
          <w:color w:val="auto"/>
          <w:sz w:val="28"/>
          <w:szCs w:val="28"/>
          <w:highlight w:val="none"/>
        </w:rPr>
        <w:t>无效投标（响应）</w:t>
      </w:r>
      <w:r>
        <w:rPr>
          <w:rFonts w:hint="eastAsia" w:ascii="仿宋" w:hAnsi="仿宋" w:eastAsia="仿宋" w:cs="仿宋"/>
          <w:color w:val="auto"/>
          <w:sz w:val="28"/>
          <w:szCs w:val="28"/>
          <w:highlight w:val="none"/>
        </w:rPr>
        <w:t>。</w:t>
      </w:r>
    </w:p>
    <w:p w14:paraId="7433D5E5">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rPr>
      </w:pPr>
      <w:bookmarkStart w:id="12" w:name="_Toc14186"/>
      <w:r>
        <w:rPr>
          <w:rFonts w:hint="eastAsia" w:ascii="仿宋" w:hAnsi="仿宋" w:eastAsia="仿宋" w:cs="仿宋"/>
          <w:b/>
          <w:bCs/>
          <w:color w:val="auto"/>
          <w:sz w:val="28"/>
          <w:szCs w:val="28"/>
          <w:highlight w:val="none"/>
        </w:rPr>
        <w:t>四、投标文件的递交</w:t>
      </w:r>
      <w:bookmarkEnd w:id="12"/>
    </w:p>
    <w:p w14:paraId="028AE4BC">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17</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投标文件的密封和标记</w:t>
      </w:r>
    </w:p>
    <w:p w14:paraId="07C6B855">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17</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1电子投标文件的密封和标记</w:t>
      </w:r>
    </w:p>
    <w:p w14:paraId="6603185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74DEC56E">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17</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2资质证明文件原件的密封和标记</w:t>
      </w:r>
    </w:p>
    <w:p w14:paraId="7D8D7BA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*:*之前不准启封”（开标时间）的字样。加盖公章或由法定代表人或经其正式授权的代表在旁边签字。</w:t>
      </w:r>
    </w:p>
    <w:p w14:paraId="1109748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2投标人按上述规定进行密封和标记后，按照招标文件的要求送达指定地点。</w:t>
      </w:r>
    </w:p>
    <w:p w14:paraId="7C39F4A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3如果未按上述规定进行密封和标记，招标代理机构对误投或提前启封概不负责。</w:t>
      </w:r>
    </w:p>
    <w:p w14:paraId="4FA3D4CE">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17</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3文件递交</w:t>
      </w:r>
    </w:p>
    <w:p w14:paraId="10B3D2B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color w:val="auto"/>
          <w:sz w:val="28"/>
          <w:szCs w:val="28"/>
          <w:highlight w:val="none"/>
        </w:rPr>
        <w:t>17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 w:hAnsi="仿宋" w:eastAsia="仿宋" w:cs="仿宋"/>
          <w:b/>
          <w:bCs/>
          <w:color w:val="auto"/>
          <w:sz w:val="28"/>
          <w:szCs w:val="28"/>
          <w:highlight w:val="none"/>
        </w:rPr>
        <w:t>其投标将会被判定为无效。</w:t>
      </w:r>
    </w:p>
    <w:p w14:paraId="714B4ED4">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17</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3</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2投标人须牢记投标加密密码，该密码将用于开标时解密其电子投标文件，如忘记密码或输入错误密码超过5次，其递交的电子投标文件将无法解密，导致无法提取数据和供他人阅读文件，致使其投标失败。</w:t>
      </w:r>
    </w:p>
    <w:p w14:paraId="3B55CE8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3除投标须知前附表另有规定外，招标代理机构拒绝接收纸质投标文件。</w:t>
      </w:r>
    </w:p>
    <w:p w14:paraId="3BD2FE4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4投标人应将网上递交的已盖章未加密的数据文件和投标文件谨慎保存备份，以便启动应急开标程序时备案使用。</w:t>
      </w:r>
    </w:p>
    <w:p w14:paraId="37123173">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18</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投标截止期</w:t>
      </w:r>
    </w:p>
    <w:p w14:paraId="2A35626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本次招标的投标截止期见《投标须知前附表》。</w:t>
      </w:r>
    </w:p>
    <w:p w14:paraId="578D775E">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19</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迟交的投标文件</w:t>
      </w:r>
    </w:p>
    <w:p w14:paraId="7FB2B11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威海市国有企业阳光采购电子化服务平台无法接收投标截止期后递交的电子投标文件。</w:t>
      </w:r>
    </w:p>
    <w:p w14:paraId="6C184492">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20</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现场演示/样品递交</w:t>
      </w:r>
    </w:p>
    <w:p w14:paraId="77B78A0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1招标人可以要求投标人对其提供的信息化、自动化等相关类别服务进行演示。</w:t>
      </w:r>
    </w:p>
    <w:p w14:paraId="47EB7EE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2若服务项目涉及货物时，招标人可以要求投标人提供样品，样品作为投标文件的一部分。未中标投标人提供的样品将于评审结束后退还。中标人的样品由招标人保留，作为验收的依据。</w:t>
      </w:r>
    </w:p>
    <w:p w14:paraId="079FD31A">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是否要求投标人提供演示/提交样品，详见招标文件《投标须知前附表》的有关规定。</w:t>
      </w:r>
    </w:p>
    <w:p w14:paraId="3790481D">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21</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投标文件的修改和撤回</w:t>
      </w:r>
    </w:p>
    <w:p w14:paraId="4B40522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1投标人必须在规定的投标截止期之前将修改的投标文件和数据文件上传到威海市国有企业阳光采购电子化服务平台,在投标截止期之后，投标人不得对其投标文件做任何修改。</w:t>
      </w:r>
    </w:p>
    <w:p w14:paraId="5803011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2投标人在递交投标文件后，可以在投标截止期之前撤回其投标。</w:t>
      </w:r>
    </w:p>
    <w:p w14:paraId="30F83AC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3开标后不允许对投标文件做实质性修改和补充，不得撤回投标文件。</w:t>
      </w:r>
    </w:p>
    <w:p w14:paraId="127D05B5">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rPr>
      </w:pPr>
      <w:bookmarkStart w:id="13" w:name="_Toc22292"/>
      <w:r>
        <w:rPr>
          <w:rFonts w:hint="eastAsia" w:ascii="仿宋" w:hAnsi="仿宋" w:eastAsia="仿宋" w:cs="仿宋"/>
          <w:b/>
          <w:bCs/>
          <w:color w:val="auto"/>
          <w:sz w:val="28"/>
          <w:szCs w:val="28"/>
          <w:highlight w:val="none"/>
        </w:rPr>
        <w:t>五、开标与评审</w:t>
      </w:r>
      <w:bookmarkEnd w:id="13"/>
    </w:p>
    <w:p w14:paraId="5E88D669">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22</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开标</w:t>
      </w:r>
    </w:p>
    <w:p w14:paraId="6B443F8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1投标截止时间结束后，投标人不足3家的不得开标。</w:t>
      </w:r>
    </w:p>
    <w:p w14:paraId="1DFFE88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2招标代理机构在招标公告规定的时间和地点组织开标。投标人需提前准备已配置好环境的电脑，在规定的时间进行远程开标的各项操作。</w:t>
      </w:r>
    </w:p>
    <w:p w14:paraId="45434D5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3远程开标的投标人代表应在签到表格相应位置上加盖CA锁中的</w:t>
      </w:r>
      <w:r>
        <w:rPr>
          <w:rFonts w:hint="eastAsia" w:ascii="仿宋" w:hAnsi="仿宋" w:eastAsia="仿宋" w:cs="仿宋"/>
          <w:b/>
          <w:bCs/>
          <w:color w:val="auto"/>
          <w:sz w:val="28"/>
          <w:szCs w:val="28"/>
          <w:highlight w:val="none"/>
        </w:rPr>
        <w:t>法定代表人电子人名章</w:t>
      </w:r>
      <w:r>
        <w:rPr>
          <w:rFonts w:hint="eastAsia" w:ascii="仿宋" w:hAnsi="仿宋" w:eastAsia="仿宋" w:cs="仿宋"/>
          <w:color w:val="auto"/>
          <w:sz w:val="28"/>
          <w:szCs w:val="28"/>
          <w:highlight w:val="none"/>
        </w:rPr>
        <w:t>以证明其出席，在开标时间前未完成签到的将会被视作认同开标结果。</w:t>
      </w:r>
    </w:p>
    <w:p w14:paraId="1BD9268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4投标须知前附表规定了文件解密时间，投标人输入密码错误（5次输入机会）、未能按时完成解密、其《数据文件》填写、盖章不规范等导致系统无法解析的，将会被视为</w:t>
      </w:r>
      <w:r>
        <w:rPr>
          <w:rFonts w:hint="eastAsia" w:ascii="仿宋" w:hAnsi="仿宋" w:eastAsia="仿宋" w:cs="仿宋"/>
          <w:b/>
          <w:bCs/>
          <w:color w:val="auto"/>
          <w:sz w:val="28"/>
          <w:szCs w:val="28"/>
          <w:highlight w:val="none"/>
        </w:rPr>
        <w:t>无效投标（响应）</w:t>
      </w:r>
      <w:r>
        <w:rPr>
          <w:rFonts w:hint="eastAsia" w:ascii="仿宋" w:hAnsi="仿宋" w:eastAsia="仿宋" w:cs="仿宋"/>
          <w:color w:val="auto"/>
          <w:sz w:val="28"/>
          <w:szCs w:val="28"/>
          <w:highlight w:val="none"/>
        </w:rPr>
        <w:t>。</w:t>
      </w:r>
    </w:p>
    <w:p w14:paraId="1204E16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5开标过程应当由招标人或招标代理机构负责记录，最终形成开标一览表并由各投标人代表和相关工作人员签字或盖章确认。</w:t>
      </w:r>
    </w:p>
    <w:p w14:paraId="033E0B1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21E209F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7录音、录像：威海市公共资源交易中心负责从递交投标文件开始到定标结束全过程的录音、录像工作，确保声音清楚、图像清晰、内容无遗漏。</w:t>
      </w:r>
    </w:p>
    <w:p w14:paraId="2AFE6DA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8评审过程中，如遇特殊情况，服从公共资源交易中心场地调配，并遵守相关规章制度。</w:t>
      </w:r>
    </w:p>
    <w:p w14:paraId="5434294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9对投标文件报价出现前后不一致的，按以下规定修正：</w:t>
      </w:r>
    </w:p>
    <w:p w14:paraId="7B247CE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（1）“投标（报价）一览表”的报价与“报价明细表”的报价不一致的，以“投标（报价）一览表”的报价为准；</w:t>
      </w:r>
    </w:p>
    <w:p w14:paraId="2D32306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（2）大写金额和小写金额不一致的，以大写金额为准；</w:t>
      </w:r>
    </w:p>
    <w:p w14:paraId="74F826C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（3）单价金额小数点或者百分比有明显错位的，以投标（报价）一览表的总价为准，并修改单价。</w:t>
      </w:r>
    </w:p>
    <w:p w14:paraId="3E63798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（4）总价金额与按单价汇总金额不一致的，以单价金额计算结果为准。</w:t>
      </w:r>
    </w:p>
    <w:p w14:paraId="0421EAB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（5）同时出现两种以上不一致的，按照前款规定的顺序修正。修正后的报价经投标人确认后产生约束力，投标人不确认的，其投标无效。</w:t>
      </w:r>
    </w:p>
    <w:p w14:paraId="559A265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10开标程序</w:t>
      </w:r>
    </w:p>
    <w:p w14:paraId="264F3E4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签到：在投标须知前附表规定的时间完成签到。</w:t>
      </w:r>
    </w:p>
    <w:p w14:paraId="6103AA3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开标：工作人员在投标须知前附表规定的开标时间启动开标。</w:t>
      </w:r>
    </w:p>
    <w:p w14:paraId="1B9761D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解密：开标后工作人员启动开始解密指令，投标人开始输入解密密码，解密时间到后工作人员启动停止解密指令。</w:t>
      </w:r>
    </w:p>
    <w:p w14:paraId="110D5C9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03B67E3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投标人可使用电子交易系统“网上开标”中的“看直播”功能参与开标程序。</w:t>
      </w:r>
    </w:p>
    <w:p w14:paraId="39794D1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11应急开标程序</w:t>
      </w:r>
    </w:p>
    <w:p w14:paraId="42C347C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电子开标过程中如出现下列情况，导致系统无法正常运行，或者无法保证开标过程的公平、公正和信息安全时，经与行政监督部门沟通后可启动应急开标程序。</w:t>
      </w:r>
    </w:p>
    <w:p w14:paraId="4BA6DBD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（1）系统服务器发生故障，无法访问或无法使用系统；</w:t>
      </w:r>
    </w:p>
    <w:p w14:paraId="7D279A45">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（2）系统的软件或数据库出现错误，不能进行正常操作；</w:t>
      </w:r>
    </w:p>
    <w:p w14:paraId="0F69D26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（3）系统发现有安全漏洞，有潜在的泄密危险；</w:t>
      </w:r>
    </w:p>
    <w:p w14:paraId="716C29E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（4）病毒发作或受到外来病毒的攻击；</w:t>
      </w:r>
    </w:p>
    <w:p w14:paraId="0559ECB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（5）其他无法保证开标过程公平、公正和信息安全的情形。</w:t>
      </w:r>
    </w:p>
    <w:p w14:paraId="1F5D73C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应急开标程序包括：</w:t>
      </w:r>
    </w:p>
    <w:p w14:paraId="39E7BC9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（1）对未在系统中开标的可暂停开标；</w:t>
      </w:r>
    </w:p>
    <w:p w14:paraId="29A7A06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（2）对已在系统中开标的应停止，等待系统恢复正常后再组织进行开标。</w:t>
      </w:r>
    </w:p>
    <w:p w14:paraId="51435EC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 w:hAnsi="仿宋" w:eastAsia="仿宋" w:cs="仿宋"/>
          <w:b/>
          <w:bCs/>
          <w:color w:val="auto"/>
          <w:sz w:val="28"/>
          <w:szCs w:val="28"/>
          <w:highlight w:val="none"/>
        </w:rPr>
        <w:t>无效投标（响应）处理</w:t>
      </w:r>
      <w:r>
        <w:rPr>
          <w:rFonts w:hint="eastAsia" w:ascii="仿宋" w:hAnsi="仿宋" w:eastAsia="仿宋" w:cs="仿宋"/>
          <w:color w:val="auto"/>
          <w:sz w:val="28"/>
          <w:szCs w:val="28"/>
          <w:highlight w:val="none"/>
        </w:rPr>
        <w:t>。</w:t>
      </w:r>
    </w:p>
    <w:p w14:paraId="1EB2DF5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备案功能故障且系统长时间无法恢复正常的，在招标人或代理机构的监督下可针对所有在平台中已投标的投标人，启用其电子邮件递交的投标文件进行开标，同时开标由线上转为线下，开标、评标均以电子邮件递交的投标文件为准，投标人必须在获取</w:t>
      </w:r>
      <w:r>
        <w:rPr>
          <w:rFonts w:hint="eastAsia" w:ascii="仿宋" w:hAnsi="仿宋" w:eastAsia="仿宋" w:cs="仿宋"/>
          <w:color w:val="auto"/>
          <w:sz w:val="28"/>
          <w:szCs w:val="28"/>
          <w:highlight w:val="none"/>
          <w:lang w:eastAsia="zh-CN"/>
        </w:rPr>
        <w:t>招标文件</w:t>
      </w:r>
      <w:r>
        <w:rPr>
          <w:rFonts w:hint="eastAsia" w:ascii="仿宋" w:hAnsi="仿宋" w:eastAsia="仿宋" w:cs="仿宋"/>
          <w:color w:val="auto"/>
          <w:sz w:val="28"/>
          <w:szCs w:val="28"/>
          <w:highlight w:val="none"/>
        </w:rPr>
        <w:t>时留有本单位详细的邮箱和电话，否则由此产生的不利后果由投标人自己承担。对未按规定递交或递交的文件未按要求进行编制、签署的投标人作</w:t>
      </w:r>
      <w:r>
        <w:rPr>
          <w:rFonts w:hint="eastAsia" w:ascii="仿宋" w:hAnsi="仿宋" w:eastAsia="仿宋" w:cs="仿宋"/>
          <w:b/>
          <w:bCs/>
          <w:color w:val="auto"/>
          <w:sz w:val="28"/>
          <w:szCs w:val="28"/>
          <w:highlight w:val="none"/>
        </w:rPr>
        <w:t>无效投标（响应）处理</w:t>
      </w:r>
      <w:r>
        <w:rPr>
          <w:rFonts w:hint="eastAsia" w:ascii="仿宋" w:hAnsi="仿宋" w:eastAsia="仿宋" w:cs="仿宋"/>
          <w:color w:val="auto"/>
          <w:sz w:val="28"/>
          <w:szCs w:val="28"/>
          <w:highlight w:val="none"/>
        </w:rPr>
        <w:t>。</w:t>
      </w:r>
    </w:p>
    <w:p w14:paraId="0CE7E3D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12应急开标电子邮件递交规定</w:t>
      </w:r>
    </w:p>
    <w:p w14:paraId="7AAA5D0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接收电子邮箱：</w:t>
      </w:r>
      <w:r>
        <w:rPr>
          <w:rFonts w:hint="eastAsia" w:ascii="仿宋" w:hAnsi="仿宋" w:eastAsia="仿宋" w:cs="仿宋"/>
          <w:color w:val="auto"/>
          <w:sz w:val="28"/>
          <w:szCs w:val="28"/>
          <w:highlight w:val="none"/>
          <w:lang w:eastAsia="zh-CN"/>
        </w:rPr>
        <w:t>whhtgc@163.com</w:t>
      </w:r>
    </w:p>
    <w:p w14:paraId="09D4638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递交时间：以电子邮件或电话通知的时间为准；</w:t>
      </w:r>
    </w:p>
    <w:p w14:paraId="22EA915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邮件数量：一封；</w:t>
      </w:r>
    </w:p>
    <w:p w14:paraId="1AF8246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邮件主题：项目编号、投标人名称；</w:t>
      </w:r>
    </w:p>
    <w:p w14:paraId="0094B9B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4210ADD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13启动电子邮件开标流程</w:t>
      </w:r>
    </w:p>
    <w:p w14:paraId="5B7B28E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工作人员电话通知所有投标人启动应急开标程序；</w:t>
      </w:r>
    </w:p>
    <w:p w14:paraId="018BFEF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投标人收到通知后在规定时间内通过电子邮件递交投标文件（在非应急开标期间招标代理机构不接受、不处理任何通过电子邮件提交的投标文件）；</w:t>
      </w:r>
    </w:p>
    <w:p w14:paraId="3832557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递交截止时间到，工作人员开始下载投标文件，将投标报价形成开标报告并邮件回复各投标人；</w:t>
      </w:r>
    </w:p>
    <w:p w14:paraId="46A4A7B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投标人确认报价并邮件回复，不及时回复的视为对开标报告的内容无异议。</w:t>
      </w:r>
    </w:p>
    <w:p w14:paraId="756845D4">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23</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评标委员会的组成和评标方法</w:t>
      </w:r>
    </w:p>
    <w:p w14:paraId="4C8CB49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招标代理机构负责组织评标工作，具体评审事务由依法组建的评标委员会负责，评标委员会成员由招标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14:paraId="233750F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招标人员及相关人员与投标人有利害关系的应当回避。曾参与招标文件征询意见或论证的专家，不得再作为评标专家参加评标。招标人不得以专家身份参与本项目的评标。招标人和招标代理机构工作人员离职或退休不满三年的，不能作为专家参加评标工作。</w:t>
      </w:r>
    </w:p>
    <w:p w14:paraId="084E915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3评标委员会成员职责：</w:t>
      </w:r>
    </w:p>
    <w:p w14:paraId="7823DDD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（1）评标前，评标委员会成员应当主动确认与投标人及其制造商是否有利害关系。如有利害关系应当主动回避，如无利害关系，应当在含有相关内容的《无利害关系声明》上签字；</w:t>
      </w:r>
    </w:p>
    <w:p w14:paraId="6E26AC5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（2）按照招标文件中确定的评标办法，对投标文件的内容进行评审，并对评审结果承担责任；</w:t>
      </w:r>
    </w:p>
    <w:p w14:paraId="77291B2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（3）对评标过程和结果，以及投标人的商业秘密进行保密；</w:t>
      </w:r>
    </w:p>
    <w:p w14:paraId="35076BB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（4）在评标委员会集体起草的评标报告上签字；</w:t>
      </w:r>
    </w:p>
    <w:p w14:paraId="63AB2C5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（5）配合招标代理机构答复投标人质疑；</w:t>
      </w:r>
    </w:p>
    <w:p w14:paraId="61DA367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（6）配合主管部门处理投标人投诉；</w:t>
      </w:r>
    </w:p>
    <w:p w14:paraId="4AA464E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（7）向主管部门反映评标工作中的问题，提出意见和建议。</w:t>
      </w:r>
    </w:p>
    <w:p w14:paraId="631E9B5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4评标委员会集体职责：</w:t>
      </w:r>
    </w:p>
    <w:p w14:paraId="568D0CF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369A16C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（2）配合招标人和招标代理机构答复投标人的质疑；</w:t>
      </w:r>
    </w:p>
    <w:p w14:paraId="3E11657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（3）配合主管部门做好投诉处理工作；</w:t>
      </w:r>
    </w:p>
    <w:p w14:paraId="24CAD40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（4）必要时，向投标人解释评标结果；</w:t>
      </w:r>
    </w:p>
    <w:p w14:paraId="770BC47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（5）向主管部门或者有关部门报告非法干预评标工作的行为。</w:t>
      </w:r>
    </w:p>
    <w:p w14:paraId="6F3A5B5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5招标代理机构或招标人的职责：</w:t>
      </w:r>
    </w:p>
    <w:p w14:paraId="6D58133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（1）核对评审专家身份和招标人委托授权，对评审专家在采购活动中的职责履行情况予以记录，并及时将有关违法违规行为向主管部门报告；</w:t>
      </w:r>
    </w:p>
    <w:p w14:paraId="7F5063D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（2）宣布评标纪律；</w:t>
      </w:r>
    </w:p>
    <w:p w14:paraId="503D46F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（3）公布投标人名单，告知评审专家应当回避的情形；</w:t>
      </w:r>
    </w:p>
    <w:p w14:paraId="6C192BB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（4）组织评标委员会推选评标组长，招标人代表不得担任组长；</w:t>
      </w:r>
    </w:p>
    <w:p w14:paraId="5C87E12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（5）在评标期间采取必要的通讯管理措施，保证评标活动不受外界干扰；</w:t>
      </w:r>
    </w:p>
    <w:p w14:paraId="219C168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（6）根据评标委员会的要求介绍阳光国企采购相关政策法规、招标文件；</w:t>
      </w:r>
    </w:p>
    <w:p w14:paraId="3EF6040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（7）维护评标秩序，监督评标委员会依照招标文件规定的评标程序、方法和标准进行独立评审，及时制止和纠正招标人代表、评审专家的倾向性言论或者违法违规行为；</w:t>
      </w:r>
    </w:p>
    <w:p w14:paraId="6DDAF8C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51A6A395">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9）评审工作完成后，按照规定向评审专家支付劳务报酬和异地评审差旅费，不得向评审专家以外的其他人员支付评审劳务报酬；专家劳务报酬标准参照山东省财政厅《关于印发&lt;山东省政府采购评审劳务报酬标准&gt;的通知》（鲁财采〔2017〕28号）规定执行</w:t>
      </w:r>
      <w:r>
        <w:rPr>
          <w:rFonts w:hint="eastAsia" w:ascii="仿宋" w:hAnsi="仿宋" w:eastAsia="仿宋" w:cs="仿宋"/>
          <w:color w:val="auto"/>
          <w:sz w:val="28"/>
          <w:szCs w:val="28"/>
          <w:highlight w:val="none"/>
          <w:lang w:eastAsia="zh-CN"/>
        </w:rPr>
        <w:t>；</w:t>
      </w:r>
    </w:p>
    <w:p w14:paraId="20C8B41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（10）处理与评标有关的其他事项。</w:t>
      </w:r>
    </w:p>
    <w:p w14:paraId="20EAE53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招标人可以在评标前说明项目背景和采购需求，说明内容不得含有歧视性、倾向性意见，不得超出招标文件所述范围。说明应当提交书面材料，并随</w:t>
      </w:r>
      <w:r>
        <w:rPr>
          <w:rFonts w:hint="eastAsia" w:ascii="仿宋" w:hAnsi="仿宋" w:eastAsia="仿宋" w:cs="仿宋"/>
          <w:color w:val="auto"/>
          <w:sz w:val="28"/>
          <w:szCs w:val="28"/>
          <w:highlight w:val="none"/>
          <w:lang w:eastAsia="zh-CN"/>
        </w:rPr>
        <w:t>招标文件</w:t>
      </w:r>
      <w:r>
        <w:rPr>
          <w:rFonts w:hint="eastAsia" w:ascii="仿宋" w:hAnsi="仿宋" w:eastAsia="仿宋" w:cs="仿宋"/>
          <w:color w:val="auto"/>
          <w:sz w:val="28"/>
          <w:szCs w:val="28"/>
          <w:highlight w:val="none"/>
        </w:rPr>
        <w:t>一并存档。</w:t>
      </w:r>
    </w:p>
    <w:p w14:paraId="64EB96C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6评标委员会采用集中办公、封闭方式进行评审。评标前，招标代理机构工作人员向评标委员会成员宣布评标纪律和工作规则。评标委员会成员签署《无利害关系声明表》，并遵照执行。</w:t>
      </w:r>
    </w:p>
    <w:p w14:paraId="2F9E2F3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7评标委员会成员对与自己有利害关系的评标项目应当主动提出回避。</w:t>
      </w:r>
    </w:p>
    <w:p w14:paraId="5E28DD4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8评标委员会将按照招标文件确定的评标原则和方法进行评标。招标人对投标人进行资格性审查，评标委员会对投标文件的评审内容分为符合性审查、商务评议、技术评议和价格评议。</w:t>
      </w:r>
    </w:p>
    <w:p w14:paraId="25898C3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9评标委员会独立履行下列职责：</w:t>
      </w:r>
    </w:p>
    <w:p w14:paraId="5080609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（1）审查、评价投标文件是否符合招标文件的商务、技术等实质性要求；</w:t>
      </w:r>
    </w:p>
    <w:p w14:paraId="022965F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（2）要求投标人对投标文件有关事项作出澄清或者说明；</w:t>
      </w:r>
    </w:p>
    <w:p w14:paraId="10531C9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（3）对投标文件进行比较和评价；</w:t>
      </w:r>
    </w:p>
    <w:p w14:paraId="452CA6E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（4）确定中标候选人名单，以及根据招标人委托直接确定中标人；</w:t>
      </w:r>
    </w:p>
    <w:p w14:paraId="12AD481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（5）向招标人、招标代理机构或者有关部门报告评标中发现的违法行为。</w:t>
      </w:r>
    </w:p>
    <w:p w14:paraId="44EC6FE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10评标中因评标委员会成员缺席、回避或者健康等特殊原因导致评标委员会组成不符合本办法规定的，招标代理机构应当依法补足后继续评标。被更换的评标委员会成员所作出的评标意见无效。</w:t>
      </w:r>
    </w:p>
    <w:p w14:paraId="5461F9E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无法及时补足评标委员会成员的，招标代理机构应当停止评标活动，封存所有投标文件和开标、评标资料，依法重新组建评标委员会进行评标。原评标委员会作出的评标意见无效。</w:t>
      </w:r>
    </w:p>
    <w:p w14:paraId="2E7DC16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招标代理机构应当将变更、重新组建评标委员会的情况予以记录，并随</w:t>
      </w:r>
      <w:r>
        <w:rPr>
          <w:rFonts w:hint="eastAsia" w:ascii="仿宋" w:hAnsi="仿宋" w:eastAsia="仿宋" w:cs="仿宋"/>
          <w:color w:val="auto"/>
          <w:sz w:val="28"/>
          <w:szCs w:val="28"/>
          <w:highlight w:val="none"/>
          <w:lang w:eastAsia="zh-CN"/>
        </w:rPr>
        <w:t>招标文件</w:t>
      </w:r>
      <w:r>
        <w:rPr>
          <w:rFonts w:hint="eastAsia" w:ascii="仿宋" w:hAnsi="仿宋" w:eastAsia="仿宋" w:cs="仿宋"/>
          <w:color w:val="auto"/>
          <w:sz w:val="28"/>
          <w:szCs w:val="28"/>
          <w:highlight w:val="none"/>
        </w:rPr>
        <w:t>一并存档。</w:t>
      </w:r>
    </w:p>
    <w:p w14:paraId="3E8A5D2C">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24</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投标文件的初审</w:t>
      </w:r>
    </w:p>
    <w:p w14:paraId="2369A92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资格性审查。在采购项目开标结束后,招标人或者招标代理机构工作人员应当依照有关法律和招标文件的规定对投标人的资格进行审查。合格投标人不足3家的，不得评标。在资格性检查时,如有下列情况之一的，经招标人认定，视为非实质性响应，为</w:t>
      </w:r>
      <w:r>
        <w:rPr>
          <w:rFonts w:hint="eastAsia" w:ascii="仿宋" w:hAnsi="仿宋" w:eastAsia="仿宋" w:cs="仿宋"/>
          <w:b/>
          <w:bCs/>
          <w:color w:val="auto"/>
          <w:sz w:val="28"/>
          <w:szCs w:val="28"/>
          <w:highlight w:val="none"/>
        </w:rPr>
        <w:t>无效投标（响应）</w:t>
      </w:r>
      <w:r>
        <w:rPr>
          <w:rFonts w:hint="eastAsia" w:ascii="仿宋" w:hAnsi="仿宋" w:eastAsia="仿宋" w:cs="仿宋"/>
          <w:color w:val="auto"/>
          <w:sz w:val="28"/>
          <w:szCs w:val="28"/>
          <w:highlight w:val="none"/>
        </w:rPr>
        <w:t>：</w:t>
      </w:r>
    </w:p>
    <w:p w14:paraId="58ADB54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（1）投标文件不完整的；</w:t>
      </w:r>
    </w:p>
    <w:p w14:paraId="3081F62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（2）资质、资格证明文件不完整或不符合招标文件要求或过期失效的；</w:t>
      </w:r>
    </w:p>
    <w:p w14:paraId="2A57352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（3）投标文件未按规定签署及盖章的；</w:t>
      </w:r>
    </w:p>
    <w:p w14:paraId="43AD713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（4）投标人的法定代表人或授权代表不在规定时间内答疑或澄清的；</w:t>
      </w:r>
    </w:p>
    <w:p w14:paraId="234D9A5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（5）与招标人存在利害关系且可能影响招标活动的公正性；</w:t>
      </w:r>
    </w:p>
    <w:p w14:paraId="13E4E9A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（6）与本招标项目的其他投标人为同一个单位负责人；</w:t>
      </w:r>
    </w:p>
    <w:p w14:paraId="00CF8D9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（7）与本招标项目的其他投标人存在控股、管理关系；</w:t>
      </w:r>
    </w:p>
    <w:p w14:paraId="6306A47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（8）为本招标项目提供过设计、编制技术规范和其他文件的咨询服务；</w:t>
      </w:r>
    </w:p>
    <w:p w14:paraId="05DD8DD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（9）为本招标项目的代建人；</w:t>
      </w:r>
    </w:p>
    <w:p w14:paraId="5510DF3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（10）为本招标项目的招标代理机构；</w:t>
      </w:r>
    </w:p>
    <w:p w14:paraId="0B19513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（11）被依法暂停或者取消投标资格；</w:t>
      </w:r>
    </w:p>
    <w:p w14:paraId="2DD6F48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（12）被责令停产停业、暂扣或者吊销许可证、暂扣或者吊销执照；</w:t>
      </w:r>
    </w:p>
    <w:p w14:paraId="3057B0A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（13）进入清算程序，或被宣告破产，或其他丧失履约能力的情形；</w:t>
      </w:r>
    </w:p>
    <w:p w14:paraId="0C08F24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（14）除招标文件规定提交备选投标方案外，同一投标人递交两个以上不同的投标文件或者投标报价的；</w:t>
      </w:r>
    </w:p>
    <w:p w14:paraId="51308715">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（15）评标委员会认为不符合招标文件其他实质性要求或法律规定的；</w:t>
      </w:r>
    </w:p>
    <w:p w14:paraId="22BF2E8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（16）法律法规规定的其他情形。</w:t>
      </w:r>
    </w:p>
    <w:p w14:paraId="1693205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w:t>
      </w:r>
      <w:r>
        <w:rPr>
          <w:rFonts w:hint="eastAsia" w:ascii="仿宋" w:hAnsi="仿宋" w:eastAsia="仿宋" w:cs="仿宋"/>
          <w:b/>
          <w:bCs/>
          <w:color w:val="auto"/>
          <w:sz w:val="28"/>
          <w:szCs w:val="28"/>
          <w:highlight w:val="none"/>
        </w:rPr>
        <w:t>无效投标（响应）</w:t>
      </w:r>
      <w:r>
        <w:rPr>
          <w:rFonts w:hint="eastAsia" w:ascii="仿宋" w:hAnsi="仿宋" w:eastAsia="仿宋" w:cs="仿宋"/>
          <w:color w:val="auto"/>
          <w:sz w:val="28"/>
          <w:szCs w:val="28"/>
          <w:highlight w:val="none"/>
        </w:rPr>
        <w:t>：</w:t>
      </w:r>
    </w:p>
    <w:p w14:paraId="040086D4">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具体内容详见《投标须知》-《实质性条款一览表》中符合性审查条件。</w:t>
      </w:r>
    </w:p>
    <w:p w14:paraId="77469A9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24.3</w:t>
      </w:r>
      <w:r>
        <w:rPr>
          <w:rFonts w:hint="eastAsia" w:ascii="仿宋" w:hAnsi="仿宋" w:eastAsia="仿宋" w:cs="仿宋"/>
          <w:color w:val="auto"/>
          <w:sz w:val="28"/>
          <w:szCs w:val="28"/>
          <w:highlight w:val="none"/>
        </w:rPr>
        <w:t>投标人有下列情形之一的，视为投标人串通投标，其投标无效：</w:t>
      </w:r>
    </w:p>
    <w:p w14:paraId="37924DF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（1）不同投标人的投标文件由同一单位或者个人编制的；</w:t>
      </w:r>
    </w:p>
    <w:p w14:paraId="4743F31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（2）不同投标人使用同一个投标单位或者同一个自然人的IP地址、设备下载招标文件或者制作、上传投标文件的；</w:t>
      </w:r>
    </w:p>
    <w:p w14:paraId="22725DD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（3）不同投标人委托同一单位或者个人办理投标事宜；</w:t>
      </w:r>
    </w:p>
    <w:p w14:paraId="095BFEA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（4）不同投标人的投标文件载明的项目管理成员或者联系人员为同一人；</w:t>
      </w:r>
    </w:p>
    <w:p w14:paraId="4D72E74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（5）不同投标人的投标文件重要内容异常一致、或者投标报价呈现规律性差异；</w:t>
      </w:r>
    </w:p>
    <w:p w14:paraId="74A1E7B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（6）不同投标人编制的投标文件存在两处以上错误一致的；</w:t>
      </w:r>
    </w:p>
    <w:p w14:paraId="68F6032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（7）不同投标人的投标文件相互混装；</w:t>
      </w:r>
    </w:p>
    <w:p w14:paraId="14E547E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（8）不同投标人的投标保证金从同一单位或者个人的账户转出；</w:t>
      </w:r>
    </w:p>
    <w:p w14:paraId="0905FDE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投标截止后投标人不足3家或者通过资格审查或符合性审查的投标人不足3家的，除采购任务取消情形外，按照以下方式处理：</w:t>
      </w:r>
    </w:p>
    <w:p w14:paraId="63C6A34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（1）招标文件存在不合理条款或者招标程序不符合规定的，招标人、招标代理机构改正后依法重新招标；</w:t>
      </w:r>
    </w:p>
    <w:p w14:paraId="00405F0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（2）招标文件没有不合理条款、招标程序符合规定，需要采用其他招标方式招标的，招标人应当依法报主管部门批准。</w:t>
      </w:r>
    </w:p>
    <w:p w14:paraId="7B059333">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25</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投标文件的澄清</w:t>
      </w:r>
    </w:p>
    <w:p w14:paraId="49FEE20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29629A8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40320B7B">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26</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投标文件的评价</w:t>
      </w:r>
    </w:p>
    <w:p w14:paraId="25B4C585">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1评审采用百分制。评标委员会各成员分别独立对实质上响应投标文件的投标人进行逐项评价打分，对评标委员会各成员每一因素的打分汇总后的得分为投标人的得分，汇总得分保留两位小数。</w:t>
      </w:r>
    </w:p>
    <w:p w14:paraId="503C3D8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2评标委员会只对确定为实质响应招标文件要求的投标文件进行评价和比较。必要时需标明评审理由。</w:t>
      </w:r>
    </w:p>
    <w:p w14:paraId="544B8CE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3评标采用综合评分法的，价格分值由评审系统根据投标人上传的《投标（报价）一览表》中的投标报价，依据规定公式自动计算，其结果由评标委员会所有成员签字确认。</w:t>
      </w:r>
    </w:p>
    <w:p w14:paraId="6BCD3FD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招标代理机构工作人员负责复核、统计评标委员会成员的评审情况，发现评审意见有失公正时，提请该评标委员会成员修改评审意见，并形成书面意见备查。</w:t>
      </w:r>
    </w:p>
    <w:p w14:paraId="7EA7C77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4评审时除考虑投标人的报价之外，还将考虑以下因素：</w:t>
      </w:r>
    </w:p>
    <w:p w14:paraId="6C7C526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（1）投标文件的响应状况（包括是否按照招标文件要求制作）；</w:t>
      </w:r>
    </w:p>
    <w:p w14:paraId="4AAFACE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（2）招标文件规定的其它评审因素。</w:t>
      </w:r>
    </w:p>
    <w:p w14:paraId="780DADA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6D17BFC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14:paraId="364B058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70BA1F80">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27</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废标条款</w:t>
      </w:r>
    </w:p>
    <w:p w14:paraId="627A9BD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在招标采购中，出现下列情形之一的，应予废标：</w:t>
      </w:r>
    </w:p>
    <w:p w14:paraId="25B377C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（1）合格的投标人或参加投标的企业不足三家的；</w:t>
      </w:r>
    </w:p>
    <w:p w14:paraId="6BBF644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（2）出现影响招标公正的违法、违规行为的；</w:t>
      </w:r>
    </w:p>
    <w:p w14:paraId="02C5967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（3）投标报价超过招标文件中规定的最高限价，招标人不能支付的；</w:t>
      </w:r>
    </w:p>
    <w:p w14:paraId="43D226A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（4）因重大变故，招标任务取消的。</w:t>
      </w:r>
    </w:p>
    <w:p w14:paraId="0CB3F21B">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rPr>
      </w:pPr>
      <w:bookmarkStart w:id="14" w:name="_Toc21652"/>
      <w:r>
        <w:rPr>
          <w:rFonts w:hint="eastAsia" w:ascii="仿宋" w:hAnsi="仿宋" w:eastAsia="仿宋" w:cs="仿宋"/>
          <w:b/>
          <w:bCs/>
          <w:color w:val="auto"/>
          <w:sz w:val="28"/>
          <w:szCs w:val="28"/>
          <w:highlight w:val="none"/>
        </w:rPr>
        <w:t>六、定标</w:t>
      </w:r>
      <w:bookmarkEnd w:id="14"/>
    </w:p>
    <w:p w14:paraId="6F252AA0">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28</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定标</w:t>
      </w:r>
    </w:p>
    <w:p w14:paraId="538B1FE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1E696B1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2评委会所有成员应当在评标报告上签字确认，评标报告的主要内容包括：</w:t>
      </w:r>
    </w:p>
    <w:p w14:paraId="4C19855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（1）招标公告刊登的媒体名称、开标日期和地点；</w:t>
      </w:r>
    </w:p>
    <w:p w14:paraId="14093F5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（2）投标人名单和评标委员会成员名单；</w:t>
      </w:r>
    </w:p>
    <w:p w14:paraId="31E98E3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（3）评标方法和评标标准；</w:t>
      </w:r>
    </w:p>
    <w:p w14:paraId="1C00652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（4）开标记录和评标情况及说明，包括投标无效投标人名单及原因；</w:t>
      </w:r>
    </w:p>
    <w:p w14:paraId="6005B6B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（5）评标结果，确定的中标候选人名单或者经招标人委托直接确定的中标人；</w:t>
      </w:r>
    </w:p>
    <w:p w14:paraId="57922D1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（6）其他需要说明的情况，包括评标过程中投标人根据评标委员会要求进行澄清、说明或者补正，评标委员会成员的更换等。</w:t>
      </w:r>
    </w:p>
    <w:p w14:paraId="4DE5E3D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由评标委员会直接确定预中标候选人的，招标代理机构自评标结束之日起2个工作日内在指定媒体上公布评标结果；需要招标人确认的，招标代理机构自评标结束之日起2个工作日内，将评标报告送交招标人。招标人应当自收到评标报告之日起5个工作日内在评标报告确定的中标候选人名单中按顺序确定预中标人。</w:t>
      </w:r>
    </w:p>
    <w:p w14:paraId="6CB94DC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4评标结果汇总完成后，除下列情形外，任何人不得修改评标结果：</w:t>
      </w:r>
    </w:p>
    <w:p w14:paraId="216EAE4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（1）分值汇总计算错误的；</w:t>
      </w:r>
    </w:p>
    <w:p w14:paraId="1166809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（2）分项评分超出评分标准范围的；</w:t>
      </w:r>
    </w:p>
    <w:p w14:paraId="2A988AC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（3）评标委员会成员对客观评审因素评分不一致的；</w:t>
      </w:r>
    </w:p>
    <w:p w14:paraId="59E0946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（4）经评标委员会认定评分畸高、畸低的。</w:t>
      </w:r>
    </w:p>
    <w:p w14:paraId="004D9C4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5评标报告签署前，经复核发现存在以上情形之一的，评标委员会应当当场修改评标结果，并在评标报告中记载；评标报告签署后，招标人或招标代理机构发现存在以上情形之一的，应当组织原评标委员会进行重新评审，重新评审改变结果的，书面报告本级主管部门。投标人对本条上述情形提出质疑的，招标人或者招标代理机构可以组织原评标委员会进行重新评审，重新评审改变评标结果的，应当书面报告主管部门。</w:t>
      </w:r>
    </w:p>
    <w:p w14:paraId="60DB60F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6中标人在规定的期限内无正当理由拒绝签订合同，招标人可以按照评审报告推荐的中标候选人名单排序，确定下一候选人为中标人，也可以重新开展招标活动。</w:t>
      </w:r>
    </w:p>
    <w:p w14:paraId="7F0F2A2E">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rPr>
      </w:pPr>
      <w:bookmarkStart w:id="15" w:name="_Toc26058"/>
      <w:r>
        <w:rPr>
          <w:rFonts w:hint="eastAsia" w:ascii="仿宋" w:hAnsi="仿宋" w:eastAsia="仿宋" w:cs="仿宋"/>
          <w:b/>
          <w:bCs/>
          <w:color w:val="auto"/>
          <w:sz w:val="28"/>
          <w:szCs w:val="28"/>
          <w:highlight w:val="none"/>
        </w:rPr>
        <w:t>七、公告</w:t>
      </w:r>
      <w:bookmarkEnd w:id="15"/>
    </w:p>
    <w:p w14:paraId="5F2EF440">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29</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公告</w:t>
      </w:r>
    </w:p>
    <w:p w14:paraId="4DE0CF8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1招标代理机构自中标人确定之日起2个工作日内，在原招标公告发布媒介上发布中标结果。中标公告期限为1个工作日。中标公告应当包括下列内容：</w:t>
      </w:r>
    </w:p>
    <w:p w14:paraId="4B8C00F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（1）招标人、招标代理机构的名称、地址和联系方式；</w:t>
      </w:r>
    </w:p>
    <w:p w14:paraId="7B275D9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（2）项目名称和项目编号；</w:t>
      </w:r>
    </w:p>
    <w:p w14:paraId="1600753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（3）中标人名称和中标金额。</w:t>
      </w:r>
    </w:p>
    <w:p w14:paraId="413F735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中标公告结束且无尚未处理的异议后，招标人和招标代理机构联合向中标人发出中标通知书。对未通过资格审查的投标人，应当告知其未通过的原因；《中标通知书》是合同的组成部分,对中标人和招标人具有同等法律效力。《中标通知书》发出后，招标人不得违法改变中标结果，中标人无正当理由不得放弃中标。</w:t>
      </w:r>
    </w:p>
    <w:p w14:paraId="6E9B579E">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rPr>
      </w:pPr>
      <w:bookmarkStart w:id="16" w:name="_Toc30582"/>
      <w:r>
        <w:rPr>
          <w:rFonts w:hint="eastAsia" w:ascii="仿宋" w:hAnsi="仿宋" w:eastAsia="仿宋" w:cs="仿宋"/>
          <w:b/>
          <w:bCs/>
          <w:color w:val="auto"/>
          <w:sz w:val="28"/>
          <w:szCs w:val="28"/>
          <w:highlight w:val="none"/>
        </w:rPr>
        <w:t>八、质疑</w:t>
      </w:r>
      <w:bookmarkEnd w:id="16"/>
    </w:p>
    <w:p w14:paraId="2E395BBE">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30</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质疑</w:t>
      </w:r>
    </w:p>
    <w:p w14:paraId="6AFE428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bookmarkStart w:id="17" w:name="_Toc2872"/>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依据《威海市市属国有企业阳光采购监督管理办法》规定，投标人认为招标文件、采购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投标人提出的质疑超出招标人对招标代理机构委托授权范围的，招标代理机构应当告知投标人向招标人提出。投标人应按照下列规定进行质疑：</w:t>
      </w:r>
    </w:p>
    <w:p w14:paraId="79BD744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2提出质疑的投标人应当是参与本项目采购活动的投标人。</w:t>
      </w:r>
    </w:p>
    <w:p w14:paraId="1FAFD87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3投标人应在法定质疑期内一次性提出针对同一采购程序环节的质疑。</w:t>
      </w:r>
    </w:p>
    <w:p w14:paraId="7D2D30B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4质疑采用实名制，为了使提出的质疑事项在规定时间内得到有效答复、处理，提交的质疑函务必提供以下内容。</w:t>
      </w:r>
    </w:p>
    <w:p w14:paraId="5DCFEC2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（1）投标人的姓名或名称、地址（邮箱）、邮编、联系人及联系电话；</w:t>
      </w:r>
    </w:p>
    <w:p w14:paraId="400E77A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（2）质疑项目的名称、编号；</w:t>
      </w:r>
    </w:p>
    <w:p w14:paraId="039B018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（3）具体、明确的质疑事项和与质疑事项相关的请求；</w:t>
      </w:r>
    </w:p>
    <w:p w14:paraId="3729141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（4）事实依据；</w:t>
      </w:r>
    </w:p>
    <w:p w14:paraId="3182B25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（5）必要的法律依据；</w:t>
      </w:r>
    </w:p>
    <w:p w14:paraId="3483813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（6）提出质疑的日期。</w:t>
      </w:r>
    </w:p>
    <w:p w14:paraId="2A0CB7A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投标人为自然人的，应当由本人签字；投标人为法人或者其他组织的，应当由法定代表人、单位负责人，或者其被授权人签字或者盖章，并加盖公章。</w:t>
      </w:r>
    </w:p>
    <w:p w14:paraId="5D8BDBB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5招标人或招标代理机构正式受理后方可生效。否则，为无效质疑。</w:t>
      </w:r>
    </w:p>
    <w:p w14:paraId="38DCABD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6有下列情况之一的质疑不予受理：</w:t>
      </w:r>
    </w:p>
    <w:p w14:paraId="28AE466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（1）无质疑函件或质疑函件缺少投标人法人印章、投标人法定代表人签字、有效授权书和联系方式之一的质疑；</w:t>
      </w:r>
    </w:p>
    <w:p w14:paraId="662B733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（2）质疑函件无实质性内容或佐证文件资料，主观臆断及推理得出结论的质疑；</w:t>
      </w:r>
    </w:p>
    <w:p w14:paraId="2EF2672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（3）相应证明材料不真实或来源不合法的质疑；</w:t>
      </w:r>
    </w:p>
    <w:p w14:paraId="21F3088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（4）未按规定时间或超过公示期限提出的质疑；</w:t>
      </w:r>
    </w:p>
    <w:p w14:paraId="56B1AF3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7对捏造事实，提供虚假材料或者以非法手段取得证明材料进行恶意质疑的，一经查实，将列入平台黑名单。</w:t>
      </w:r>
    </w:p>
    <w:p w14:paraId="65112703">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w:t>
      </w:r>
      <w:r>
        <w:rPr>
          <w:rFonts w:hint="eastAsia" w:ascii="仿宋" w:hAnsi="仿宋" w:eastAsia="仿宋" w:cs="仿宋"/>
          <w:b/>
          <w:bCs/>
          <w:color w:val="auto"/>
          <w:sz w:val="28"/>
          <w:szCs w:val="28"/>
          <w:highlight w:val="none"/>
          <w:lang w:val="en-US" w:eastAsia="zh-CN"/>
        </w:rPr>
        <w:t>1</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仲裁或起诉</w:t>
      </w:r>
    </w:p>
    <w:p w14:paraId="3ECC0BC5">
      <w:pPr>
        <w:keepNext w:val="0"/>
        <w:keepLines w:val="0"/>
        <w:pageBreakBefore w:val="0"/>
        <w:kinsoku/>
        <w:overflowPunct/>
        <w:topLinePunct/>
        <w:autoSpaceDE/>
        <w:autoSpaceDN/>
        <w:bidi w:val="0"/>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投标人对答复不满意，或者</w:t>
      </w:r>
      <w:r>
        <w:rPr>
          <w:rFonts w:hint="eastAsia" w:ascii="仿宋" w:hAnsi="仿宋" w:eastAsia="仿宋" w:cs="仿宋"/>
          <w:color w:val="auto"/>
          <w:sz w:val="28"/>
          <w:szCs w:val="28"/>
          <w:highlight w:val="none"/>
          <w:lang w:eastAsia="zh-CN"/>
        </w:rPr>
        <w:t>招标人</w:t>
      </w:r>
      <w:r>
        <w:rPr>
          <w:rFonts w:hint="eastAsia" w:ascii="仿宋" w:hAnsi="仿宋" w:eastAsia="仿宋" w:cs="仿宋"/>
          <w:color w:val="auto"/>
          <w:sz w:val="28"/>
          <w:szCs w:val="28"/>
          <w:highlight w:val="none"/>
        </w:rPr>
        <w:t>、代理机构未在规定的时间内做出书面答复的，投标人可以在答复期满后向</w:t>
      </w:r>
      <w:r>
        <w:rPr>
          <w:rFonts w:hint="eastAsia" w:ascii="仿宋" w:hAnsi="仿宋" w:eastAsia="仿宋" w:cs="仿宋"/>
          <w:color w:val="auto"/>
          <w:sz w:val="28"/>
          <w:szCs w:val="28"/>
          <w:highlight w:val="none"/>
          <w:lang w:eastAsia="zh-CN"/>
        </w:rPr>
        <w:t>招标人</w:t>
      </w:r>
      <w:r>
        <w:rPr>
          <w:rFonts w:hint="eastAsia" w:ascii="仿宋" w:hAnsi="仿宋" w:eastAsia="仿宋" w:cs="仿宋"/>
          <w:color w:val="auto"/>
          <w:sz w:val="28"/>
          <w:szCs w:val="28"/>
          <w:highlight w:val="none"/>
        </w:rPr>
        <w:t>所在地仲裁机构、人民法院申请仲裁或起诉。</w:t>
      </w:r>
    </w:p>
    <w:p w14:paraId="5568C2B4">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九、签订合同</w:t>
      </w:r>
      <w:bookmarkEnd w:id="17"/>
    </w:p>
    <w:p w14:paraId="79985C1A">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w:t>
      </w:r>
      <w:r>
        <w:rPr>
          <w:rFonts w:hint="eastAsia" w:ascii="仿宋" w:hAnsi="仿宋" w:eastAsia="仿宋" w:cs="仿宋"/>
          <w:b/>
          <w:bCs/>
          <w:color w:val="auto"/>
          <w:sz w:val="28"/>
          <w:szCs w:val="28"/>
          <w:highlight w:val="none"/>
          <w:lang w:val="en-US" w:eastAsia="zh-CN"/>
        </w:rPr>
        <w:t>2</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合同的签订</w:t>
      </w:r>
    </w:p>
    <w:p w14:paraId="51A24B0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14:paraId="37709F5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w:t>
      </w:r>
      <w:r>
        <w:rPr>
          <w:rFonts w:hint="eastAsia" w:ascii="仿宋" w:hAnsi="仿宋" w:eastAsia="仿宋" w:cs="仿宋"/>
          <w:color w:val="auto"/>
          <w:sz w:val="28"/>
          <w:szCs w:val="28"/>
          <w:highlight w:val="none"/>
          <w:lang w:val="en-US" w:eastAsia="zh-CN"/>
        </w:rPr>
        <w:t>合同（范本）</w:t>
      </w:r>
      <w:r>
        <w:rPr>
          <w:rFonts w:hint="eastAsia" w:ascii="仿宋" w:hAnsi="仿宋" w:eastAsia="仿宋" w:cs="仿宋"/>
          <w:color w:val="auto"/>
          <w:sz w:val="28"/>
          <w:szCs w:val="28"/>
          <w:highlight w:val="none"/>
        </w:rPr>
        <w:t>为基础，并根据响应、答疑情况进行修改补充，自签订之日起生效。</w:t>
      </w:r>
    </w:p>
    <w:p w14:paraId="777A7C0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3中标人在规定时间内无正当理由拒绝与招标人签订合同的，有效投标人符合法定数量的，招标人可以按照评审报告推荐的中标候选人名单排序，确定下一候选人为中标人，也可以重新开展招标活动。</w:t>
      </w:r>
    </w:p>
    <w:p w14:paraId="2B306CA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4采购合同的履行、违约责任和解决争议的方法适用《中华人民共和国民法典》。</w:t>
      </w:r>
    </w:p>
    <w:p w14:paraId="3BD49EA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sectPr>
          <w:pgSz w:w="11906" w:h="16838"/>
          <w:pgMar w:top="1280" w:right="1142" w:bottom="1118" w:left="1324" w:header="454" w:footer="680" w:gutter="0"/>
          <w:pgNumType w:fmt="decimal"/>
          <w:cols w:space="0" w:num="1"/>
          <w:docGrid w:linePitch="312" w:charSpace="0"/>
        </w:sectPr>
      </w:pPr>
    </w:p>
    <w:p w14:paraId="02A708E6">
      <w:pPr>
        <w:pStyle w:val="24"/>
        <w:keepNext w:val="0"/>
        <w:keepLines w:val="0"/>
        <w:pageBreakBefore w:val="0"/>
        <w:numPr>
          <w:ilvl w:val="0"/>
          <w:numId w:val="0"/>
        </w:numPr>
        <w:kinsoku/>
        <w:overflowPunct/>
        <w:topLinePunct/>
        <w:autoSpaceDE/>
        <w:autoSpaceDN/>
        <w:bidi w:val="0"/>
        <w:spacing w:before="100" w:beforeAutospacing="1" w:after="100" w:afterAutospacing="1" w:line="240" w:lineRule="auto"/>
        <w:ind w:left="1440" w:leftChars="0" w:hanging="1440" w:firstLineChars="0"/>
        <w:jc w:val="center"/>
        <w:textAlignment w:val="auto"/>
        <w:rPr>
          <w:rFonts w:hint="eastAsia" w:ascii="仿宋" w:hAnsi="仿宋" w:eastAsia="仿宋" w:cs="仿宋"/>
          <w:b/>
          <w:bCs/>
          <w:color w:val="auto"/>
          <w:kern w:val="0"/>
          <w:sz w:val="48"/>
          <w:szCs w:val="48"/>
          <w:highlight w:val="none"/>
          <w:lang w:val="en-US" w:eastAsia="zh-CN" w:bidi="ar-SA"/>
        </w:rPr>
      </w:pPr>
      <w:bookmarkStart w:id="18" w:name="_Toc27540"/>
      <w:r>
        <w:rPr>
          <w:rFonts w:hint="eastAsia" w:ascii="仿宋" w:hAnsi="仿宋" w:eastAsia="仿宋" w:cs="仿宋"/>
          <w:b/>
          <w:bCs/>
          <w:color w:val="auto"/>
          <w:kern w:val="0"/>
          <w:sz w:val="48"/>
          <w:szCs w:val="48"/>
          <w:highlight w:val="none"/>
          <w:lang w:val="en-US" w:eastAsia="zh-CN" w:bidi="ar-SA"/>
        </w:rPr>
        <w:t>第三章 采购内容与要求</w:t>
      </w:r>
      <w:bookmarkEnd w:id="18"/>
    </w:p>
    <w:p w14:paraId="7AB55EBF">
      <w:pPr>
        <w:keepNext w:val="0"/>
        <w:keepLines w:val="0"/>
        <w:pageBreakBefore w:val="0"/>
        <w:widowControl/>
        <w:shd w:val="clear" w:color="auto" w:fill="auto"/>
        <w:kinsoku/>
        <w:wordWrap w:val="0"/>
        <w:overflowPunct/>
        <w:topLinePunct/>
        <w:autoSpaceDE/>
        <w:autoSpaceDN/>
        <w:bidi w:val="0"/>
        <w:adjustRightInd w:val="0"/>
        <w:snapToGrid/>
        <w:spacing w:line="520" w:lineRule="exact"/>
        <w:jc w:val="left"/>
        <w:textAlignment w:val="auto"/>
        <w:outlineLvl w:val="1"/>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lang w:val="en-US" w:eastAsia="zh-CN"/>
        </w:rPr>
        <w:t>一、项目名称：</w:t>
      </w:r>
      <w:r>
        <w:rPr>
          <w:rFonts w:hint="eastAsia" w:ascii="仿宋" w:hAnsi="仿宋" w:eastAsia="仿宋" w:cs="仿宋"/>
          <w:color w:val="auto"/>
          <w:sz w:val="28"/>
          <w:szCs w:val="28"/>
          <w:highlight w:val="none"/>
          <w:lang w:eastAsia="zh-CN"/>
        </w:rPr>
        <w:t>选定景区物料供应入围单位</w:t>
      </w:r>
    </w:p>
    <w:p w14:paraId="37598FA9">
      <w:pPr>
        <w:keepNext w:val="0"/>
        <w:keepLines w:val="0"/>
        <w:pageBreakBefore w:val="0"/>
        <w:kinsoku/>
        <w:wordWrap/>
        <w:overflowPunct/>
        <w:topLinePunct/>
        <w:autoSpaceDE/>
        <w:autoSpaceDN/>
        <w:bidi w:val="0"/>
        <w:snapToGrid/>
        <w:spacing w:line="520" w:lineRule="exact"/>
        <w:textAlignment w:val="auto"/>
        <w:outlineLvl w:val="1"/>
        <w:rPr>
          <w:rFonts w:hint="default" w:ascii="仿宋" w:hAnsi="仿宋" w:eastAsia="仿宋" w:cs="仿宋"/>
          <w:b/>
          <w:bCs/>
          <w:color w:val="auto"/>
          <w:sz w:val="28"/>
          <w:szCs w:val="28"/>
          <w:highlight w:val="none"/>
          <w:lang w:val="en-US" w:eastAsia="zh-CN"/>
        </w:rPr>
      </w:pPr>
      <w:bookmarkStart w:id="19" w:name="_Toc21963"/>
      <w:r>
        <w:rPr>
          <w:rFonts w:hint="eastAsia" w:ascii="仿宋" w:hAnsi="仿宋" w:eastAsia="仿宋" w:cs="仿宋"/>
          <w:b/>
          <w:bCs/>
          <w:color w:val="auto"/>
          <w:sz w:val="28"/>
          <w:szCs w:val="28"/>
          <w:highlight w:val="none"/>
          <w:lang w:val="en-US" w:eastAsia="zh-CN"/>
        </w:rPr>
        <w:t>二、</w:t>
      </w:r>
      <w:bookmarkEnd w:id="19"/>
      <w:r>
        <w:rPr>
          <w:rFonts w:hint="eastAsia" w:ascii="仿宋" w:hAnsi="仿宋" w:eastAsia="仿宋" w:cs="仿宋"/>
          <w:b/>
          <w:bCs/>
          <w:color w:val="auto"/>
          <w:sz w:val="28"/>
          <w:szCs w:val="28"/>
          <w:highlight w:val="none"/>
          <w:lang w:val="en-US" w:eastAsia="zh-CN"/>
        </w:rPr>
        <w:t>服务内容</w:t>
      </w:r>
    </w:p>
    <w:p w14:paraId="65BF54CE">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选定2家入围单位，能够根据半月湾景区(包含但不限于环海路、中国油画交易中心等运营项目)日常运营及活动需求，提供各类通用物资、基础物品的供应或租赁服务，并配套仓储管理和紧急补货物流服务。</w:t>
      </w:r>
    </w:p>
    <w:p w14:paraId="362A453E">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三、主要服务范围（包括但不限于）</w:t>
      </w:r>
    </w:p>
    <w:p w14:paraId="588B2D7B">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default"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（一）通用物资类</w:t>
      </w:r>
    </w:p>
    <w:p w14:paraId="5E7AF57E">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1.桌椅类：折叠椅、塑料凳、沙滩椅、长条桌、洽谈桌等。</w:t>
      </w:r>
    </w:p>
    <w:p w14:paraId="10CA16C9">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2.遮阳避雨类：太阳伞、户外遮阳伞、普通帐篷、天幕等。</w:t>
      </w:r>
    </w:p>
    <w:p w14:paraId="1BDAA128">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3.隔离引导类：铁马护栏、隔离栏、移动护栏等。</w:t>
      </w:r>
    </w:p>
    <w:p w14:paraId="7B75330C">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4.其他设备：对讲机、扩音器、移动厕所、风扇、电暖气等。</w:t>
      </w:r>
    </w:p>
    <w:p w14:paraId="19C3CBFC">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default"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（二）基础物品类</w:t>
      </w:r>
    </w:p>
    <w:p w14:paraId="77D593CD">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1.活动消耗品：气球、仿真花、成品灯笼、普通装饰道具等。</w:t>
      </w:r>
    </w:p>
    <w:p w14:paraId="544B98A8">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2.游客服务物资：轮椅、拐杖、婴儿车、雨具、便民药箱等。</w:t>
      </w:r>
    </w:p>
    <w:p w14:paraId="008C9383">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3.运营保障物资（户外用品、体育用品及器材、劳保用品等）、低价引流品（可供售卖的小商品、玩具、纪念品等）、通用互动道具（荧光棒、手拍掌、泡泡机等）。</w:t>
      </w:r>
    </w:p>
    <w:p w14:paraId="0F0B5ADF">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default"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（三）仓储与物流服务</w:t>
      </w:r>
    </w:p>
    <w:p w14:paraId="540D7F58">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1.活动仓储管理：提供符合安全标准的仓库，物资分类存储，防火、防盗、防潮，可适配各类物资存储需求。</w:t>
      </w:r>
    </w:p>
    <w:p w14:paraId="6795D73C">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2.紧急补货：活动期间接到需求后，在规定时间内（如2-4小时）完成物资配送至景区指定地点；</w:t>
      </w:r>
    </w:p>
    <w:p w14:paraId="7CC31B87">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3.物流配送：负责物资的提货运输、现场摆放、回收撤场清运。</w:t>
      </w:r>
    </w:p>
    <w:p w14:paraId="29E584E7">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四、服务要求</w:t>
      </w:r>
    </w:p>
    <w:p w14:paraId="3258DD14">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1.服务单位需按采购单位要求提供样品、按需调整规格、无条件退换不合格产品，并具备7×24小时应急响应能力。</w:t>
      </w:r>
    </w:p>
    <w:p w14:paraId="55B61BDE">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2.服务单位自有或长期租赁仓库，具备分类存储和防雨防潮条件。自有或长期合作运输车辆不少于1辆，能保证紧急配送。</w:t>
      </w:r>
    </w:p>
    <w:p w14:paraId="6E7EA234">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3.服务单位应确保服务质量，如果服务单位因自身原因，影响到提供服务时，应当提前通知采购单位，并提交采购单位认同的解决方案，否则由此而造成的损失由服务单位承担。</w:t>
      </w:r>
    </w:p>
    <w:p w14:paraId="4579F1B0">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4.对不符合采购单位要求的货物，服务单位须无条件进行退换，全部费用均由服务单位承担。</w:t>
      </w:r>
    </w:p>
    <w:p w14:paraId="55C612CE">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5.服务单位提供的货物若存在质量问题造成采购单位、采购单位使用人及相关联第三方人身伤亡或财产损失的，服务单位承担由此产生的全部责任和经济损失。</w:t>
      </w:r>
    </w:p>
    <w:p w14:paraId="54A3AD81">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6.服务单位须保障采购单位及最终用户在使用其货物、服务及其它任何部分不受到第三方关于侵犯专利、商标和设计权等一切可能的知识产权侵权的指控。</w:t>
      </w:r>
    </w:p>
    <w:p w14:paraId="4B3843AC">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7.服务单位必须按照采购单位的要求提供货品，不得随意更换品牌、规格、数量，没有订单的货品，验收人员有权拒绝收货。</w:t>
      </w:r>
    </w:p>
    <w:p w14:paraId="1D2E8FC8">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8.服务单位不得以没有库存不进行报价，应对采购单位需求的货品进行市场询价并报价，若服务单位多次出现货品不全的情况，采购单位有权解除合同。</w:t>
      </w:r>
    </w:p>
    <w:p w14:paraId="04B7E772">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9.服务单位应与采购单位进行账单核对，服务单位应定期对账，对有误差的部分应及时查明并及时处理，若因服务单位原因导致的订单丢失，采购单位未记账等情况，由服务单位承担损失，采购单位不承担责任不对此部分订单进行更改，此部分订单不予付款。</w:t>
      </w:r>
    </w:p>
    <w:p w14:paraId="6C24B71C">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10.采购单位对服务单位采取定期考核制，</w:t>
      </w:r>
      <w:r>
        <w:rPr>
          <w:rFonts w:hint="default" w:ascii="仿宋" w:hAnsi="仿宋" w:eastAsia="仿宋" w:cs="仿宋"/>
          <w:i w:val="0"/>
          <w:iCs w:val="0"/>
          <w:color w:val="auto"/>
          <w:spacing w:val="8"/>
          <w:kern w:val="0"/>
          <w:sz w:val="28"/>
          <w:szCs w:val="28"/>
          <w:highlight w:val="none"/>
          <w:lang w:val="en-US" w:eastAsia="zh-CN"/>
        </w:rPr>
        <w:t>根据服务质量、供货速度等方面对</w:t>
      </w:r>
      <w:r>
        <w:rPr>
          <w:rFonts w:hint="eastAsia" w:ascii="仿宋" w:hAnsi="仿宋" w:eastAsia="仿宋" w:cs="仿宋"/>
          <w:i w:val="0"/>
          <w:iCs w:val="0"/>
          <w:color w:val="auto"/>
          <w:spacing w:val="8"/>
          <w:kern w:val="0"/>
          <w:sz w:val="28"/>
          <w:szCs w:val="28"/>
          <w:highlight w:val="none"/>
          <w:lang w:val="en-US" w:eastAsia="zh-CN"/>
        </w:rPr>
        <w:t>服务</w:t>
      </w:r>
      <w:r>
        <w:rPr>
          <w:rFonts w:hint="default" w:ascii="仿宋" w:hAnsi="仿宋" w:eastAsia="仿宋" w:cs="仿宋"/>
          <w:i w:val="0"/>
          <w:iCs w:val="0"/>
          <w:color w:val="auto"/>
          <w:spacing w:val="8"/>
          <w:kern w:val="0"/>
          <w:sz w:val="28"/>
          <w:szCs w:val="28"/>
          <w:highlight w:val="none"/>
          <w:lang w:val="en-US" w:eastAsia="zh-CN"/>
        </w:rPr>
        <w:t>单位进行考核</w:t>
      </w:r>
      <w:r>
        <w:rPr>
          <w:rFonts w:hint="eastAsia" w:ascii="仿宋" w:hAnsi="仿宋" w:eastAsia="仿宋" w:cs="仿宋"/>
          <w:i w:val="0"/>
          <w:iCs w:val="0"/>
          <w:color w:val="auto"/>
          <w:spacing w:val="8"/>
          <w:kern w:val="0"/>
          <w:sz w:val="28"/>
          <w:szCs w:val="28"/>
          <w:highlight w:val="none"/>
          <w:lang w:val="en-US" w:eastAsia="zh-CN"/>
        </w:rPr>
        <w:t>打分，以季度为周期，考核得分80分以上为合格，对于评分不合格或出现货品质量等问题的服务单位采购单位有权暂停其供货资格及解除合同。给采购单位造成损失或不良影响的，服务单位需予以赔偿或消除影响。</w:t>
      </w:r>
    </w:p>
    <w:p w14:paraId="342001BA">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default"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以上条款服务单位有违约项，采购单位有权对服务单位暂停其供货资格及解除合同，采购单位无需承担任何费用及其他法律责任。</w:t>
      </w:r>
    </w:p>
    <w:p w14:paraId="21A246AA">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五、合作方式与计费说明</w:t>
      </w:r>
    </w:p>
    <w:p w14:paraId="10639E5E">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1.合作方式</w:t>
      </w:r>
      <w:r>
        <w:rPr>
          <w:rFonts w:hint="default" w:ascii="仿宋" w:hAnsi="仿宋" w:eastAsia="仿宋" w:cs="仿宋"/>
          <w:i w:val="0"/>
          <w:iCs w:val="0"/>
          <w:color w:val="auto"/>
          <w:spacing w:val="8"/>
          <w:kern w:val="0"/>
          <w:sz w:val="28"/>
          <w:szCs w:val="28"/>
          <w:highlight w:val="none"/>
          <w:lang w:val="en-US" w:eastAsia="zh-CN"/>
        </w:rPr>
        <w:t>：本次入库仅代表具备合作资格，不承诺具体业务量。</w:t>
      </w:r>
      <w:r>
        <w:rPr>
          <w:rFonts w:hint="eastAsia" w:ascii="仿宋" w:hAnsi="仿宋" w:eastAsia="仿宋" w:cs="仿宋"/>
          <w:i w:val="0"/>
          <w:iCs w:val="0"/>
          <w:color w:val="auto"/>
          <w:spacing w:val="8"/>
          <w:kern w:val="0"/>
          <w:sz w:val="28"/>
          <w:szCs w:val="28"/>
          <w:highlight w:val="none"/>
          <w:lang w:val="en-US" w:eastAsia="zh-CN"/>
        </w:rPr>
        <w:t>费用按实际发生据实结算。配送价格应包含所有费用。</w:t>
      </w:r>
    </w:p>
    <w:p w14:paraId="76F32771">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default"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采购单位将采购需求以采购单的形式发至服务单位，服务单位应2小时内对采购需求进行报价，报价最低的服务单位即为本项需求的供货服务单位。未能对采购需求做到及时响应的行为将列入服务单位考核中，月内超三次次未对需求响应的服务单位，采购单位有权解除合同。</w:t>
      </w:r>
    </w:p>
    <w:p w14:paraId="108E45F1">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default"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2.</w:t>
      </w:r>
      <w:r>
        <w:rPr>
          <w:rFonts w:hint="default" w:ascii="仿宋" w:hAnsi="仿宋" w:eastAsia="仿宋" w:cs="仿宋"/>
          <w:i w:val="0"/>
          <w:iCs w:val="0"/>
          <w:color w:val="auto"/>
          <w:spacing w:val="8"/>
          <w:kern w:val="0"/>
          <w:sz w:val="28"/>
          <w:szCs w:val="28"/>
          <w:highlight w:val="none"/>
          <w:lang w:val="en-US" w:eastAsia="zh-CN"/>
        </w:rPr>
        <w:t>服务期限：</w:t>
      </w:r>
      <w:r>
        <w:rPr>
          <w:rFonts w:hint="eastAsia" w:ascii="仿宋" w:hAnsi="仿宋" w:eastAsia="仿宋" w:cs="仿宋"/>
          <w:i w:val="0"/>
          <w:iCs w:val="0"/>
          <w:color w:val="auto"/>
          <w:spacing w:val="8"/>
          <w:kern w:val="0"/>
          <w:sz w:val="28"/>
          <w:szCs w:val="28"/>
          <w:highlight w:val="none"/>
          <w:lang w:val="en-US" w:eastAsia="zh-CN"/>
        </w:rPr>
        <w:t>自合同签订之日起1年。服务期满后由采购单位根据对服务单位的考核情况决定是否续签服务合同。</w:t>
      </w:r>
    </w:p>
    <w:p w14:paraId="130CCFA7">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3.付款方式：根据具体项目合同约定，通常为验收合格后一次性结算或按批次据实结算。</w:t>
      </w:r>
    </w:p>
    <w:p w14:paraId="42D606AB">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六、选定数量</w:t>
      </w:r>
    </w:p>
    <w:p w14:paraId="64BAFE09">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综合得分由高到低的顺序确定2家为中标服务单位。</w:t>
      </w:r>
    </w:p>
    <w:p w14:paraId="14E7A539">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default"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对于综合得分排序在前的服务单位，采购单位有权在任何时间和情况下对其提供的人员、设备、业绩、证书及办公场所等进行核实检查，核实检查方式包括函证、现场查询等方式，如服务单位提供虚假资料，将取消其中标资格。</w:t>
      </w:r>
    </w:p>
    <w:p w14:paraId="155F35D9">
      <w:pPr>
        <w:pStyle w:val="23"/>
        <w:keepNext w:val="0"/>
        <w:keepLines w:val="0"/>
        <w:pageBreakBefore w:val="0"/>
        <w:kinsoku/>
        <w:overflowPunct/>
        <w:autoSpaceDE/>
        <w:autoSpaceDN/>
        <w:bidi w:val="0"/>
        <w:rPr>
          <w:rFonts w:hint="eastAsia"/>
          <w:lang w:val="en-US" w:eastAsia="zh-CN"/>
        </w:rPr>
      </w:pPr>
    </w:p>
    <w:p w14:paraId="1B6A277C">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sectPr>
          <w:pgSz w:w="11906" w:h="16838"/>
          <w:pgMar w:top="1280" w:right="1142" w:bottom="1118" w:left="1324" w:header="454" w:footer="680" w:gutter="0"/>
          <w:pgNumType w:fmt="decimal"/>
          <w:cols w:space="0" w:num="1"/>
          <w:docGrid w:linePitch="312" w:charSpace="0"/>
        </w:sectPr>
      </w:pPr>
    </w:p>
    <w:p w14:paraId="41FEAD97">
      <w:pPr>
        <w:pStyle w:val="24"/>
        <w:keepNext w:val="0"/>
        <w:keepLines w:val="0"/>
        <w:pageBreakBefore w:val="0"/>
        <w:numPr>
          <w:ilvl w:val="0"/>
          <w:numId w:val="0"/>
        </w:numPr>
        <w:kinsoku/>
        <w:overflowPunct/>
        <w:topLinePunct/>
        <w:autoSpaceDE/>
        <w:autoSpaceDN/>
        <w:bidi w:val="0"/>
        <w:spacing w:before="100" w:beforeAutospacing="1" w:after="100" w:afterAutospacing="1" w:line="240" w:lineRule="auto"/>
        <w:ind w:left="1440" w:leftChars="0" w:hanging="1440" w:firstLineChars="0"/>
        <w:jc w:val="center"/>
        <w:textAlignment w:val="auto"/>
        <w:rPr>
          <w:rFonts w:hint="eastAsia" w:ascii="仿宋" w:hAnsi="仿宋" w:eastAsia="仿宋" w:cs="仿宋"/>
          <w:b/>
          <w:bCs/>
          <w:color w:val="auto"/>
          <w:kern w:val="0"/>
          <w:sz w:val="48"/>
          <w:szCs w:val="48"/>
          <w:highlight w:val="none"/>
          <w:lang w:val="en-US" w:eastAsia="zh-CN" w:bidi="ar-SA"/>
        </w:rPr>
      </w:pPr>
      <w:bookmarkStart w:id="20" w:name="_Toc6837"/>
      <w:r>
        <w:rPr>
          <w:rFonts w:hint="eastAsia" w:ascii="仿宋" w:hAnsi="仿宋" w:eastAsia="仿宋" w:cs="仿宋"/>
          <w:b/>
          <w:bCs/>
          <w:color w:val="auto"/>
          <w:kern w:val="0"/>
          <w:sz w:val="48"/>
          <w:szCs w:val="48"/>
          <w:highlight w:val="none"/>
          <w:lang w:val="en-US" w:eastAsia="zh-CN" w:bidi="ar-SA"/>
        </w:rPr>
        <w:t xml:space="preserve">第四章 </w:t>
      </w:r>
      <w:bookmarkEnd w:id="20"/>
      <w:r>
        <w:rPr>
          <w:rFonts w:hint="eastAsia" w:ascii="仿宋" w:hAnsi="仿宋" w:eastAsia="仿宋" w:cs="仿宋"/>
          <w:b/>
          <w:bCs/>
          <w:color w:val="auto"/>
          <w:kern w:val="0"/>
          <w:sz w:val="48"/>
          <w:szCs w:val="48"/>
          <w:highlight w:val="none"/>
          <w:lang w:val="en-US" w:eastAsia="zh-CN" w:bidi="ar-SA"/>
        </w:rPr>
        <w:t>评标原则、程序与方法</w:t>
      </w:r>
    </w:p>
    <w:p w14:paraId="20C53682">
      <w:pPr>
        <w:keepNext w:val="0"/>
        <w:keepLines w:val="0"/>
        <w:pageBreakBefore w:val="0"/>
        <w:widowControl w:val="0"/>
        <w:kinsoku/>
        <w:wordWrap/>
        <w:overflowPunct/>
        <w:topLinePunct/>
        <w:autoSpaceDE/>
        <w:autoSpaceDN/>
        <w:bidi w:val="0"/>
        <w:adjustRightInd/>
        <w:snapToGrid/>
        <w:spacing w:line="520" w:lineRule="exact"/>
        <w:textAlignment w:val="auto"/>
        <w:outlineLvl w:val="1"/>
        <w:rPr>
          <w:rFonts w:hint="eastAsia" w:ascii="仿宋" w:hAnsi="仿宋" w:eastAsia="仿宋" w:cs="仿宋"/>
          <w:b/>
          <w:bCs/>
          <w:color w:val="auto"/>
          <w:sz w:val="28"/>
          <w:szCs w:val="28"/>
          <w:highlight w:val="none"/>
          <w:lang w:val="en-US" w:eastAsia="zh-CN"/>
        </w:rPr>
      </w:pPr>
      <w:bookmarkStart w:id="21" w:name="_Toc4343"/>
      <w:r>
        <w:rPr>
          <w:rFonts w:hint="eastAsia" w:ascii="仿宋" w:hAnsi="仿宋" w:eastAsia="仿宋" w:cs="仿宋"/>
          <w:b/>
          <w:bCs/>
          <w:color w:val="auto"/>
          <w:sz w:val="28"/>
          <w:szCs w:val="28"/>
          <w:highlight w:val="none"/>
          <w:lang w:val="en-US" w:eastAsia="zh-CN"/>
        </w:rPr>
        <w:t>一、评审原则</w:t>
      </w:r>
      <w:bookmarkEnd w:id="21"/>
    </w:p>
    <w:p w14:paraId="3802AA3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“公平、公正、科学、择优”为本次评标的基本原则，评标委员会将按照这一原则的要求，公正、平等地对待各投标人，同时，在评标时恪守以下原则：</w:t>
      </w:r>
    </w:p>
    <w:p w14:paraId="4536CA0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客观性原则：评标委员会将严格按照招标文件的要求，对投标人的投标文件进行认真评审，评标委员会对投标文件的评审仅依据投标文件本身，而不依靠投标文件以外的任何因素。</w:t>
      </w:r>
    </w:p>
    <w:p w14:paraId="021F84E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统一性原则：评标委员会将按照统一的评标原则和评标方法，采用统一标准进行评标。</w:t>
      </w:r>
    </w:p>
    <w:p w14:paraId="45DD178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独立性原则：评标工作在评标委员会内部独立进行，不受外界任何因素的干扰和影响。</w:t>
      </w:r>
    </w:p>
    <w:p w14:paraId="45A7BA4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保密性原则：评标委员会及熟知情况的有关工作人员必须对每位评委的评标意见和投标人的商业秘密严格保密，不得外泄。</w:t>
      </w:r>
    </w:p>
    <w:p w14:paraId="7078E2F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综合性原则：评标委员会将综合分析、评审投标人的各项指标，而不以单项指标的优劣评定出中标人。</w:t>
      </w:r>
    </w:p>
    <w:p w14:paraId="674E9D6E">
      <w:pPr>
        <w:keepNext w:val="0"/>
        <w:keepLines w:val="0"/>
        <w:pageBreakBefore w:val="0"/>
        <w:widowControl w:val="0"/>
        <w:kinsoku/>
        <w:wordWrap/>
        <w:overflowPunct/>
        <w:topLinePunct/>
        <w:autoSpaceDE/>
        <w:autoSpaceDN/>
        <w:bidi w:val="0"/>
        <w:adjustRightInd/>
        <w:snapToGrid/>
        <w:spacing w:line="520" w:lineRule="exact"/>
        <w:textAlignment w:val="auto"/>
        <w:outlineLvl w:val="1"/>
        <w:rPr>
          <w:rFonts w:hint="eastAsia" w:ascii="仿宋" w:hAnsi="仿宋" w:eastAsia="仿宋" w:cs="仿宋"/>
          <w:b/>
          <w:bCs/>
          <w:color w:val="auto"/>
          <w:sz w:val="28"/>
          <w:szCs w:val="28"/>
          <w:highlight w:val="none"/>
          <w:lang w:val="en-US" w:eastAsia="zh-CN"/>
        </w:rPr>
      </w:pPr>
      <w:bookmarkStart w:id="22" w:name="_Toc12323"/>
      <w:r>
        <w:rPr>
          <w:rFonts w:hint="eastAsia" w:ascii="仿宋" w:hAnsi="仿宋" w:eastAsia="仿宋" w:cs="仿宋"/>
          <w:b/>
          <w:bCs/>
          <w:color w:val="auto"/>
          <w:sz w:val="28"/>
          <w:szCs w:val="28"/>
          <w:highlight w:val="none"/>
          <w:lang w:val="en-US" w:eastAsia="zh-CN"/>
        </w:rPr>
        <w:t>二、评标程序</w:t>
      </w:r>
      <w:bookmarkEnd w:id="22"/>
    </w:p>
    <w:p w14:paraId="4D1E795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评标委员会将按照招标文件的规定对投标文件进行资格性和符合性审查，以确定投标文件的有效性。</w:t>
      </w:r>
    </w:p>
    <w:p w14:paraId="6C87824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出现下列情形之一的，视为对招标文件未做出实质性响应，按照无效投标处理。</w:t>
      </w:r>
    </w:p>
    <w:p w14:paraId="29639DFA">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详见《投标须知前附表》-《实质性条款一览表》中检查条款。</w:t>
      </w:r>
    </w:p>
    <w:p w14:paraId="43098C9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属于无效投标的，投标人不能通过修正或撤消投标文件中不符合之处而成为实质性响应的投标，招标代理机构将通知投标人，并说明无效投标理由；属于有效投标文件的，将进行下一轮次的询标和澄清。</w:t>
      </w:r>
    </w:p>
    <w:p w14:paraId="78186BE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澄清、说明或者补正</w:t>
      </w:r>
    </w:p>
    <w:p w14:paraId="5C5128D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5DDFA2C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(2)投标人依据评审要求进行澄清、说明或者补正的内容构成投标文件的组成部分。</w:t>
      </w:r>
    </w:p>
    <w:p w14:paraId="6B8EB42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比较与评价</w:t>
      </w:r>
    </w:p>
    <w:p w14:paraId="2BA00C0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14:paraId="0A7B32F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出现下列情况之一的，均予以废标</w:t>
      </w:r>
    </w:p>
    <w:p w14:paraId="662E5E8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(1)合格的投标人或参加投标的企业不足三家的； </w:t>
      </w:r>
    </w:p>
    <w:p w14:paraId="7D877E7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(2)出现影响采购公正的违法、违规行为的； </w:t>
      </w:r>
    </w:p>
    <w:p w14:paraId="5EF74C1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(3)投标人的报价均超过了预算上限价格，</w:t>
      </w:r>
      <w:r>
        <w:rPr>
          <w:rFonts w:hint="eastAsia" w:ascii="仿宋" w:hAnsi="仿宋" w:eastAsia="仿宋" w:cs="仿宋"/>
          <w:color w:val="auto"/>
          <w:sz w:val="28"/>
          <w:szCs w:val="28"/>
          <w:highlight w:val="none"/>
          <w:lang w:eastAsia="zh-CN"/>
        </w:rPr>
        <w:t>招标人</w:t>
      </w:r>
      <w:r>
        <w:rPr>
          <w:rFonts w:hint="eastAsia" w:ascii="仿宋" w:hAnsi="仿宋" w:eastAsia="仿宋" w:cs="仿宋"/>
          <w:color w:val="auto"/>
          <w:sz w:val="28"/>
          <w:szCs w:val="28"/>
          <w:highlight w:val="none"/>
        </w:rPr>
        <w:t xml:space="preserve">不能支付的； </w:t>
      </w:r>
    </w:p>
    <w:p w14:paraId="3012315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(4)因重大变故，采购任务取消的。 </w:t>
      </w:r>
    </w:p>
    <w:p w14:paraId="3087EC15">
      <w:pPr>
        <w:keepNext w:val="0"/>
        <w:keepLines w:val="0"/>
        <w:pageBreakBefore w:val="0"/>
        <w:widowControl w:val="0"/>
        <w:kinsoku/>
        <w:wordWrap/>
        <w:overflowPunct/>
        <w:topLinePunct/>
        <w:autoSpaceDE/>
        <w:autoSpaceDN/>
        <w:bidi w:val="0"/>
        <w:adjustRightInd/>
        <w:snapToGrid/>
        <w:spacing w:line="520" w:lineRule="exact"/>
        <w:textAlignment w:val="auto"/>
        <w:outlineLvl w:val="1"/>
        <w:rPr>
          <w:rFonts w:hint="eastAsia" w:ascii="仿宋" w:hAnsi="仿宋" w:eastAsia="仿宋" w:cs="仿宋"/>
          <w:b/>
          <w:bCs/>
          <w:color w:val="auto"/>
          <w:sz w:val="28"/>
          <w:szCs w:val="28"/>
          <w:highlight w:val="none"/>
          <w:lang w:val="en-US" w:eastAsia="zh-CN"/>
        </w:rPr>
      </w:pPr>
      <w:bookmarkStart w:id="23" w:name="_Toc6650"/>
      <w:r>
        <w:rPr>
          <w:rFonts w:hint="eastAsia" w:ascii="仿宋" w:hAnsi="仿宋" w:eastAsia="仿宋" w:cs="仿宋"/>
          <w:b/>
          <w:bCs/>
          <w:color w:val="auto"/>
          <w:sz w:val="28"/>
          <w:szCs w:val="28"/>
          <w:highlight w:val="none"/>
          <w:lang w:val="en-US" w:eastAsia="zh-CN"/>
        </w:rPr>
        <w:t>三、评标方法</w:t>
      </w:r>
      <w:bookmarkEnd w:id="23"/>
    </w:p>
    <w:p w14:paraId="79AA969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(1)评标方法：综合评分法，即投标人的投标文件满足招标文件全部实质性要求，且按评审因素的量化指标评审得分最高的投标人为中标候选人的评审方法。</w:t>
      </w:r>
    </w:p>
    <w:p w14:paraId="501CDC3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(2)评标细则：</w:t>
      </w:r>
    </w:p>
    <w:tbl>
      <w:tblPr>
        <w:tblStyle w:val="26"/>
        <w:tblW w:w="990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6"/>
        <w:gridCol w:w="773"/>
        <w:gridCol w:w="1305"/>
        <w:gridCol w:w="5160"/>
        <w:gridCol w:w="1054"/>
        <w:gridCol w:w="791"/>
      </w:tblGrid>
      <w:tr w14:paraId="1FC301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644" w:hRule="atLeast"/>
          <w:jc w:val="center"/>
        </w:trPr>
        <w:tc>
          <w:tcPr>
            <w:tcW w:w="826" w:type="dxa"/>
            <w:shd w:val="clear" w:color="auto" w:fill="D9D9D9"/>
            <w:vAlign w:val="center"/>
          </w:tcPr>
          <w:p w14:paraId="23B8E03D">
            <w:pPr>
              <w:pStyle w:val="7"/>
              <w:keepNext w:val="0"/>
              <w:keepLines w:val="0"/>
              <w:pageBreakBefore w:val="0"/>
              <w:kinsoku/>
              <w:wordWrap/>
              <w:overflowPunct/>
              <w:topLinePunct/>
              <w:autoSpaceDE/>
              <w:autoSpaceDN/>
              <w:bidi w:val="0"/>
              <w:adjustRightInd/>
              <w:snapToGrid/>
              <w:spacing w:line="500" w:lineRule="exact"/>
              <w:ind w:firstLine="0"/>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编号</w:t>
            </w:r>
          </w:p>
        </w:tc>
        <w:tc>
          <w:tcPr>
            <w:tcW w:w="773" w:type="dxa"/>
            <w:shd w:val="clear" w:color="auto" w:fill="D9D9D9"/>
            <w:vAlign w:val="center"/>
          </w:tcPr>
          <w:p w14:paraId="5ABE94B2">
            <w:pPr>
              <w:pStyle w:val="7"/>
              <w:keepNext w:val="0"/>
              <w:keepLines w:val="0"/>
              <w:pageBreakBefore w:val="0"/>
              <w:kinsoku/>
              <w:wordWrap/>
              <w:overflowPunct/>
              <w:topLinePunct/>
              <w:autoSpaceDE/>
              <w:autoSpaceDN/>
              <w:bidi w:val="0"/>
              <w:adjustRightInd/>
              <w:snapToGrid/>
              <w:spacing w:line="500" w:lineRule="exact"/>
              <w:ind w:firstLine="0"/>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类型</w:t>
            </w:r>
          </w:p>
        </w:tc>
        <w:tc>
          <w:tcPr>
            <w:tcW w:w="1305" w:type="dxa"/>
            <w:shd w:val="clear" w:color="auto" w:fill="D9D9D9"/>
            <w:vAlign w:val="center"/>
          </w:tcPr>
          <w:p w14:paraId="58278073">
            <w:pPr>
              <w:pStyle w:val="7"/>
              <w:keepNext w:val="0"/>
              <w:keepLines w:val="0"/>
              <w:pageBreakBefore w:val="0"/>
              <w:kinsoku/>
              <w:wordWrap/>
              <w:overflowPunct/>
              <w:topLinePunct/>
              <w:autoSpaceDE/>
              <w:autoSpaceDN/>
              <w:bidi w:val="0"/>
              <w:adjustRightInd/>
              <w:snapToGrid/>
              <w:spacing w:line="500" w:lineRule="exact"/>
              <w:ind w:firstLine="0"/>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评分标题</w:t>
            </w:r>
          </w:p>
        </w:tc>
        <w:tc>
          <w:tcPr>
            <w:tcW w:w="5160" w:type="dxa"/>
            <w:shd w:val="clear" w:color="auto" w:fill="D9D9D9"/>
            <w:vAlign w:val="center"/>
          </w:tcPr>
          <w:p w14:paraId="72B71150">
            <w:pPr>
              <w:pStyle w:val="7"/>
              <w:keepNext w:val="0"/>
              <w:keepLines w:val="0"/>
              <w:pageBreakBefore w:val="0"/>
              <w:kinsoku/>
              <w:wordWrap/>
              <w:overflowPunct/>
              <w:topLinePunct/>
              <w:autoSpaceDE/>
              <w:autoSpaceDN/>
              <w:bidi w:val="0"/>
              <w:adjustRightInd/>
              <w:snapToGrid/>
              <w:spacing w:line="500" w:lineRule="exact"/>
              <w:ind w:firstLine="0"/>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评分标准</w:t>
            </w:r>
          </w:p>
        </w:tc>
        <w:tc>
          <w:tcPr>
            <w:tcW w:w="1054" w:type="dxa"/>
            <w:shd w:val="clear" w:color="auto" w:fill="D9D9D9"/>
            <w:vAlign w:val="center"/>
          </w:tcPr>
          <w:p w14:paraId="6058040A">
            <w:pPr>
              <w:pStyle w:val="7"/>
              <w:keepNext w:val="0"/>
              <w:keepLines w:val="0"/>
              <w:pageBreakBefore w:val="0"/>
              <w:kinsoku/>
              <w:wordWrap/>
              <w:overflowPunct/>
              <w:topLinePunct/>
              <w:autoSpaceDE/>
              <w:autoSpaceDN/>
              <w:bidi w:val="0"/>
              <w:adjustRightInd/>
              <w:snapToGrid/>
              <w:spacing w:line="500" w:lineRule="exact"/>
              <w:ind w:firstLine="0"/>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性质</w:t>
            </w:r>
          </w:p>
        </w:tc>
        <w:tc>
          <w:tcPr>
            <w:tcW w:w="791" w:type="dxa"/>
            <w:shd w:val="clear" w:color="auto" w:fill="D9D9D9"/>
            <w:vAlign w:val="center"/>
          </w:tcPr>
          <w:p w14:paraId="32C10458">
            <w:pPr>
              <w:pStyle w:val="7"/>
              <w:keepNext w:val="0"/>
              <w:keepLines w:val="0"/>
              <w:pageBreakBefore w:val="0"/>
              <w:kinsoku/>
              <w:wordWrap/>
              <w:overflowPunct/>
              <w:topLinePunct/>
              <w:autoSpaceDE/>
              <w:autoSpaceDN/>
              <w:bidi w:val="0"/>
              <w:adjustRightInd/>
              <w:snapToGrid/>
              <w:spacing w:line="500" w:lineRule="exact"/>
              <w:ind w:firstLine="0"/>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分数</w:t>
            </w:r>
          </w:p>
        </w:tc>
      </w:tr>
      <w:tr w14:paraId="06A2D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auto"/>
            <w:vAlign w:val="center"/>
          </w:tcPr>
          <w:p w14:paraId="57234289">
            <w:pPr>
              <w:keepNext w:val="0"/>
              <w:keepLines w:val="0"/>
              <w:pageBreakBefore w:val="0"/>
              <w:widowControl w:val="0"/>
              <w:kinsoku/>
              <w:wordWrap/>
              <w:overflowPunct/>
              <w:topLinePunct/>
              <w:autoSpaceDE/>
              <w:autoSpaceDN/>
              <w:bidi w:val="0"/>
              <w:adjustRightInd/>
              <w:snapToGrid/>
              <w:spacing w:line="500" w:lineRule="exact"/>
              <w:ind w:left="0" w:leftChars="0" w:right="0" w:rightChars="0"/>
              <w:jc w:val="center"/>
              <w:textAlignment w:val="auto"/>
              <w:rPr>
                <w:rFonts w:hint="default" w:ascii="仿宋" w:hAnsi="仿宋" w:eastAsia="仿宋" w:cs="仿宋"/>
                <w:color w:val="auto"/>
                <w:spacing w:val="-10"/>
                <w:kern w:val="2"/>
                <w:position w:val="-4"/>
                <w:sz w:val="28"/>
                <w:szCs w:val="28"/>
                <w:highlight w:val="none"/>
                <w:lang w:val="en-US" w:eastAsia="zh-CN" w:bidi="ar-SA"/>
              </w:rPr>
            </w:pPr>
            <w:r>
              <w:rPr>
                <w:rFonts w:hint="eastAsia" w:ascii="仿宋" w:hAnsi="仿宋" w:eastAsia="仿宋" w:cs="仿宋"/>
                <w:color w:val="auto"/>
                <w:spacing w:val="-10"/>
                <w:position w:val="-4"/>
                <w:sz w:val="28"/>
                <w:szCs w:val="28"/>
                <w:highlight w:val="none"/>
                <w:lang w:val="en-US" w:eastAsia="zh-CN"/>
              </w:rPr>
              <w:t>1.01</w:t>
            </w:r>
          </w:p>
        </w:tc>
        <w:tc>
          <w:tcPr>
            <w:tcW w:w="773" w:type="dxa"/>
            <w:shd w:val="clear" w:color="auto" w:fill="auto"/>
            <w:vAlign w:val="center"/>
          </w:tcPr>
          <w:p w14:paraId="1047D0F9">
            <w:pPr>
              <w:keepNext w:val="0"/>
              <w:keepLines w:val="0"/>
              <w:pageBreakBefore w:val="0"/>
              <w:widowControl w:val="0"/>
              <w:kinsoku/>
              <w:wordWrap/>
              <w:overflowPunct/>
              <w:topLinePunct/>
              <w:autoSpaceDE/>
              <w:autoSpaceDN/>
              <w:bidi w:val="0"/>
              <w:adjustRightInd/>
              <w:snapToGrid/>
              <w:spacing w:line="500" w:lineRule="exact"/>
              <w:ind w:left="0" w:leftChars="0" w:right="0" w:rightChars="0"/>
              <w:jc w:val="center"/>
              <w:textAlignment w:val="auto"/>
              <w:rPr>
                <w:rFonts w:hint="eastAsia" w:ascii="仿宋" w:hAnsi="仿宋" w:eastAsia="仿宋" w:cs="仿宋"/>
                <w:color w:val="auto"/>
                <w:spacing w:val="-10"/>
                <w:kern w:val="2"/>
                <w:position w:val="-4"/>
                <w:sz w:val="28"/>
                <w:szCs w:val="28"/>
                <w:highlight w:val="none"/>
                <w:lang w:val="en-US" w:eastAsia="zh-CN" w:bidi="ar-SA"/>
              </w:rPr>
            </w:pPr>
            <w:r>
              <w:rPr>
                <w:rFonts w:hint="eastAsia" w:ascii="仿宋" w:hAnsi="仿宋" w:eastAsia="仿宋" w:cs="仿宋"/>
                <w:color w:val="auto"/>
                <w:sz w:val="28"/>
                <w:szCs w:val="28"/>
                <w:highlight w:val="none"/>
              </w:rPr>
              <w:t>商务</w:t>
            </w:r>
          </w:p>
        </w:tc>
        <w:tc>
          <w:tcPr>
            <w:tcW w:w="1305" w:type="dxa"/>
            <w:shd w:val="clear" w:color="auto" w:fill="auto"/>
            <w:vAlign w:val="center"/>
          </w:tcPr>
          <w:p w14:paraId="4BA63C6C">
            <w:pPr>
              <w:pStyle w:val="7"/>
              <w:keepNext w:val="0"/>
              <w:keepLines w:val="0"/>
              <w:pageBreakBefore w:val="0"/>
              <w:kinsoku/>
              <w:wordWrap/>
              <w:overflowPunct/>
              <w:topLinePunct/>
              <w:autoSpaceDE/>
              <w:autoSpaceDN/>
              <w:bidi w:val="0"/>
              <w:adjustRightInd/>
              <w:snapToGrid/>
              <w:spacing w:line="500" w:lineRule="exact"/>
              <w:ind w:left="0" w:leftChars="0" w:firstLine="0"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企业</w:t>
            </w:r>
            <w:r>
              <w:rPr>
                <w:rFonts w:hint="eastAsia" w:ascii="仿宋" w:hAnsi="仿宋" w:eastAsia="仿宋" w:cs="仿宋"/>
                <w:color w:val="auto"/>
                <w:sz w:val="28"/>
                <w:szCs w:val="28"/>
                <w:highlight w:val="none"/>
              </w:rPr>
              <w:t>业绩</w:t>
            </w:r>
          </w:p>
        </w:tc>
        <w:tc>
          <w:tcPr>
            <w:tcW w:w="5160" w:type="dxa"/>
            <w:shd w:val="clear" w:color="auto" w:fill="auto"/>
            <w:vAlign w:val="center"/>
          </w:tcPr>
          <w:p w14:paraId="42D26269">
            <w:pPr>
              <w:pStyle w:val="7"/>
              <w:keepNext w:val="0"/>
              <w:keepLines w:val="0"/>
              <w:pageBreakBefore w:val="0"/>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投标人自202</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年1月1日(以合同签订日期为准)至今</w:t>
            </w:r>
            <w:r>
              <w:rPr>
                <w:rFonts w:hint="eastAsia" w:ascii="仿宋" w:hAnsi="仿宋" w:eastAsia="仿宋" w:cs="仿宋"/>
                <w:color w:val="auto"/>
                <w:sz w:val="28"/>
                <w:szCs w:val="28"/>
                <w:highlight w:val="none"/>
                <w:lang w:val="en-US" w:eastAsia="zh-CN"/>
              </w:rPr>
              <w:t>承揽的</w:t>
            </w:r>
            <w:r>
              <w:rPr>
                <w:rFonts w:hint="eastAsia" w:ascii="仿宋" w:hAnsi="仿宋" w:eastAsia="仿宋" w:cs="仿宋"/>
                <w:color w:val="auto"/>
                <w:sz w:val="28"/>
                <w:szCs w:val="28"/>
                <w:highlight w:val="none"/>
              </w:rPr>
              <w:t>同类</w:t>
            </w:r>
            <w:r>
              <w:rPr>
                <w:rFonts w:hint="eastAsia" w:ascii="仿宋" w:hAnsi="仿宋" w:eastAsia="仿宋" w:cs="仿宋"/>
                <w:color w:val="auto"/>
                <w:sz w:val="28"/>
                <w:szCs w:val="28"/>
                <w:highlight w:val="none"/>
                <w:lang w:val="en-US" w:eastAsia="zh-CN"/>
              </w:rPr>
              <w:t>供货服务</w:t>
            </w:r>
            <w:r>
              <w:rPr>
                <w:rFonts w:hint="eastAsia" w:ascii="仿宋" w:hAnsi="仿宋" w:eastAsia="仿宋" w:cs="仿宋"/>
                <w:color w:val="auto"/>
                <w:sz w:val="28"/>
                <w:szCs w:val="28"/>
                <w:highlight w:val="none"/>
              </w:rPr>
              <w:t>项目</w:t>
            </w:r>
            <w:r>
              <w:rPr>
                <w:rFonts w:hint="eastAsia" w:ascii="仿宋" w:hAnsi="仿宋" w:eastAsia="仿宋" w:cs="仿宋"/>
                <w:color w:val="auto"/>
                <w:sz w:val="28"/>
                <w:szCs w:val="28"/>
                <w:highlight w:val="none"/>
                <w:lang w:val="en-US" w:eastAsia="zh-CN"/>
              </w:rPr>
              <w:t>业绩</w:t>
            </w:r>
            <w:r>
              <w:rPr>
                <w:rFonts w:hint="eastAsia" w:ascii="仿宋" w:hAnsi="仿宋" w:eastAsia="仿宋" w:cs="仿宋"/>
                <w:color w:val="auto"/>
                <w:sz w:val="28"/>
                <w:szCs w:val="28"/>
                <w:highlight w:val="none"/>
              </w:rPr>
              <w:t>，每有一个得</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分，最高得</w:t>
            </w: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分。</w:t>
            </w:r>
          </w:p>
          <w:p w14:paraId="0D6C0FCB">
            <w:pPr>
              <w:pStyle w:val="7"/>
              <w:keepNext w:val="0"/>
              <w:keepLines w:val="0"/>
              <w:pageBreakBefore w:val="0"/>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注：投标文件中附</w:t>
            </w:r>
            <w:r>
              <w:rPr>
                <w:rFonts w:hint="eastAsia" w:ascii="仿宋" w:hAnsi="仿宋" w:eastAsia="仿宋" w:cs="仿宋"/>
                <w:color w:val="auto"/>
                <w:sz w:val="28"/>
                <w:szCs w:val="28"/>
                <w:highlight w:val="none"/>
                <w:lang w:val="en-US" w:eastAsia="zh-CN"/>
              </w:rPr>
              <w:t>有效</w:t>
            </w:r>
            <w:r>
              <w:rPr>
                <w:rFonts w:hint="eastAsia" w:ascii="仿宋" w:hAnsi="仿宋" w:eastAsia="仿宋" w:cs="仿宋"/>
                <w:color w:val="auto"/>
                <w:sz w:val="28"/>
                <w:szCs w:val="28"/>
                <w:highlight w:val="none"/>
              </w:rPr>
              <w:t>合同</w:t>
            </w:r>
            <w:r>
              <w:rPr>
                <w:rFonts w:hint="eastAsia" w:ascii="仿宋" w:hAnsi="仿宋" w:eastAsia="仿宋" w:cs="仿宋"/>
                <w:color w:val="auto"/>
                <w:sz w:val="28"/>
                <w:szCs w:val="28"/>
                <w:highlight w:val="none"/>
                <w:lang w:val="en-US" w:eastAsia="zh-CN"/>
              </w:rPr>
              <w:t>扫描件</w:t>
            </w:r>
            <w:r>
              <w:rPr>
                <w:rFonts w:hint="eastAsia" w:ascii="仿宋" w:hAnsi="仿宋" w:eastAsia="仿宋" w:cs="仿宋"/>
                <w:color w:val="auto"/>
                <w:sz w:val="28"/>
                <w:szCs w:val="28"/>
                <w:highlight w:val="none"/>
              </w:rPr>
              <w:t>，合同需清晰体现仓储、物流配送服务内容，仅框架协议、无金额无服务内容的合同不予计分</w:t>
            </w:r>
            <w:r>
              <w:rPr>
                <w:rFonts w:hint="eastAsia" w:ascii="仿宋" w:hAnsi="仿宋" w:eastAsia="仿宋" w:cs="仿宋"/>
                <w:color w:val="auto"/>
                <w:sz w:val="28"/>
                <w:szCs w:val="28"/>
                <w:highlight w:val="none"/>
                <w:lang w:eastAsia="zh-CN"/>
              </w:rPr>
              <w:t>，提供对应项目验收单、履约发票、现场实施照片任一佐证材料，仅提供合同无任何履约佐证的，业绩不予计分。</w:t>
            </w:r>
          </w:p>
        </w:tc>
        <w:tc>
          <w:tcPr>
            <w:tcW w:w="1054" w:type="dxa"/>
            <w:shd w:val="clear" w:color="auto" w:fill="auto"/>
            <w:vAlign w:val="center"/>
          </w:tcPr>
          <w:p w14:paraId="6379F29D">
            <w:pPr>
              <w:pStyle w:val="7"/>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客观分</w:t>
            </w:r>
          </w:p>
        </w:tc>
        <w:tc>
          <w:tcPr>
            <w:tcW w:w="791" w:type="dxa"/>
            <w:shd w:val="clear" w:color="auto" w:fill="auto"/>
            <w:vAlign w:val="center"/>
          </w:tcPr>
          <w:p w14:paraId="63C3CDE0">
            <w:pPr>
              <w:pStyle w:val="7"/>
              <w:keepNext w:val="0"/>
              <w:keepLines w:val="0"/>
              <w:pageBreakBefore w:val="0"/>
              <w:kinsoku/>
              <w:wordWrap/>
              <w:overflowPunct/>
              <w:topLinePunct/>
              <w:autoSpaceDE/>
              <w:autoSpaceDN/>
              <w:bidi w:val="0"/>
              <w:adjustRightInd/>
              <w:snapToGrid/>
              <w:spacing w:line="500" w:lineRule="exact"/>
              <w:ind w:left="0" w:leftChars="0" w:firstLine="0" w:firstLineChars="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p>
        </w:tc>
      </w:tr>
      <w:tr w14:paraId="540224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auto"/>
            <w:vAlign w:val="center"/>
          </w:tcPr>
          <w:p w14:paraId="3477F62F">
            <w:pPr>
              <w:keepNext w:val="0"/>
              <w:keepLines w:val="0"/>
              <w:pageBreakBefore w:val="0"/>
              <w:widowControl w:val="0"/>
              <w:kinsoku/>
              <w:wordWrap/>
              <w:overflowPunct/>
              <w:topLinePunct/>
              <w:autoSpaceDE/>
              <w:autoSpaceDN/>
              <w:bidi w:val="0"/>
              <w:adjustRightInd/>
              <w:snapToGrid/>
              <w:spacing w:line="500" w:lineRule="exact"/>
              <w:ind w:left="0" w:leftChars="0" w:right="0" w:rightChars="0"/>
              <w:jc w:val="center"/>
              <w:textAlignment w:val="auto"/>
              <w:rPr>
                <w:rFonts w:hint="default" w:ascii="仿宋" w:hAnsi="仿宋" w:eastAsia="仿宋" w:cs="仿宋"/>
                <w:color w:val="auto"/>
                <w:spacing w:val="-10"/>
                <w:position w:val="-4"/>
                <w:sz w:val="28"/>
                <w:szCs w:val="28"/>
                <w:highlight w:val="none"/>
                <w:lang w:val="en-US" w:eastAsia="zh-CN"/>
              </w:rPr>
            </w:pPr>
            <w:r>
              <w:rPr>
                <w:rFonts w:hint="eastAsia" w:ascii="仿宋" w:hAnsi="仿宋" w:eastAsia="仿宋" w:cs="仿宋"/>
                <w:color w:val="auto"/>
                <w:spacing w:val="-10"/>
                <w:position w:val="-4"/>
                <w:sz w:val="28"/>
                <w:szCs w:val="28"/>
                <w:highlight w:val="none"/>
                <w:lang w:val="en-US" w:eastAsia="zh-CN"/>
              </w:rPr>
              <w:t>1.02</w:t>
            </w:r>
          </w:p>
        </w:tc>
        <w:tc>
          <w:tcPr>
            <w:tcW w:w="773" w:type="dxa"/>
            <w:shd w:val="clear" w:color="auto" w:fill="auto"/>
            <w:vAlign w:val="center"/>
          </w:tcPr>
          <w:p w14:paraId="59E83AEF">
            <w:pPr>
              <w:keepNext w:val="0"/>
              <w:keepLines w:val="0"/>
              <w:pageBreakBefore w:val="0"/>
              <w:widowControl w:val="0"/>
              <w:kinsoku/>
              <w:wordWrap/>
              <w:overflowPunct/>
              <w:topLinePunct/>
              <w:autoSpaceDE/>
              <w:autoSpaceDN/>
              <w:bidi w:val="0"/>
              <w:adjustRightInd/>
              <w:snapToGrid/>
              <w:spacing w:line="500" w:lineRule="exact"/>
              <w:ind w:left="0" w:leftChars="0" w:right="0" w:right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商务</w:t>
            </w:r>
          </w:p>
        </w:tc>
        <w:tc>
          <w:tcPr>
            <w:tcW w:w="1305" w:type="dxa"/>
            <w:shd w:val="clear" w:color="auto" w:fill="auto"/>
            <w:vAlign w:val="center"/>
          </w:tcPr>
          <w:p w14:paraId="5F5ADC89">
            <w:pPr>
              <w:pStyle w:val="7"/>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用户满意度评价</w:t>
            </w:r>
          </w:p>
        </w:tc>
        <w:tc>
          <w:tcPr>
            <w:tcW w:w="5160" w:type="dxa"/>
            <w:shd w:val="clear" w:color="auto" w:fill="auto"/>
            <w:vAlign w:val="center"/>
          </w:tcPr>
          <w:p w14:paraId="7F0161ED">
            <w:pPr>
              <w:pStyle w:val="7"/>
              <w:keepNext w:val="0"/>
              <w:keepLines w:val="0"/>
              <w:pageBreakBefore w:val="0"/>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投标人提供符合上述要求的202</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年1月1日至今的同类项目经验的用户单位出具的满意度评价，评价情况至少须为“满意或类似好评”的方可计分：每提供一项得</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分，最高</w:t>
            </w: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分。</w:t>
            </w:r>
          </w:p>
          <w:p w14:paraId="51E37340">
            <w:pPr>
              <w:pStyle w:val="7"/>
              <w:keepNext w:val="0"/>
              <w:keepLines w:val="0"/>
              <w:pageBreakBefore w:val="0"/>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注：①同一客户或同一项目提供多项用户满意度评价的，按一项计算；②须与投标人上述提供的202</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年1月1日至今的同类项目经验的用户单位一致；③用户满意度评价须经用户单位或用户管理部门盖章，评价情况至少须为满意或类似好评的方可计分</w:t>
            </w:r>
            <w:r>
              <w:rPr>
                <w:rFonts w:hint="eastAsia" w:ascii="仿宋" w:hAnsi="仿宋" w:eastAsia="仿宋" w:cs="仿宋"/>
                <w:color w:val="auto"/>
                <w:sz w:val="28"/>
                <w:szCs w:val="28"/>
                <w:highlight w:val="none"/>
                <w:lang w:eastAsia="zh-CN"/>
              </w:rPr>
              <w:t>。</w:t>
            </w:r>
          </w:p>
        </w:tc>
        <w:tc>
          <w:tcPr>
            <w:tcW w:w="1054" w:type="dxa"/>
            <w:shd w:val="clear" w:color="auto" w:fill="auto"/>
            <w:vAlign w:val="center"/>
          </w:tcPr>
          <w:p w14:paraId="39594BA8">
            <w:pPr>
              <w:pStyle w:val="7"/>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客观分</w:t>
            </w:r>
          </w:p>
        </w:tc>
        <w:tc>
          <w:tcPr>
            <w:tcW w:w="791" w:type="dxa"/>
            <w:shd w:val="clear" w:color="auto" w:fill="auto"/>
            <w:vAlign w:val="center"/>
          </w:tcPr>
          <w:p w14:paraId="5F3FD835">
            <w:pPr>
              <w:pStyle w:val="7"/>
              <w:keepNext w:val="0"/>
              <w:keepLines w:val="0"/>
              <w:pageBreakBefore w:val="0"/>
              <w:kinsoku/>
              <w:wordWrap/>
              <w:overflowPunct/>
              <w:topLinePunct/>
              <w:autoSpaceDE/>
              <w:autoSpaceDN/>
              <w:bidi w:val="0"/>
              <w:adjustRightInd/>
              <w:snapToGrid/>
              <w:spacing w:line="500" w:lineRule="exact"/>
              <w:ind w:left="0" w:leftChars="0" w:firstLine="0" w:firstLineChars="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p>
        </w:tc>
      </w:tr>
      <w:tr w14:paraId="5D2C12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auto"/>
            <w:vAlign w:val="center"/>
          </w:tcPr>
          <w:p w14:paraId="2BCF48C2">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default"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03</w:t>
            </w:r>
          </w:p>
        </w:tc>
        <w:tc>
          <w:tcPr>
            <w:tcW w:w="773" w:type="dxa"/>
            <w:shd w:val="clear" w:color="auto" w:fill="auto"/>
            <w:vAlign w:val="center"/>
          </w:tcPr>
          <w:p w14:paraId="0B87BA30">
            <w:pPr>
              <w:pStyle w:val="7"/>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技术</w:t>
            </w:r>
          </w:p>
        </w:tc>
        <w:tc>
          <w:tcPr>
            <w:tcW w:w="1305" w:type="dxa"/>
            <w:shd w:val="clear" w:color="auto" w:fill="auto"/>
            <w:vAlign w:val="center"/>
          </w:tcPr>
          <w:p w14:paraId="02915499">
            <w:pPr>
              <w:pStyle w:val="7"/>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对本项目的认识、服务定位及重点难点分析</w:t>
            </w:r>
          </w:p>
        </w:tc>
        <w:tc>
          <w:tcPr>
            <w:tcW w:w="5160" w:type="dxa"/>
            <w:shd w:val="clear" w:color="auto" w:fill="auto"/>
            <w:vAlign w:val="center"/>
          </w:tcPr>
          <w:p w14:paraId="557F5845">
            <w:pPr>
              <w:pStyle w:val="7"/>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对投标人从服务好采购人角度出发对本项目的整体统筹规划、认识、定位情况、重点难点分析进行综合评价：</w:t>
            </w:r>
          </w:p>
          <w:p w14:paraId="4503AC42">
            <w:pPr>
              <w:pStyle w:val="7"/>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对项目的整体统筹规划详实、完善，认识深刻，服务定位恰当，针对性强，重点难点分析准确、充分、切中要害，并提出了切实可行的措施，完全满足服务需求，得10分，每有一处内容表述不完善或有瑕疵的扣2分，表述缺项的不得分。</w:t>
            </w:r>
          </w:p>
          <w:p w14:paraId="080DC5A2">
            <w:pPr>
              <w:pStyle w:val="7"/>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注：本项所称“不完善或有瑕疵”是指：内容不完整或缺少关键点；非专门针对本项目或不适用本项目特性、套用其他项目内容；对同一问题前后表述矛盾、存在逻辑漏洞、科学原理或常识错误；不利于本项目目标的实现、现有条件下不可行等任意一种情形。</w:t>
            </w:r>
          </w:p>
        </w:tc>
        <w:tc>
          <w:tcPr>
            <w:tcW w:w="1054" w:type="dxa"/>
            <w:shd w:val="clear" w:color="auto" w:fill="auto"/>
            <w:vAlign w:val="center"/>
          </w:tcPr>
          <w:p w14:paraId="559F70CB">
            <w:pPr>
              <w:pStyle w:val="7"/>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主观分</w:t>
            </w:r>
          </w:p>
        </w:tc>
        <w:tc>
          <w:tcPr>
            <w:tcW w:w="791" w:type="dxa"/>
            <w:shd w:val="clear" w:color="auto" w:fill="auto"/>
            <w:vAlign w:val="center"/>
          </w:tcPr>
          <w:p w14:paraId="7E40E980">
            <w:pPr>
              <w:pStyle w:val="7"/>
              <w:keepNext w:val="0"/>
              <w:keepLines w:val="0"/>
              <w:pageBreakBefore w:val="0"/>
              <w:kinsoku/>
              <w:wordWrap/>
              <w:overflowPunct/>
              <w:topLinePunct/>
              <w:autoSpaceDE/>
              <w:autoSpaceDN/>
              <w:bidi w:val="0"/>
              <w:adjustRightInd/>
              <w:snapToGrid/>
              <w:spacing w:line="500" w:lineRule="exact"/>
              <w:ind w:left="0" w:leftChars="0" w:firstLine="0" w:firstLineChars="0"/>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10.0</w:t>
            </w:r>
          </w:p>
        </w:tc>
      </w:tr>
      <w:tr w14:paraId="685820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auto"/>
            <w:vAlign w:val="center"/>
          </w:tcPr>
          <w:p w14:paraId="57754878">
            <w:pPr>
              <w:pStyle w:val="7"/>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r>
              <w:rPr>
                <w:rFonts w:hint="eastAsia" w:ascii="仿宋" w:hAnsi="仿宋" w:eastAsia="仿宋" w:cs="仿宋"/>
                <w:color w:val="auto"/>
                <w:sz w:val="28"/>
                <w:szCs w:val="28"/>
                <w:highlight w:val="none"/>
                <w:lang w:val="en-US" w:eastAsia="zh-CN"/>
              </w:rPr>
              <w:t>4</w:t>
            </w:r>
          </w:p>
        </w:tc>
        <w:tc>
          <w:tcPr>
            <w:tcW w:w="773" w:type="dxa"/>
            <w:shd w:val="clear" w:color="auto" w:fill="auto"/>
            <w:vAlign w:val="center"/>
          </w:tcPr>
          <w:p w14:paraId="7D1966C8">
            <w:pPr>
              <w:keepNext w:val="0"/>
              <w:keepLines w:val="0"/>
              <w:pageBreakBefore w:val="0"/>
              <w:widowControl w:val="0"/>
              <w:kinsoku/>
              <w:wordWrap/>
              <w:overflowPunct/>
              <w:topLinePunct/>
              <w:autoSpaceDE/>
              <w:autoSpaceDN/>
              <w:bidi w:val="0"/>
              <w:adjustRightInd/>
              <w:snapToGrid/>
              <w:spacing w:line="500" w:lineRule="exact"/>
              <w:ind w:left="0" w:leftChars="0" w:right="0" w:right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技术</w:t>
            </w:r>
          </w:p>
        </w:tc>
        <w:tc>
          <w:tcPr>
            <w:tcW w:w="1305" w:type="dxa"/>
            <w:shd w:val="clear" w:color="auto" w:fill="auto"/>
            <w:vAlign w:val="center"/>
          </w:tcPr>
          <w:p w14:paraId="63FDC6DA">
            <w:pPr>
              <w:pStyle w:val="7"/>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供货服务实施方案</w:t>
            </w:r>
          </w:p>
        </w:tc>
        <w:tc>
          <w:tcPr>
            <w:tcW w:w="5160" w:type="dxa"/>
            <w:shd w:val="clear" w:color="auto" w:fill="auto"/>
            <w:vAlign w:val="center"/>
          </w:tcPr>
          <w:p w14:paraId="7A603004">
            <w:pPr>
              <w:pStyle w:val="7"/>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对投标人提供的供货服务实施方案进行综合评价：</w:t>
            </w:r>
          </w:p>
          <w:p w14:paraId="4E5D7E73">
            <w:pPr>
              <w:pStyle w:val="7"/>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项目供货服务实施方案详实，流程安排合理，操作规程详尽，配送服务方案详尽，针对性强，完全满足服务需求，得10分，每有一处内容表述不完善或有瑕疵的扣2分，表述缺项的不得分。</w:t>
            </w:r>
          </w:p>
          <w:p w14:paraId="785E919C">
            <w:pPr>
              <w:pStyle w:val="7"/>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注：本项所称“不完善或有瑕疵”是指：内容不完整或缺少关键点；非专门针对本项目或不适用本项目特性、套用其他项目内容；对同一问题前后表述矛盾、存在逻辑漏洞、科学原理或常识错误；不利于本项目目标的实现、现有条件下不可行等任意一种情形。</w:t>
            </w:r>
          </w:p>
        </w:tc>
        <w:tc>
          <w:tcPr>
            <w:tcW w:w="1054" w:type="dxa"/>
            <w:shd w:val="clear" w:color="auto" w:fill="auto"/>
            <w:vAlign w:val="center"/>
          </w:tcPr>
          <w:p w14:paraId="5041BA83">
            <w:pPr>
              <w:pStyle w:val="7"/>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主观分</w:t>
            </w:r>
          </w:p>
        </w:tc>
        <w:tc>
          <w:tcPr>
            <w:tcW w:w="791" w:type="dxa"/>
            <w:shd w:val="clear" w:color="auto" w:fill="auto"/>
            <w:vAlign w:val="center"/>
          </w:tcPr>
          <w:p w14:paraId="2D6C61FC">
            <w:pPr>
              <w:pStyle w:val="7"/>
              <w:keepNext w:val="0"/>
              <w:keepLines w:val="0"/>
              <w:pageBreakBefore w:val="0"/>
              <w:kinsoku/>
              <w:wordWrap/>
              <w:overflowPunct/>
              <w:topLinePunct/>
              <w:autoSpaceDE/>
              <w:autoSpaceDN/>
              <w:bidi w:val="0"/>
              <w:adjustRightInd/>
              <w:snapToGrid/>
              <w:spacing w:line="500" w:lineRule="exact"/>
              <w:ind w:left="0" w:leftChars="0" w:firstLine="0" w:firstLineChars="0"/>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10.0</w:t>
            </w:r>
          </w:p>
        </w:tc>
      </w:tr>
      <w:tr w14:paraId="6AF11D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90" w:hRule="atLeast"/>
          <w:jc w:val="center"/>
        </w:trPr>
        <w:tc>
          <w:tcPr>
            <w:tcW w:w="826" w:type="dxa"/>
            <w:shd w:val="clear" w:color="auto" w:fill="auto"/>
            <w:vAlign w:val="center"/>
          </w:tcPr>
          <w:p w14:paraId="7A5F8310">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r>
              <w:rPr>
                <w:rFonts w:hint="eastAsia" w:ascii="仿宋" w:hAnsi="仿宋" w:eastAsia="仿宋" w:cs="仿宋"/>
                <w:color w:val="auto"/>
                <w:sz w:val="28"/>
                <w:szCs w:val="28"/>
                <w:highlight w:val="none"/>
                <w:lang w:val="en-US" w:eastAsia="zh-CN"/>
              </w:rPr>
              <w:t>5</w:t>
            </w:r>
          </w:p>
        </w:tc>
        <w:tc>
          <w:tcPr>
            <w:tcW w:w="773" w:type="dxa"/>
            <w:shd w:val="clear" w:color="auto" w:fill="auto"/>
            <w:vAlign w:val="center"/>
          </w:tcPr>
          <w:p w14:paraId="1636E9E1">
            <w:pPr>
              <w:pStyle w:val="7"/>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技术</w:t>
            </w:r>
          </w:p>
        </w:tc>
        <w:tc>
          <w:tcPr>
            <w:tcW w:w="1305" w:type="dxa"/>
            <w:shd w:val="clear" w:color="auto" w:fill="auto"/>
            <w:vAlign w:val="center"/>
          </w:tcPr>
          <w:p w14:paraId="2910BF56">
            <w:pPr>
              <w:pStyle w:val="7"/>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质量控制措施</w:t>
            </w:r>
          </w:p>
        </w:tc>
        <w:tc>
          <w:tcPr>
            <w:tcW w:w="5160" w:type="dxa"/>
            <w:shd w:val="clear" w:color="auto" w:fill="auto"/>
            <w:vAlign w:val="center"/>
          </w:tcPr>
          <w:p w14:paraId="16739971">
            <w:pPr>
              <w:pStyle w:val="7"/>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对投标人提供的物品质量、实施流程、操作规程等质量控制措施进行综合评价：</w:t>
            </w:r>
          </w:p>
          <w:p w14:paraId="1D07DB6B">
            <w:pPr>
              <w:pStyle w:val="7"/>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质量控制措施详实，流程安排合理，操作规程详尽，针对性强，完全满足服务需求，得10分，每有一处内容表述不完善或有瑕疵的扣2分，表述缺项的不得分。</w:t>
            </w:r>
          </w:p>
          <w:p w14:paraId="74038BD1">
            <w:pPr>
              <w:pStyle w:val="7"/>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lang w:val="en-US" w:eastAsia="zh-CN"/>
              </w:rPr>
            </w:pPr>
            <w:r>
              <w:rPr>
                <w:rFonts w:hint="eastAsia" w:ascii="仿宋" w:hAnsi="仿宋" w:eastAsia="仿宋" w:cs="仿宋"/>
                <w:color w:val="auto"/>
                <w:sz w:val="28"/>
                <w:szCs w:val="28"/>
                <w:highlight w:val="none"/>
                <w:lang w:val="en-US" w:eastAsia="zh-CN"/>
              </w:rPr>
              <w:t>注：本项所称“不完善或有瑕疵”是指：内容不完整或缺少关键点；非专门针对本项目或不适用本项目特性、套用其他项目内容；对同一问题前后表述矛盾、存在逻辑漏洞、科学原理或常识错误；不利于本项目目标的实现、现有条件下不可行等任意一种情形。</w:t>
            </w:r>
          </w:p>
        </w:tc>
        <w:tc>
          <w:tcPr>
            <w:tcW w:w="1054" w:type="dxa"/>
            <w:shd w:val="clear" w:color="auto" w:fill="auto"/>
            <w:vAlign w:val="center"/>
          </w:tcPr>
          <w:p w14:paraId="7A415780">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主观分</w:t>
            </w:r>
          </w:p>
        </w:tc>
        <w:tc>
          <w:tcPr>
            <w:tcW w:w="791" w:type="dxa"/>
            <w:shd w:val="clear" w:color="auto" w:fill="auto"/>
            <w:vAlign w:val="center"/>
          </w:tcPr>
          <w:p w14:paraId="1419DE6B">
            <w:pPr>
              <w:pStyle w:val="7"/>
              <w:keepNext w:val="0"/>
              <w:keepLines w:val="0"/>
              <w:pageBreakBefore w:val="0"/>
              <w:kinsoku/>
              <w:wordWrap/>
              <w:overflowPunct/>
              <w:topLinePunct/>
              <w:autoSpaceDE/>
              <w:autoSpaceDN/>
              <w:bidi w:val="0"/>
              <w:adjustRightInd/>
              <w:snapToGrid/>
              <w:spacing w:line="500" w:lineRule="exact"/>
              <w:ind w:left="0" w:leftChars="0" w:firstLine="0"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p>
        </w:tc>
      </w:tr>
      <w:tr w14:paraId="5AD878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auto"/>
            <w:vAlign w:val="center"/>
          </w:tcPr>
          <w:p w14:paraId="09FEDDAD">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r>
              <w:rPr>
                <w:rFonts w:hint="eastAsia" w:ascii="仿宋" w:hAnsi="仿宋" w:eastAsia="仿宋" w:cs="仿宋"/>
                <w:color w:val="auto"/>
                <w:sz w:val="28"/>
                <w:szCs w:val="28"/>
                <w:highlight w:val="none"/>
                <w:lang w:val="en-US" w:eastAsia="zh-CN"/>
              </w:rPr>
              <w:t>6</w:t>
            </w:r>
          </w:p>
        </w:tc>
        <w:tc>
          <w:tcPr>
            <w:tcW w:w="773" w:type="dxa"/>
            <w:shd w:val="clear" w:color="auto" w:fill="auto"/>
            <w:vAlign w:val="center"/>
          </w:tcPr>
          <w:p w14:paraId="64287BAE">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技术</w:t>
            </w:r>
          </w:p>
        </w:tc>
        <w:tc>
          <w:tcPr>
            <w:tcW w:w="1305" w:type="dxa"/>
            <w:shd w:val="clear" w:color="auto" w:fill="auto"/>
            <w:vAlign w:val="center"/>
          </w:tcPr>
          <w:p w14:paraId="1AE4F2FF">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备货服务方案</w:t>
            </w:r>
          </w:p>
        </w:tc>
        <w:tc>
          <w:tcPr>
            <w:tcW w:w="5160" w:type="dxa"/>
            <w:shd w:val="clear" w:color="auto" w:fill="auto"/>
            <w:vAlign w:val="center"/>
          </w:tcPr>
          <w:p w14:paraId="37CDF99C">
            <w:pPr>
              <w:pStyle w:val="7"/>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对投标人提供的备货服务方案（包括但不限于备货仓储面积、物资分类存储规划，仓库物料台账、车辆运输保障能力、备货保障措施）进行综合评价：</w:t>
            </w:r>
          </w:p>
          <w:p w14:paraId="140FCEC6">
            <w:pPr>
              <w:pStyle w:val="7"/>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仓储规模及面积能够完全满足仓储备货要求，严格按物资属性分区，具备防雨防潮、通风等设施，仓库物料台账清晰，车辆完全覆盖项目配送运力，备货保障措施完备，完全满足服务需求，得15分，每有一处内容表述不完善或有瑕疵的扣3分，表述缺项的不得分。</w:t>
            </w:r>
          </w:p>
          <w:p w14:paraId="2ECBBC1F">
            <w:pPr>
              <w:pStyle w:val="7"/>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注：本项所称“不完善或有瑕疵”是指：内容不完整或缺少关键点；非专门针对本项目或不适用本项目特性、套用其他项目内容；对同一问题前后表述矛盾、存在逻辑漏洞、科学原理或常识错误；不利于本项目目标的实现、现有条件下不可行等任意一种情形。</w:t>
            </w:r>
          </w:p>
          <w:p w14:paraId="457806A2">
            <w:pPr>
              <w:pStyle w:val="7"/>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default"/>
                <w:lang w:val="en-US" w:eastAsia="zh-CN"/>
              </w:rPr>
            </w:pPr>
            <w:r>
              <w:rPr>
                <w:rFonts w:hint="eastAsia" w:ascii="仿宋" w:hAnsi="仿宋" w:eastAsia="仿宋" w:cs="仿宋"/>
                <w:color w:val="auto"/>
                <w:sz w:val="28"/>
                <w:szCs w:val="28"/>
                <w:highlight w:val="none"/>
                <w:lang w:val="en-US" w:eastAsia="zh-CN"/>
              </w:rPr>
              <w:t>投标文件中要提供自有或长期租赁仓库（具备分类存储和防雨防潮条件）和自有或长期合作运输车辆（不少于1辆）相关证明材料加盖投标人公章。</w:t>
            </w:r>
            <w:r>
              <w:rPr>
                <w:rFonts w:hint="eastAsia" w:ascii="仿宋" w:hAnsi="仿宋" w:eastAsia="仿宋" w:cs="仿宋"/>
                <w:color w:val="auto"/>
                <w:sz w:val="28"/>
                <w:szCs w:val="28"/>
                <w:highlight w:val="none"/>
              </w:rPr>
              <w:t>①</w:t>
            </w:r>
            <w:r>
              <w:rPr>
                <w:rFonts w:hint="eastAsia" w:ascii="仿宋" w:hAnsi="仿宋" w:eastAsia="仿宋" w:cs="仿宋"/>
                <w:color w:val="auto"/>
                <w:sz w:val="28"/>
                <w:szCs w:val="28"/>
                <w:highlight w:val="none"/>
                <w:lang w:val="en-US" w:eastAsia="zh-CN"/>
              </w:rPr>
              <w:t>仓库全套佐证材料：产权证书或有效期1年以上租赁合同、仓库精确地址、绘制仓库平面分区图，</w:t>
            </w:r>
            <w:r>
              <w:rPr>
                <w:rFonts w:hint="eastAsia" w:ascii="仿宋" w:hAnsi="仿宋" w:eastAsia="仿宋" w:cs="仿宋"/>
                <w:i w:val="0"/>
                <w:iCs w:val="0"/>
                <w:color w:val="auto"/>
                <w:spacing w:val="8"/>
                <w:kern w:val="0"/>
                <w:sz w:val="28"/>
                <w:szCs w:val="28"/>
                <w:highlight w:val="none"/>
                <w:lang w:val="en-US" w:eastAsia="zh-CN"/>
              </w:rPr>
              <w:t>物资</w:t>
            </w:r>
            <w:r>
              <w:rPr>
                <w:rFonts w:hint="eastAsia" w:ascii="仿宋" w:hAnsi="仿宋" w:eastAsia="仿宋" w:cs="仿宋"/>
                <w:color w:val="auto"/>
                <w:sz w:val="28"/>
                <w:szCs w:val="28"/>
                <w:highlight w:val="none"/>
                <w:lang w:val="en-US" w:eastAsia="zh-CN"/>
              </w:rPr>
              <w:t>分区现场多角度实拍图、消防验收/备案凭证。所有资料必须真实，租赁协议有效期须完整覆盖本项目全部服务周期，不得为临时短期转租、共享合用仓库。</w:t>
            </w:r>
            <w:r>
              <w:rPr>
                <w:rFonts w:hint="eastAsia" w:ascii="仿宋" w:hAnsi="仿宋" w:eastAsia="仿宋" w:cs="仿宋"/>
                <w:color w:val="auto"/>
                <w:sz w:val="28"/>
                <w:szCs w:val="28"/>
                <w:highlight w:val="none"/>
              </w:rPr>
              <w:t>②</w:t>
            </w:r>
            <w:r>
              <w:rPr>
                <w:rFonts w:hint="eastAsia" w:ascii="仿宋" w:hAnsi="仿宋" w:eastAsia="仿宋" w:cs="仿宋"/>
                <w:color w:val="auto"/>
                <w:sz w:val="28"/>
                <w:szCs w:val="28"/>
                <w:highlight w:val="none"/>
                <w:lang w:val="en-US" w:eastAsia="zh-CN"/>
              </w:rPr>
              <w:t>车辆全套佐证材料：自有/长期固定合作配送车辆≥1台，提供⻋辆合同（或发票）或长期合作协议、车辆行驶证、车辆实拍图。只有方案无佐证材料，本项不得分。</w:t>
            </w:r>
          </w:p>
        </w:tc>
        <w:tc>
          <w:tcPr>
            <w:tcW w:w="1054" w:type="dxa"/>
            <w:shd w:val="clear" w:color="auto" w:fill="auto"/>
            <w:vAlign w:val="center"/>
          </w:tcPr>
          <w:p w14:paraId="36C2AC1A">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主观分</w:t>
            </w:r>
          </w:p>
        </w:tc>
        <w:tc>
          <w:tcPr>
            <w:tcW w:w="791" w:type="dxa"/>
            <w:shd w:val="clear" w:color="auto" w:fill="auto"/>
            <w:vAlign w:val="center"/>
          </w:tcPr>
          <w:p w14:paraId="4659D146">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val="en-US" w:eastAsia="zh-CN"/>
              </w:rPr>
              <w:t>15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p>
        </w:tc>
      </w:tr>
      <w:tr w14:paraId="0C7EB2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auto"/>
            <w:vAlign w:val="center"/>
          </w:tcPr>
          <w:p w14:paraId="474EF6FF">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r>
              <w:rPr>
                <w:rFonts w:hint="eastAsia" w:ascii="仿宋" w:hAnsi="仿宋" w:eastAsia="仿宋" w:cs="仿宋"/>
                <w:color w:val="auto"/>
                <w:sz w:val="28"/>
                <w:szCs w:val="28"/>
                <w:highlight w:val="none"/>
                <w:lang w:val="en-US" w:eastAsia="zh-CN"/>
              </w:rPr>
              <w:t>7</w:t>
            </w:r>
          </w:p>
        </w:tc>
        <w:tc>
          <w:tcPr>
            <w:tcW w:w="773" w:type="dxa"/>
            <w:vAlign w:val="center"/>
          </w:tcPr>
          <w:p w14:paraId="78F36780">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技术</w:t>
            </w:r>
          </w:p>
        </w:tc>
        <w:tc>
          <w:tcPr>
            <w:tcW w:w="1305" w:type="dxa"/>
            <w:shd w:val="clear" w:color="auto" w:fill="auto"/>
            <w:vAlign w:val="center"/>
          </w:tcPr>
          <w:p w14:paraId="3608A72F">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团队人员配备</w:t>
            </w:r>
          </w:p>
        </w:tc>
        <w:tc>
          <w:tcPr>
            <w:tcW w:w="5160" w:type="dxa"/>
            <w:shd w:val="clear" w:color="auto" w:fill="auto"/>
            <w:vAlign w:val="center"/>
          </w:tcPr>
          <w:p w14:paraId="33763B37">
            <w:pPr>
              <w:pStyle w:val="7"/>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对投标人提供的团队人员配备进行综合评价：</w:t>
            </w:r>
          </w:p>
          <w:p w14:paraId="07BD323F">
            <w:pPr>
              <w:pStyle w:val="7"/>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为本项目配置的人员数量充足，岗位设置合理，职责明确，团队整体资质水平高，以往服务经验丰富，服务能力强，完全满足服务需求，得5分，每有一处内容表述不完善或有瑕疵的扣1分，表述缺项的不得分。</w:t>
            </w:r>
          </w:p>
          <w:p w14:paraId="59EEAA25">
            <w:pPr>
              <w:pStyle w:val="7"/>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lang w:val="en-US" w:eastAsia="zh-CN"/>
              </w:rPr>
            </w:pPr>
            <w:r>
              <w:rPr>
                <w:rFonts w:hint="eastAsia" w:ascii="仿宋" w:hAnsi="仿宋" w:eastAsia="仿宋" w:cs="仿宋"/>
                <w:color w:val="auto"/>
                <w:sz w:val="28"/>
                <w:szCs w:val="28"/>
                <w:highlight w:val="none"/>
                <w:lang w:val="en-US" w:eastAsia="zh-CN"/>
              </w:rPr>
              <w:t>注：本项所称“不完善或有瑕疵”是指：内容不完整或缺少关键点；非专门针对本项目或不适用本项目特性、套用其他项目内容；对同一问题前后表述矛盾、存在逻辑漏洞、科学原理或常识错误；不利于本项目目标的实现、现有条件下不可行等任意一种情形。</w:t>
            </w:r>
          </w:p>
        </w:tc>
        <w:tc>
          <w:tcPr>
            <w:tcW w:w="1054" w:type="dxa"/>
            <w:shd w:val="clear" w:color="auto" w:fill="auto"/>
            <w:vAlign w:val="center"/>
          </w:tcPr>
          <w:p w14:paraId="232CDA6A">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主观分</w:t>
            </w:r>
          </w:p>
        </w:tc>
        <w:tc>
          <w:tcPr>
            <w:tcW w:w="791" w:type="dxa"/>
            <w:shd w:val="clear" w:color="auto" w:fill="auto"/>
            <w:vAlign w:val="center"/>
          </w:tcPr>
          <w:p w14:paraId="7982341B">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p>
        </w:tc>
      </w:tr>
      <w:tr w14:paraId="7742DF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auto"/>
            <w:vAlign w:val="center"/>
          </w:tcPr>
          <w:p w14:paraId="7924C8A0">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r>
              <w:rPr>
                <w:rFonts w:hint="eastAsia" w:ascii="仿宋" w:hAnsi="仿宋" w:eastAsia="仿宋" w:cs="仿宋"/>
                <w:color w:val="auto"/>
                <w:sz w:val="28"/>
                <w:szCs w:val="28"/>
                <w:highlight w:val="none"/>
                <w:lang w:val="en-US" w:eastAsia="zh-CN"/>
              </w:rPr>
              <w:t>8</w:t>
            </w:r>
          </w:p>
        </w:tc>
        <w:tc>
          <w:tcPr>
            <w:tcW w:w="773" w:type="dxa"/>
            <w:vAlign w:val="center"/>
          </w:tcPr>
          <w:p w14:paraId="1F4374E4">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技术</w:t>
            </w:r>
          </w:p>
        </w:tc>
        <w:tc>
          <w:tcPr>
            <w:tcW w:w="1305" w:type="dxa"/>
            <w:vAlign w:val="center"/>
          </w:tcPr>
          <w:p w14:paraId="62373AFB">
            <w:pPr>
              <w:pStyle w:val="7"/>
              <w:keepNext w:val="0"/>
              <w:keepLines w:val="0"/>
              <w:pageBreakBefore w:val="0"/>
              <w:kinsoku/>
              <w:wordWrap/>
              <w:overflowPunct/>
              <w:topLinePunct/>
              <w:autoSpaceDE/>
              <w:autoSpaceDN/>
              <w:bidi w:val="0"/>
              <w:adjustRightInd/>
              <w:snapToGrid/>
              <w:spacing w:line="500" w:lineRule="exact"/>
              <w:ind w:firstLine="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考核方案</w:t>
            </w:r>
          </w:p>
        </w:tc>
        <w:tc>
          <w:tcPr>
            <w:tcW w:w="5160" w:type="dxa"/>
            <w:vAlign w:val="center"/>
          </w:tcPr>
          <w:p w14:paraId="35CEFACE">
            <w:pPr>
              <w:pStyle w:val="7"/>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对投标人提供的考核方案进行评价：</w:t>
            </w:r>
          </w:p>
          <w:p w14:paraId="6D6EE055">
            <w:pPr>
              <w:pStyle w:val="7"/>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有对日常管理进行考核，如达不到采购人要求，采购人有权对其进行相应的处罚，承诺并制定了相应措施，科学完整性，方案合理可落地，得10分，每有一处内容表述不完善或有瑕疵的扣2分，表述缺项的不得分。</w:t>
            </w:r>
          </w:p>
          <w:p w14:paraId="79B1FB83">
            <w:pPr>
              <w:pStyle w:val="7"/>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注：本项所称“不完善或有瑕疵”是指：内容不完整或缺少关键点；非专门针对本项目或不适用本项目特性、套用其他项目内容；对同一问题前后表述矛盾、存在逻辑漏洞、科学原理或常识错误；不利于本项目目标的实现、现有条件下不可行等任意一种情形。</w:t>
            </w:r>
          </w:p>
        </w:tc>
        <w:tc>
          <w:tcPr>
            <w:tcW w:w="1054" w:type="dxa"/>
            <w:vAlign w:val="center"/>
          </w:tcPr>
          <w:p w14:paraId="3B1ED4A4">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主观分</w:t>
            </w:r>
          </w:p>
        </w:tc>
        <w:tc>
          <w:tcPr>
            <w:tcW w:w="791" w:type="dxa"/>
            <w:vAlign w:val="center"/>
          </w:tcPr>
          <w:p w14:paraId="5FF1E177">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p>
        </w:tc>
      </w:tr>
      <w:tr w14:paraId="0236E4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auto"/>
            <w:vAlign w:val="center"/>
          </w:tcPr>
          <w:p w14:paraId="3BE291DA">
            <w:pPr>
              <w:pStyle w:val="7"/>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09</w:t>
            </w:r>
          </w:p>
        </w:tc>
        <w:tc>
          <w:tcPr>
            <w:tcW w:w="773" w:type="dxa"/>
            <w:vAlign w:val="center"/>
          </w:tcPr>
          <w:p w14:paraId="48AA5B98">
            <w:pPr>
              <w:keepNext w:val="0"/>
              <w:keepLines w:val="0"/>
              <w:pageBreakBefore w:val="0"/>
              <w:widowControl w:val="0"/>
              <w:kinsoku/>
              <w:wordWrap/>
              <w:overflowPunct/>
              <w:topLinePunct/>
              <w:autoSpaceDE/>
              <w:autoSpaceDN/>
              <w:bidi w:val="0"/>
              <w:adjustRightInd/>
              <w:snapToGrid/>
              <w:spacing w:line="500" w:lineRule="exact"/>
              <w:ind w:left="0" w:leftChars="0" w:right="0" w:right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技术</w:t>
            </w:r>
          </w:p>
        </w:tc>
        <w:tc>
          <w:tcPr>
            <w:tcW w:w="1305" w:type="dxa"/>
            <w:vAlign w:val="center"/>
          </w:tcPr>
          <w:p w14:paraId="29E8EA72">
            <w:pPr>
              <w:pStyle w:val="7"/>
              <w:keepNext w:val="0"/>
              <w:keepLines w:val="0"/>
              <w:pageBreakBefore w:val="0"/>
              <w:kinsoku/>
              <w:wordWrap/>
              <w:overflowPunct/>
              <w:topLinePunct/>
              <w:autoSpaceDE/>
              <w:autoSpaceDN/>
              <w:bidi w:val="0"/>
              <w:adjustRightInd/>
              <w:snapToGrid/>
              <w:spacing w:line="500" w:lineRule="exact"/>
              <w:ind w:firstLine="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应急响应能力方案</w:t>
            </w:r>
          </w:p>
        </w:tc>
        <w:tc>
          <w:tcPr>
            <w:tcW w:w="5160" w:type="dxa"/>
            <w:vAlign w:val="center"/>
          </w:tcPr>
          <w:p w14:paraId="7112529F">
            <w:pPr>
              <w:pStyle w:val="7"/>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对投标人提供的应急响应能力方案进行综合评价：</w:t>
            </w:r>
          </w:p>
          <w:p w14:paraId="12843ADF">
            <w:pPr>
              <w:pStyle w:val="7"/>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方案详实明确，预见情形充分，断货、物资损坏、工期加急、极端天气、仓库检修等应急方案处理措施合法有力、灵活妥当，人员调配得当，有针对性，得10分，每有一处内容表述不完善或有瑕疵的扣2分，表述缺项的不得分。</w:t>
            </w:r>
          </w:p>
          <w:p w14:paraId="623796C9">
            <w:pPr>
              <w:pStyle w:val="7"/>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注：本项所称“不完善或有瑕疵”是指：内容不完整或缺少关键点；非专门针对本项目或不适用本项目特性、套用其他项目内容；对同一问题前后表述矛盾、存在逻辑漏洞、科学原理或常识错误；不利于本项目目标的实现、现有条件下不可行等任意一种情形。</w:t>
            </w:r>
          </w:p>
        </w:tc>
        <w:tc>
          <w:tcPr>
            <w:tcW w:w="1054" w:type="dxa"/>
            <w:vAlign w:val="center"/>
          </w:tcPr>
          <w:p w14:paraId="408A2BFD">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主观分</w:t>
            </w:r>
          </w:p>
        </w:tc>
        <w:tc>
          <w:tcPr>
            <w:tcW w:w="791" w:type="dxa"/>
            <w:vAlign w:val="center"/>
          </w:tcPr>
          <w:p w14:paraId="657DB999">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p>
        </w:tc>
      </w:tr>
      <w:tr w14:paraId="2BB8BA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auto"/>
            <w:vAlign w:val="center"/>
          </w:tcPr>
          <w:p w14:paraId="77CB7414">
            <w:pPr>
              <w:pStyle w:val="7"/>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10</w:t>
            </w:r>
          </w:p>
        </w:tc>
        <w:tc>
          <w:tcPr>
            <w:tcW w:w="773" w:type="dxa"/>
            <w:vAlign w:val="center"/>
          </w:tcPr>
          <w:p w14:paraId="2C75D441">
            <w:pPr>
              <w:keepNext w:val="0"/>
              <w:keepLines w:val="0"/>
              <w:pageBreakBefore w:val="0"/>
              <w:widowControl w:val="0"/>
              <w:kinsoku/>
              <w:wordWrap/>
              <w:overflowPunct/>
              <w:topLinePunct/>
              <w:autoSpaceDE/>
              <w:autoSpaceDN/>
              <w:bidi w:val="0"/>
              <w:adjustRightInd/>
              <w:snapToGrid/>
              <w:spacing w:line="500" w:lineRule="exact"/>
              <w:ind w:left="0" w:leftChars="0" w:right="0" w:right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技术</w:t>
            </w:r>
          </w:p>
        </w:tc>
        <w:tc>
          <w:tcPr>
            <w:tcW w:w="1305" w:type="dxa"/>
            <w:vAlign w:val="center"/>
          </w:tcPr>
          <w:p w14:paraId="5F755F8B">
            <w:pPr>
              <w:pStyle w:val="7"/>
              <w:keepNext w:val="0"/>
              <w:keepLines w:val="0"/>
              <w:pageBreakBefore w:val="0"/>
              <w:kinsoku/>
              <w:wordWrap/>
              <w:overflowPunct/>
              <w:topLinePunct/>
              <w:autoSpaceDE/>
              <w:autoSpaceDN/>
              <w:bidi w:val="0"/>
              <w:adjustRightInd/>
              <w:snapToGrid/>
              <w:spacing w:line="500" w:lineRule="exact"/>
              <w:ind w:firstLine="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售后服务保障与支持</w:t>
            </w:r>
          </w:p>
        </w:tc>
        <w:tc>
          <w:tcPr>
            <w:tcW w:w="5160" w:type="dxa"/>
            <w:vAlign w:val="center"/>
          </w:tcPr>
          <w:p w14:paraId="061A2091">
            <w:pPr>
              <w:pStyle w:val="7"/>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对投标人的售后服务方案（包含质保期内的售后服务方案、响应时间承诺、服务标准承诺、因产品质量问题造成事故的责任承担及赔偿方案、退换货措施），进行综合评价：</w:t>
            </w:r>
          </w:p>
          <w:p w14:paraId="74F1EFE5">
            <w:pPr>
              <w:pStyle w:val="7"/>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售后服务方案详实明确、流程及保证措施清晰合理的，得10分，在此基础上每发现一处表述不清晰、不合理或不满足本次采购要求的扣2分，扣完为止。</w:t>
            </w:r>
          </w:p>
        </w:tc>
        <w:tc>
          <w:tcPr>
            <w:tcW w:w="1054" w:type="dxa"/>
            <w:vAlign w:val="center"/>
          </w:tcPr>
          <w:p w14:paraId="69E4C98B">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主观分</w:t>
            </w:r>
          </w:p>
        </w:tc>
        <w:tc>
          <w:tcPr>
            <w:tcW w:w="791" w:type="dxa"/>
            <w:vAlign w:val="center"/>
          </w:tcPr>
          <w:p w14:paraId="4E5B51FA">
            <w:pPr>
              <w:pStyle w:val="7"/>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p>
        </w:tc>
      </w:tr>
    </w:tbl>
    <w:p w14:paraId="0EB96027">
      <w:pPr>
        <w:keepNext w:val="0"/>
        <w:keepLines w:val="0"/>
        <w:pageBreakBefore w:val="0"/>
        <w:kinsoku/>
        <w:overflowPunct/>
        <w:topLinePunct/>
        <w:autoSpaceDE/>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注：①本细则只针对有效投标文件予以评分。</w:t>
      </w:r>
    </w:p>
    <w:p w14:paraId="2ABEE57E">
      <w:pPr>
        <w:keepNext w:val="0"/>
        <w:keepLines w:val="0"/>
        <w:pageBreakBefore w:val="0"/>
        <w:kinsoku/>
        <w:overflowPunct/>
        <w:topLinePunct/>
        <w:autoSpaceDE/>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②计算得分时，四舍五入保留至小数点后二位。</w:t>
      </w:r>
    </w:p>
    <w:p w14:paraId="6D385FDD">
      <w:pPr>
        <w:keepNext w:val="0"/>
        <w:keepLines w:val="0"/>
        <w:pageBreakBefore w:val="0"/>
        <w:kinsoku/>
        <w:overflowPunct/>
        <w:topLinePunct/>
        <w:autoSpaceDE/>
        <w:autoSpaceDN/>
        <w:bidi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③汇总各评委打分进行算术平均，计算出各投标人的综合</w:t>
      </w:r>
      <w:r>
        <w:rPr>
          <w:rFonts w:hint="eastAsia" w:ascii="仿宋" w:hAnsi="仿宋" w:eastAsia="仿宋" w:cs="仿宋"/>
          <w:color w:val="auto"/>
          <w:sz w:val="28"/>
          <w:szCs w:val="28"/>
          <w:highlight w:val="none"/>
          <w:lang w:val="en-US" w:eastAsia="zh-CN"/>
        </w:rPr>
        <w:t>得分。</w:t>
      </w:r>
    </w:p>
    <w:p w14:paraId="663BD3D9">
      <w:pPr>
        <w:keepNext w:val="0"/>
        <w:keepLines w:val="0"/>
        <w:pageBreakBefore w:val="0"/>
        <w:widowControl w:val="0"/>
        <w:kinsoku/>
        <w:wordWrap/>
        <w:overflowPunct/>
        <w:topLinePunct/>
        <w:autoSpaceDE/>
        <w:autoSpaceDN/>
        <w:bidi w:val="0"/>
        <w:adjustRightInd/>
        <w:snapToGrid/>
        <w:spacing w:line="540" w:lineRule="exact"/>
        <w:textAlignment w:val="auto"/>
        <w:outlineLvl w:val="1"/>
        <w:rPr>
          <w:rFonts w:hint="eastAsia" w:ascii="仿宋" w:hAnsi="仿宋" w:eastAsia="仿宋" w:cs="仿宋"/>
          <w:b/>
          <w:bCs/>
          <w:color w:val="auto"/>
          <w:sz w:val="28"/>
          <w:szCs w:val="28"/>
          <w:highlight w:val="none"/>
          <w:lang w:val="en-US" w:eastAsia="zh-CN"/>
        </w:rPr>
      </w:pPr>
      <w:bookmarkStart w:id="24" w:name="_Toc130891916"/>
      <w:bookmarkStart w:id="25" w:name="_Toc24274"/>
      <w:r>
        <w:rPr>
          <w:rFonts w:hint="eastAsia" w:ascii="仿宋" w:hAnsi="仿宋" w:eastAsia="仿宋" w:cs="仿宋"/>
          <w:b/>
          <w:bCs/>
          <w:color w:val="auto"/>
          <w:sz w:val="28"/>
          <w:szCs w:val="28"/>
          <w:highlight w:val="none"/>
          <w:lang w:val="en-US" w:eastAsia="zh-CN"/>
        </w:rPr>
        <w:t>四、编写评标报告</w:t>
      </w:r>
      <w:bookmarkEnd w:id="24"/>
      <w:bookmarkEnd w:id="25"/>
    </w:p>
    <w:p w14:paraId="27BBC57D">
      <w:pPr>
        <w:keepNext w:val="0"/>
        <w:keepLines w:val="0"/>
        <w:pageBreakBefore w:val="0"/>
        <w:kinsoku/>
        <w:overflowPunct/>
        <w:topLinePunct/>
        <w:autoSpaceDE/>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依据评标委员会签字的原始记录和评标结果，按照规定的内容要求编写评标报告，并由全体评委签名。</w:t>
      </w:r>
    </w:p>
    <w:p w14:paraId="03C3B83A">
      <w:pPr>
        <w:keepNext w:val="0"/>
        <w:keepLines w:val="0"/>
        <w:pageBreakBefore w:val="0"/>
        <w:widowControl w:val="0"/>
        <w:kinsoku/>
        <w:wordWrap/>
        <w:overflowPunct/>
        <w:topLinePunct/>
        <w:autoSpaceDE/>
        <w:autoSpaceDN/>
        <w:bidi w:val="0"/>
        <w:adjustRightInd/>
        <w:snapToGrid/>
        <w:spacing w:line="540" w:lineRule="exact"/>
        <w:textAlignment w:val="auto"/>
        <w:outlineLvl w:val="1"/>
        <w:rPr>
          <w:rFonts w:hint="eastAsia" w:ascii="仿宋" w:hAnsi="仿宋" w:eastAsia="仿宋" w:cs="仿宋"/>
          <w:b/>
          <w:bCs/>
          <w:color w:val="auto"/>
          <w:sz w:val="28"/>
          <w:szCs w:val="28"/>
          <w:highlight w:val="none"/>
          <w:lang w:val="en-US" w:eastAsia="zh-CN"/>
        </w:rPr>
      </w:pPr>
      <w:bookmarkStart w:id="26" w:name="_Toc16352"/>
      <w:r>
        <w:rPr>
          <w:rFonts w:hint="eastAsia" w:ascii="仿宋" w:hAnsi="仿宋" w:eastAsia="仿宋" w:cs="仿宋"/>
          <w:b/>
          <w:bCs/>
          <w:color w:val="auto"/>
          <w:sz w:val="28"/>
          <w:szCs w:val="28"/>
          <w:highlight w:val="none"/>
          <w:lang w:val="en-US" w:eastAsia="zh-CN"/>
        </w:rPr>
        <w:t>五、定标</w:t>
      </w:r>
      <w:bookmarkEnd w:id="26"/>
    </w:p>
    <w:p w14:paraId="1A72B8B7">
      <w:pPr>
        <w:keepNext w:val="0"/>
        <w:keepLines w:val="0"/>
        <w:pageBreakBefore w:val="0"/>
        <w:kinsoku/>
        <w:overflowPunct/>
        <w:topLinePunct/>
        <w:autoSpaceDE/>
        <w:autoSpaceDN/>
        <w:bidi w:val="0"/>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1</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rPr>
        <w:t>评标委员会根据招标文件载明的评标细则进行综合评审，并按评审后综合得分由高到低顺序排列，</w:t>
      </w:r>
      <w:r>
        <w:rPr>
          <w:rFonts w:hint="eastAsia" w:ascii="仿宋" w:hAnsi="仿宋" w:eastAsia="仿宋" w:cs="仿宋"/>
          <w:color w:val="auto"/>
          <w:sz w:val="28"/>
          <w:szCs w:val="21"/>
          <w:highlight w:val="none"/>
          <w:lang w:val="en-US" w:eastAsia="zh-CN"/>
        </w:rPr>
        <w:t>确定排名第一的投标人为中标</w:t>
      </w:r>
      <w:r>
        <w:rPr>
          <w:rFonts w:hint="eastAsia" w:ascii="仿宋" w:hAnsi="仿宋" w:eastAsia="仿宋" w:cs="仿宋"/>
          <w:color w:val="auto"/>
          <w:sz w:val="28"/>
          <w:szCs w:val="21"/>
          <w:highlight w:val="none"/>
        </w:rPr>
        <w:t>人。</w:t>
      </w:r>
    </w:p>
    <w:p w14:paraId="42B68E33">
      <w:pPr>
        <w:keepNext w:val="0"/>
        <w:keepLines w:val="0"/>
        <w:pageBreakBefore w:val="0"/>
        <w:kinsoku/>
        <w:overflowPunct/>
        <w:topLinePunct/>
        <w:autoSpaceDE/>
        <w:autoSpaceDN/>
        <w:bidi w:val="0"/>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2</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rPr>
        <w:t>评标结束后，公示无异议确定排名第一的为中标人。如发现中标人存在与招标文件、投标文件不符或弄虚作假等其它违法行为，经招标人同意，取消中标人资格，由排名次之的中标，依次类推或重新招标。</w:t>
      </w:r>
    </w:p>
    <w:p w14:paraId="62F69998">
      <w:pPr>
        <w:keepNext w:val="0"/>
        <w:keepLines w:val="0"/>
        <w:pageBreakBefore w:val="0"/>
        <w:kinsoku/>
        <w:overflowPunct/>
        <w:topLinePunct/>
        <w:autoSpaceDE/>
        <w:autoSpaceDN/>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1"/>
          <w:highlight w:val="none"/>
        </w:rPr>
        <w:t>3</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rPr>
        <w:t>评标结果将在原招标公告发布媒介予以公告。</w:t>
      </w:r>
      <w:r>
        <w:rPr>
          <w:rFonts w:hint="eastAsia" w:ascii="仿宋" w:hAnsi="仿宋" w:eastAsia="仿宋" w:cs="仿宋"/>
          <w:color w:val="auto"/>
          <w:sz w:val="28"/>
          <w:szCs w:val="28"/>
          <w:highlight w:val="none"/>
        </w:rPr>
        <w:t>中标公告期限为1个工作日。</w:t>
      </w:r>
    </w:p>
    <w:p w14:paraId="290E3A6E">
      <w:pPr>
        <w:keepNext w:val="0"/>
        <w:keepLines w:val="0"/>
        <w:pageBreakBefore w:val="0"/>
        <w:widowControl w:val="0"/>
        <w:kinsoku/>
        <w:wordWrap/>
        <w:overflowPunct/>
        <w:topLinePunct/>
        <w:autoSpaceDE/>
        <w:autoSpaceDN/>
        <w:bidi w:val="0"/>
        <w:adjustRightInd/>
        <w:snapToGrid/>
        <w:spacing w:line="540" w:lineRule="exact"/>
        <w:textAlignment w:val="auto"/>
        <w:outlineLvl w:val="1"/>
        <w:rPr>
          <w:rFonts w:hint="eastAsia" w:ascii="仿宋" w:hAnsi="仿宋" w:eastAsia="仿宋" w:cs="仿宋"/>
          <w:b/>
          <w:bCs/>
          <w:color w:val="auto"/>
          <w:sz w:val="28"/>
          <w:szCs w:val="28"/>
          <w:highlight w:val="none"/>
          <w:lang w:val="en-US" w:eastAsia="zh-CN"/>
        </w:rPr>
      </w:pPr>
      <w:bookmarkStart w:id="27" w:name="_Toc130891919"/>
      <w:bookmarkStart w:id="28" w:name="_Toc10724"/>
      <w:r>
        <w:rPr>
          <w:rFonts w:hint="eastAsia" w:ascii="仿宋" w:hAnsi="仿宋" w:eastAsia="仿宋" w:cs="仿宋"/>
          <w:b/>
          <w:bCs/>
          <w:color w:val="auto"/>
          <w:sz w:val="28"/>
          <w:szCs w:val="28"/>
          <w:highlight w:val="none"/>
          <w:lang w:val="en-US" w:eastAsia="zh-CN"/>
        </w:rPr>
        <w:t>六、签发中标通知书</w:t>
      </w:r>
      <w:bookmarkEnd w:id="27"/>
      <w:bookmarkEnd w:id="28"/>
    </w:p>
    <w:p w14:paraId="2A9E98F3">
      <w:pPr>
        <w:keepNext w:val="0"/>
        <w:keepLines w:val="0"/>
        <w:pageBreakBefore w:val="0"/>
        <w:kinsoku/>
        <w:overflowPunct/>
        <w:topLinePunct/>
        <w:autoSpaceDE/>
        <w:autoSpaceDN/>
        <w:bidi w:val="0"/>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4333656C">
      <w:pPr>
        <w:keepNext w:val="0"/>
        <w:keepLines w:val="0"/>
        <w:pageBreakBefore w:val="0"/>
        <w:widowControl w:val="0"/>
        <w:kinsoku/>
        <w:wordWrap/>
        <w:overflowPunct/>
        <w:topLinePunct/>
        <w:autoSpaceDE/>
        <w:autoSpaceDN/>
        <w:bidi w:val="0"/>
        <w:adjustRightInd/>
        <w:snapToGrid/>
        <w:spacing w:line="540" w:lineRule="exact"/>
        <w:textAlignment w:val="auto"/>
        <w:outlineLvl w:val="1"/>
        <w:rPr>
          <w:rFonts w:hint="eastAsia" w:ascii="仿宋" w:hAnsi="仿宋" w:eastAsia="仿宋" w:cs="仿宋"/>
          <w:b/>
          <w:bCs/>
          <w:color w:val="auto"/>
          <w:sz w:val="28"/>
          <w:szCs w:val="28"/>
          <w:highlight w:val="none"/>
          <w:lang w:val="en-US" w:eastAsia="zh-CN"/>
        </w:rPr>
      </w:pPr>
      <w:bookmarkStart w:id="29" w:name="_Toc130891920"/>
      <w:bookmarkStart w:id="30" w:name="_Toc12417"/>
      <w:r>
        <w:rPr>
          <w:rFonts w:hint="eastAsia" w:ascii="仿宋" w:hAnsi="仿宋" w:eastAsia="仿宋" w:cs="仿宋"/>
          <w:b/>
          <w:bCs/>
          <w:color w:val="auto"/>
          <w:sz w:val="28"/>
          <w:szCs w:val="28"/>
          <w:highlight w:val="none"/>
          <w:lang w:val="en-US" w:eastAsia="zh-CN"/>
        </w:rPr>
        <w:t>七、签订合同</w:t>
      </w:r>
      <w:bookmarkEnd w:id="29"/>
      <w:bookmarkEnd w:id="30"/>
    </w:p>
    <w:p w14:paraId="34EF8DE4">
      <w:pPr>
        <w:keepNext w:val="0"/>
        <w:keepLines w:val="0"/>
        <w:pageBreakBefore w:val="0"/>
        <w:kinsoku/>
        <w:overflowPunct/>
        <w:topLinePunct/>
        <w:autoSpaceDE/>
        <w:autoSpaceDN/>
        <w:bidi w:val="0"/>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1</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rPr>
        <w:t>中标合同原则以第六章</w:t>
      </w:r>
      <w:r>
        <w:rPr>
          <w:rFonts w:hint="eastAsia" w:ascii="仿宋" w:hAnsi="仿宋" w:eastAsia="仿宋" w:cs="仿宋"/>
          <w:color w:val="auto"/>
          <w:sz w:val="28"/>
          <w:szCs w:val="21"/>
          <w:highlight w:val="none"/>
          <w:lang w:val="en-US" w:eastAsia="zh-CN"/>
        </w:rPr>
        <w:t>合同（范本）</w:t>
      </w:r>
      <w:r>
        <w:rPr>
          <w:rFonts w:hint="eastAsia" w:ascii="仿宋" w:hAnsi="仿宋" w:eastAsia="仿宋" w:cs="仿宋"/>
          <w:color w:val="auto"/>
          <w:sz w:val="28"/>
          <w:szCs w:val="21"/>
          <w:highlight w:val="none"/>
        </w:rPr>
        <w:t>为基础，并根据投标、答疑情况进行修改补充，自签订之日起生效。</w:t>
      </w:r>
    </w:p>
    <w:p w14:paraId="02B82065">
      <w:pPr>
        <w:keepNext w:val="0"/>
        <w:keepLines w:val="0"/>
        <w:pageBreakBefore w:val="0"/>
        <w:kinsoku/>
        <w:overflowPunct/>
        <w:topLinePunct/>
        <w:autoSpaceDE/>
        <w:autoSpaceDN/>
        <w:bidi w:val="0"/>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2</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rPr>
        <w:t>中标人在规定的期限内无正当理由拒绝签订合同,取消原中标决定，招标人可以按照评标报告推荐的中标候选人名单排序，与排名次之的中标候选人签订合同或重新组织招标。</w:t>
      </w:r>
    </w:p>
    <w:p w14:paraId="05A51977">
      <w:pPr>
        <w:keepNext w:val="0"/>
        <w:keepLines w:val="0"/>
        <w:pageBreakBefore w:val="0"/>
        <w:kinsoku/>
        <w:overflowPunct/>
        <w:topLinePunct/>
        <w:autoSpaceDE/>
        <w:autoSpaceDN/>
        <w:bidi w:val="0"/>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3</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rPr>
        <w:t>中标合同，按照监督部门的要求，通过威海市国有企业阳光采购电子化服务平台进行签订。</w:t>
      </w:r>
    </w:p>
    <w:p w14:paraId="75CEEC8C">
      <w:pPr>
        <w:keepNext w:val="0"/>
        <w:keepLines w:val="0"/>
        <w:pageBreakBefore w:val="0"/>
        <w:kinsoku/>
        <w:overflowPunct/>
        <w:topLinePunct/>
        <w:autoSpaceDE/>
        <w:autoSpaceDN/>
        <w:bidi w:val="0"/>
        <w:spacing w:line="520" w:lineRule="exact"/>
        <w:ind w:firstLine="560" w:firstLineChars="200"/>
        <w:textAlignment w:val="auto"/>
        <w:rPr>
          <w:rFonts w:hint="eastAsia" w:ascii="仿宋" w:hAnsi="仿宋" w:eastAsia="仿宋" w:cs="仿宋"/>
          <w:color w:val="auto"/>
          <w:sz w:val="28"/>
          <w:szCs w:val="21"/>
          <w:highlight w:val="none"/>
        </w:rPr>
        <w:sectPr>
          <w:pgSz w:w="11906" w:h="16838"/>
          <w:pgMar w:top="1280" w:right="1142" w:bottom="1118" w:left="1324" w:header="454" w:footer="680" w:gutter="0"/>
          <w:pgNumType w:fmt="decimal"/>
          <w:cols w:space="0" w:num="1"/>
          <w:docGrid w:linePitch="312" w:charSpace="0"/>
        </w:sectPr>
      </w:pPr>
    </w:p>
    <w:p w14:paraId="0BC74B6C">
      <w:pPr>
        <w:pStyle w:val="24"/>
        <w:keepNext w:val="0"/>
        <w:keepLines w:val="0"/>
        <w:pageBreakBefore w:val="0"/>
        <w:numPr>
          <w:ilvl w:val="0"/>
          <w:numId w:val="0"/>
        </w:numPr>
        <w:kinsoku/>
        <w:overflowPunct/>
        <w:topLinePunct/>
        <w:autoSpaceDE/>
        <w:autoSpaceDN/>
        <w:bidi w:val="0"/>
        <w:spacing w:before="100" w:beforeAutospacing="1" w:after="100" w:afterAutospacing="1" w:line="240" w:lineRule="auto"/>
        <w:ind w:left="1440" w:leftChars="0" w:hanging="1440" w:firstLineChars="0"/>
        <w:jc w:val="center"/>
        <w:textAlignment w:val="auto"/>
        <w:rPr>
          <w:rFonts w:hint="eastAsia" w:ascii="仿宋" w:hAnsi="仿宋" w:eastAsia="仿宋" w:cs="仿宋"/>
          <w:b/>
          <w:bCs/>
          <w:color w:val="auto"/>
          <w:kern w:val="0"/>
          <w:sz w:val="48"/>
          <w:szCs w:val="48"/>
          <w:highlight w:val="none"/>
          <w:lang w:val="en-US" w:eastAsia="zh-CN" w:bidi="ar-SA"/>
        </w:rPr>
      </w:pPr>
      <w:bookmarkStart w:id="31" w:name="_Toc156836841"/>
      <w:bookmarkStart w:id="32" w:name="_Toc3232"/>
      <w:bookmarkStart w:id="33" w:name="_Toc18976"/>
      <w:r>
        <w:rPr>
          <w:rFonts w:hint="eastAsia" w:ascii="仿宋" w:hAnsi="仿宋" w:eastAsia="仿宋" w:cs="仿宋"/>
          <w:b/>
          <w:bCs/>
          <w:color w:val="auto"/>
          <w:kern w:val="0"/>
          <w:sz w:val="48"/>
          <w:szCs w:val="48"/>
          <w:highlight w:val="none"/>
          <w:lang w:val="en-US" w:eastAsia="zh-CN" w:bidi="ar-SA"/>
        </w:rPr>
        <w:t xml:space="preserve">第五章 </w:t>
      </w:r>
      <w:bookmarkEnd w:id="31"/>
      <w:bookmarkEnd w:id="32"/>
      <w:r>
        <w:rPr>
          <w:rFonts w:hint="eastAsia" w:ascii="仿宋" w:hAnsi="仿宋" w:eastAsia="仿宋" w:cs="仿宋"/>
          <w:b/>
          <w:bCs/>
          <w:color w:val="auto"/>
          <w:kern w:val="0"/>
          <w:sz w:val="48"/>
          <w:szCs w:val="48"/>
          <w:highlight w:val="none"/>
          <w:lang w:val="en-US" w:eastAsia="zh-CN" w:bidi="ar-SA"/>
        </w:rPr>
        <w:t>投标文件（格式）</w:t>
      </w:r>
      <w:bookmarkEnd w:id="33"/>
    </w:p>
    <w:p w14:paraId="7D38F938">
      <w:pPr>
        <w:pStyle w:val="33"/>
        <w:keepNext w:val="0"/>
        <w:keepLines w:val="0"/>
        <w:pageBreakBefore w:val="0"/>
        <w:kinsoku/>
        <w:overflowPunct/>
        <w:topLinePunct/>
        <w:autoSpaceDE/>
        <w:autoSpaceDN/>
        <w:bidi w:val="0"/>
        <w:textAlignment w:val="auto"/>
        <w:rPr>
          <w:rFonts w:hint="eastAsia" w:ascii="仿宋" w:hAnsi="仿宋" w:eastAsia="仿宋" w:cs="仿宋"/>
          <w:color w:val="auto"/>
          <w:highlight w:val="none"/>
        </w:rPr>
      </w:pPr>
    </w:p>
    <w:p w14:paraId="47E16117">
      <w:pPr>
        <w:keepNext w:val="0"/>
        <w:keepLines w:val="0"/>
        <w:pageBreakBefore w:val="0"/>
        <w:kinsoku/>
        <w:overflowPunct/>
        <w:topLinePunct/>
        <w:autoSpaceDE/>
        <w:autoSpaceDN/>
        <w:bidi w:val="0"/>
        <w:textAlignment w:val="auto"/>
        <w:rPr>
          <w:rFonts w:hint="eastAsia" w:ascii="仿宋" w:hAnsi="仿宋" w:eastAsia="仿宋" w:cs="仿宋"/>
          <w:color w:val="auto"/>
          <w:sz w:val="84"/>
          <w:highlight w:val="none"/>
        </w:rPr>
        <w:sectPr>
          <w:pgSz w:w="11906" w:h="16838"/>
          <w:pgMar w:top="1280" w:right="1142" w:bottom="1118" w:left="1324" w:header="454" w:footer="680" w:gutter="0"/>
          <w:pgNumType w:fmt="decimal"/>
          <w:cols w:space="0" w:num="1"/>
          <w:docGrid w:linePitch="312" w:charSpace="0"/>
        </w:sectPr>
      </w:pPr>
    </w:p>
    <w:p w14:paraId="10F90A80">
      <w:pPr>
        <w:keepNext w:val="0"/>
        <w:keepLines w:val="0"/>
        <w:pageBreakBefore w:val="0"/>
        <w:kinsoku/>
        <w:overflowPunct/>
        <w:topLinePunct/>
        <w:autoSpaceDE/>
        <w:autoSpaceDN/>
        <w:bidi w:val="0"/>
        <w:textAlignment w:val="auto"/>
        <w:outlineLvl w:val="9"/>
        <w:rPr>
          <w:rFonts w:hint="eastAsia" w:ascii="仿宋" w:hAnsi="仿宋" w:eastAsia="仿宋" w:cs="仿宋"/>
          <w:color w:val="auto"/>
          <w:sz w:val="84"/>
          <w:highlight w:val="none"/>
        </w:rPr>
      </w:pPr>
    </w:p>
    <w:p w14:paraId="72ECB120">
      <w:pPr>
        <w:keepNext w:val="0"/>
        <w:keepLines w:val="0"/>
        <w:pageBreakBefore w:val="0"/>
        <w:kinsoku/>
        <w:overflowPunct/>
        <w:topLinePunct/>
        <w:autoSpaceDE/>
        <w:autoSpaceDN/>
        <w:bidi w:val="0"/>
        <w:textAlignment w:val="auto"/>
        <w:outlineLvl w:val="9"/>
        <w:rPr>
          <w:rFonts w:hint="eastAsia" w:ascii="仿宋" w:hAnsi="仿宋" w:eastAsia="仿宋" w:cs="仿宋"/>
          <w:color w:val="auto"/>
          <w:sz w:val="84"/>
          <w:highlight w:val="none"/>
        </w:rPr>
      </w:pPr>
    </w:p>
    <w:p w14:paraId="7F54AFD4">
      <w:pPr>
        <w:keepNext w:val="0"/>
        <w:keepLines w:val="0"/>
        <w:pageBreakBefore w:val="0"/>
        <w:kinsoku/>
        <w:overflowPunct/>
        <w:topLinePunct/>
        <w:autoSpaceDE/>
        <w:autoSpaceDN/>
        <w:bidi w:val="0"/>
        <w:textAlignment w:val="auto"/>
        <w:outlineLvl w:val="9"/>
        <w:rPr>
          <w:rFonts w:hint="eastAsia" w:ascii="仿宋" w:hAnsi="仿宋" w:eastAsia="仿宋" w:cs="仿宋"/>
          <w:color w:val="auto"/>
          <w:sz w:val="84"/>
          <w:highlight w:val="none"/>
        </w:rPr>
      </w:pPr>
    </w:p>
    <w:p w14:paraId="13CE676B">
      <w:pPr>
        <w:keepNext w:val="0"/>
        <w:keepLines w:val="0"/>
        <w:pageBreakBefore w:val="0"/>
        <w:kinsoku/>
        <w:overflowPunct/>
        <w:topLinePunct/>
        <w:autoSpaceDE/>
        <w:autoSpaceDN/>
        <w:bidi w:val="0"/>
        <w:textAlignment w:val="auto"/>
        <w:rPr>
          <w:rFonts w:hint="eastAsia" w:ascii="仿宋" w:hAnsi="仿宋" w:eastAsia="仿宋" w:cs="仿宋"/>
          <w:color w:val="auto"/>
          <w:highlight w:val="none"/>
        </w:rPr>
      </w:pPr>
    </w:p>
    <w:p w14:paraId="6F6E6A7F">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84"/>
          <w:highlight w:val="none"/>
        </w:rPr>
      </w:pPr>
      <w:r>
        <w:rPr>
          <w:rFonts w:hint="eastAsia" w:ascii="仿宋" w:hAnsi="仿宋" w:eastAsia="仿宋" w:cs="仿宋"/>
          <w:color w:val="auto"/>
          <w:sz w:val="84"/>
          <w:highlight w:val="none"/>
          <w:lang w:val="en-US" w:eastAsia="zh-CN"/>
        </w:rPr>
        <w:t>投</w:t>
      </w:r>
      <w:r>
        <w:rPr>
          <w:rFonts w:hint="eastAsia" w:ascii="仿宋" w:hAnsi="仿宋" w:eastAsia="仿宋" w:cs="仿宋"/>
          <w:color w:val="auto"/>
          <w:sz w:val="84"/>
          <w:highlight w:val="none"/>
        </w:rPr>
        <w:t xml:space="preserve"> </w:t>
      </w:r>
      <w:r>
        <w:rPr>
          <w:rFonts w:hint="eastAsia" w:ascii="仿宋" w:hAnsi="仿宋" w:eastAsia="仿宋" w:cs="仿宋"/>
          <w:color w:val="auto"/>
          <w:sz w:val="84"/>
          <w:highlight w:val="none"/>
          <w:lang w:val="en-US" w:eastAsia="zh-CN"/>
        </w:rPr>
        <w:t>标</w:t>
      </w:r>
      <w:r>
        <w:rPr>
          <w:rFonts w:hint="eastAsia" w:ascii="仿宋" w:hAnsi="仿宋" w:eastAsia="仿宋" w:cs="仿宋"/>
          <w:color w:val="auto"/>
          <w:sz w:val="84"/>
          <w:highlight w:val="none"/>
        </w:rPr>
        <w:t xml:space="preserve"> 文 件</w:t>
      </w:r>
    </w:p>
    <w:p w14:paraId="1C52D802">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72"/>
          <w:highlight w:val="none"/>
        </w:rPr>
      </w:pPr>
      <w:r>
        <w:rPr>
          <w:rFonts w:hint="eastAsia" w:ascii="仿宋" w:hAnsi="仿宋" w:eastAsia="仿宋" w:cs="仿宋"/>
          <w:color w:val="auto"/>
          <w:sz w:val="72"/>
          <w:szCs w:val="20"/>
          <w:highlight w:val="none"/>
        </w:rPr>
        <w:t>（第一册）</w:t>
      </w:r>
    </w:p>
    <w:p w14:paraId="7673C8C0">
      <w:pPr>
        <w:keepNext w:val="0"/>
        <w:keepLines w:val="0"/>
        <w:pageBreakBefore w:val="0"/>
        <w:kinsoku/>
        <w:overflowPunct/>
        <w:topLinePunct/>
        <w:autoSpaceDE/>
        <w:autoSpaceDN/>
        <w:bidi w:val="0"/>
        <w:jc w:val="both"/>
        <w:textAlignment w:val="auto"/>
        <w:rPr>
          <w:rFonts w:hint="eastAsia" w:ascii="仿宋" w:hAnsi="仿宋" w:eastAsia="仿宋" w:cs="仿宋"/>
          <w:color w:val="auto"/>
          <w:sz w:val="72"/>
          <w:highlight w:val="none"/>
        </w:rPr>
      </w:pPr>
    </w:p>
    <w:p w14:paraId="0CE0F16B">
      <w:pPr>
        <w:keepNext w:val="0"/>
        <w:keepLines w:val="0"/>
        <w:pageBreakBefore w:val="0"/>
        <w:kinsoku/>
        <w:overflowPunct/>
        <w:topLinePunct/>
        <w:autoSpaceDE/>
        <w:autoSpaceDN/>
        <w:bidi w:val="0"/>
        <w:jc w:val="both"/>
        <w:textAlignment w:val="auto"/>
        <w:rPr>
          <w:rFonts w:hint="eastAsia" w:ascii="仿宋" w:hAnsi="仿宋" w:eastAsia="仿宋" w:cs="仿宋"/>
          <w:color w:val="auto"/>
          <w:sz w:val="72"/>
          <w:highlight w:val="none"/>
        </w:rPr>
      </w:pPr>
    </w:p>
    <w:p w14:paraId="5376F40D">
      <w:pPr>
        <w:pStyle w:val="9"/>
        <w:keepNext w:val="0"/>
        <w:keepLines w:val="0"/>
        <w:pageBreakBefore w:val="0"/>
        <w:kinsoku/>
        <w:overflowPunct/>
        <w:topLinePunct/>
        <w:autoSpaceDE/>
        <w:autoSpaceDN/>
        <w:bidi w:val="0"/>
        <w:textAlignment w:val="auto"/>
        <w:rPr>
          <w:rFonts w:hint="eastAsia" w:ascii="仿宋" w:hAnsi="仿宋" w:eastAsia="仿宋" w:cs="仿宋"/>
          <w:color w:val="auto"/>
          <w:highlight w:val="none"/>
        </w:rPr>
      </w:pPr>
    </w:p>
    <w:p w14:paraId="5E193F1A">
      <w:pPr>
        <w:keepNext w:val="0"/>
        <w:keepLines w:val="0"/>
        <w:pageBreakBefore w:val="0"/>
        <w:kinsoku/>
        <w:overflowPunct/>
        <w:topLinePunct/>
        <w:autoSpaceDE/>
        <w:autoSpaceDN/>
        <w:bidi w:val="0"/>
        <w:spacing w:after="165" w:afterLines="50" w:line="360" w:lineRule="auto"/>
        <w:ind w:firstLine="643" w:firstLineChars="200"/>
        <w:jc w:val="left"/>
        <w:textAlignment w:val="auto"/>
        <w:outlineLvl w:val="9"/>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项目名称：选定景区物料供应入围单位</w:t>
      </w:r>
    </w:p>
    <w:p w14:paraId="1B30628C">
      <w:pPr>
        <w:keepNext w:val="0"/>
        <w:keepLines w:val="0"/>
        <w:pageBreakBefore w:val="0"/>
        <w:kinsoku/>
        <w:overflowPunct/>
        <w:topLinePunct/>
        <w:autoSpaceDE/>
        <w:autoSpaceDN/>
        <w:bidi w:val="0"/>
        <w:spacing w:after="165" w:afterLines="50" w:line="360" w:lineRule="auto"/>
        <w:ind w:firstLine="643" w:firstLineChars="200"/>
        <w:jc w:val="left"/>
        <w:textAlignment w:val="auto"/>
        <w:outlineLvl w:val="9"/>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采购编号：</w:t>
      </w:r>
    </w:p>
    <w:p w14:paraId="6EB0F609">
      <w:pPr>
        <w:keepNext w:val="0"/>
        <w:keepLines w:val="0"/>
        <w:pageBreakBefore w:val="0"/>
        <w:kinsoku/>
        <w:overflowPunct/>
        <w:topLinePunct/>
        <w:autoSpaceDE/>
        <w:autoSpaceDN/>
        <w:bidi w:val="0"/>
        <w:jc w:val="left"/>
        <w:textAlignment w:val="auto"/>
        <w:rPr>
          <w:rFonts w:hint="eastAsia" w:ascii="仿宋" w:hAnsi="仿宋" w:eastAsia="仿宋" w:cs="仿宋"/>
          <w:color w:val="auto"/>
          <w:sz w:val="36"/>
          <w:highlight w:val="none"/>
        </w:rPr>
      </w:pPr>
    </w:p>
    <w:p w14:paraId="3DFDBD07">
      <w:pPr>
        <w:keepNext w:val="0"/>
        <w:keepLines w:val="0"/>
        <w:pageBreakBefore w:val="0"/>
        <w:tabs>
          <w:tab w:val="left" w:pos="580"/>
        </w:tabs>
        <w:kinsoku/>
        <w:overflowPunct/>
        <w:topLinePunct/>
        <w:autoSpaceDE/>
        <w:autoSpaceDN/>
        <w:bidi w:val="0"/>
        <w:ind w:left="185" w:leftChars="88" w:firstLine="1800" w:firstLineChars="500"/>
        <w:textAlignment w:val="auto"/>
        <w:rPr>
          <w:rFonts w:hint="eastAsia" w:ascii="仿宋" w:hAnsi="仿宋" w:eastAsia="仿宋" w:cs="仿宋"/>
          <w:color w:val="auto"/>
          <w:kern w:val="0"/>
          <w:sz w:val="36"/>
          <w:szCs w:val="21"/>
          <w:highlight w:val="none"/>
        </w:rPr>
      </w:pPr>
    </w:p>
    <w:p w14:paraId="756B94DC">
      <w:pPr>
        <w:keepNext w:val="0"/>
        <w:keepLines w:val="0"/>
        <w:pageBreakBefore w:val="0"/>
        <w:tabs>
          <w:tab w:val="left" w:pos="580"/>
        </w:tabs>
        <w:kinsoku/>
        <w:overflowPunct/>
        <w:topLinePunct/>
        <w:autoSpaceDE/>
        <w:autoSpaceDN/>
        <w:bidi w:val="0"/>
        <w:ind w:left="185" w:leftChars="88" w:firstLine="1800" w:firstLineChars="500"/>
        <w:textAlignment w:val="auto"/>
        <w:rPr>
          <w:rFonts w:hint="eastAsia" w:ascii="仿宋" w:hAnsi="仿宋" w:eastAsia="仿宋" w:cs="仿宋"/>
          <w:color w:val="auto"/>
          <w:kern w:val="0"/>
          <w:sz w:val="36"/>
          <w:szCs w:val="36"/>
          <w:highlight w:val="none"/>
        </w:rPr>
      </w:pPr>
    </w:p>
    <w:p w14:paraId="5E53FF7F">
      <w:pPr>
        <w:keepNext w:val="0"/>
        <w:keepLines w:val="0"/>
        <w:pageBreakBefore w:val="0"/>
        <w:tabs>
          <w:tab w:val="left" w:pos="580"/>
        </w:tabs>
        <w:kinsoku/>
        <w:overflowPunct/>
        <w:topLinePunct/>
        <w:autoSpaceDE/>
        <w:autoSpaceDN/>
        <w:bidi w:val="0"/>
        <w:ind w:left="185" w:leftChars="88" w:firstLine="1800" w:firstLineChars="500"/>
        <w:textAlignment w:val="auto"/>
        <w:rPr>
          <w:rFonts w:hint="eastAsia" w:ascii="仿宋" w:hAnsi="仿宋" w:eastAsia="仿宋" w:cs="仿宋"/>
          <w:color w:val="auto"/>
          <w:kern w:val="0"/>
          <w:sz w:val="36"/>
          <w:szCs w:val="36"/>
          <w:highlight w:val="none"/>
        </w:rPr>
      </w:pPr>
    </w:p>
    <w:p w14:paraId="6B5C060E">
      <w:pPr>
        <w:keepNext w:val="0"/>
        <w:keepLines w:val="0"/>
        <w:pageBreakBefore w:val="0"/>
        <w:tabs>
          <w:tab w:val="left" w:pos="580"/>
        </w:tabs>
        <w:kinsoku/>
        <w:overflowPunct/>
        <w:topLinePunct/>
        <w:autoSpaceDE/>
        <w:autoSpaceDN/>
        <w:bidi w:val="0"/>
        <w:ind w:left="185" w:leftChars="88" w:firstLine="1800" w:firstLineChars="500"/>
        <w:textAlignment w:val="auto"/>
        <w:rPr>
          <w:rFonts w:hint="eastAsia" w:ascii="仿宋" w:hAnsi="仿宋" w:eastAsia="仿宋" w:cs="仿宋"/>
          <w:color w:val="auto"/>
          <w:kern w:val="0"/>
          <w:sz w:val="36"/>
          <w:szCs w:val="36"/>
          <w:highlight w:val="none"/>
        </w:rPr>
      </w:pPr>
    </w:p>
    <w:p w14:paraId="7E16333F">
      <w:pPr>
        <w:keepNext w:val="0"/>
        <w:keepLines w:val="0"/>
        <w:pageBreakBefore w:val="0"/>
        <w:tabs>
          <w:tab w:val="left" w:pos="580"/>
        </w:tabs>
        <w:kinsoku/>
        <w:overflowPunct/>
        <w:topLinePunct/>
        <w:autoSpaceDE/>
        <w:autoSpaceDN/>
        <w:bidi w:val="0"/>
        <w:spacing w:line="600" w:lineRule="auto"/>
        <w:jc w:val="center"/>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eastAsia="zh-CN"/>
        </w:rPr>
        <w:t>投标人</w:t>
      </w:r>
      <w:r>
        <w:rPr>
          <w:rFonts w:hint="eastAsia" w:ascii="仿宋" w:hAnsi="仿宋" w:eastAsia="仿宋" w:cs="仿宋"/>
          <w:color w:val="auto"/>
          <w:kern w:val="0"/>
          <w:sz w:val="32"/>
          <w:szCs w:val="32"/>
          <w:highlight w:val="none"/>
        </w:rPr>
        <w:t>名称：***有限公司</w:t>
      </w:r>
    </w:p>
    <w:p w14:paraId="2F84CF6A">
      <w:pPr>
        <w:keepNext w:val="0"/>
        <w:keepLines w:val="0"/>
        <w:pageBreakBefore w:val="0"/>
        <w:tabs>
          <w:tab w:val="left" w:pos="580"/>
        </w:tabs>
        <w:kinsoku/>
        <w:overflowPunct/>
        <w:topLinePunct/>
        <w:autoSpaceDE/>
        <w:autoSpaceDN/>
        <w:bidi w:val="0"/>
        <w:spacing w:line="600" w:lineRule="auto"/>
        <w:jc w:val="center"/>
        <w:textAlignment w:val="auto"/>
        <w:rPr>
          <w:rFonts w:hint="eastAsia" w:ascii="仿宋" w:hAnsi="仿宋" w:eastAsia="仿宋" w:cs="仿宋"/>
          <w:color w:val="auto"/>
          <w:kern w:val="0"/>
          <w:sz w:val="32"/>
          <w:szCs w:val="32"/>
          <w:highlight w:val="none"/>
        </w:rPr>
        <w:sectPr>
          <w:pgSz w:w="11906" w:h="16838"/>
          <w:pgMar w:top="1280" w:right="1142" w:bottom="1118" w:left="1324" w:header="454" w:footer="680" w:gutter="0"/>
          <w:pgNumType w:fmt="decimal"/>
          <w:cols w:space="0" w:num="1"/>
          <w:docGrid w:linePitch="312" w:charSpace="0"/>
        </w:sectPr>
      </w:pPr>
      <w:r>
        <w:rPr>
          <w:rFonts w:hint="eastAsia" w:ascii="仿宋" w:hAnsi="仿宋" w:eastAsia="仿宋" w:cs="仿宋"/>
          <w:color w:val="auto"/>
          <w:kern w:val="0"/>
          <w:sz w:val="32"/>
          <w:szCs w:val="32"/>
          <w:highlight w:val="none"/>
        </w:rPr>
        <w:t xml:space="preserve">日      期：   </w:t>
      </w:r>
      <w:r>
        <w:rPr>
          <w:rFonts w:hint="eastAsia" w:ascii="仿宋" w:hAnsi="仿宋" w:eastAsia="仿宋" w:cs="仿宋"/>
          <w:color w:val="auto"/>
          <w:kern w:val="0"/>
          <w:sz w:val="32"/>
          <w:szCs w:val="32"/>
          <w:highlight w:val="none"/>
          <w:lang w:val="en-US" w:eastAsia="zh-CN"/>
        </w:rPr>
        <w:t xml:space="preserve"> </w:t>
      </w:r>
      <w:r>
        <w:rPr>
          <w:rFonts w:hint="eastAsia" w:ascii="仿宋" w:hAnsi="仿宋" w:eastAsia="仿宋" w:cs="仿宋"/>
          <w:color w:val="auto"/>
          <w:kern w:val="0"/>
          <w:sz w:val="32"/>
          <w:szCs w:val="32"/>
          <w:highlight w:val="none"/>
        </w:rPr>
        <w:t>年  月  日</w:t>
      </w:r>
    </w:p>
    <w:p w14:paraId="68E2B172">
      <w:pPr>
        <w:keepNext w:val="0"/>
        <w:keepLines w:val="0"/>
        <w:pageBreakBefore w:val="0"/>
        <w:widowControl/>
        <w:kinsoku/>
        <w:overflowPunct/>
        <w:topLinePunct/>
        <w:autoSpaceDE/>
        <w:autoSpaceDN/>
        <w:bidi w:val="0"/>
        <w:jc w:val="center"/>
        <w:textAlignment w:val="auto"/>
        <w:rPr>
          <w:rFonts w:hint="eastAsia" w:ascii="仿宋" w:hAnsi="仿宋" w:eastAsia="仿宋" w:cs="仿宋"/>
          <w:color w:val="auto"/>
          <w:sz w:val="44"/>
          <w:szCs w:val="44"/>
          <w:highlight w:val="none"/>
        </w:rPr>
      </w:pPr>
      <w:r>
        <w:rPr>
          <w:rFonts w:hint="eastAsia" w:ascii="仿宋" w:hAnsi="仿宋" w:eastAsia="仿宋" w:cs="仿宋"/>
          <w:b/>
          <w:bCs/>
          <w:color w:val="auto"/>
          <w:sz w:val="44"/>
          <w:szCs w:val="44"/>
          <w:highlight w:val="none"/>
        </w:rPr>
        <w:t>目</w:t>
      </w:r>
      <w:r>
        <w:rPr>
          <w:rFonts w:hint="eastAsia" w:ascii="仿宋" w:hAnsi="仿宋" w:eastAsia="仿宋" w:cs="仿宋"/>
          <w:b/>
          <w:bCs/>
          <w:color w:val="auto"/>
          <w:sz w:val="44"/>
          <w:szCs w:val="44"/>
          <w:highlight w:val="none"/>
          <w:lang w:val="en-US" w:eastAsia="zh-CN"/>
        </w:rPr>
        <w:t xml:space="preserve"> </w:t>
      </w:r>
      <w:r>
        <w:rPr>
          <w:rFonts w:hint="eastAsia" w:ascii="仿宋" w:hAnsi="仿宋" w:eastAsia="仿宋" w:cs="仿宋"/>
          <w:b/>
          <w:bCs/>
          <w:color w:val="auto"/>
          <w:sz w:val="44"/>
          <w:szCs w:val="44"/>
          <w:highlight w:val="none"/>
        </w:rPr>
        <w:t>录</w:t>
      </w:r>
    </w:p>
    <w:p w14:paraId="370EDFE7">
      <w:pPr>
        <w:keepNext w:val="0"/>
        <w:keepLines w:val="0"/>
        <w:pageBreakBefore w:val="0"/>
        <w:widowControl/>
        <w:kinsoku/>
        <w:overflowPunct/>
        <w:topLinePunct/>
        <w:autoSpaceDE/>
        <w:autoSpaceDN/>
        <w:bidi w:val="0"/>
        <w:jc w:val="center"/>
        <w:textAlignment w:val="auto"/>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（由</w:t>
      </w:r>
      <w:r>
        <w:rPr>
          <w:rFonts w:hint="eastAsia" w:ascii="仿宋" w:hAnsi="仿宋" w:eastAsia="仿宋" w:cs="仿宋"/>
          <w:color w:val="auto"/>
          <w:sz w:val="32"/>
          <w:szCs w:val="36"/>
          <w:highlight w:val="none"/>
          <w:lang w:eastAsia="zh-CN"/>
        </w:rPr>
        <w:t>投标人</w:t>
      </w:r>
      <w:r>
        <w:rPr>
          <w:rFonts w:hint="eastAsia" w:ascii="仿宋" w:hAnsi="仿宋" w:eastAsia="仿宋" w:cs="仿宋"/>
          <w:color w:val="auto"/>
          <w:sz w:val="32"/>
          <w:szCs w:val="36"/>
          <w:highlight w:val="none"/>
        </w:rPr>
        <w:t>自行编制</w:t>
      </w:r>
      <w:r>
        <w:rPr>
          <w:rFonts w:hint="eastAsia" w:ascii="仿宋" w:hAnsi="仿宋" w:eastAsia="仿宋" w:cs="仿宋"/>
          <w:color w:val="auto"/>
          <w:sz w:val="32"/>
          <w:szCs w:val="36"/>
          <w:highlight w:val="none"/>
          <w:lang w:eastAsia="zh-CN"/>
        </w:rPr>
        <w:t>，</w:t>
      </w:r>
      <w:r>
        <w:rPr>
          <w:rFonts w:hint="eastAsia" w:ascii="仿宋" w:hAnsi="仿宋" w:eastAsia="仿宋" w:cs="仿宋"/>
          <w:color w:val="auto"/>
          <w:sz w:val="32"/>
          <w:szCs w:val="36"/>
          <w:highlight w:val="none"/>
          <w:lang w:val="en-US" w:eastAsia="zh-CN"/>
        </w:rPr>
        <w:t>页码连续</w:t>
      </w:r>
      <w:r>
        <w:rPr>
          <w:rFonts w:hint="eastAsia" w:ascii="仿宋" w:hAnsi="仿宋" w:eastAsia="仿宋" w:cs="仿宋"/>
          <w:color w:val="auto"/>
          <w:sz w:val="32"/>
          <w:szCs w:val="36"/>
          <w:highlight w:val="none"/>
        </w:rPr>
        <w:t>）</w:t>
      </w:r>
    </w:p>
    <w:p w14:paraId="34B1F333">
      <w:pPr>
        <w:keepNext w:val="0"/>
        <w:keepLines w:val="0"/>
        <w:pageBreakBefore w:val="0"/>
        <w:widowControl/>
        <w:kinsoku/>
        <w:overflowPunct/>
        <w:topLinePunct/>
        <w:autoSpaceDE/>
        <w:autoSpaceDN/>
        <w:bidi w:val="0"/>
        <w:jc w:val="center"/>
        <w:textAlignment w:val="auto"/>
        <w:rPr>
          <w:rFonts w:hint="eastAsia" w:ascii="仿宋" w:hAnsi="仿宋" w:eastAsia="仿宋" w:cs="仿宋"/>
          <w:color w:val="auto"/>
          <w:sz w:val="32"/>
          <w:szCs w:val="36"/>
          <w:highlight w:val="none"/>
        </w:rPr>
        <w:sectPr>
          <w:pgSz w:w="11906" w:h="16838"/>
          <w:pgMar w:top="1280" w:right="1142" w:bottom="1118" w:left="1324" w:header="454" w:footer="680" w:gutter="0"/>
          <w:pgNumType w:fmt="decimal"/>
          <w:cols w:space="0" w:num="1"/>
          <w:docGrid w:linePitch="312" w:charSpace="0"/>
        </w:sectPr>
      </w:pPr>
    </w:p>
    <w:p w14:paraId="2CB17FA1">
      <w:pPr>
        <w:pStyle w:val="15"/>
        <w:keepNext w:val="0"/>
        <w:keepLines w:val="0"/>
        <w:pageBreakBefore w:val="0"/>
        <w:kinsoku/>
        <w:overflowPunct/>
        <w:topLinePunct/>
        <w:autoSpaceDE/>
        <w:autoSpaceDN/>
        <w:bidi w:val="0"/>
        <w:jc w:val="center"/>
        <w:textAlignment w:val="auto"/>
        <w:outlineLvl w:val="1"/>
        <w:rPr>
          <w:rFonts w:hint="eastAsia" w:ascii="仿宋" w:hAnsi="仿宋" w:eastAsia="仿宋" w:cs="仿宋"/>
          <w:b/>
          <w:color w:val="auto"/>
          <w:sz w:val="44"/>
          <w:szCs w:val="44"/>
          <w:highlight w:val="none"/>
        </w:rPr>
      </w:pPr>
      <w:bookmarkStart w:id="34" w:name="_Toc20409"/>
      <w:bookmarkStart w:id="35" w:name="_Toc17037"/>
      <w:r>
        <w:rPr>
          <w:rFonts w:hint="eastAsia" w:ascii="仿宋" w:hAnsi="仿宋" w:eastAsia="仿宋" w:cs="仿宋"/>
          <w:b/>
          <w:color w:val="auto"/>
          <w:sz w:val="44"/>
          <w:szCs w:val="44"/>
          <w:highlight w:val="none"/>
          <w:lang w:val="en-US" w:eastAsia="zh-CN"/>
        </w:rPr>
        <w:t>投标承诺</w:t>
      </w:r>
      <w:r>
        <w:rPr>
          <w:rFonts w:hint="eastAsia" w:ascii="仿宋" w:hAnsi="仿宋" w:eastAsia="仿宋" w:cs="仿宋"/>
          <w:b/>
          <w:color w:val="auto"/>
          <w:sz w:val="44"/>
          <w:szCs w:val="44"/>
          <w:highlight w:val="none"/>
        </w:rPr>
        <w:t>函</w:t>
      </w:r>
      <w:bookmarkEnd w:id="34"/>
      <w:bookmarkEnd w:id="35"/>
    </w:p>
    <w:p w14:paraId="37682268">
      <w:pPr>
        <w:keepNext w:val="0"/>
        <w:keepLines w:val="0"/>
        <w:pageBreakBefore w:val="0"/>
        <w:widowControl/>
        <w:kinsoku/>
        <w:wordWrap/>
        <w:overflowPunct/>
        <w:topLinePunct/>
        <w:autoSpaceDE/>
        <w:autoSpaceDN/>
        <w:bidi w:val="0"/>
        <w:adjustRightInd w:val="0"/>
        <w:snapToGrid w:val="0"/>
        <w:spacing w:line="540" w:lineRule="exact"/>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山东瀚泰建设管理有限公司</w:t>
      </w:r>
      <w:r>
        <w:rPr>
          <w:rFonts w:hint="eastAsia" w:ascii="仿宋" w:hAnsi="仿宋" w:eastAsia="仿宋" w:cs="仿宋"/>
          <w:color w:val="auto"/>
          <w:sz w:val="28"/>
          <w:szCs w:val="28"/>
          <w:highlight w:val="none"/>
        </w:rPr>
        <w:t>：</w:t>
      </w:r>
    </w:p>
    <w:p w14:paraId="655E6336">
      <w:pPr>
        <w:keepNext w:val="0"/>
        <w:keepLines w:val="0"/>
        <w:pageBreakBefore w:val="0"/>
        <w:widowControl w:val="0"/>
        <w:kinsoku/>
        <w:wordWrap/>
        <w:overflowPunct/>
        <w:topLinePunct/>
        <w:autoSpaceDE/>
        <w:autoSpaceDN/>
        <w:bidi w:val="0"/>
        <w:adjustRightInd/>
        <w:snapToGrid w:val="0"/>
        <w:spacing w:line="540" w:lineRule="exact"/>
        <w:ind w:firstLine="562" w:firstLineChars="201"/>
        <w:textAlignment w:val="auto"/>
        <w:rPr>
          <w:rFonts w:hint="eastAsia" w:ascii="仿宋" w:hAnsi="仿宋" w:eastAsia="仿宋" w:cs="仿宋"/>
          <w:color w:val="auto"/>
          <w:kern w:val="0"/>
          <w:sz w:val="28"/>
          <w:szCs w:val="28"/>
          <w:highlight w:val="none"/>
        </w:rPr>
      </w:pPr>
      <w:bookmarkStart w:id="36" w:name="_Toc13714"/>
      <w:r>
        <w:rPr>
          <w:rFonts w:hint="eastAsia" w:ascii="仿宋" w:hAnsi="仿宋" w:eastAsia="仿宋" w:cs="仿宋"/>
          <w:color w:val="auto"/>
          <w:sz w:val="28"/>
          <w:szCs w:val="28"/>
          <w:highlight w:val="none"/>
        </w:rPr>
        <w:t>我方根据项目名称为</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（编号为：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none"/>
          <w:lang w:eastAsia="zh-CN"/>
        </w:rPr>
        <w:t>）</w:t>
      </w:r>
      <w:r>
        <w:rPr>
          <w:rFonts w:hint="eastAsia" w:ascii="仿宋" w:hAnsi="仿宋" w:eastAsia="仿宋" w:cs="仿宋"/>
          <w:color w:val="auto"/>
          <w:sz w:val="28"/>
          <w:szCs w:val="28"/>
          <w:highlight w:val="none"/>
          <w:u w:val="none"/>
          <w:lang w:val="en-US" w:eastAsia="zh-CN"/>
        </w:rPr>
        <w:t>的</w:t>
      </w:r>
      <w:r>
        <w:rPr>
          <w:rFonts w:hint="eastAsia" w:ascii="仿宋" w:hAnsi="仿宋" w:eastAsia="仿宋" w:cs="仿宋"/>
          <w:color w:val="auto"/>
          <w:kern w:val="0"/>
          <w:sz w:val="28"/>
          <w:szCs w:val="28"/>
          <w:highlight w:val="none"/>
          <w:lang w:eastAsia="zh-CN"/>
        </w:rPr>
        <w:t>招标</w:t>
      </w:r>
      <w:r>
        <w:rPr>
          <w:rFonts w:hint="eastAsia" w:ascii="仿宋" w:hAnsi="仿宋" w:eastAsia="仿宋" w:cs="仿宋"/>
          <w:color w:val="auto"/>
          <w:sz w:val="28"/>
          <w:szCs w:val="28"/>
          <w:highlight w:val="none"/>
        </w:rPr>
        <w:t>文件要求，</w:t>
      </w:r>
      <w:bookmarkEnd w:id="36"/>
      <w:r>
        <w:rPr>
          <w:rFonts w:hint="eastAsia" w:ascii="仿宋" w:hAnsi="仿宋" w:eastAsia="仿宋" w:cs="仿宋"/>
          <w:color w:val="auto"/>
          <w:kern w:val="0"/>
          <w:sz w:val="28"/>
          <w:szCs w:val="28"/>
          <w:highlight w:val="none"/>
        </w:rPr>
        <w:t>经详细研究决定参加投标。</w:t>
      </w:r>
    </w:p>
    <w:p w14:paraId="3B020BDA">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我方接受本</w:t>
      </w:r>
      <w:r>
        <w:rPr>
          <w:rFonts w:hint="eastAsia" w:ascii="仿宋" w:hAnsi="仿宋" w:eastAsia="仿宋" w:cs="仿宋"/>
          <w:color w:val="auto"/>
          <w:kern w:val="0"/>
          <w:sz w:val="28"/>
          <w:szCs w:val="28"/>
          <w:highlight w:val="none"/>
          <w:lang w:eastAsia="zh-CN"/>
        </w:rPr>
        <w:t>招标文件</w:t>
      </w:r>
      <w:r>
        <w:rPr>
          <w:rFonts w:hint="eastAsia" w:ascii="仿宋" w:hAnsi="仿宋" w:eastAsia="仿宋" w:cs="仿宋"/>
          <w:color w:val="auto"/>
          <w:kern w:val="0"/>
          <w:sz w:val="28"/>
          <w:szCs w:val="28"/>
          <w:highlight w:val="none"/>
        </w:rPr>
        <w:t>中关于电子招投标的各项规定，遵守《中华人民共和国电子签名法》关于电子签名的各项规定。我方愿意按照招标文件的规定和要求提供服务，报价详见《开标（报价）一览表》。</w:t>
      </w:r>
    </w:p>
    <w:p w14:paraId="1DA25B19">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我方同意</w:t>
      </w:r>
      <w:r>
        <w:rPr>
          <w:rFonts w:hint="eastAsia" w:ascii="仿宋" w:hAnsi="仿宋" w:eastAsia="仿宋" w:cs="仿宋"/>
          <w:color w:val="auto"/>
          <w:kern w:val="0"/>
          <w:sz w:val="28"/>
          <w:szCs w:val="28"/>
          <w:highlight w:val="none"/>
          <w:u w:val="none"/>
        </w:rPr>
        <w:t>90</w:t>
      </w:r>
      <w:r>
        <w:rPr>
          <w:rFonts w:hint="eastAsia" w:ascii="仿宋" w:hAnsi="仿宋" w:eastAsia="仿宋" w:cs="仿宋"/>
          <w:color w:val="auto"/>
          <w:kern w:val="0"/>
          <w:sz w:val="28"/>
          <w:szCs w:val="28"/>
          <w:highlight w:val="none"/>
        </w:rPr>
        <w:t>天的投标有效期，严格遵守投标文件的各项承诺。在此期限届满之前，本投标文件始终对我方具有约束力，并随时接受中标。我方承诺在投标有效期内不修改、撤销投标文件。</w:t>
      </w:r>
    </w:p>
    <w:p w14:paraId="5D81CF92">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我方愿意遵守本招标文件的规定和要求并提供招标文件中要求的所有资料，若投标文件中存在虚假资料的，则视为我方隐瞒真实情况、提供虚假资料，我方愿意接受主管部门做出的行政处罚。</w:t>
      </w:r>
    </w:p>
    <w:p w14:paraId="655E58A9">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4</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如果我方中标：</w:t>
      </w:r>
    </w:p>
    <w:p w14:paraId="23627485">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（1）我方承诺在中标通知书发出后，在规定期限内与招标人签订合同； </w:t>
      </w:r>
    </w:p>
    <w:p w14:paraId="7A0DFBC4">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（2）我方承诺在合同约定的期限内，按期、保质、保量完成</w:t>
      </w:r>
      <w:r>
        <w:rPr>
          <w:rFonts w:hint="eastAsia" w:ascii="仿宋" w:hAnsi="仿宋" w:eastAsia="仿宋" w:cs="仿宋"/>
          <w:color w:val="auto"/>
          <w:kern w:val="0"/>
          <w:sz w:val="28"/>
          <w:szCs w:val="28"/>
          <w:highlight w:val="none"/>
          <w:lang w:val="en-US" w:eastAsia="zh-CN"/>
        </w:rPr>
        <w:t>合同</w:t>
      </w:r>
      <w:r>
        <w:rPr>
          <w:rFonts w:hint="eastAsia" w:ascii="仿宋" w:hAnsi="仿宋" w:eastAsia="仿宋" w:cs="仿宋"/>
          <w:color w:val="auto"/>
          <w:kern w:val="0"/>
          <w:sz w:val="28"/>
          <w:szCs w:val="28"/>
          <w:highlight w:val="none"/>
        </w:rPr>
        <w:t xml:space="preserve">任务； </w:t>
      </w:r>
    </w:p>
    <w:p w14:paraId="60CF9938">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（3）我方承诺将按照招标文件的规定全额交纳代理服务费。 </w:t>
      </w:r>
    </w:p>
    <w:p w14:paraId="5861F0E7">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5</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我方在此声明，所递交的投标文件及有关资料内容完整、真实和准确，如有弄虚作假，一旦中标将取消中标资格。</w:t>
      </w:r>
    </w:p>
    <w:p w14:paraId="2D535468">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6</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所有有关本报价的函电，请按下列地址联系：</w:t>
      </w:r>
    </w:p>
    <w:p w14:paraId="20B80F5F">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单    位：                     邮政编码：</w:t>
      </w:r>
    </w:p>
    <w:p w14:paraId="64EB2F30">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地    址：                     联 系 人：</w:t>
      </w:r>
    </w:p>
    <w:p w14:paraId="54BD37DF">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电    话：                     传    真：</w:t>
      </w:r>
    </w:p>
    <w:p w14:paraId="041017B7">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开户名称：</w:t>
      </w:r>
    </w:p>
    <w:p w14:paraId="51C15EC2">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开户银行：</w:t>
      </w:r>
    </w:p>
    <w:p w14:paraId="558FDC2D">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开户帐号：</w:t>
      </w:r>
    </w:p>
    <w:p w14:paraId="3CA1FF44">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投标人</w:t>
      </w:r>
      <w:r>
        <w:rPr>
          <w:rFonts w:hint="eastAsia" w:ascii="仿宋" w:hAnsi="仿宋" w:eastAsia="仿宋" w:cs="仿宋"/>
          <w:color w:val="auto"/>
          <w:kern w:val="0"/>
          <w:sz w:val="28"/>
          <w:szCs w:val="28"/>
          <w:highlight w:val="none"/>
        </w:rPr>
        <w:t xml:space="preserve">（公章）： </w:t>
      </w:r>
    </w:p>
    <w:p w14:paraId="22C76137">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法定代表人或</w:t>
      </w:r>
      <w:r>
        <w:rPr>
          <w:rFonts w:hint="eastAsia" w:ascii="仿宋" w:hAnsi="仿宋" w:eastAsia="仿宋" w:cs="仿宋"/>
          <w:color w:val="auto"/>
          <w:kern w:val="0"/>
          <w:sz w:val="28"/>
          <w:szCs w:val="28"/>
          <w:highlight w:val="none"/>
          <w:lang w:val="en-US" w:eastAsia="zh-CN"/>
        </w:rPr>
        <w:t>委托代理人</w:t>
      </w:r>
      <w:r>
        <w:rPr>
          <w:rFonts w:hint="eastAsia" w:ascii="仿宋" w:hAnsi="仿宋" w:eastAsia="仿宋" w:cs="仿宋"/>
          <w:color w:val="auto"/>
          <w:kern w:val="0"/>
          <w:sz w:val="28"/>
          <w:szCs w:val="28"/>
          <w:highlight w:val="none"/>
        </w:rPr>
        <w:t>（签字或签章）：</w:t>
      </w:r>
    </w:p>
    <w:p w14:paraId="49A4A33C">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报价</w:t>
      </w:r>
      <w:r>
        <w:rPr>
          <w:rFonts w:hint="eastAsia" w:ascii="仿宋" w:hAnsi="仿宋" w:eastAsia="仿宋" w:cs="仿宋"/>
          <w:color w:val="auto"/>
          <w:kern w:val="0"/>
          <w:sz w:val="28"/>
          <w:szCs w:val="28"/>
          <w:highlight w:val="none"/>
        </w:rPr>
        <w:t>日期：</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日</w:t>
      </w:r>
    </w:p>
    <w:p w14:paraId="2686F566">
      <w:pPr>
        <w:keepNext w:val="0"/>
        <w:keepLines w:val="0"/>
        <w:pageBreakBefore w:val="0"/>
        <w:kinsoku/>
        <w:wordWrap/>
        <w:overflowPunct/>
        <w:topLinePunct/>
        <w:autoSpaceDE/>
        <w:autoSpaceDN/>
        <w:bidi w:val="0"/>
        <w:spacing w:line="520" w:lineRule="exact"/>
        <w:ind w:firstLine="641"/>
        <w:textAlignment w:val="auto"/>
        <w:rPr>
          <w:rFonts w:hint="eastAsia" w:ascii="仿宋" w:hAnsi="仿宋" w:eastAsia="仿宋" w:cs="仿宋"/>
          <w:color w:val="auto"/>
          <w:kern w:val="0"/>
          <w:sz w:val="28"/>
          <w:szCs w:val="28"/>
          <w:highlight w:val="none"/>
        </w:rPr>
        <w:sectPr>
          <w:pgSz w:w="11906" w:h="16838"/>
          <w:pgMar w:top="1280" w:right="1142" w:bottom="1118" w:left="1324" w:header="454" w:footer="680" w:gutter="0"/>
          <w:pgNumType w:fmt="decimal"/>
          <w:cols w:space="0" w:num="1"/>
          <w:docGrid w:linePitch="312" w:charSpace="0"/>
        </w:sectPr>
      </w:pPr>
    </w:p>
    <w:p w14:paraId="27BFFE26">
      <w:pPr>
        <w:pStyle w:val="15"/>
        <w:keepNext w:val="0"/>
        <w:keepLines w:val="0"/>
        <w:pageBreakBefore w:val="0"/>
        <w:kinsoku/>
        <w:overflowPunct/>
        <w:topLinePunct/>
        <w:autoSpaceDE/>
        <w:autoSpaceDN/>
        <w:bidi w:val="0"/>
        <w:jc w:val="center"/>
        <w:textAlignment w:val="auto"/>
        <w:outlineLvl w:val="1"/>
        <w:rPr>
          <w:rFonts w:hint="eastAsia" w:ascii="仿宋" w:hAnsi="仿宋" w:eastAsia="仿宋" w:cs="仿宋"/>
          <w:b/>
          <w:color w:val="auto"/>
          <w:sz w:val="44"/>
          <w:szCs w:val="44"/>
          <w:highlight w:val="none"/>
        </w:rPr>
      </w:pPr>
      <w:bookmarkStart w:id="37" w:name="_Toc11495"/>
      <w:r>
        <w:rPr>
          <w:rFonts w:hint="eastAsia" w:ascii="仿宋" w:hAnsi="仿宋" w:eastAsia="仿宋" w:cs="仿宋"/>
          <w:b/>
          <w:color w:val="auto"/>
          <w:sz w:val="44"/>
          <w:szCs w:val="44"/>
          <w:highlight w:val="none"/>
          <w:lang w:eastAsia="zh-CN"/>
        </w:rPr>
        <w:t>投标人</w:t>
      </w:r>
      <w:r>
        <w:rPr>
          <w:rFonts w:hint="eastAsia" w:ascii="仿宋" w:hAnsi="仿宋" w:eastAsia="仿宋" w:cs="仿宋"/>
          <w:b/>
          <w:color w:val="auto"/>
          <w:sz w:val="44"/>
          <w:szCs w:val="44"/>
          <w:highlight w:val="none"/>
        </w:rPr>
        <w:t>资格证明文件</w:t>
      </w:r>
      <w:bookmarkEnd w:id="37"/>
    </w:p>
    <w:p w14:paraId="2A6AFACA">
      <w:pPr>
        <w:pStyle w:val="15"/>
        <w:keepNext w:val="0"/>
        <w:keepLines w:val="0"/>
        <w:pageBreakBefore w:val="0"/>
        <w:kinsoku/>
        <w:overflowPunct/>
        <w:topLinePunct/>
        <w:autoSpaceDE/>
        <w:autoSpaceDN/>
        <w:bidi w:val="0"/>
        <w:jc w:val="center"/>
        <w:textAlignment w:val="auto"/>
        <w:outlineLvl w:val="9"/>
        <w:rPr>
          <w:rFonts w:hint="eastAsia" w:ascii="仿宋" w:hAnsi="仿宋" w:eastAsia="仿宋" w:cs="仿宋"/>
          <w:b/>
          <w:color w:val="auto"/>
          <w:sz w:val="44"/>
          <w:szCs w:val="44"/>
          <w:highlight w:val="none"/>
        </w:rPr>
      </w:pPr>
    </w:p>
    <w:p w14:paraId="09D85371">
      <w:pPr>
        <w:pStyle w:val="15"/>
        <w:keepNext w:val="0"/>
        <w:keepLines w:val="0"/>
        <w:pageBreakBefore w:val="0"/>
        <w:kinsoku/>
        <w:overflowPunct/>
        <w:topLinePunct/>
        <w:autoSpaceDE/>
        <w:autoSpaceDN/>
        <w:bidi w:val="0"/>
        <w:jc w:val="center"/>
        <w:textAlignment w:val="auto"/>
        <w:outlineLvl w:val="2"/>
        <w:rPr>
          <w:rFonts w:hint="eastAsia" w:ascii="仿宋" w:hAnsi="仿宋" w:eastAsia="仿宋" w:cs="仿宋"/>
          <w:b/>
          <w:color w:val="auto"/>
          <w:sz w:val="36"/>
          <w:szCs w:val="36"/>
          <w:highlight w:val="none"/>
          <w:lang w:val="en-US" w:eastAsia="zh-CN"/>
        </w:rPr>
      </w:pPr>
      <w:bookmarkStart w:id="38" w:name="_Toc152578597"/>
      <w:r>
        <w:rPr>
          <w:rFonts w:hint="eastAsia" w:ascii="仿宋" w:hAnsi="仿宋" w:eastAsia="仿宋" w:cs="仿宋"/>
          <w:b/>
          <w:color w:val="auto"/>
          <w:sz w:val="36"/>
          <w:szCs w:val="36"/>
          <w:highlight w:val="none"/>
          <w:lang w:val="en-US" w:eastAsia="zh-CN"/>
        </w:rPr>
        <w:t>有效的营业执照扫描件或其他能证明具有独立承担民事责任能力的材料扫描件</w:t>
      </w:r>
      <w:bookmarkEnd w:id="38"/>
    </w:p>
    <w:p w14:paraId="4DC8740C">
      <w:pPr>
        <w:pStyle w:val="15"/>
        <w:keepNext w:val="0"/>
        <w:keepLines w:val="0"/>
        <w:pageBreakBefore w:val="0"/>
        <w:kinsoku/>
        <w:overflowPunct/>
        <w:topLinePunct/>
        <w:autoSpaceDE/>
        <w:autoSpaceDN/>
        <w:bidi w:val="0"/>
        <w:jc w:val="center"/>
        <w:textAlignment w:val="auto"/>
        <w:outlineLvl w:val="9"/>
        <w:rPr>
          <w:rFonts w:hint="eastAsia" w:ascii="仿宋" w:hAnsi="仿宋" w:eastAsia="仿宋" w:cs="仿宋"/>
          <w:b/>
          <w:color w:val="auto"/>
          <w:sz w:val="36"/>
          <w:szCs w:val="36"/>
          <w:highlight w:val="none"/>
          <w:lang w:val="en-US" w:eastAsia="zh-CN"/>
        </w:rPr>
        <w:sectPr>
          <w:pgSz w:w="11906" w:h="16838"/>
          <w:pgMar w:top="1280" w:right="1142" w:bottom="1118" w:left="1324" w:header="454" w:footer="680" w:gutter="0"/>
          <w:pgNumType w:fmt="decimal"/>
          <w:cols w:space="0" w:num="1"/>
          <w:docGrid w:linePitch="312" w:charSpace="0"/>
        </w:sectPr>
      </w:pPr>
      <w:r>
        <w:rPr>
          <w:rFonts w:hint="eastAsia" w:ascii="仿宋" w:hAnsi="仿宋" w:eastAsia="仿宋" w:cs="仿宋"/>
          <w:b/>
          <w:color w:val="auto"/>
          <w:sz w:val="36"/>
          <w:szCs w:val="36"/>
          <w:highlight w:val="none"/>
          <w:lang w:val="en-US" w:eastAsia="zh-CN"/>
        </w:rPr>
        <w:t>（盖公章）</w:t>
      </w:r>
    </w:p>
    <w:p w14:paraId="5CB3A3E8">
      <w:pPr>
        <w:pStyle w:val="15"/>
        <w:keepNext w:val="0"/>
        <w:keepLines w:val="0"/>
        <w:pageBreakBefore w:val="0"/>
        <w:kinsoku/>
        <w:overflowPunct/>
        <w:topLinePunct/>
        <w:autoSpaceDE/>
        <w:autoSpaceDN/>
        <w:bidi w:val="0"/>
        <w:jc w:val="center"/>
        <w:textAlignment w:val="auto"/>
        <w:outlineLvl w:val="2"/>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法定代表人身份证明书</w:t>
      </w:r>
    </w:p>
    <w:p w14:paraId="3FB4EE60">
      <w:pPr>
        <w:pStyle w:val="15"/>
        <w:keepNext w:val="0"/>
        <w:keepLines w:val="0"/>
        <w:pageBreakBefore w:val="0"/>
        <w:kinsoku/>
        <w:overflowPunct/>
        <w:topLinePunct/>
        <w:autoSpaceDE/>
        <w:autoSpaceDN/>
        <w:bidi w:val="0"/>
        <w:jc w:val="center"/>
        <w:textAlignment w:val="auto"/>
        <w:outlineLvl w:val="9"/>
        <w:rPr>
          <w:rFonts w:hint="eastAsia" w:ascii="仿宋" w:hAnsi="仿宋" w:eastAsia="仿宋" w:cs="仿宋"/>
          <w:b/>
          <w:color w:val="auto"/>
          <w:sz w:val="36"/>
          <w:szCs w:val="36"/>
          <w:highlight w:val="none"/>
        </w:rPr>
      </w:pPr>
    </w:p>
    <w:p w14:paraId="4F4A19D9">
      <w:pPr>
        <w:keepNext w:val="0"/>
        <w:keepLines w:val="0"/>
        <w:pageBreakBefore w:val="0"/>
        <w:kinsoku/>
        <w:overflowPunct/>
        <w:topLinePunct/>
        <w:autoSpaceDE/>
        <w:autoSpaceDN/>
        <w:bidi w:val="0"/>
        <w:spacing w:line="480" w:lineRule="auto"/>
        <w:ind w:firstLine="560" w:firstLineChars="200"/>
        <w:textAlignment w:val="auto"/>
        <w:rPr>
          <w:rFonts w:hint="eastAsia" w:ascii="仿宋" w:hAnsi="仿宋" w:eastAsia="仿宋" w:cs="仿宋"/>
          <w:color w:val="auto"/>
          <w:sz w:val="28"/>
          <w:szCs w:val="21"/>
          <w:highlight w:val="none"/>
          <w:u w:val="single"/>
        </w:rPr>
      </w:pPr>
      <w:r>
        <w:rPr>
          <w:rFonts w:hint="eastAsia" w:ascii="仿宋" w:hAnsi="仿宋" w:eastAsia="仿宋" w:cs="仿宋"/>
          <w:color w:val="auto"/>
          <w:sz w:val="28"/>
          <w:szCs w:val="21"/>
          <w:highlight w:val="none"/>
        </w:rPr>
        <w:t>投标人名称：</w:t>
      </w:r>
      <w:r>
        <w:rPr>
          <w:rFonts w:hint="eastAsia" w:ascii="仿宋" w:hAnsi="仿宋" w:eastAsia="仿宋" w:cs="仿宋"/>
          <w:color w:val="auto"/>
          <w:sz w:val="28"/>
          <w:szCs w:val="21"/>
          <w:highlight w:val="none"/>
          <w:u w:val="single"/>
        </w:rPr>
        <w:t xml:space="preserve">                </w:t>
      </w:r>
    </w:p>
    <w:p w14:paraId="6E47DB74">
      <w:pPr>
        <w:keepNext w:val="0"/>
        <w:keepLines w:val="0"/>
        <w:pageBreakBefore w:val="0"/>
        <w:kinsoku/>
        <w:overflowPunct/>
        <w:topLinePunct/>
        <w:autoSpaceDE/>
        <w:autoSpaceDN/>
        <w:bidi w:val="0"/>
        <w:spacing w:line="480" w:lineRule="auto"/>
        <w:ind w:firstLine="560" w:firstLineChars="200"/>
        <w:textAlignment w:val="auto"/>
        <w:rPr>
          <w:rFonts w:hint="eastAsia" w:ascii="仿宋" w:hAnsi="仿宋" w:eastAsia="仿宋" w:cs="仿宋"/>
          <w:color w:val="auto"/>
          <w:sz w:val="28"/>
          <w:szCs w:val="21"/>
          <w:highlight w:val="none"/>
          <w:u w:val="single"/>
        </w:rPr>
      </w:pPr>
      <w:r>
        <w:rPr>
          <w:rFonts w:hint="eastAsia" w:ascii="仿宋" w:hAnsi="仿宋" w:eastAsia="仿宋" w:cs="仿宋"/>
          <w:color w:val="auto"/>
          <w:sz w:val="28"/>
          <w:szCs w:val="21"/>
          <w:highlight w:val="none"/>
        </w:rPr>
        <w:t>单位性质：</w:t>
      </w:r>
      <w:r>
        <w:rPr>
          <w:rFonts w:hint="eastAsia" w:ascii="仿宋" w:hAnsi="仿宋" w:eastAsia="仿宋" w:cs="仿宋"/>
          <w:color w:val="auto"/>
          <w:sz w:val="28"/>
          <w:szCs w:val="21"/>
          <w:highlight w:val="none"/>
          <w:u w:val="single"/>
        </w:rPr>
        <w:t xml:space="preserve">             </w:t>
      </w:r>
    </w:p>
    <w:p w14:paraId="63293907">
      <w:pPr>
        <w:keepNext w:val="0"/>
        <w:keepLines w:val="0"/>
        <w:pageBreakBefore w:val="0"/>
        <w:kinsoku/>
        <w:overflowPunct/>
        <w:topLinePunct/>
        <w:autoSpaceDE/>
        <w:autoSpaceDN/>
        <w:bidi w:val="0"/>
        <w:spacing w:line="480" w:lineRule="auto"/>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地址：</w:t>
      </w:r>
      <w:r>
        <w:rPr>
          <w:rFonts w:hint="eastAsia" w:ascii="仿宋" w:hAnsi="仿宋" w:eastAsia="仿宋" w:cs="仿宋"/>
          <w:color w:val="auto"/>
          <w:sz w:val="28"/>
          <w:szCs w:val="21"/>
          <w:highlight w:val="none"/>
          <w:u w:val="single"/>
        </w:rPr>
        <w:t xml:space="preserve">                  </w:t>
      </w:r>
    </w:p>
    <w:p w14:paraId="4B594086">
      <w:pPr>
        <w:keepNext w:val="0"/>
        <w:keepLines w:val="0"/>
        <w:pageBreakBefore w:val="0"/>
        <w:kinsoku/>
        <w:overflowPunct/>
        <w:topLinePunct/>
        <w:autoSpaceDE/>
        <w:autoSpaceDN/>
        <w:bidi w:val="0"/>
        <w:spacing w:line="480" w:lineRule="auto"/>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成立时间：</w:t>
      </w:r>
      <w:r>
        <w:rPr>
          <w:rFonts w:hint="eastAsia" w:ascii="仿宋" w:hAnsi="仿宋" w:eastAsia="仿宋" w:cs="仿宋"/>
          <w:color w:val="auto"/>
          <w:sz w:val="28"/>
          <w:szCs w:val="21"/>
          <w:highlight w:val="none"/>
          <w:u w:val="single"/>
        </w:rPr>
        <w:t xml:space="preserve">                  </w:t>
      </w:r>
    </w:p>
    <w:p w14:paraId="27556517">
      <w:pPr>
        <w:keepNext w:val="0"/>
        <w:keepLines w:val="0"/>
        <w:pageBreakBefore w:val="0"/>
        <w:kinsoku/>
        <w:overflowPunct/>
        <w:topLinePunct/>
        <w:autoSpaceDE/>
        <w:autoSpaceDN/>
        <w:bidi w:val="0"/>
        <w:spacing w:line="480" w:lineRule="auto"/>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经营期限：</w:t>
      </w:r>
      <w:r>
        <w:rPr>
          <w:rFonts w:hint="eastAsia" w:ascii="仿宋" w:hAnsi="仿宋" w:eastAsia="仿宋" w:cs="仿宋"/>
          <w:color w:val="auto"/>
          <w:sz w:val="28"/>
          <w:szCs w:val="21"/>
          <w:highlight w:val="none"/>
          <w:u w:val="single"/>
        </w:rPr>
        <w:t xml:space="preserve">                  </w:t>
      </w:r>
    </w:p>
    <w:p w14:paraId="69346E42">
      <w:pPr>
        <w:keepNext w:val="0"/>
        <w:keepLines w:val="0"/>
        <w:pageBreakBefore w:val="0"/>
        <w:kinsoku/>
        <w:overflowPunct/>
        <w:topLinePunct/>
        <w:autoSpaceDE/>
        <w:autoSpaceDN/>
        <w:bidi w:val="0"/>
        <w:spacing w:line="480" w:lineRule="auto"/>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姓名：</w:t>
      </w:r>
      <w:r>
        <w:rPr>
          <w:rFonts w:hint="eastAsia" w:ascii="仿宋" w:hAnsi="仿宋" w:eastAsia="仿宋" w:cs="仿宋"/>
          <w:color w:val="auto"/>
          <w:sz w:val="28"/>
          <w:szCs w:val="21"/>
          <w:highlight w:val="none"/>
          <w:u w:val="single"/>
        </w:rPr>
        <w:t xml:space="preserve">        </w:t>
      </w:r>
      <w:r>
        <w:rPr>
          <w:rFonts w:hint="eastAsia" w:ascii="仿宋" w:hAnsi="仿宋" w:eastAsia="仿宋" w:cs="仿宋"/>
          <w:color w:val="auto"/>
          <w:sz w:val="28"/>
          <w:szCs w:val="21"/>
          <w:highlight w:val="none"/>
        </w:rPr>
        <w:t xml:space="preserve">  性别：</w:t>
      </w:r>
      <w:r>
        <w:rPr>
          <w:rFonts w:hint="eastAsia" w:ascii="仿宋" w:hAnsi="仿宋" w:eastAsia="仿宋" w:cs="仿宋"/>
          <w:color w:val="auto"/>
          <w:sz w:val="28"/>
          <w:szCs w:val="21"/>
          <w:highlight w:val="none"/>
          <w:u w:val="single"/>
        </w:rPr>
        <w:t xml:space="preserve">        </w:t>
      </w:r>
      <w:r>
        <w:rPr>
          <w:rFonts w:hint="eastAsia" w:ascii="仿宋" w:hAnsi="仿宋" w:eastAsia="仿宋" w:cs="仿宋"/>
          <w:color w:val="auto"/>
          <w:sz w:val="28"/>
          <w:szCs w:val="21"/>
          <w:highlight w:val="none"/>
        </w:rPr>
        <w:t xml:space="preserve">  年龄：</w:t>
      </w:r>
      <w:r>
        <w:rPr>
          <w:rFonts w:hint="eastAsia" w:ascii="仿宋" w:hAnsi="仿宋" w:eastAsia="仿宋" w:cs="仿宋"/>
          <w:color w:val="auto"/>
          <w:sz w:val="28"/>
          <w:szCs w:val="21"/>
          <w:highlight w:val="none"/>
          <w:u w:val="single"/>
        </w:rPr>
        <w:t xml:space="preserve">        </w:t>
      </w:r>
      <w:r>
        <w:rPr>
          <w:rFonts w:hint="eastAsia" w:ascii="仿宋" w:hAnsi="仿宋" w:eastAsia="仿宋" w:cs="仿宋"/>
          <w:color w:val="auto"/>
          <w:sz w:val="28"/>
          <w:szCs w:val="21"/>
          <w:highlight w:val="none"/>
        </w:rPr>
        <w:t xml:space="preserve">  职务：</w:t>
      </w:r>
      <w:r>
        <w:rPr>
          <w:rFonts w:hint="eastAsia" w:ascii="仿宋" w:hAnsi="仿宋" w:eastAsia="仿宋" w:cs="仿宋"/>
          <w:color w:val="auto"/>
          <w:sz w:val="28"/>
          <w:szCs w:val="21"/>
          <w:highlight w:val="none"/>
          <w:u w:val="single"/>
        </w:rPr>
        <w:t xml:space="preserve">        </w:t>
      </w:r>
      <w:r>
        <w:rPr>
          <w:rFonts w:hint="eastAsia" w:ascii="仿宋" w:hAnsi="仿宋" w:eastAsia="仿宋" w:cs="仿宋"/>
          <w:color w:val="auto"/>
          <w:sz w:val="28"/>
          <w:szCs w:val="21"/>
          <w:highlight w:val="none"/>
        </w:rPr>
        <w:t xml:space="preserve">  </w:t>
      </w:r>
    </w:p>
    <w:p w14:paraId="0679D1C5">
      <w:pPr>
        <w:keepNext w:val="0"/>
        <w:keepLines w:val="0"/>
        <w:pageBreakBefore w:val="0"/>
        <w:kinsoku/>
        <w:overflowPunct/>
        <w:topLinePunct/>
        <w:autoSpaceDE/>
        <w:autoSpaceDN/>
        <w:bidi w:val="0"/>
        <w:spacing w:line="480" w:lineRule="auto"/>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系</w:t>
      </w:r>
      <w:r>
        <w:rPr>
          <w:rFonts w:hint="eastAsia" w:ascii="仿宋" w:hAnsi="仿宋" w:eastAsia="仿宋" w:cs="仿宋"/>
          <w:color w:val="auto"/>
          <w:sz w:val="28"/>
          <w:szCs w:val="21"/>
          <w:highlight w:val="none"/>
          <w:u w:val="single"/>
        </w:rPr>
        <w:t xml:space="preserve">  （投标人名称）</w:t>
      </w:r>
      <w:r>
        <w:rPr>
          <w:rFonts w:hint="eastAsia" w:ascii="仿宋" w:hAnsi="仿宋" w:eastAsia="仿宋" w:cs="仿宋"/>
          <w:color w:val="auto"/>
          <w:sz w:val="28"/>
          <w:szCs w:val="21"/>
          <w:highlight w:val="none"/>
          <w:u w:val="single"/>
          <w:lang w:val="en-US" w:eastAsia="zh-CN"/>
        </w:rPr>
        <w:t xml:space="preserve">  </w:t>
      </w:r>
      <w:r>
        <w:rPr>
          <w:rFonts w:hint="eastAsia" w:ascii="仿宋" w:hAnsi="仿宋" w:eastAsia="仿宋" w:cs="仿宋"/>
          <w:color w:val="auto"/>
          <w:sz w:val="28"/>
          <w:szCs w:val="21"/>
          <w:highlight w:val="none"/>
        </w:rPr>
        <w:t>的法定代表人。</w:t>
      </w:r>
    </w:p>
    <w:p w14:paraId="33CFCEDD">
      <w:pPr>
        <w:keepNext w:val="0"/>
        <w:keepLines w:val="0"/>
        <w:pageBreakBefore w:val="0"/>
        <w:kinsoku/>
        <w:overflowPunct/>
        <w:topLinePunct/>
        <w:autoSpaceDE/>
        <w:autoSpaceDN/>
        <w:bidi w:val="0"/>
        <w:spacing w:line="48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1"/>
          <w:highlight w:val="none"/>
        </w:rPr>
        <w:t>特此证明。</w:t>
      </w:r>
    </w:p>
    <w:tbl>
      <w:tblPr>
        <w:tblStyle w:val="26"/>
        <w:tblpPr w:leftFromText="180" w:rightFromText="180" w:vertAnchor="text" w:horzAnchor="margin" w:tblpY="13"/>
        <w:tblOverlap w:val="never"/>
        <w:tblW w:w="9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380"/>
      </w:tblGrid>
      <w:tr w14:paraId="07ACF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77" w:hRule="atLeast"/>
        </w:trPr>
        <w:tc>
          <w:tcPr>
            <w:tcW w:w="9380" w:type="dxa"/>
            <w:tcBorders>
              <w:top w:val="single" w:color="auto" w:sz="4" w:space="0"/>
              <w:left w:val="single" w:color="auto" w:sz="4" w:space="0"/>
              <w:bottom w:val="single" w:color="auto" w:sz="4" w:space="0"/>
              <w:right w:val="single" w:color="auto" w:sz="4" w:space="0"/>
            </w:tcBorders>
            <w:shd w:val="clear" w:color="auto" w:fill="auto"/>
            <w:vAlign w:val="center"/>
          </w:tcPr>
          <w:p w14:paraId="47F9A471">
            <w:pPr>
              <w:keepNext w:val="0"/>
              <w:keepLines w:val="0"/>
              <w:pageBreakBefore w:val="0"/>
              <w:widowControl/>
              <w:kinsoku/>
              <w:overflowPunct/>
              <w:topLinePunct/>
              <w:autoSpaceDE/>
              <w:autoSpaceDN/>
              <w:bidi w:val="0"/>
              <w:spacing w:beforeAutospacing="1" w:afterAutospacing="1" w:line="360" w:lineRule="auto"/>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r>
              <w:rPr>
                <w:rFonts w:hint="eastAsia" w:ascii="仿宋" w:hAnsi="仿宋" w:eastAsia="仿宋" w:cs="仿宋"/>
                <w:color w:val="auto"/>
                <w:kern w:val="0"/>
                <w:sz w:val="28"/>
                <w:szCs w:val="28"/>
                <w:highlight w:val="none"/>
              </w:rPr>
              <w:t>身份证正</w:t>
            </w:r>
            <w:r>
              <w:rPr>
                <w:rFonts w:hint="eastAsia" w:ascii="仿宋" w:hAnsi="仿宋" w:eastAsia="仿宋" w:cs="仿宋"/>
                <w:color w:val="auto"/>
                <w:kern w:val="0"/>
                <w:sz w:val="28"/>
                <w:szCs w:val="28"/>
                <w:highlight w:val="none"/>
                <w:lang w:val="en-US" w:eastAsia="zh-CN"/>
              </w:rPr>
              <w:t>反</w:t>
            </w:r>
            <w:r>
              <w:rPr>
                <w:rFonts w:hint="eastAsia" w:ascii="仿宋" w:hAnsi="仿宋" w:eastAsia="仿宋" w:cs="仿宋"/>
                <w:color w:val="auto"/>
                <w:kern w:val="0"/>
                <w:sz w:val="28"/>
                <w:szCs w:val="28"/>
                <w:highlight w:val="none"/>
              </w:rPr>
              <w:t>面扫描件</w:t>
            </w:r>
          </w:p>
        </w:tc>
      </w:tr>
    </w:tbl>
    <w:p w14:paraId="53DA6984">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color w:val="auto"/>
          <w:sz w:val="28"/>
          <w:szCs w:val="28"/>
          <w:highlight w:val="none"/>
          <w:lang w:eastAsia="zh-CN"/>
        </w:rPr>
      </w:pPr>
    </w:p>
    <w:p w14:paraId="5FC3946D">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color w:val="auto"/>
          <w:sz w:val="28"/>
          <w:szCs w:val="28"/>
          <w:highlight w:val="none"/>
          <w:lang w:eastAsia="zh-CN"/>
        </w:rPr>
      </w:pPr>
    </w:p>
    <w:p w14:paraId="28019B47">
      <w:pPr>
        <w:keepNext w:val="0"/>
        <w:keepLines w:val="0"/>
        <w:pageBreakBefore w:val="0"/>
        <w:kinsoku/>
        <w:wordWrap/>
        <w:overflowPunct/>
        <w:topLinePunct/>
        <w:autoSpaceDE/>
        <w:autoSpaceDN/>
        <w:bidi w:val="0"/>
        <w:spacing w:line="480" w:lineRule="auto"/>
        <w:ind w:firstLine="6440" w:firstLineChars="23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投标人</w:t>
      </w:r>
      <w:r>
        <w:rPr>
          <w:rFonts w:hint="eastAsia" w:ascii="仿宋" w:hAnsi="仿宋" w:eastAsia="仿宋" w:cs="仿宋"/>
          <w:color w:val="auto"/>
          <w:kern w:val="0"/>
          <w:sz w:val="28"/>
          <w:szCs w:val="28"/>
          <w:highlight w:val="none"/>
        </w:rPr>
        <w:t xml:space="preserve">（公章）： </w:t>
      </w:r>
    </w:p>
    <w:p w14:paraId="483421F1">
      <w:pPr>
        <w:keepNext w:val="0"/>
        <w:keepLines w:val="0"/>
        <w:pageBreakBefore w:val="0"/>
        <w:kinsoku/>
        <w:overflowPunct/>
        <w:topLinePunct/>
        <w:autoSpaceDE/>
        <w:autoSpaceDN/>
        <w:bidi w:val="0"/>
        <w:snapToGrid w:val="0"/>
        <w:spacing w:line="480" w:lineRule="auto"/>
        <w:ind w:firstLine="6440" w:firstLineChars="23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日期：</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日</w:t>
      </w:r>
    </w:p>
    <w:p w14:paraId="1D5B28D0">
      <w:pPr>
        <w:keepNext w:val="0"/>
        <w:keepLines w:val="0"/>
        <w:pageBreakBefore w:val="0"/>
        <w:kinsoku/>
        <w:overflowPunct/>
        <w:topLinePunct/>
        <w:autoSpaceDE/>
        <w:autoSpaceDN/>
        <w:bidi w:val="0"/>
        <w:snapToGrid w:val="0"/>
        <w:spacing w:line="480" w:lineRule="auto"/>
        <w:ind w:firstLine="6440" w:firstLineChars="2300"/>
        <w:textAlignment w:val="auto"/>
        <w:rPr>
          <w:rFonts w:hint="eastAsia" w:ascii="仿宋" w:hAnsi="仿宋" w:eastAsia="仿宋" w:cs="仿宋"/>
          <w:color w:val="auto"/>
          <w:kern w:val="0"/>
          <w:sz w:val="28"/>
          <w:szCs w:val="28"/>
          <w:highlight w:val="none"/>
        </w:rPr>
      </w:pPr>
    </w:p>
    <w:p w14:paraId="0C9EC983">
      <w:pPr>
        <w:keepNext w:val="0"/>
        <w:keepLines w:val="0"/>
        <w:pageBreakBefore w:val="0"/>
        <w:widowControl w:val="0"/>
        <w:kinsoku/>
        <w:wordWrap/>
        <w:overflowPunct/>
        <w:topLinePunct/>
        <w:autoSpaceDE/>
        <w:autoSpaceDN/>
        <w:bidi w:val="0"/>
        <w:adjustRightInd/>
        <w:snapToGrid/>
        <w:spacing w:line="460" w:lineRule="exact"/>
        <w:ind w:firstLine="5880" w:firstLineChars="2100"/>
        <w:textAlignment w:val="auto"/>
        <w:rPr>
          <w:rFonts w:hint="eastAsia" w:ascii="仿宋" w:hAnsi="仿宋" w:eastAsia="仿宋" w:cs="仿宋"/>
          <w:color w:val="auto"/>
          <w:sz w:val="28"/>
          <w:szCs w:val="28"/>
          <w:highlight w:val="none"/>
          <w:lang w:eastAsia="zh-CN"/>
        </w:rPr>
        <w:sectPr>
          <w:pgSz w:w="11906" w:h="16838"/>
          <w:pgMar w:top="1280" w:right="1142" w:bottom="1118" w:left="1324" w:header="454" w:footer="680" w:gutter="0"/>
          <w:pgNumType w:fmt="decimal"/>
          <w:cols w:space="0" w:num="1"/>
          <w:docGrid w:linePitch="312" w:charSpace="0"/>
        </w:sectPr>
      </w:pPr>
    </w:p>
    <w:p w14:paraId="5BE31C9A">
      <w:pPr>
        <w:pStyle w:val="15"/>
        <w:keepNext w:val="0"/>
        <w:keepLines w:val="0"/>
        <w:pageBreakBefore w:val="0"/>
        <w:kinsoku/>
        <w:overflowPunct/>
        <w:topLinePunct/>
        <w:autoSpaceDE/>
        <w:autoSpaceDN/>
        <w:bidi w:val="0"/>
        <w:jc w:val="center"/>
        <w:textAlignment w:val="auto"/>
        <w:outlineLvl w:val="2"/>
        <w:rPr>
          <w:rFonts w:hint="eastAsia" w:ascii="仿宋" w:hAnsi="仿宋" w:eastAsia="仿宋" w:cs="仿宋"/>
          <w:b/>
          <w:color w:val="auto"/>
          <w:sz w:val="36"/>
          <w:szCs w:val="36"/>
          <w:highlight w:val="none"/>
        </w:rPr>
      </w:pPr>
      <w:bookmarkStart w:id="39" w:name="_Toc104618875"/>
      <w:bookmarkStart w:id="40" w:name="_Toc10177"/>
      <w:r>
        <w:rPr>
          <w:rFonts w:hint="eastAsia" w:ascii="仿宋" w:hAnsi="仿宋" w:eastAsia="仿宋" w:cs="仿宋"/>
          <w:b/>
          <w:color w:val="auto"/>
          <w:sz w:val="36"/>
          <w:szCs w:val="36"/>
          <w:highlight w:val="none"/>
        </w:rPr>
        <w:t>授权委托书</w:t>
      </w:r>
      <w:bookmarkEnd w:id="39"/>
      <w:bookmarkEnd w:id="40"/>
    </w:p>
    <w:p w14:paraId="22C46909">
      <w:pPr>
        <w:pStyle w:val="15"/>
        <w:keepNext w:val="0"/>
        <w:keepLines w:val="0"/>
        <w:pageBreakBefore w:val="0"/>
        <w:kinsoku/>
        <w:overflowPunct/>
        <w:topLinePunct/>
        <w:autoSpaceDE/>
        <w:autoSpaceDN/>
        <w:bidi w:val="0"/>
        <w:spacing w:line="520" w:lineRule="exact"/>
        <w:jc w:val="both"/>
        <w:textAlignment w:val="auto"/>
        <w:rPr>
          <w:rFonts w:hint="eastAsia" w:ascii="仿宋" w:hAnsi="仿宋" w:eastAsia="仿宋" w:cs="仿宋"/>
          <w:b/>
          <w:bCs/>
          <w:color w:val="auto"/>
          <w:sz w:val="28"/>
          <w:highlight w:val="none"/>
        </w:rPr>
      </w:pPr>
    </w:p>
    <w:p w14:paraId="667E38F9">
      <w:pPr>
        <w:keepNext w:val="0"/>
        <w:keepLines w:val="0"/>
        <w:pageBreakBefore w:val="0"/>
        <w:widowControl w:val="0"/>
        <w:kinsoku/>
        <w:wordWrap/>
        <w:overflowPunct/>
        <w:topLinePunct/>
        <w:autoSpaceDE/>
        <w:autoSpaceDN/>
        <w:bidi w:val="0"/>
        <w:adjustRightInd/>
        <w:snapToGrid/>
        <w:spacing w:line="48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本授权书声明：注册于</w:t>
      </w:r>
      <w:r>
        <w:rPr>
          <w:rFonts w:hint="eastAsia" w:ascii="仿宋" w:hAnsi="仿宋" w:eastAsia="仿宋" w:cs="仿宋"/>
          <w:color w:val="auto"/>
          <w:sz w:val="28"/>
          <w:szCs w:val="28"/>
          <w:highlight w:val="none"/>
          <w:u w:val="single"/>
        </w:rPr>
        <w:t xml:space="preserve">  (国家或地区的名称)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(公司名称)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(法人代表姓名、职务) </w:t>
      </w:r>
      <w:r>
        <w:rPr>
          <w:rFonts w:hint="eastAsia" w:ascii="仿宋" w:hAnsi="仿宋" w:eastAsia="仿宋" w:cs="仿宋"/>
          <w:color w:val="auto"/>
          <w:sz w:val="28"/>
          <w:szCs w:val="28"/>
          <w:highlight w:val="none"/>
        </w:rPr>
        <w:t>，代表本公司授权</w:t>
      </w:r>
      <w:r>
        <w:rPr>
          <w:rFonts w:hint="eastAsia" w:ascii="仿宋" w:hAnsi="仿宋" w:eastAsia="仿宋" w:cs="仿宋"/>
          <w:color w:val="auto"/>
          <w:sz w:val="28"/>
          <w:szCs w:val="28"/>
          <w:highlight w:val="none"/>
          <w:u w:val="single"/>
        </w:rPr>
        <w:t xml:space="preserve">  (被授权单位名称)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被授权人的姓名、职务)</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为本公司的合法代理人，参加项目名称为</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（编号为：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none"/>
          <w:lang w:eastAsia="zh-CN"/>
        </w:rPr>
        <w:t>）</w:t>
      </w:r>
      <w:r>
        <w:rPr>
          <w:rFonts w:hint="eastAsia" w:ascii="仿宋" w:hAnsi="仿宋" w:eastAsia="仿宋" w:cs="仿宋"/>
          <w:color w:val="auto"/>
          <w:sz w:val="28"/>
          <w:szCs w:val="28"/>
          <w:highlight w:val="none"/>
        </w:rPr>
        <w:t>的公开招标采购活动，以本公司名义处理一切与之有关的事宜。</w:t>
      </w:r>
    </w:p>
    <w:p w14:paraId="404A00B0">
      <w:pPr>
        <w:keepNext w:val="0"/>
        <w:keepLines w:val="0"/>
        <w:pageBreakBefore w:val="0"/>
        <w:widowControl w:val="0"/>
        <w:kinsoku/>
        <w:wordWrap/>
        <w:overflowPunct/>
        <w:topLinePunct/>
        <w:autoSpaceDE/>
        <w:autoSpaceDN/>
        <w:bidi w:val="0"/>
        <w:adjustRightInd/>
        <w:snapToGrid/>
        <w:spacing w:line="48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如果本公司在此次采购活动中中标，被授权人有权代表本公司签署合同。</w:t>
      </w:r>
    </w:p>
    <w:p w14:paraId="68B4E149">
      <w:pPr>
        <w:keepNext w:val="0"/>
        <w:keepLines w:val="0"/>
        <w:pageBreakBefore w:val="0"/>
        <w:widowControl w:val="0"/>
        <w:kinsoku/>
        <w:wordWrap/>
        <w:overflowPunct/>
        <w:topLinePunct/>
        <w:autoSpaceDE/>
        <w:autoSpaceDN/>
        <w:bidi w:val="0"/>
        <w:adjustRightInd/>
        <w:snapToGrid/>
        <w:spacing w:line="48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本授权书于</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日法定代表人签字或盖章并由被授权人签字、单位盖章生效，特此声明。</w:t>
      </w:r>
    </w:p>
    <w:p w14:paraId="02C74019">
      <w:pPr>
        <w:keepNext w:val="0"/>
        <w:keepLines w:val="0"/>
        <w:pageBreakBefore w:val="0"/>
        <w:widowControl w:val="0"/>
        <w:kinsoku/>
        <w:wordWrap/>
        <w:overflowPunct/>
        <w:topLinePunct/>
        <w:autoSpaceDE/>
        <w:autoSpaceDN/>
        <w:bidi w:val="0"/>
        <w:adjustRightInd/>
        <w:snapToGrid/>
        <w:spacing w:line="48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授权代表无转委托权。</w:t>
      </w:r>
    </w:p>
    <w:p w14:paraId="1FBEC604">
      <w:pPr>
        <w:keepNext w:val="0"/>
        <w:keepLines w:val="0"/>
        <w:pageBreakBefore w:val="0"/>
        <w:widowControl w:val="0"/>
        <w:kinsoku/>
        <w:wordWrap/>
        <w:overflowPunct/>
        <w:topLinePunct/>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highlight w:val="none"/>
        </w:rPr>
      </w:pPr>
    </w:p>
    <w:p w14:paraId="3C1495C6">
      <w:pPr>
        <w:keepNext w:val="0"/>
        <w:keepLines w:val="0"/>
        <w:pageBreakBefore w:val="0"/>
        <w:widowControl w:val="0"/>
        <w:kinsoku/>
        <w:wordWrap/>
        <w:overflowPunct/>
        <w:topLinePunct/>
        <w:autoSpaceDE/>
        <w:autoSpaceDN/>
        <w:bidi w:val="0"/>
        <w:adjustRightInd/>
        <w:snapToGrid/>
        <w:spacing w:line="48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法定代表人签字或盖章：</w:t>
      </w:r>
    </w:p>
    <w:p w14:paraId="1F992C63">
      <w:pPr>
        <w:keepNext w:val="0"/>
        <w:keepLines w:val="0"/>
        <w:pageBreakBefore w:val="0"/>
        <w:widowControl w:val="0"/>
        <w:kinsoku/>
        <w:wordWrap/>
        <w:overflowPunct/>
        <w:topLinePunct/>
        <w:autoSpaceDE/>
        <w:autoSpaceDN/>
        <w:bidi w:val="0"/>
        <w:adjustRightInd/>
        <w:snapToGrid/>
        <w:spacing w:line="48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被授权人签字：</w:t>
      </w:r>
    </w:p>
    <w:p w14:paraId="4A71AE66">
      <w:pPr>
        <w:keepNext w:val="0"/>
        <w:keepLines w:val="0"/>
        <w:pageBreakBefore w:val="0"/>
        <w:widowControl w:val="0"/>
        <w:kinsoku/>
        <w:wordWrap/>
        <w:overflowPunct/>
        <w:topLinePunct/>
        <w:autoSpaceDE/>
        <w:autoSpaceDN/>
        <w:bidi w:val="0"/>
        <w:adjustRightInd/>
        <w:snapToGrid/>
        <w:spacing w:line="48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公</w:t>
      </w:r>
      <w:r>
        <w:rPr>
          <w:rFonts w:hint="eastAsia" w:ascii="仿宋" w:hAnsi="仿宋" w:eastAsia="仿宋" w:cs="仿宋"/>
          <w:color w:val="auto"/>
          <w:sz w:val="28"/>
          <w:szCs w:val="28"/>
          <w:highlight w:val="none"/>
        </w:rPr>
        <w:t>章）:</w:t>
      </w:r>
    </w:p>
    <w:p w14:paraId="787DC147">
      <w:pPr>
        <w:keepNext w:val="0"/>
        <w:keepLines w:val="0"/>
        <w:pageBreakBefore w:val="0"/>
        <w:kinsoku/>
        <w:overflowPunct/>
        <w:topLinePunct/>
        <w:autoSpaceDE/>
        <w:autoSpaceDN/>
        <w:bidi w:val="0"/>
        <w:textAlignment w:val="auto"/>
        <w:rPr>
          <w:rFonts w:hint="eastAsia" w:ascii="仿宋" w:hAnsi="仿宋" w:eastAsia="仿宋" w:cs="仿宋"/>
          <w:vanish/>
          <w:color w:val="auto"/>
          <w:highlight w:val="none"/>
        </w:rPr>
      </w:pPr>
    </w:p>
    <w:tbl>
      <w:tblPr>
        <w:tblStyle w:val="26"/>
        <w:tblpPr w:leftFromText="180" w:rightFromText="180" w:vertAnchor="text" w:horzAnchor="margin" w:tblpY="361"/>
        <w:tblOverlap w:val="never"/>
        <w:tblW w:w="94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460"/>
      </w:tblGrid>
      <w:tr w14:paraId="35464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42" w:hRule="atLeast"/>
        </w:trPr>
        <w:tc>
          <w:tcPr>
            <w:tcW w:w="9460" w:type="dxa"/>
            <w:shd w:val="clear" w:color="auto" w:fill="auto"/>
            <w:vAlign w:val="center"/>
          </w:tcPr>
          <w:p w14:paraId="1C2BFFE8">
            <w:pPr>
              <w:keepNext w:val="0"/>
              <w:keepLines w:val="0"/>
              <w:pageBreakBefore w:val="0"/>
              <w:widowControl/>
              <w:kinsoku/>
              <w:overflowPunct/>
              <w:topLinePunct/>
              <w:autoSpaceDE/>
              <w:autoSpaceDN/>
              <w:bidi w:val="0"/>
              <w:spacing w:beforeAutospacing="1" w:afterAutospacing="1" w:line="360" w:lineRule="auto"/>
              <w:jc w:val="center"/>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授权代表身份证</w:t>
            </w:r>
            <w:r>
              <w:rPr>
                <w:rFonts w:hint="eastAsia" w:ascii="仿宋" w:hAnsi="仿宋" w:eastAsia="仿宋" w:cs="仿宋"/>
                <w:color w:val="auto"/>
                <w:kern w:val="0"/>
                <w:sz w:val="28"/>
                <w:szCs w:val="28"/>
                <w:highlight w:val="none"/>
              </w:rPr>
              <w:t>正</w:t>
            </w:r>
            <w:r>
              <w:rPr>
                <w:rFonts w:hint="eastAsia" w:ascii="仿宋" w:hAnsi="仿宋" w:eastAsia="仿宋" w:cs="仿宋"/>
                <w:color w:val="auto"/>
                <w:kern w:val="0"/>
                <w:sz w:val="28"/>
                <w:szCs w:val="28"/>
                <w:highlight w:val="none"/>
                <w:lang w:val="en-US" w:eastAsia="zh-CN"/>
              </w:rPr>
              <w:t>反</w:t>
            </w:r>
            <w:r>
              <w:rPr>
                <w:rFonts w:hint="eastAsia" w:ascii="仿宋" w:hAnsi="仿宋" w:eastAsia="仿宋" w:cs="仿宋"/>
                <w:color w:val="auto"/>
                <w:kern w:val="0"/>
                <w:sz w:val="28"/>
                <w:szCs w:val="28"/>
                <w:highlight w:val="none"/>
              </w:rPr>
              <w:t>面扫描件</w:t>
            </w:r>
          </w:p>
        </w:tc>
      </w:tr>
    </w:tbl>
    <w:p w14:paraId="37590B2F">
      <w:pPr>
        <w:pStyle w:val="15"/>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eastAsia="zh-CN"/>
        </w:rPr>
      </w:pPr>
    </w:p>
    <w:p w14:paraId="1042A037">
      <w:pPr>
        <w:keepNext w:val="0"/>
        <w:keepLines w:val="0"/>
        <w:pageBreakBefore w:val="0"/>
        <w:kinsoku/>
        <w:overflowPunct/>
        <w:topLinePunct/>
        <w:autoSpaceDE/>
        <w:autoSpaceDN/>
        <w:bidi w:val="0"/>
        <w:textAlignment w:val="auto"/>
        <w:rPr>
          <w:rFonts w:hint="eastAsia" w:ascii="仿宋" w:hAnsi="仿宋" w:eastAsia="仿宋" w:cs="仿宋"/>
          <w:color w:val="auto"/>
          <w:highlight w:val="none"/>
        </w:rPr>
        <w:sectPr>
          <w:pgSz w:w="11906" w:h="16838"/>
          <w:pgMar w:top="1280" w:right="1142" w:bottom="1118" w:left="1324" w:header="454" w:footer="680" w:gutter="0"/>
          <w:pgNumType w:fmt="decimal"/>
          <w:cols w:space="0" w:num="1"/>
          <w:docGrid w:linePitch="312" w:charSpace="0"/>
        </w:sectPr>
      </w:pPr>
    </w:p>
    <w:p w14:paraId="7CCE95E1">
      <w:pPr>
        <w:pStyle w:val="15"/>
        <w:keepNext w:val="0"/>
        <w:keepLines w:val="0"/>
        <w:pageBreakBefore w:val="0"/>
        <w:kinsoku/>
        <w:overflowPunct/>
        <w:topLinePunct/>
        <w:autoSpaceDE/>
        <w:autoSpaceDN/>
        <w:bidi w:val="0"/>
        <w:jc w:val="center"/>
        <w:textAlignment w:val="auto"/>
        <w:outlineLvl w:val="2"/>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投标人信用承诺书</w:t>
      </w:r>
    </w:p>
    <w:p w14:paraId="40D54338">
      <w:pPr>
        <w:keepNext w:val="0"/>
        <w:keepLines w:val="0"/>
        <w:pageBreakBefore w:val="0"/>
        <w:kinsoku/>
        <w:overflowPunct/>
        <w:autoSpaceDE/>
        <w:autoSpaceDN/>
        <w:bidi w:val="0"/>
        <w:rPr>
          <w:rFonts w:hint="eastAsia"/>
          <w:lang w:val="en-US" w:eastAsia="zh-CN"/>
        </w:rPr>
      </w:pPr>
    </w:p>
    <w:p w14:paraId="32BD29EC">
      <w:pPr>
        <w:keepNext w:val="0"/>
        <w:keepLines w:val="0"/>
        <w:pageBreakBefore w:val="0"/>
        <w:widowControl w:val="0"/>
        <w:kinsoku/>
        <w:wordWrap/>
        <w:overflowPunct/>
        <w:topLinePunct/>
        <w:autoSpaceDE/>
        <w:autoSpaceDN/>
        <w:bidi w:val="0"/>
        <w:adjustRightInd/>
        <w:snapToGrid/>
        <w:spacing w:line="54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为营造公平竞争、规范有序的市场环境，树立诚信守法经营形象。本单位郑重承诺：</w:t>
      </w:r>
    </w:p>
    <w:p w14:paraId="5E040D9F">
      <w:pPr>
        <w:keepNext w:val="0"/>
        <w:keepLines w:val="0"/>
        <w:pageBreakBefore w:val="0"/>
        <w:widowControl w:val="0"/>
        <w:kinsoku/>
        <w:wordWrap/>
        <w:overflowPunct/>
        <w:topLinePunct/>
        <w:autoSpaceDE/>
        <w:autoSpaceDN/>
        <w:bidi w:val="0"/>
        <w:adjustRightInd/>
        <w:snapToGrid/>
        <w:spacing w:line="54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一、我方在此声明，本次招标投标活动中申报的所有资料都是真实、准确完整的，如发现提供虚假资料，或与事实不符而导致报价无效，甚至造成任何法律和经济责任，完全由我方负责。</w:t>
      </w:r>
    </w:p>
    <w:p w14:paraId="143E1C50">
      <w:pPr>
        <w:keepNext w:val="0"/>
        <w:keepLines w:val="0"/>
        <w:pageBreakBefore w:val="0"/>
        <w:widowControl w:val="0"/>
        <w:kinsoku/>
        <w:wordWrap/>
        <w:overflowPunct/>
        <w:topLinePunct/>
        <w:autoSpaceDE/>
        <w:autoSpaceDN/>
        <w:bidi w:val="0"/>
        <w:adjustRightInd/>
        <w:snapToGrid/>
        <w:spacing w:line="54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二、我方在本次投标活动中绝无资质挂靠、串标、围标情形，若经贵方查出，立即取消我方报价资格并承担相应的法律责任。</w:t>
      </w:r>
    </w:p>
    <w:p w14:paraId="510E3502">
      <w:pPr>
        <w:keepNext w:val="0"/>
        <w:keepLines w:val="0"/>
        <w:pageBreakBefore w:val="0"/>
        <w:widowControl w:val="0"/>
        <w:kinsoku/>
        <w:wordWrap/>
        <w:overflowPunct/>
        <w:topLinePunct/>
        <w:autoSpaceDE/>
        <w:autoSpaceDN/>
        <w:bidi w:val="0"/>
        <w:adjustRightInd/>
        <w:snapToGrid/>
        <w:spacing w:line="54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三、我方在以往的招标投标活动中，无重大违法、违规的不良记录；或虽有不良记录，但已超过处理期限。</w:t>
      </w:r>
    </w:p>
    <w:p w14:paraId="369EB75A">
      <w:pPr>
        <w:keepNext w:val="0"/>
        <w:keepLines w:val="0"/>
        <w:pageBreakBefore w:val="0"/>
        <w:widowControl w:val="0"/>
        <w:kinsoku/>
        <w:wordWrap/>
        <w:overflowPunct/>
        <w:topLinePunct/>
        <w:autoSpaceDE/>
        <w:autoSpaceDN/>
        <w:bidi w:val="0"/>
        <w:adjustRightInd/>
        <w:snapToGrid/>
        <w:spacing w:line="54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四、我方（含投标单位、法定代表人及委托代理人）承诺近三年无行贿犯罪记录。如有不实，愿意承担一切后果。</w:t>
      </w:r>
    </w:p>
    <w:p w14:paraId="03A417A1">
      <w:pPr>
        <w:keepNext w:val="0"/>
        <w:keepLines w:val="0"/>
        <w:pageBreakBefore w:val="0"/>
        <w:widowControl w:val="0"/>
        <w:kinsoku/>
        <w:wordWrap/>
        <w:overflowPunct/>
        <w:topLinePunct/>
        <w:autoSpaceDE/>
        <w:autoSpaceDN/>
        <w:bidi w:val="0"/>
        <w:adjustRightInd/>
        <w:snapToGrid/>
        <w:spacing w:line="54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五、我方一旦中标，将按规定及时与采购人签订合同，严格按照投标文件中所承诺的报价、质量、服务期等内容组织实施。</w:t>
      </w:r>
    </w:p>
    <w:p w14:paraId="6155D535">
      <w:pPr>
        <w:keepNext w:val="0"/>
        <w:keepLines w:val="0"/>
        <w:pageBreakBefore w:val="0"/>
        <w:widowControl w:val="0"/>
        <w:kinsoku/>
        <w:wordWrap/>
        <w:overflowPunct/>
        <w:topLinePunct/>
        <w:autoSpaceDE/>
        <w:autoSpaceDN/>
        <w:bidi w:val="0"/>
        <w:adjustRightInd/>
        <w:snapToGrid/>
        <w:spacing w:line="54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六、自觉接受社会各界的监督，依法接受有关行政机关的事中事后监管和执法检查，并如实提供有关情况和材料。</w:t>
      </w:r>
    </w:p>
    <w:p w14:paraId="0FC2F529">
      <w:pPr>
        <w:keepNext w:val="0"/>
        <w:keepLines w:val="0"/>
        <w:pageBreakBefore w:val="0"/>
        <w:widowControl w:val="0"/>
        <w:kinsoku/>
        <w:wordWrap/>
        <w:overflowPunct/>
        <w:topLinePunct/>
        <w:autoSpaceDE/>
        <w:autoSpaceDN/>
        <w:bidi w:val="0"/>
        <w:adjustRightInd/>
        <w:snapToGrid/>
        <w:spacing w:line="54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七、严格遵守国家法律、法规、规章和相关政策规定，积极参与社会信用体系建设，倡树以信笃行，以诚兴业的传统美德，争当信用市民，争创信用企业。</w:t>
      </w:r>
    </w:p>
    <w:p w14:paraId="1BA8CE70">
      <w:pPr>
        <w:keepNext w:val="0"/>
        <w:keepLines w:val="0"/>
        <w:pageBreakBefore w:val="0"/>
        <w:widowControl w:val="0"/>
        <w:kinsoku/>
        <w:wordWrap/>
        <w:overflowPunct/>
        <w:topLinePunct/>
        <w:autoSpaceDE/>
        <w:autoSpaceDN/>
        <w:bidi w:val="0"/>
        <w:adjustRightInd/>
        <w:snapToGrid/>
        <w:spacing w:line="54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八、本《信用承诺书》同意向社会公开。</w:t>
      </w:r>
    </w:p>
    <w:p w14:paraId="7EE96CFE">
      <w:pPr>
        <w:keepNext w:val="0"/>
        <w:keepLines w:val="0"/>
        <w:pageBreakBefore w:val="0"/>
        <w:kinsoku/>
        <w:overflowPunct/>
        <w:topLinePunct/>
        <w:autoSpaceDE/>
        <w:autoSpaceDN/>
        <w:bidi w:val="0"/>
        <w:spacing w:line="520" w:lineRule="exact"/>
        <w:ind w:firstLine="560" w:firstLineChars="200"/>
        <w:textAlignment w:val="auto"/>
        <w:rPr>
          <w:rFonts w:hint="eastAsia" w:ascii="仿宋" w:hAnsi="仿宋" w:eastAsia="仿宋" w:cs="仿宋"/>
          <w:color w:val="auto"/>
          <w:sz w:val="28"/>
          <w:szCs w:val="21"/>
          <w:highlight w:val="none"/>
        </w:rPr>
      </w:pPr>
    </w:p>
    <w:p w14:paraId="258B08E1">
      <w:pPr>
        <w:keepNext w:val="0"/>
        <w:keepLines w:val="0"/>
        <w:pageBreakBefore w:val="0"/>
        <w:kinsoku/>
        <w:overflowPunct/>
        <w:topLinePunct/>
        <w:autoSpaceDE/>
        <w:autoSpaceDN/>
        <w:bidi w:val="0"/>
        <w:spacing w:line="520" w:lineRule="exact"/>
        <w:ind w:firstLine="560" w:firstLineChars="200"/>
        <w:textAlignment w:val="auto"/>
        <w:rPr>
          <w:rFonts w:hint="eastAsia" w:ascii="仿宋" w:hAnsi="仿宋" w:eastAsia="仿宋" w:cs="仿宋"/>
          <w:color w:val="auto"/>
          <w:sz w:val="28"/>
          <w:szCs w:val="21"/>
          <w:highlight w:val="none"/>
        </w:rPr>
      </w:pPr>
    </w:p>
    <w:p w14:paraId="2E4A3C2F">
      <w:pPr>
        <w:keepNext w:val="0"/>
        <w:keepLines w:val="0"/>
        <w:pageBreakBefore w:val="0"/>
        <w:widowControl w:val="0"/>
        <w:kinsoku/>
        <w:wordWrap/>
        <w:overflowPunct/>
        <w:topLinePunct/>
        <w:autoSpaceDE/>
        <w:autoSpaceDN/>
        <w:bidi w:val="0"/>
        <w:adjustRightInd/>
        <w:snapToGrid/>
        <w:spacing w:line="600" w:lineRule="auto"/>
        <w:ind w:firstLine="5600" w:firstLineChars="20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1"/>
          <w:highlight w:val="none"/>
        </w:rPr>
        <w:t>承诺单位</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公</w:t>
      </w:r>
      <w:r>
        <w:rPr>
          <w:rFonts w:hint="eastAsia" w:ascii="仿宋" w:hAnsi="仿宋" w:eastAsia="仿宋" w:cs="仿宋"/>
          <w:color w:val="auto"/>
          <w:sz w:val="28"/>
          <w:szCs w:val="28"/>
          <w:highlight w:val="none"/>
        </w:rPr>
        <w:t>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 xml:space="preserve">        </w:t>
      </w:r>
    </w:p>
    <w:p w14:paraId="53E665DB">
      <w:pPr>
        <w:keepNext w:val="0"/>
        <w:keepLines w:val="0"/>
        <w:pageBreakBefore w:val="0"/>
        <w:kinsoku/>
        <w:overflowPunct/>
        <w:topLinePunct/>
        <w:autoSpaceDE/>
        <w:autoSpaceDN/>
        <w:bidi w:val="0"/>
        <w:snapToGrid w:val="0"/>
        <w:spacing w:line="480" w:lineRule="auto"/>
        <w:ind w:firstLine="5600" w:firstLineChars="20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日期：</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日</w:t>
      </w:r>
    </w:p>
    <w:p w14:paraId="21025525">
      <w:pPr>
        <w:keepNext w:val="0"/>
        <w:keepLines w:val="0"/>
        <w:pageBreakBefore w:val="0"/>
        <w:kinsoku/>
        <w:overflowPunct/>
        <w:topLinePunct/>
        <w:autoSpaceDE/>
        <w:autoSpaceDN/>
        <w:bidi w:val="0"/>
        <w:snapToGrid w:val="0"/>
        <w:spacing w:line="480" w:lineRule="auto"/>
        <w:ind w:firstLine="5600" w:firstLineChars="2000"/>
        <w:textAlignment w:val="auto"/>
        <w:rPr>
          <w:rFonts w:hint="eastAsia" w:ascii="仿宋" w:hAnsi="仿宋" w:eastAsia="仿宋" w:cs="仿宋"/>
          <w:color w:val="auto"/>
          <w:kern w:val="0"/>
          <w:sz w:val="28"/>
          <w:szCs w:val="28"/>
          <w:highlight w:val="none"/>
        </w:rPr>
      </w:pPr>
    </w:p>
    <w:p w14:paraId="4394F338">
      <w:pPr>
        <w:keepNext w:val="0"/>
        <w:keepLines w:val="0"/>
        <w:pageBreakBefore w:val="0"/>
        <w:kinsoku/>
        <w:overflowPunct/>
        <w:topLinePunct/>
        <w:autoSpaceDE/>
        <w:autoSpaceDN/>
        <w:bidi w:val="0"/>
        <w:snapToGrid w:val="0"/>
        <w:spacing w:line="480" w:lineRule="auto"/>
        <w:ind w:firstLine="5600" w:firstLineChars="2000"/>
        <w:textAlignment w:val="auto"/>
        <w:rPr>
          <w:rFonts w:hint="eastAsia" w:ascii="仿宋" w:hAnsi="仿宋" w:eastAsia="仿宋" w:cs="仿宋"/>
          <w:color w:val="auto"/>
          <w:kern w:val="0"/>
          <w:sz w:val="28"/>
          <w:szCs w:val="28"/>
          <w:highlight w:val="none"/>
        </w:rPr>
        <w:sectPr>
          <w:pgSz w:w="11906" w:h="16838"/>
          <w:pgMar w:top="1280" w:right="1142" w:bottom="1118" w:left="1324" w:header="454" w:footer="680" w:gutter="0"/>
          <w:pgNumType w:fmt="decimal"/>
          <w:cols w:space="0" w:num="1"/>
          <w:docGrid w:linePitch="312" w:charSpace="0"/>
        </w:sectPr>
      </w:pPr>
    </w:p>
    <w:p w14:paraId="4FB3061C">
      <w:pPr>
        <w:pStyle w:val="15"/>
        <w:keepNext w:val="0"/>
        <w:keepLines w:val="0"/>
        <w:pageBreakBefore w:val="0"/>
        <w:kinsoku/>
        <w:overflowPunct/>
        <w:topLinePunct/>
        <w:autoSpaceDE/>
        <w:autoSpaceDN/>
        <w:bidi w:val="0"/>
        <w:jc w:val="center"/>
        <w:textAlignment w:val="auto"/>
        <w:outlineLvl w:val="2"/>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投标人参与投标的声明函</w:t>
      </w:r>
    </w:p>
    <w:p w14:paraId="60264C71">
      <w:pPr>
        <w:keepNext w:val="0"/>
        <w:keepLines w:val="0"/>
        <w:pageBreakBefore w:val="0"/>
        <w:kinsoku/>
        <w:overflowPunct/>
        <w:topLinePunct/>
        <w:autoSpaceDE/>
        <w:autoSpaceDN/>
        <w:bidi w:val="0"/>
        <w:textAlignment w:val="auto"/>
        <w:rPr>
          <w:rFonts w:hint="eastAsia" w:ascii="仿宋" w:hAnsi="仿宋" w:eastAsia="仿宋" w:cs="仿宋"/>
          <w:b/>
          <w:color w:val="auto"/>
          <w:sz w:val="36"/>
          <w:szCs w:val="36"/>
          <w:highlight w:val="none"/>
        </w:rPr>
      </w:pPr>
    </w:p>
    <w:p w14:paraId="33CC241B">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我单位郑重承诺如下：</w:t>
      </w:r>
    </w:p>
    <w:p w14:paraId="08E892C3">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w:t>
      </w:r>
      <w:r>
        <w:rPr>
          <w:rFonts w:hint="eastAsia" w:ascii="仿宋" w:hAnsi="仿宋" w:eastAsia="仿宋" w:cs="仿宋"/>
          <w:bCs/>
          <w:color w:val="auto"/>
          <w:sz w:val="28"/>
          <w:szCs w:val="28"/>
          <w:highlight w:val="none"/>
          <w:lang w:eastAsia="zh-CN"/>
        </w:rPr>
        <w:t>.</w:t>
      </w:r>
      <w:r>
        <w:rPr>
          <w:rFonts w:hint="eastAsia" w:ascii="仿宋" w:hAnsi="仿宋" w:eastAsia="仿宋" w:cs="仿宋"/>
          <w:i w:val="0"/>
          <w:iCs w:val="0"/>
          <w:color w:val="auto"/>
          <w:sz w:val="28"/>
          <w:szCs w:val="28"/>
          <w:highlight w:val="none"/>
        </w:rPr>
        <w:t>具有独立承担民事责任的能力</w:t>
      </w:r>
      <w:r>
        <w:rPr>
          <w:rFonts w:hint="eastAsia" w:ascii="仿宋" w:hAnsi="仿宋" w:eastAsia="仿宋" w:cs="仿宋"/>
          <w:bCs/>
          <w:color w:val="auto"/>
          <w:sz w:val="28"/>
          <w:szCs w:val="28"/>
          <w:highlight w:val="none"/>
        </w:rPr>
        <w:t>；</w:t>
      </w:r>
    </w:p>
    <w:p w14:paraId="4C36ADA1">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2.</w:t>
      </w:r>
      <w:r>
        <w:rPr>
          <w:rFonts w:hint="eastAsia" w:ascii="仿宋" w:hAnsi="仿宋" w:eastAsia="仿宋" w:cs="仿宋"/>
          <w:bCs/>
          <w:color w:val="auto"/>
          <w:sz w:val="28"/>
          <w:szCs w:val="28"/>
          <w:highlight w:val="none"/>
        </w:rPr>
        <w:t>具有良好的商业信誉和健全的财务会计制度；</w:t>
      </w:r>
    </w:p>
    <w:p w14:paraId="456708CF">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val="en-US" w:eastAsia="zh-CN"/>
        </w:rPr>
        <w:t>3</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具有依法缴纳税收和社会保障资金的良好记录；</w:t>
      </w:r>
    </w:p>
    <w:p w14:paraId="53F546C3">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4</w:t>
      </w:r>
      <w:r>
        <w:rPr>
          <w:rFonts w:hint="eastAsia" w:ascii="仿宋" w:hAnsi="仿宋" w:eastAsia="仿宋" w:cs="仿宋"/>
          <w:bCs/>
          <w:color w:val="auto"/>
          <w:sz w:val="28"/>
          <w:szCs w:val="28"/>
          <w:highlight w:val="none"/>
          <w:lang w:eastAsia="zh-CN"/>
        </w:rPr>
        <w:t>.</w:t>
      </w:r>
      <w:r>
        <w:rPr>
          <w:rFonts w:hint="eastAsia" w:ascii="仿宋" w:hAnsi="仿宋" w:eastAsia="仿宋" w:cs="仿宋"/>
          <w:i w:val="0"/>
          <w:iCs w:val="0"/>
          <w:color w:val="auto"/>
          <w:spacing w:val="8"/>
          <w:kern w:val="0"/>
          <w:sz w:val="28"/>
          <w:szCs w:val="28"/>
          <w:highlight w:val="none"/>
          <w:lang w:val="en-US" w:eastAsia="zh-CN"/>
        </w:rPr>
        <w:t>具有履行合同所必须设备和专业技术能力，并能提供优质的服务</w:t>
      </w:r>
      <w:r>
        <w:rPr>
          <w:rFonts w:hint="eastAsia" w:ascii="仿宋" w:hAnsi="仿宋" w:eastAsia="仿宋" w:cs="仿宋"/>
          <w:bCs/>
          <w:color w:val="auto"/>
          <w:sz w:val="28"/>
          <w:szCs w:val="28"/>
          <w:highlight w:val="none"/>
        </w:rPr>
        <w:t>；</w:t>
      </w:r>
    </w:p>
    <w:p w14:paraId="4215E017">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5.</w:t>
      </w:r>
      <w:r>
        <w:rPr>
          <w:rFonts w:hint="eastAsia" w:ascii="仿宋" w:hAnsi="仿宋" w:eastAsia="仿宋" w:cs="仿宋"/>
          <w:bCs/>
          <w:color w:val="auto"/>
          <w:sz w:val="28"/>
          <w:szCs w:val="28"/>
          <w:highlight w:val="none"/>
        </w:rPr>
        <w:t>参加本次采购活动前三年内，在经营活动中没有重大违法记录；</w:t>
      </w:r>
    </w:p>
    <w:p w14:paraId="4E8DFCB2">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6.</w:t>
      </w:r>
      <w:r>
        <w:rPr>
          <w:rFonts w:hint="eastAsia" w:ascii="仿宋" w:hAnsi="仿宋" w:eastAsia="仿宋" w:cs="仿宋"/>
          <w:bCs/>
          <w:color w:val="auto"/>
          <w:sz w:val="28"/>
          <w:szCs w:val="28"/>
          <w:highlight w:val="none"/>
          <w:lang w:val="en-US" w:eastAsia="zh-CN"/>
        </w:rPr>
        <w:t>我单位</w:t>
      </w:r>
      <w:r>
        <w:rPr>
          <w:rFonts w:hint="eastAsia" w:ascii="仿宋" w:hAnsi="仿宋" w:eastAsia="仿宋" w:cs="仿宋"/>
          <w:bCs/>
          <w:color w:val="auto"/>
          <w:sz w:val="28"/>
          <w:szCs w:val="28"/>
          <w:highlight w:val="none"/>
        </w:rPr>
        <w:t>、法定代表人</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lang w:val="en-US" w:eastAsia="zh-CN"/>
        </w:rPr>
        <w:t>委托代理人</w:t>
      </w:r>
      <w:r>
        <w:rPr>
          <w:rFonts w:hint="eastAsia" w:ascii="仿宋" w:hAnsi="仿宋" w:eastAsia="仿宋" w:cs="仿宋"/>
          <w:bCs/>
          <w:color w:val="auto"/>
          <w:sz w:val="28"/>
          <w:szCs w:val="28"/>
          <w:highlight w:val="none"/>
        </w:rPr>
        <w:t>未被最高人民法院列入失信被执行人；</w:t>
      </w:r>
    </w:p>
    <w:p w14:paraId="76CE5915">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7.</w:t>
      </w:r>
      <w:r>
        <w:rPr>
          <w:rFonts w:hint="eastAsia" w:ascii="仿宋" w:hAnsi="仿宋" w:eastAsia="仿宋" w:cs="仿宋"/>
          <w:bCs/>
          <w:color w:val="auto"/>
          <w:sz w:val="28"/>
          <w:szCs w:val="28"/>
          <w:highlight w:val="none"/>
        </w:rPr>
        <w:t>近一年在“信用中国”或“信用中国（山东）”无严重失信记录；</w:t>
      </w:r>
    </w:p>
    <w:p w14:paraId="564708C5">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val="en-US" w:eastAsia="zh-CN"/>
        </w:rPr>
        <w:t>8</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我单位本次非联合体投标</w:t>
      </w:r>
      <w:r>
        <w:rPr>
          <w:rFonts w:hint="eastAsia" w:ascii="仿宋" w:hAnsi="仿宋" w:eastAsia="仿宋" w:cs="仿宋"/>
          <w:bCs/>
          <w:color w:val="auto"/>
          <w:sz w:val="28"/>
          <w:szCs w:val="28"/>
          <w:highlight w:val="none"/>
          <w:lang w:eastAsia="zh-CN"/>
        </w:rPr>
        <w:t>。</w:t>
      </w:r>
    </w:p>
    <w:p w14:paraId="2A71D4B9">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9.本单位不存在</w:t>
      </w:r>
      <w:r>
        <w:rPr>
          <w:rFonts w:hint="eastAsia" w:ascii="仿宋" w:hAnsi="仿宋" w:eastAsia="仿宋" w:cs="仿宋"/>
          <w:bCs/>
          <w:color w:val="auto"/>
          <w:sz w:val="28"/>
          <w:szCs w:val="28"/>
          <w:highlight w:val="none"/>
        </w:rPr>
        <w:t>法律、行政法规及</w:t>
      </w:r>
      <w:r>
        <w:rPr>
          <w:rFonts w:hint="eastAsia" w:ascii="仿宋" w:hAnsi="仿宋" w:eastAsia="仿宋" w:cs="仿宋"/>
          <w:bCs/>
          <w:color w:val="auto"/>
          <w:sz w:val="28"/>
          <w:szCs w:val="28"/>
          <w:highlight w:val="none"/>
          <w:lang w:val="en-US" w:eastAsia="zh-CN"/>
        </w:rPr>
        <w:t>招标</w:t>
      </w:r>
      <w:r>
        <w:rPr>
          <w:rFonts w:hint="eastAsia" w:ascii="仿宋" w:hAnsi="仿宋" w:eastAsia="仿宋" w:cs="仿宋"/>
          <w:bCs/>
          <w:color w:val="auto"/>
          <w:sz w:val="28"/>
          <w:szCs w:val="28"/>
          <w:highlight w:val="none"/>
        </w:rPr>
        <w:t>文件规定的其他</w:t>
      </w:r>
      <w:r>
        <w:rPr>
          <w:rFonts w:hint="eastAsia" w:ascii="仿宋" w:hAnsi="仿宋" w:eastAsia="仿宋" w:cs="仿宋"/>
          <w:bCs/>
          <w:color w:val="auto"/>
          <w:sz w:val="28"/>
          <w:szCs w:val="28"/>
          <w:highlight w:val="none"/>
          <w:lang w:val="en-US" w:eastAsia="zh-CN"/>
        </w:rPr>
        <w:t>禁止报价的情形</w:t>
      </w:r>
      <w:r>
        <w:rPr>
          <w:rFonts w:hint="eastAsia" w:ascii="仿宋" w:hAnsi="仿宋" w:eastAsia="仿宋" w:cs="仿宋"/>
          <w:bCs/>
          <w:color w:val="auto"/>
          <w:sz w:val="28"/>
          <w:szCs w:val="28"/>
          <w:highlight w:val="none"/>
        </w:rPr>
        <w:t>。</w:t>
      </w:r>
    </w:p>
    <w:p w14:paraId="34306543">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如我单位中标，我单位承诺不分包或转包本项目。若我单位提供虚假承诺，我单位同意所递交的投标文件做无效投标处理，并愿意接受通报，按照有关法律法规规定接受处罚，由此造成的一切经济责任和法律责任由我单位自行承担。</w:t>
      </w:r>
    </w:p>
    <w:p w14:paraId="446D5540">
      <w:pPr>
        <w:keepNext w:val="0"/>
        <w:keepLines w:val="0"/>
        <w:pageBreakBefore w:val="0"/>
        <w:kinsoku/>
        <w:overflowPunct/>
        <w:topLinePunct/>
        <w:autoSpaceDE/>
        <w:autoSpaceDN/>
        <w:bidi w:val="0"/>
        <w:textAlignment w:val="auto"/>
        <w:rPr>
          <w:rFonts w:hint="eastAsia" w:ascii="仿宋" w:hAnsi="仿宋" w:eastAsia="仿宋" w:cs="仿宋"/>
          <w:color w:val="auto"/>
          <w:highlight w:val="none"/>
        </w:rPr>
      </w:pPr>
    </w:p>
    <w:p w14:paraId="1BAEC5BE">
      <w:pPr>
        <w:keepNext w:val="0"/>
        <w:keepLines w:val="0"/>
        <w:pageBreakBefore w:val="0"/>
        <w:kinsoku/>
        <w:overflowPunct/>
        <w:topLinePunct/>
        <w:autoSpaceDE/>
        <w:autoSpaceDN/>
        <w:bidi w:val="0"/>
        <w:textAlignment w:val="auto"/>
        <w:rPr>
          <w:rFonts w:hint="eastAsia" w:ascii="仿宋" w:hAnsi="仿宋" w:eastAsia="仿宋" w:cs="仿宋"/>
          <w:color w:val="auto"/>
          <w:highlight w:val="none"/>
        </w:rPr>
      </w:pPr>
    </w:p>
    <w:p w14:paraId="05565070">
      <w:pPr>
        <w:keepNext w:val="0"/>
        <w:keepLines w:val="0"/>
        <w:pageBreakBefore w:val="0"/>
        <w:kinsoku/>
        <w:overflowPunct/>
        <w:topLinePunct/>
        <w:autoSpaceDE/>
        <w:autoSpaceDN/>
        <w:bidi w:val="0"/>
        <w:snapToGrid w:val="0"/>
        <w:spacing w:line="360" w:lineRule="auto"/>
        <w:textAlignment w:val="auto"/>
        <w:rPr>
          <w:rFonts w:hint="eastAsia" w:ascii="仿宋" w:hAnsi="仿宋" w:eastAsia="仿宋" w:cs="仿宋"/>
          <w:i w:val="0"/>
          <w:iCs w:val="0"/>
          <w:color w:val="auto"/>
          <w:sz w:val="28"/>
          <w:szCs w:val="28"/>
          <w:highlight w:val="none"/>
        </w:rPr>
      </w:pPr>
    </w:p>
    <w:p w14:paraId="5BE92B2C">
      <w:pPr>
        <w:keepNext w:val="0"/>
        <w:keepLines w:val="0"/>
        <w:pageBreakBefore w:val="0"/>
        <w:kinsoku/>
        <w:wordWrap/>
        <w:overflowPunct/>
        <w:topLinePunct/>
        <w:autoSpaceDE/>
        <w:autoSpaceDN/>
        <w:bidi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投标人</w:t>
      </w:r>
      <w:r>
        <w:rPr>
          <w:rFonts w:hint="eastAsia" w:ascii="仿宋" w:hAnsi="仿宋" w:eastAsia="仿宋" w:cs="仿宋"/>
          <w:color w:val="auto"/>
          <w:kern w:val="0"/>
          <w:sz w:val="28"/>
          <w:szCs w:val="28"/>
          <w:highlight w:val="none"/>
        </w:rPr>
        <w:t xml:space="preserve">（公章）： </w:t>
      </w:r>
    </w:p>
    <w:p w14:paraId="09CE8066">
      <w:pPr>
        <w:keepNext w:val="0"/>
        <w:keepLines w:val="0"/>
        <w:pageBreakBefore w:val="0"/>
        <w:kinsoku/>
        <w:wordWrap/>
        <w:overflowPunct/>
        <w:topLinePunct/>
        <w:autoSpaceDE/>
        <w:autoSpaceDN/>
        <w:bidi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法定代表人或</w:t>
      </w:r>
      <w:r>
        <w:rPr>
          <w:rFonts w:hint="eastAsia" w:ascii="仿宋" w:hAnsi="仿宋" w:eastAsia="仿宋" w:cs="仿宋"/>
          <w:color w:val="auto"/>
          <w:kern w:val="0"/>
          <w:sz w:val="28"/>
          <w:szCs w:val="28"/>
          <w:highlight w:val="none"/>
          <w:lang w:val="en-US" w:eastAsia="zh-CN"/>
        </w:rPr>
        <w:t>委托代理人</w:t>
      </w:r>
      <w:r>
        <w:rPr>
          <w:rFonts w:hint="eastAsia" w:ascii="仿宋" w:hAnsi="仿宋" w:eastAsia="仿宋" w:cs="仿宋"/>
          <w:color w:val="auto"/>
          <w:kern w:val="0"/>
          <w:sz w:val="28"/>
          <w:szCs w:val="28"/>
          <w:highlight w:val="none"/>
        </w:rPr>
        <w:t>（签字或签章）：</w:t>
      </w:r>
    </w:p>
    <w:p w14:paraId="2E85BDED">
      <w:pPr>
        <w:keepNext w:val="0"/>
        <w:keepLines w:val="0"/>
        <w:pageBreakBefore w:val="0"/>
        <w:kinsoku/>
        <w:overflowPunct/>
        <w:topLinePunct/>
        <w:autoSpaceDE/>
        <w:autoSpaceDN/>
        <w:bidi w:val="0"/>
        <w:snapToGrid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日期：</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日</w:t>
      </w:r>
    </w:p>
    <w:p w14:paraId="6CD17D6B">
      <w:pPr>
        <w:keepNext w:val="0"/>
        <w:keepLines w:val="0"/>
        <w:pageBreakBefore w:val="0"/>
        <w:kinsoku/>
        <w:overflowPunct/>
        <w:topLinePunct/>
        <w:autoSpaceDE/>
        <w:autoSpaceDN/>
        <w:bidi w:val="0"/>
        <w:textAlignment w:val="auto"/>
        <w:rPr>
          <w:rFonts w:hint="eastAsia" w:ascii="仿宋" w:hAnsi="仿宋" w:eastAsia="仿宋" w:cs="仿宋"/>
          <w:color w:val="auto"/>
          <w:highlight w:val="none"/>
        </w:rPr>
        <w:sectPr>
          <w:pgSz w:w="11906" w:h="16838"/>
          <w:pgMar w:top="1280" w:right="1142" w:bottom="1118" w:left="1324" w:header="454" w:footer="680" w:gutter="0"/>
          <w:pgNumType w:fmt="decimal"/>
          <w:cols w:space="0" w:num="1"/>
          <w:docGrid w:linePitch="312" w:charSpace="0"/>
        </w:sectPr>
      </w:pPr>
    </w:p>
    <w:p w14:paraId="0FFD3286">
      <w:pPr>
        <w:pStyle w:val="15"/>
        <w:keepNext w:val="0"/>
        <w:keepLines w:val="0"/>
        <w:pageBreakBefore w:val="0"/>
        <w:kinsoku/>
        <w:overflowPunct/>
        <w:topLinePunct/>
        <w:autoSpaceDE/>
        <w:autoSpaceDN/>
        <w:bidi w:val="0"/>
        <w:jc w:val="center"/>
        <w:textAlignment w:val="auto"/>
        <w:outlineLvl w:val="2"/>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lang w:val="en-US" w:eastAsia="zh-CN"/>
        </w:rPr>
        <w:t>投标单位、法定代表人、委托代理人</w:t>
      </w:r>
      <w:r>
        <w:rPr>
          <w:rFonts w:hint="eastAsia" w:ascii="仿宋" w:hAnsi="仿宋" w:eastAsia="仿宋" w:cs="仿宋"/>
          <w:b/>
          <w:color w:val="auto"/>
          <w:sz w:val="36"/>
          <w:szCs w:val="36"/>
          <w:highlight w:val="none"/>
          <w:lang w:eastAsia="zh-CN"/>
        </w:rPr>
        <w:t>未被最高法院（查询网址为：</w:t>
      </w:r>
      <w:r>
        <w:rPr>
          <w:rFonts w:hint="eastAsia" w:ascii="仿宋" w:hAnsi="仿宋" w:eastAsia="仿宋" w:cs="仿宋"/>
          <w:b/>
          <w:color w:val="auto"/>
          <w:sz w:val="36"/>
          <w:szCs w:val="36"/>
          <w:highlight w:val="none"/>
          <w:lang w:eastAsia="zh-CN"/>
        </w:rPr>
        <w:fldChar w:fldCharType="begin"/>
      </w:r>
      <w:r>
        <w:rPr>
          <w:rFonts w:hint="eastAsia" w:ascii="仿宋" w:hAnsi="仿宋" w:eastAsia="仿宋" w:cs="仿宋"/>
          <w:b/>
          <w:color w:val="auto"/>
          <w:sz w:val="36"/>
          <w:szCs w:val="36"/>
          <w:highlight w:val="none"/>
          <w:lang w:eastAsia="zh-CN"/>
        </w:rPr>
        <w:instrText xml:space="preserve"> HYPERLINK "http://zxgk.court.gov.cn/shixin/）列入失信被执行人。" </w:instrText>
      </w:r>
      <w:r>
        <w:rPr>
          <w:rFonts w:hint="eastAsia" w:ascii="仿宋" w:hAnsi="仿宋" w:eastAsia="仿宋" w:cs="仿宋"/>
          <w:b/>
          <w:color w:val="auto"/>
          <w:sz w:val="36"/>
          <w:szCs w:val="36"/>
          <w:highlight w:val="none"/>
          <w:lang w:eastAsia="zh-CN"/>
        </w:rPr>
        <w:fldChar w:fldCharType="separate"/>
      </w:r>
      <w:r>
        <w:rPr>
          <w:rFonts w:hint="eastAsia" w:ascii="仿宋" w:hAnsi="仿宋" w:eastAsia="仿宋" w:cs="仿宋"/>
          <w:b/>
          <w:color w:val="auto"/>
          <w:sz w:val="36"/>
          <w:szCs w:val="36"/>
          <w:highlight w:val="none"/>
          <w:lang w:eastAsia="zh-CN"/>
        </w:rPr>
        <w:t>http://zxgk.court.gov.cn/shixin/）列入失信被执行人查询截图</w:t>
      </w:r>
      <w:r>
        <w:rPr>
          <w:rFonts w:hint="eastAsia" w:ascii="仿宋" w:hAnsi="仿宋" w:eastAsia="仿宋" w:cs="仿宋"/>
          <w:b/>
          <w:color w:val="auto"/>
          <w:sz w:val="36"/>
          <w:szCs w:val="36"/>
          <w:highlight w:val="none"/>
          <w:lang w:eastAsia="zh-CN"/>
        </w:rPr>
        <w:fldChar w:fldCharType="end"/>
      </w:r>
      <w:r>
        <w:rPr>
          <w:rFonts w:hint="eastAsia" w:ascii="仿宋" w:hAnsi="仿宋" w:eastAsia="仿宋" w:cs="仿宋"/>
          <w:b/>
          <w:color w:val="auto"/>
          <w:sz w:val="36"/>
          <w:szCs w:val="36"/>
          <w:highlight w:val="none"/>
          <w:lang w:eastAsia="zh-CN"/>
        </w:rPr>
        <w:t>（须填写完整，查询省份为全部）</w:t>
      </w:r>
    </w:p>
    <w:p w14:paraId="7F95E9DF">
      <w:pPr>
        <w:pStyle w:val="33"/>
        <w:keepNext w:val="0"/>
        <w:keepLines w:val="0"/>
        <w:pageBreakBefore w:val="0"/>
        <w:kinsoku/>
        <w:overflowPunct/>
        <w:topLinePunct/>
        <w:autoSpaceDE/>
        <w:autoSpaceDN/>
        <w:bidi w:val="0"/>
        <w:ind w:left="0" w:leftChars="0" w:firstLine="0" w:firstLineChars="0"/>
        <w:jc w:val="center"/>
        <w:textAlignment w:val="auto"/>
        <w:rPr>
          <w:rFonts w:hint="eastAsia" w:ascii="仿宋" w:hAnsi="仿宋" w:eastAsia="仿宋" w:cs="仿宋"/>
          <w:b/>
          <w:bCs w:val="0"/>
          <w:color w:val="auto"/>
          <w:highlight w:val="none"/>
        </w:rPr>
      </w:pPr>
      <w:r>
        <w:rPr>
          <w:rFonts w:hint="eastAsia" w:ascii="仿宋" w:hAnsi="仿宋" w:eastAsia="仿宋" w:cs="仿宋"/>
          <w:b/>
          <w:bCs w:val="0"/>
          <w:color w:val="auto"/>
          <w:kern w:val="2"/>
          <w:sz w:val="36"/>
          <w:szCs w:val="36"/>
          <w:highlight w:val="none"/>
          <w:lang w:val="en-US" w:eastAsia="zh-CN" w:bidi="ar-SA"/>
        </w:rPr>
        <w:t>（盖公章）</w:t>
      </w:r>
    </w:p>
    <w:p w14:paraId="373AAC13">
      <w:pPr>
        <w:pStyle w:val="33"/>
        <w:keepNext w:val="0"/>
        <w:keepLines w:val="0"/>
        <w:pageBreakBefore w:val="0"/>
        <w:kinsoku/>
        <w:overflowPunct/>
        <w:topLinePunct/>
        <w:autoSpaceDE/>
        <w:autoSpaceDN/>
        <w:bidi w:val="0"/>
        <w:ind w:left="0" w:leftChars="0" w:firstLine="0" w:firstLineChars="0"/>
        <w:textAlignment w:val="auto"/>
        <w:rPr>
          <w:rFonts w:hint="eastAsia" w:ascii="仿宋" w:hAnsi="仿宋" w:eastAsia="仿宋" w:cs="仿宋"/>
          <w:color w:val="auto"/>
          <w:highlight w:val="none"/>
        </w:rPr>
        <w:sectPr>
          <w:pgSz w:w="11906" w:h="16838"/>
          <w:pgMar w:top="1280" w:right="1142" w:bottom="1118" w:left="1324" w:header="454" w:footer="680" w:gutter="0"/>
          <w:pgNumType w:fmt="decimal"/>
          <w:cols w:space="0" w:num="1"/>
          <w:docGrid w:linePitch="312" w:charSpace="0"/>
        </w:sectPr>
      </w:pPr>
    </w:p>
    <w:p w14:paraId="0E52FE5E">
      <w:pPr>
        <w:pStyle w:val="15"/>
        <w:keepNext w:val="0"/>
        <w:keepLines w:val="0"/>
        <w:pageBreakBefore w:val="0"/>
        <w:kinsoku/>
        <w:overflowPunct/>
        <w:topLinePunct/>
        <w:autoSpaceDE/>
        <w:autoSpaceDN/>
        <w:bidi w:val="0"/>
        <w:jc w:val="center"/>
        <w:textAlignment w:val="auto"/>
        <w:outlineLvl w:val="2"/>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投标人近一年在“信用中国”或“信用山东”无严重失信记录</w:t>
      </w:r>
    </w:p>
    <w:p w14:paraId="689A0A51">
      <w:pPr>
        <w:pStyle w:val="33"/>
        <w:keepNext w:val="0"/>
        <w:keepLines w:val="0"/>
        <w:pageBreakBefore w:val="0"/>
        <w:kinsoku/>
        <w:overflowPunct/>
        <w:topLinePunct/>
        <w:autoSpaceDE/>
        <w:autoSpaceDN/>
        <w:bidi w:val="0"/>
        <w:ind w:left="0" w:leftChars="0" w:firstLine="0" w:firstLineChars="0"/>
        <w:jc w:val="center"/>
        <w:textAlignment w:val="auto"/>
        <w:rPr>
          <w:rFonts w:hint="eastAsia" w:ascii="仿宋" w:hAnsi="仿宋" w:eastAsia="仿宋" w:cs="仿宋"/>
          <w:b/>
          <w:bCs w:val="0"/>
          <w:color w:val="auto"/>
          <w:highlight w:val="none"/>
        </w:rPr>
      </w:pPr>
      <w:r>
        <w:rPr>
          <w:rFonts w:hint="eastAsia" w:ascii="仿宋" w:hAnsi="仿宋" w:eastAsia="仿宋" w:cs="仿宋"/>
          <w:b/>
          <w:bCs w:val="0"/>
          <w:color w:val="auto"/>
          <w:kern w:val="2"/>
          <w:sz w:val="36"/>
          <w:szCs w:val="36"/>
          <w:highlight w:val="none"/>
          <w:lang w:val="en-US" w:eastAsia="zh-CN" w:bidi="ar-SA"/>
        </w:rPr>
        <w:t>（盖公章）</w:t>
      </w:r>
    </w:p>
    <w:p w14:paraId="1FA37076">
      <w:pPr>
        <w:pStyle w:val="15"/>
        <w:keepNext w:val="0"/>
        <w:keepLines w:val="0"/>
        <w:pageBreakBefore w:val="0"/>
        <w:kinsoku/>
        <w:overflowPunct/>
        <w:topLinePunct/>
        <w:autoSpaceDE/>
        <w:autoSpaceDN/>
        <w:bidi w:val="0"/>
        <w:jc w:val="center"/>
        <w:textAlignment w:val="auto"/>
        <w:outlineLvl w:val="9"/>
        <w:rPr>
          <w:rFonts w:hint="eastAsia" w:ascii="仿宋" w:hAnsi="仿宋" w:eastAsia="仿宋" w:cs="仿宋"/>
          <w:b/>
          <w:color w:val="auto"/>
          <w:sz w:val="44"/>
          <w:szCs w:val="44"/>
          <w:highlight w:val="none"/>
          <w:lang w:val="en-US" w:eastAsia="zh-CN"/>
        </w:rPr>
      </w:pPr>
    </w:p>
    <w:p w14:paraId="5B3A205B">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附信用中国（www.creditchina.gov.cn）或信用中国（山东）（credit.shandong.gov.cn）查询的信用报告；</w:t>
      </w:r>
    </w:p>
    <w:p w14:paraId="722F0337">
      <w:pPr>
        <w:pStyle w:val="33"/>
        <w:keepNext w:val="0"/>
        <w:keepLines w:val="0"/>
        <w:pageBreakBefore w:val="0"/>
        <w:kinsoku/>
        <w:overflowPunct/>
        <w:topLinePunct/>
        <w:autoSpaceDE/>
        <w:autoSpaceDN/>
        <w:bidi w:val="0"/>
        <w:ind w:left="0" w:leftChars="0" w:firstLine="0" w:firstLineChars="0"/>
        <w:textAlignment w:val="auto"/>
        <w:rPr>
          <w:rFonts w:hint="eastAsia" w:ascii="仿宋" w:hAnsi="仿宋" w:eastAsia="仿宋" w:cs="仿宋"/>
          <w:color w:val="auto"/>
          <w:highlight w:val="none"/>
        </w:rPr>
        <w:sectPr>
          <w:pgSz w:w="11906" w:h="16838"/>
          <w:pgMar w:top="1280" w:right="1142" w:bottom="1118" w:left="1324" w:header="454" w:footer="680" w:gutter="0"/>
          <w:pgNumType w:fmt="decimal"/>
          <w:cols w:space="0" w:num="1"/>
          <w:docGrid w:linePitch="312" w:charSpace="0"/>
        </w:sectPr>
      </w:pPr>
    </w:p>
    <w:p w14:paraId="3EFBD3DF">
      <w:pPr>
        <w:pStyle w:val="15"/>
        <w:keepNext w:val="0"/>
        <w:keepLines w:val="0"/>
        <w:pageBreakBefore w:val="0"/>
        <w:kinsoku/>
        <w:overflowPunct/>
        <w:topLinePunct/>
        <w:autoSpaceDE/>
        <w:autoSpaceDN/>
        <w:bidi w:val="0"/>
        <w:jc w:val="center"/>
        <w:textAlignment w:val="auto"/>
        <w:outlineLvl w:val="2"/>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交纳投标保证金的证明材料</w:t>
      </w:r>
    </w:p>
    <w:p w14:paraId="1BA705BB">
      <w:pPr>
        <w:pStyle w:val="15"/>
        <w:keepNext w:val="0"/>
        <w:keepLines w:val="0"/>
        <w:pageBreakBefore w:val="0"/>
        <w:kinsoku/>
        <w:overflowPunct/>
        <w:topLinePunct/>
        <w:autoSpaceDE/>
        <w:autoSpaceDN/>
        <w:bidi w:val="0"/>
        <w:jc w:val="center"/>
        <w:textAlignment w:val="auto"/>
        <w:outlineLvl w:val="9"/>
        <w:rPr>
          <w:rFonts w:hint="eastAsia" w:ascii="仿宋" w:hAnsi="仿宋" w:eastAsia="仿宋" w:cs="仿宋"/>
          <w:b/>
          <w:bCs w:val="0"/>
          <w:color w:val="auto"/>
          <w:highlight w:val="none"/>
        </w:rPr>
      </w:pPr>
      <w:r>
        <w:rPr>
          <w:rFonts w:hint="eastAsia" w:ascii="仿宋" w:hAnsi="仿宋" w:eastAsia="仿宋" w:cs="仿宋"/>
          <w:b/>
          <w:color w:val="auto"/>
          <w:sz w:val="36"/>
          <w:szCs w:val="36"/>
          <w:highlight w:val="none"/>
          <w:lang w:val="en-US" w:eastAsia="zh-CN"/>
        </w:rPr>
        <w:t>（两者缺一不可）</w:t>
      </w:r>
      <w:r>
        <w:rPr>
          <w:rFonts w:hint="eastAsia" w:ascii="仿宋" w:hAnsi="仿宋" w:eastAsia="仿宋" w:cs="仿宋"/>
          <w:b/>
          <w:bCs w:val="0"/>
          <w:color w:val="auto"/>
          <w:kern w:val="2"/>
          <w:sz w:val="36"/>
          <w:szCs w:val="36"/>
          <w:highlight w:val="none"/>
          <w:lang w:val="en-US" w:eastAsia="zh-CN" w:bidi="ar-SA"/>
        </w:rPr>
        <w:t>（盖公章）</w:t>
      </w:r>
    </w:p>
    <w:p w14:paraId="06A19331">
      <w:pPr>
        <w:pStyle w:val="23"/>
        <w:keepNext w:val="0"/>
        <w:keepLines w:val="0"/>
        <w:pageBreakBefore w:val="0"/>
        <w:kinsoku/>
        <w:overflowPunct/>
        <w:autoSpaceDE/>
        <w:autoSpaceDN/>
        <w:bidi w:val="0"/>
        <w:rPr>
          <w:rFonts w:hint="eastAsia"/>
        </w:rPr>
      </w:pPr>
    </w:p>
    <w:p w14:paraId="6510C0E0">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附（1）企业银行基本账户开户证明（如开户许可证或银行开户证明等）；</w:t>
      </w:r>
    </w:p>
    <w:p w14:paraId="65DF70FB">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（2）电汇凭证或电子汇款截图扫描件。</w:t>
      </w:r>
    </w:p>
    <w:p w14:paraId="713DECAD">
      <w:pPr>
        <w:pStyle w:val="15"/>
        <w:keepNext w:val="0"/>
        <w:keepLines w:val="0"/>
        <w:pageBreakBefore w:val="0"/>
        <w:kinsoku/>
        <w:overflowPunct/>
        <w:topLinePunct/>
        <w:autoSpaceDE/>
        <w:autoSpaceDN/>
        <w:bidi w:val="0"/>
        <w:jc w:val="center"/>
        <w:textAlignment w:val="auto"/>
        <w:outlineLvl w:val="2"/>
        <w:rPr>
          <w:rFonts w:hint="eastAsia" w:ascii="仿宋" w:hAnsi="仿宋" w:eastAsia="仿宋" w:cs="仿宋"/>
          <w:b/>
          <w:color w:val="auto"/>
          <w:sz w:val="36"/>
          <w:szCs w:val="36"/>
          <w:highlight w:val="none"/>
          <w:lang w:val="en-US" w:eastAsia="zh-CN"/>
        </w:rPr>
        <w:sectPr>
          <w:pgSz w:w="11906" w:h="16838"/>
          <w:pgMar w:top="1280" w:right="1142" w:bottom="1118" w:left="1324" w:header="454" w:footer="680" w:gutter="0"/>
          <w:pgNumType w:fmt="decimal"/>
          <w:cols w:space="0" w:num="1"/>
          <w:docGrid w:linePitch="312" w:charSpace="0"/>
        </w:sectPr>
      </w:pPr>
    </w:p>
    <w:p w14:paraId="78747B20">
      <w:pPr>
        <w:pStyle w:val="15"/>
        <w:keepNext w:val="0"/>
        <w:keepLines w:val="0"/>
        <w:pageBreakBefore w:val="0"/>
        <w:kinsoku/>
        <w:overflowPunct/>
        <w:topLinePunct/>
        <w:autoSpaceDE/>
        <w:autoSpaceDN/>
        <w:bidi w:val="0"/>
        <w:jc w:val="center"/>
        <w:textAlignment w:val="auto"/>
        <w:outlineLvl w:val="2"/>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投标人认为需要提供的资质资格证明文件</w:t>
      </w:r>
    </w:p>
    <w:p w14:paraId="44248107">
      <w:pPr>
        <w:pStyle w:val="33"/>
        <w:keepNext w:val="0"/>
        <w:keepLines w:val="0"/>
        <w:pageBreakBefore w:val="0"/>
        <w:kinsoku/>
        <w:overflowPunct/>
        <w:topLinePunct/>
        <w:autoSpaceDE/>
        <w:autoSpaceDN/>
        <w:bidi w:val="0"/>
        <w:jc w:val="center"/>
        <w:textAlignment w:val="auto"/>
        <w:rPr>
          <w:rFonts w:hint="eastAsia" w:ascii="仿宋" w:hAnsi="仿宋" w:eastAsia="仿宋" w:cs="仿宋"/>
          <w:b/>
          <w:bCs w:val="0"/>
          <w:color w:val="auto"/>
          <w:highlight w:val="none"/>
        </w:rPr>
      </w:pPr>
      <w:r>
        <w:rPr>
          <w:rFonts w:hint="eastAsia" w:ascii="仿宋" w:hAnsi="仿宋" w:eastAsia="仿宋" w:cs="仿宋"/>
          <w:b/>
          <w:bCs w:val="0"/>
          <w:color w:val="auto"/>
          <w:kern w:val="2"/>
          <w:sz w:val="36"/>
          <w:szCs w:val="36"/>
          <w:highlight w:val="none"/>
          <w:lang w:val="en-US" w:eastAsia="zh-CN" w:bidi="ar-SA"/>
        </w:rPr>
        <w:t>（盖公章）</w:t>
      </w:r>
    </w:p>
    <w:p w14:paraId="4FA1C4F2">
      <w:pPr>
        <w:pStyle w:val="33"/>
        <w:keepNext w:val="0"/>
        <w:keepLines w:val="0"/>
        <w:pageBreakBefore w:val="0"/>
        <w:kinsoku/>
        <w:overflowPunct/>
        <w:topLinePunct/>
        <w:autoSpaceDE/>
        <w:autoSpaceDN/>
        <w:bidi w:val="0"/>
        <w:textAlignment w:val="auto"/>
        <w:rPr>
          <w:rFonts w:hint="eastAsia" w:ascii="仿宋" w:hAnsi="仿宋" w:eastAsia="仿宋" w:cs="仿宋"/>
          <w:color w:val="auto"/>
          <w:highlight w:val="none"/>
        </w:rPr>
      </w:pPr>
    </w:p>
    <w:p w14:paraId="789D3AC1">
      <w:pPr>
        <w:pStyle w:val="33"/>
        <w:keepNext w:val="0"/>
        <w:keepLines w:val="0"/>
        <w:pageBreakBefore w:val="0"/>
        <w:kinsoku/>
        <w:overflowPunct/>
        <w:topLinePunct/>
        <w:autoSpaceDE/>
        <w:autoSpaceDN/>
        <w:bidi w:val="0"/>
        <w:textAlignment w:val="auto"/>
        <w:rPr>
          <w:rFonts w:hint="eastAsia" w:ascii="仿宋" w:hAnsi="仿宋" w:eastAsia="仿宋" w:cs="仿宋"/>
          <w:color w:val="auto"/>
          <w:highlight w:val="none"/>
        </w:rPr>
        <w:sectPr>
          <w:pgSz w:w="11906" w:h="16838"/>
          <w:pgMar w:top="1280" w:right="1142" w:bottom="1118" w:left="1324" w:header="454" w:footer="680" w:gutter="0"/>
          <w:pgNumType w:fmt="decimal"/>
          <w:cols w:space="0" w:num="1"/>
          <w:docGrid w:linePitch="312" w:charSpace="0"/>
        </w:sectPr>
      </w:pPr>
    </w:p>
    <w:p w14:paraId="06435961">
      <w:pPr>
        <w:pStyle w:val="15"/>
        <w:keepNext w:val="0"/>
        <w:keepLines w:val="0"/>
        <w:pageBreakBefore w:val="0"/>
        <w:kinsoku/>
        <w:overflowPunct/>
        <w:topLinePunct/>
        <w:autoSpaceDE/>
        <w:autoSpaceDN/>
        <w:bidi w:val="0"/>
        <w:jc w:val="center"/>
        <w:textAlignment w:val="auto"/>
        <w:outlineLvl w:val="1"/>
        <w:rPr>
          <w:rFonts w:hint="eastAsia" w:ascii="仿宋" w:hAnsi="仿宋" w:eastAsia="仿宋" w:cs="仿宋"/>
          <w:b/>
          <w:color w:val="auto"/>
          <w:sz w:val="44"/>
          <w:szCs w:val="44"/>
          <w:highlight w:val="none"/>
        </w:rPr>
      </w:pPr>
      <w:bookmarkStart w:id="41" w:name="_Toc25563"/>
      <w:r>
        <w:rPr>
          <w:rFonts w:hint="eastAsia" w:ascii="仿宋" w:hAnsi="仿宋" w:eastAsia="仿宋" w:cs="仿宋"/>
          <w:b/>
          <w:color w:val="auto"/>
          <w:sz w:val="44"/>
          <w:szCs w:val="44"/>
          <w:highlight w:val="none"/>
        </w:rPr>
        <w:t>商务文件</w:t>
      </w:r>
      <w:bookmarkEnd w:id="41"/>
    </w:p>
    <w:p w14:paraId="2A866B32">
      <w:pPr>
        <w:keepNext w:val="0"/>
        <w:keepLines w:val="0"/>
        <w:pageBreakBefore w:val="0"/>
        <w:kinsoku/>
        <w:overflowPunct/>
        <w:autoSpaceDE/>
        <w:autoSpaceDN/>
        <w:bidi w:val="0"/>
        <w:rPr>
          <w:rFonts w:hint="eastAsia"/>
        </w:rPr>
      </w:pPr>
    </w:p>
    <w:p w14:paraId="3A68A166">
      <w:pPr>
        <w:pStyle w:val="15"/>
        <w:keepNext w:val="0"/>
        <w:keepLines w:val="0"/>
        <w:pageBreakBefore w:val="0"/>
        <w:kinsoku/>
        <w:overflowPunct/>
        <w:topLinePunct/>
        <w:autoSpaceDE/>
        <w:autoSpaceDN/>
        <w:bidi w:val="0"/>
        <w:jc w:val="center"/>
        <w:textAlignment w:val="auto"/>
        <w:outlineLvl w:val="2"/>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lang w:eastAsia="zh-CN"/>
        </w:rPr>
        <w:t>投标人</w:t>
      </w:r>
      <w:r>
        <w:rPr>
          <w:rFonts w:hint="eastAsia" w:ascii="仿宋" w:hAnsi="仿宋" w:eastAsia="仿宋" w:cs="仿宋"/>
          <w:b/>
          <w:color w:val="auto"/>
          <w:sz w:val="36"/>
          <w:szCs w:val="36"/>
          <w:highlight w:val="none"/>
        </w:rPr>
        <w:t>基本情况表</w:t>
      </w:r>
    </w:p>
    <w:p w14:paraId="5BB79D90">
      <w:pPr>
        <w:keepNext w:val="0"/>
        <w:keepLines w:val="0"/>
        <w:pageBreakBefore w:val="0"/>
        <w:kinsoku/>
        <w:overflowPunct/>
        <w:autoSpaceDE/>
        <w:autoSpaceDN/>
        <w:bidi w:val="0"/>
        <w:rPr>
          <w:rFonts w:hint="eastAsia"/>
        </w:rPr>
      </w:pP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7"/>
        <w:gridCol w:w="1726"/>
        <w:gridCol w:w="935"/>
        <w:gridCol w:w="2078"/>
        <w:gridCol w:w="2192"/>
        <w:gridCol w:w="2148"/>
      </w:tblGrid>
      <w:tr w14:paraId="60872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jc w:val="center"/>
        </w:trPr>
        <w:tc>
          <w:tcPr>
            <w:tcW w:w="1193" w:type="pct"/>
            <w:gridSpan w:val="2"/>
            <w:noWrap w:val="0"/>
            <w:vAlign w:val="center"/>
          </w:tcPr>
          <w:p w14:paraId="06273097">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sz w:val="28"/>
                <w:szCs w:val="28"/>
              </w:rPr>
              <w:t>单位名称</w:t>
            </w:r>
          </w:p>
        </w:tc>
        <w:tc>
          <w:tcPr>
            <w:tcW w:w="1560" w:type="pct"/>
            <w:gridSpan w:val="2"/>
            <w:noWrap w:val="0"/>
            <w:vAlign w:val="center"/>
          </w:tcPr>
          <w:p w14:paraId="3DDEF5B8">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p>
        </w:tc>
        <w:tc>
          <w:tcPr>
            <w:tcW w:w="1135" w:type="pct"/>
            <w:noWrap w:val="0"/>
            <w:vAlign w:val="center"/>
          </w:tcPr>
          <w:p w14:paraId="2E6AFB8F">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sz w:val="28"/>
                <w:szCs w:val="28"/>
              </w:rPr>
              <w:t>地址</w:t>
            </w:r>
          </w:p>
        </w:tc>
        <w:tc>
          <w:tcPr>
            <w:tcW w:w="1111" w:type="pct"/>
            <w:noWrap w:val="0"/>
            <w:vAlign w:val="center"/>
          </w:tcPr>
          <w:p w14:paraId="235C7FC4">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p>
        </w:tc>
      </w:tr>
      <w:tr w14:paraId="3F912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193" w:type="pct"/>
            <w:gridSpan w:val="2"/>
            <w:noWrap w:val="0"/>
            <w:vAlign w:val="center"/>
          </w:tcPr>
          <w:p w14:paraId="6D8B2A70">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sz w:val="28"/>
                <w:szCs w:val="28"/>
              </w:rPr>
              <w:t>办公电话/传真</w:t>
            </w:r>
          </w:p>
        </w:tc>
        <w:tc>
          <w:tcPr>
            <w:tcW w:w="1560" w:type="pct"/>
            <w:gridSpan w:val="2"/>
            <w:noWrap w:val="0"/>
            <w:vAlign w:val="center"/>
          </w:tcPr>
          <w:p w14:paraId="277F08D4">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p>
        </w:tc>
        <w:tc>
          <w:tcPr>
            <w:tcW w:w="1135" w:type="pct"/>
            <w:noWrap w:val="0"/>
            <w:vAlign w:val="center"/>
          </w:tcPr>
          <w:p w14:paraId="43D008F9">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sz w:val="28"/>
                <w:szCs w:val="28"/>
              </w:rPr>
              <w:t>联系人</w:t>
            </w:r>
          </w:p>
        </w:tc>
        <w:tc>
          <w:tcPr>
            <w:tcW w:w="1111" w:type="pct"/>
            <w:noWrap w:val="0"/>
            <w:vAlign w:val="center"/>
          </w:tcPr>
          <w:p w14:paraId="47FDA8E4">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p>
        </w:tc>
      </w:tr>
      <w:tr w14:paraId="16756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 w:hRule="atLeast"/>
          <w:jc w:val="center"/>
        </w:trPr>
        <w:tc>
          <w:tcPr>
            <w:tcW w:w="1193" w:type="pct"/>
            <w:gridSpan w:val="2"/>
            <w:noWrap w:val="0"/>
            <w:vAlign w:val="center"/>
          </w:tcPr>
          <w:p w14:paraId="19306856">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sz w:val="28"/>
                <w:szCs w:val="28"/>
              </w:rPr>
              <w:t>总经理</w:t>
            </w:r>
          </w:p>
        </w:tc>
        <w:tc>
          <w:tcPr>
            <w:tcW w:w="1560" w:type="pct"/>
            <w:gridSpan w:val="2"/>
            <w:noWrap w:val="0"/>
            <w:vAlign w:val="center"/>
          </w:tcPr>
          <w:p w14:paraId="72A16B18">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p>
        </w:tc>
        <w:tc>
          <w:tcPr>
            <w:tcW w:w="1135" w:type="pct"/>
            <w:noWrap w:val="0"/>
            <w:vAlign w:val="center"/>
          </w:tcPr>
          <w:p w14:paraId="1B11624C">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sz w:val="28"/>
                <w:szCs w:val="28"/>
              </w:rPr>
              <w:t>固定办公面积</w:t>
            </w:r>
          </w:p>
          <w:p w14:paraId="0C0BE686">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sz w:val="28"/>
                <w:szCs w:val="28"/>
              </w:rPr>
              <w:t>（平米）</w:t>
            </w:r>
          </w:p>
        </w:tc>
        <w:tc>
          <w:tcPr>
            <w:tcW w:w="1111" w:type="pct"/>
            <w:noWrap w:val="0"/>
            <w:vAlign w:val="center"/>
          </w:tcPr>
          <w:p w14:paraId="1861E615">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p>
        </w:tc>
      </w:tr>
      <w:tr w14:paraId="06D35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4" w:hRule="atLeast"/>
          <w:jc w:val="center"/>
        </w:trPr>
        <w:tc>
          <w:tcPr>
            <w:tcW w:w="299" w:type="pct"/>
            <w:vMerge w:val="restart"/>
            <w:noWrap w:val="0"/>
            <w:vAlign w:val="center"/>
          </w:tcPr>
          <w:p w14:paraId="10E3B112">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sz w:val="28"/>
                <w:szCs w:val="28"/>
              </w:rPr>
              <w:t>注册情况</w:t>
            </w:r>
          </w:p>
        </w:tc>
        <w:tc>
          <w:tcPr>
            <w:tcW w:w="1377" w:type="pct"/>
            <w:gridSpan w:val="2"/>
            <w:noWrap w:val="0"/>
            <w:vAlign w:val="center"/>
          </w:tcPr>
          <w:p w14:paraId="19704D5B">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sz w:val="28"/>
                <w:szCs w:val="28"/>
              </w:rPr>
              <w:t>工商注册号</w:t>
            </w:r>
          </w:p>
        </w:tc>
        <w:tc>
          <w:tcPr>
            <w:tcW w:w="3322" w:type="pct"/>
            <w:gridSpan w:val="3"/>
            <w:noWrap w:val="0"/>
            <w:vAlign w:val="center"/>
          </w:tcPr>
          <w:p w14:paraId="02044569">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p>
        </w:tc>
      </w:tr>
      <w:tr w14:paraId="23234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299" w:type="pct"/>
            <w:vMerge w:val="continue"/>
            <w:noWrap w:val="0"/>
            <w:textDirection w:val="tbRlV"/>
            <w:vAlign w:val="center"/>
          </w:tcPr>
          <w:p w14:paraId="09278346">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p>
        </w:tc>
        <w:tc>
          <w:tcPr>
            <w:tcW w:w="1377" w:type="pct"/>
            <w:gridSpan w:val="2"/>
            <w:noWrap w:val="0"/>
            <w:vAlign w:val="center"/>
          </w:tcPr>
          <w:p w14:paraId="427B8647">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sz w:val="28"/>
                <w:szCs w:val="28"/>
              </w:rPr>
              <w:t>注册资本（万元）</w:t>
            </w:r>
          </w:p>
        </w:tc>
        <w:tc>
          <w:tcPr>
            <w:tcW w:w="3322" w:type="pct"/>
            <w:gridSpan w:val="3"/>
            <w:noWrap w:val="0"/>
            <w:vAlign w:val="center"/>
          </w:tcPr>
          <w:p w14:paraId="0F78B569">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p>
        </w:tc>
      </w:tr>
      <w:tr w14:paraId="73E4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3" w:hRule="atLeast"/>
          <w:jc w:val="center"/>
        </w:trPr>
        <w:tc>
          <w:tcPr>
            <w:tcW w:w="299" w:type="pct"/>
            <w:vMerge w:val="continue"/>
            <w:noWrap w:val="0"/>
            <w:textDirection w:val="tbRlV"/>
            <w:vAlign w:val="center"/>
          </w:tcPr>
          <w:p w14:paraId="4EFB8AC8">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p>
        </w:tc>
        <w:tc>
          <w:tcPr>
            <w:tcW w:w="1377" w:type="pct"/>
            <w:gridSpan w:val="2"/>
            <w:noWrap w:val="0"/>
            <w:vAlign w:val="center"/>
          </w:tcPr>
          <w:p w14:paraId="18C20FDC">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sz w:val="28"/>
                <w:szCs w:val="28"/>
              </w:rPr>
              <w:t>法定代表人</w:t>
            </w:r>
          </w:p>
        </w:tc>
        <w:tc>
          <w:tcPr>
            <w:tcW w:w="1076" w:type="pct"/>
            <w:noWrap w:val="0"/>
            <w:vAlign w:val="center"/>
          </w:tcPr>
          <w:p w14:paraId="3CC4CF78">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p>
        </w:tc>
        <w:tc>
          <w:tcPr>
            <w:tcW w:w="1135" w:type="pct"/>
            <w:noWrap w:val="0"/>
            <w:vAlign w:val="center"/>
          </w:tcPr>
          <w:p w14:paraId="35B8C3A4">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sz w:val="28"/>
                <w:szCs w:val="28"/>
              </w:rPr>
              <w:t>单位类型</w:t>
            </w:r>
          </w:p>
        </w:tc>
        <w:tc>
          <w:tcPr>
            <w:tcW w:w="1111" w:type="pct"/>
            <w:noWrap w:val="0"/>
            <w:vAlign w:val="center"/>
          </w:tcPr>
          <w:p w14:paraId="0F42ABE5">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p>
        </w:tc>
      </w:tr>
      <w:tr w14:paraId="7CF33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299" w:type="pct"/>
            <w:vMerge w:val="continue"/>
            <w:noWrap w:val="0"/>
            <w:textDirection w:val="tbRlV"/>
            <w:vAlign w:val="center"/>
          </w:tcPr>
          <w:p w14:paraId="3FBB0271">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p>
        </w:tc>
        <w:tc>
          <w:tcPr>
            <w:tcW w:w="1377" w:type="pct"/>
            <w:gridSpan w:val="2"/>
            <w:noWrap w:val="0"/>
            <w:vAlign w:val="center"/>
          </w:tcPr>
          <w:p w14:paraId="74FAFF39">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sz w:val="28"/>
                <w:szCs w:val="28"/>
              </w:rPr>
              <w:t>成立时间</w:t>
            </w:r>
          </w:p>
        </w:tc>
        <w:tc>
          <w:tcPr>
            <w:tcW w:w="1076" w:type="pct"/>
            <w:noWrap w:val="0"/>
            <w:vAlign w:val="center"/>
          </w:tcPr>
          <w:p w14:paraId="03556A3B">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p>
        </w:tc>
        <w:tc>
          <w:tcPr>
            <w:tcW w:w="1135" w:type="pct"/>
            <w:noWrap w:val="0"/>
            <w:vAlign w:val="center"/>
          </w:tcPr>
          <w:p w14:paraId="1AA963CF">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sz w:val="28"/>
                <w:szCs w:val="28"/>
              </w:rPr>
              <w:t>营业期限</w:t>
            </w:r>
          </w:p>
        </w:tc>
        <w:tc>
          <w:tcPr>
            <w:tcW w:w="1111" w:type="pct"/>
            <w:noWrap w:val="0"/>
            <w:vAlign w:val="center"/>
          </w:tcPr>
          <w:p w14:paraId="05F3FCDB">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p>
        </w:tc>
      </w:tr>
      <w:tr w14:paraId="76231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299" w:type="pct"/>
            <w:vMerge w:val="continue"/>
            <w:noWrap w:val="0"/>
            <w:textDirection w:val="tbRlV"/>
            <w:vAlign w:val="center"/>
          </w:tcPr>
          <w:p w14:paraId="68F087C6">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p>
        </w:tc>
        <w:tc>
          <w:tcPr>
            <w:tcW w:w="1377" w:type="pct"/>
            <w:gridSpan w:val="2"/>
            <w:noWrap w:val="0"/>
            <w:vAlign w:val="center"/>
          </w:tcPr>
          <w:p w14:paraId="4CA7A027">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sz w:val="28"/>
                <w:szCs w:val="28"/>
              </w:rPr>
              <w:t>经营范围</w:t>
            </w:r>
          </w:p>
        </w:tc>
        <w:tc>
          <w:tcPr>
            <w:tcW w:w="3322" w:type="pct"/>
            <w:gridSpan w:val="3"/>
            <w:noWrap w:val="0"/>
            <w:vAlign w:val="center"/>
          </w:tcPr>
          <w:p w14:paraId="5798114C">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sz w:val="28"/>
                <w:szCs w:val="28"/>
              </w:rPr>
              <w:t xml:space="preserve">  </w:t>
            </w:r>
          </w:p>
        </w:tc>
      </w:tr>
      <w:tr w14:paraId="082C9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0" w:hRule="atLeast"/>
          <w:jc w:val="center"/>
        </w:trPr>
        <w:tc>
          <w:tcPr>
            <w:tcW w:w="1677" w:type="pct"/>
            <w:gridSpan w:val="3"/>
            <w:noWrap w:val="0"/>
            <w:vAlign w:val="center"/>
          </w:tcPr>
          <w:p w14:paraId="4AA8E761">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color w:val="000000" w:themeColor="text1"/>
                <w:sz w:val="28"/>
                <w:szCs w:val="28"/>
                <w:highlight w:val="none"/>
              </w:rPr>
              <w:t>与投标人关联单位情况</w:t>
            </w:r>
          </w:p>
        </w:tc>
        <w:tc>
          <w:tcPr>
            <w:tcW w:w="3322" w:type="pct"/>
            <w:gridSpan w:val="3"/>
            <w:noWrap w:val="0"/>
            <w:vAlign w:val="center"/>
          </w:tcPr>
          <w:p w14:paraId="231CC57D">
            <w:pPr>
              <w:keepNext w:val="0"/>
              <w:keepLines w:val="0"/>
              <w:pageBreakBefore w:val="0"/>
              <w:kinsoku/>
              <w:overflowPunct/>
              <w:topLinePunct w:val="0"/>
              <w:autoSpaceDE/>
              <w:autoSpaceDN/>
              <w:bidi w:val="0"/>
              <w:adjustRightInd/>
              <w:snapToGrid/>
              <w:spacing w:line="360" w:lineRule="auto"/>
              <w:jc w:val="left"/>
              <w:rPr>
                <w:rFonts w:hint="eastAsia" w:ascii="仿宋" w:hAnsi="仿宋" w:eastAsia="仿宋" w:cs="仿宋"/>
                <w:color w:val="000000" w:themeColor="text1"/>
                <w:sz w:val="28"/>
                <w:szCs w:val="28"/>
                <w:highlight w:val="none"/>
              </w:rPr>
            </w:pPr>
            <w:r>
              <w:rPr>
                <w:rFonts w:hint="eastAsia" w:ascii="仿宋" w:hAnsi="仿宋" w:eastAsia="仿宋" w:cs="仿宋"/>
                <w:color w:val="000000" w:themeColor="text1"/>
                <w:sz w:val="28"/>
                <w:szCs w:val="28"/>
                <w:highlight w:val="none"/>
              </w:rPr>
              <w:t>1.与我单位法定代表人（负责人）为同一人的其他单位为：</w:t>
            </w:r>
          </w:p>
          <w:p w14:paraId="78848117">
            <w:pPr>
              <w:keepNext w:val="0"/>
              <w:keepLines w:val="0"/>
              <w:pageBreakBefore w:val="0"/>
              <w:kinsoku/>
              <w:overflowPunct/>
              <w:autoSpaceDE/>
              <w:autoSpaceDN/>
              <w:bidi w:val="0"/>
              <w:spacing w:line="360" w:lineRule="auto"/>
              <w:jc w:val="center"/>
              <w:rPr>
                <w:rFonts w:hint="eastAsia" w:ascii="仿宋" w:hAnsi="仿宋" w:eastAsia="仿宋" w:cs="仿宋"/>
                <w:color w:val="000000" w:themeColor="text1"/>
                <w:sz w:val="28"/>
                <w:szCs w:val="28"/>
                <w:highlight w:val="none"/>
              </w:rPr>
            </w:pPr>
            <w:r>
              <w:rPr>
                <w:rFonts w:hint="eastAsia" w:ascii="仿宋" w:hAnsi="仿宋" w:eastAsia="仿宋" w:cs="仿宋"/>
                <w:color w:val="000000" w:themeColor="text1"/>
                <w:sz w:val="28"/>
                <w:szCs w:val="28"/>
                <w:highlight w:val="none"/>
              </w:rPr>
              <w:t>2.与我单位存在直接控股、管理关系的其他单位为：</w:t>
            </w:r>
          </w:p>
          <w:p w14:paraId="26AF45D2">
            <w:pPr>
              <w:pStyle w:val="23"/>
              <w:keepNext w:val="0"/>
              <w:keepLines w:val="0"/>
              <w:pageBreakBefore w:val="0"/>
              <w:kinsoku/>
              <w:overflowPunct/>
              <w:autoSpaceDE/>
              <w:autoSpaceDN/>
              <w:bidi w:val="0"/>
              <w:rPr>
                <w:rFonts w:hint="eastAsia"/>
              </w:rPr>
            </w:pPr>
          </w:p>
        </w:tc>
      </w:tr>
      <w:tr w14:paraId="0A249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jc w:val="center"/>
        </w:trPr>
        <w:tc>
          <w:tcPr>
            <w:tcW w:w="5000" w:type="pct"/>
            <w:gridSpan w:val="6"/>
            <w:noWrap w:val="0"/>
            <w:vAlign w:val="center"/>
          </w:tcPr>
          <w:p w14:paraId="212A6996">
            <w:pPr>
              <w:keepNext w:val="0"/>
              <w:keepLines w:val="0"/>
              <w:pageBreakBefore w:val="0"/>
              <w:kinsoku/>
              <w:overflowPunct/>
              <w:autoSpaceDE/>
              <w:autoSpaceDN/>
              <w:bidi w:val="0"/>
              <w:spacing w:line="440" w:lineRule="exact"/>
              <w:jc w:val="center"/>
              <w:rPr>
                <w:rFonts w:hint="eastAsia" w:ascii="仿宋" w:hAnsi="仿宋" w:eastAsia="仿宋" w:cs="仿宋"/>
                <w:sz w:val="28"/>
                <w:szCs w:val="28"/>
              </w:rPr>
            </w:pPr>
            <w:r>
              <w:rPr>
                <w:rFonts w:hint="eastAsia" w:ascii="仿宋" w:hAnsi="仿宋" w:eastAsia="仿宋" w:cs="仿宋"/>
                <w:sz w:val="28"/>
                <w:szCs w:val="28"/>
              </w:rPr>
              <w:t>投标单位情况简介</w:t>
            </w:r>
          </w:p>
        </w:tc>
      </w:tr>
      <w:tr w14:paraId="3FAD0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5" w:hRule="atLeast"/>
          <w:jc w:val="center"/>
        </w:trPr>
        <w:tc>
          <w:tcPr>
            <w:tcW w:w="5000" w:type="pct"/>
            <w:gridSpan w:val="6"/>
            <w:noWrap w:val="0"/>
            <w:vAlign w:val="top"/>
          </w:tcPr>
          <w:p w14:paraId="4FF2E5FB">
            <w:pPr>
              <w:keepNext w:val="0"/>
              <w:keepLines w:val="0"/>
              <w:pageBreakBefore w:val="0"/>
              <w:kinsoku/>
              <w:overflowPunct/>
              <w:autoSpaceDE/>
              <w:autoSpaceDN/>
              <w:bidi w:val="0"/>
              <w:spacing w:line="440" w:lineRule="exact"/>
              <w:rPr>
                <w:rFonts w:hint="eastAsia" w:ascii="仿宋" w:hAnsi="仿宋" w:eastAsia="仿宋" w:cs="仿宋"/>
                <w:sz w:val="28"/>
                <w:szCs w:val="28"/>
              </w:rPr>
            </w:pPr>
          </w:p>
        </w:tc>
      </w:tr>
    </w:tbl>
    <w:p w14:paraId="5E85A1BB">
      <w:pPr>
        <w:keepNext w:val="0"/>
        <w:keepLines w:val="0"/>
        <w:pageBreakBefore w:val="0"/>
        <w:widowControl/>
        <w:suppressLineNumbers w:val="0"/>
        <w:kinsoku/>
        <w:wordWrap/>
        <w:overflowPunct/>
        <w:topLinePunct/>
        <w:autoSpaceDE/>
        <w:autoSpaceDN/>
        <w:bidi w:val="0"/>
        <w:adjustRightInd/>
        <w:snapToGrid/>
        <w:spacing w:line="240" w:lineRule="auto"/>
        <w:jc w:val="left"/>
        <w:textAlignment w:val="auto"/>
        <w:rPr>
          <w:rFonts w:hint="eastAsia" w:ascii="仿宋" w:hAnsi="仿宋" w:eastAsia="仿宋" w:cs="仿宋"/>
          <w:color w:val="auto"/>
          <w:kern w:val="0"/>
          <w:sz w:val="28"/>
          <w:szCs w:val="28"/>
          <w:highlight w:val="none"/>
          <w:lang w:val="en-US" w:eastAsia="zh-CN" w:bidi="ar"/>
        </w:rPr>
      </w:pPr>
    </w:p>
    <w:p w14:paraId="52C08B08">
      <w:pPr>
        <w:keepNext w:val="0"/>
        <w:keepLines w:val="0"/>
        <w:pageBreakBefore w:val="0"/>
        <w:kinsoku/>
        <w:wordWrap/>
        <w:overflowPunct/>
        <w:topLinePunct/>
        <w:autoSpaceDE/>
        <w:autoSpaceDN/>
        <w:bidi w:val="0"/>
        <w:spacing w:line="480" w:lineRule="auto"/>
        <w:ind w:firstLine="5320" w:firstLineChars="19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投标人</w:t>
      </w:r>
      <w:r>
        <w:rPr>
          <w:rFonts w:hint="eastAsia" w:ascii="仿宋" w:hAnsi="仿宋" w:eastAsia="仿宋" w:cs="仿宋"/>
          <w:color w:val="auto"/>
          <w:kern w:val="0"/>
          <w:sz w:val="28"/>
          <w:szCs w:val="28"/>
          <w:highlight w:val="none"/>
        </w:rPr>
        <w:t xml:space="preserve">（公章）： </w:t>
      </w:r>
    </w:p>
    <w:p w14:paraId="6EEA1137">
      <w:pPr>
        <w:keepNext w:val="0"/>
        <w:keepLines w:val="0"/>
        <w:pageBreakBefore w:val="0"/>
        <w:kinsoku/>
        <w:wordWrap/>
        <w:overflowPunct/>
        <w:topLinePunct/>
        <w:autoSpaceDE/>
        <w:autoSpaceDN/>
        <w:bidi w:val="0"/>
        <w:spacing w:line="480" w:lineRule="auto"/>
        <w:ind w:firstLine="5320" w:firstLineChars="19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日期：</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日</w:t>
      </w:r>
    </w:p>
    <w:p w14:paraId="32217516">
      <w:pPr>
        <w:keepNext w:val="0"/>
        <w:keepLines w:val="0"/>
        <w:pageBreakBefore w:val="0"/>
        <w:kinsoku/>
        <w:wordWrap/>
        <w:overflowPunct/>
        <w:topLinePunct/>
        <w:autoSpaceDE/>
        <w:autoSpaceDN/>
        <w:bidi w:val="0"/>
        <w:spacing w:line="480" w:lineRule="auto"/>
        <w:ind w:firstLine="5320" w:firstLineChars="1900"/>
        <w:textAlignment w:val="auto"/>
        <w:rPr>
          <w:rFonts w:hint="eastAsia" w:ascii="仿宋" w:hAnsi="仿宋" w:eastAsia="仿宋" w:cs="仿宋"/>
          <w:color w:val="auto"/>
          <w:kern w:val="0"/>
          <w:sz w:val="28"/>
          <w:szCs w:val="28"/>
          <w:highlight w:val="none"/>
        </w:rPr>
        <w:sectPr>
          <w:pgSz w:w="11906" w:h="16838"/>
          <w:pgMar w:top="1280" w:right="1142" w:bottom="1118" w:left="1324" w:header="454" w:footer="680" w:gutter="0"/>
          <w:pgNumType w:fmt="decimal"/>
          <w:cols w:space="0" w:num="1"/>
          <w:docGrid w:linePitch="312" w:charSpace="0"/>
        </w:sectPr>
      </w:pPr>
    </w:p>
    <w:p w14:paraId="4C8E2A36">
      <w:pPr>
        <w:pStyle w:val="15"/>
        <w:keepNext w:val="0"/>
        <w:keepLines w:val="0"/>
        <w:pageBreakBefore w:val="0"/>
        <w:kinsoku/>
        <w:overflowPunct/>
        <w:topLinePunct/>
        <w:autoSpaceDE/>
        <w:autoSpaceDN/>
        <w:bidi w:val="0"/>
        <w:jc w:val="center"/>
        <w:textAlignment w:val="auto"/>
        <w:outlineLvl w:val="2"/>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lang w:val="en-US" w:eastAsia="zh-CN"/>
        </w:rPr>
        <w:t>企业</w:t>
      </w:r>
      <w:r>
        <w:rPr>
          <w:rFonts w:hint="eastAsia" w:ascii="仿宋" w:hAnsi="仿宋" w:eastAsia="仿宋" w:cs="仿宋"/>
          <w:b/>
          <w:color w:val="auto"/>
          <w:sz w:val="36"/>
          <w:szCs w:val="36"/>
          <w:highlight w:val="none"/>
          <w:lang w:eastAsia="zh-CN"/>
        </w:rPr>
        <w:t>业绩表</w:t>
      </w:r>
    </w:p>
    <w:tbl>
      <w:tblPr>
        <w:tblStyle w:val="26"/>
        <w:tblpPr w:leftFromText="180" w:rightFromText="180" w:vertAnchor="text" w:tblpXSpec="center" w:tblpY="267"/>
        <w:tblW w:w="95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3"/>
        <w:gridCol w:w="1245"/>
        <w:gridCol w:w="2222"/>
        <w:gridCol w:w="1134"/>
        <w:gridCol w:w="1416"/>
        <w:gridCol w:w="1275"/>
        <w:gridCol w:w="1209"/>
      </w:tblGrid>
      <w:tr w14:paraId="012E6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5"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7FE2A028">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序号</w:t>
            </w: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1D7FF9D7">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用户名称</w:t>
            </w: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53D09E7A">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项目名称</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77DF0F4E">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合同额</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54C5B9EC">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签订时间</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240FCBCA">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电话/联系人</w:t>
            </w: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6898980A">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备注</w:t>
            </w:r>
          </w:p>
        </w:tc>
      </w:tr>
      <w:tr w14:paraId="36218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093BDCED">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7B6BB785">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563A9360">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77F31C2A">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49FF3D84">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2581A66A">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42CDC465">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r>
      <w:tr w14:paraId="16982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144790B8">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328147BE">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50521CF6">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7E61F73D">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0CC85548">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401FB974">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029D4E29">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r>
      <w:tr w14:paraId="02C69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395FDF9F">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10555CC8">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4DBA3DE8">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7714FC58">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01373379">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50E5410A">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625AE339">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r>
      <w:tr w14:paraId="22045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2FA878AC">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22DE4924">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092C01BB">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4BDF8418">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3244F869">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55D3C0B">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4E81207D">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r>
      <w:tr w14:paraId="0CB68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72563F2F">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15AA987A">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79EEF0E2">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519C08B3">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4D7008F8">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0C68BC02">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0CB83463">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r>
      <w:tr w14:paraId="6ED18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198537FC">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473F0CE0">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42BFCD39">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3D4588D0">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242A5B46">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992BF88">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5D0D9CE6">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r>
      <w:tr w14:paraId="283C9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7C3559D9">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0207510B">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25AF3B73">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4ED1CEEE">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28E4086F">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46EBEFD6">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6E1B2E1A">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r>
      <w:tr w14:paraId="1DA0A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40B8F495">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7FE02A33">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79B86758">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2BF82555">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09D7C48F">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F70B987">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17961E52">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r>
      <w:tr w14:paraId="6482A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411EFC16">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59F67F35">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673A1F01">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1CB78310">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54298733">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5F5EE510">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1197FA1F">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r>
      <w:tr w14:paraId="19F4D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2A0BEC19">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041B8292">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290DC745">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0E796FF1">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67DBB5FC">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79C56D3">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0A4B614E">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r>
      <w:tr w14:paraId="74ECB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54D08ED4">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3196EBDF">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68B46CD0">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137FC3A5">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799AD135">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0CAF9600">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4DC5C6A9">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r>
      <w:tr w14:paraId="58008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40D435CD">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2D0B4057">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641D86CC">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2F626753">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5520CC1E">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3EE6B228">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4FF8AC6E">
            <w:pPr>
              <w:keepNext w:val="0"/>
              <w:keepLines w:val="0"/>
              <w:pageBreakBefore w:val="0"/>
              <w:kinsoku/>
              <w:overflowPunct/>
              <w:topLinePunct/>
              <w:autoSpaceDE/>
              <w:autoSpaceDN/>
              <w:bidi w:val="0"/>
              <w:jc w:val="center"/>
              <w:textAlignment w:val="auto"/>
              <w:rPr>
                <w:rFonts w:hint="eastAsia" w:ascii="仿宋" w:hAnsi="仿宋" w:eastAsia="仿宋" w:cs="仿宋"/>
                <w:color w:val="auto"/>
                <w:sz w:val="28"/>
                <w:szCs w:val="28"/>
                <w:highlight w:val="none"/>
              </w:rPr>
            </w:pPr>
          </w:p>
        </w:tc>
      </w:tr>
    </w:tbl>
    <w:p w14:paraId="30FECABB">
      <w:pPr>
        <w:keepNext w:val="0"/>
        <w:keepLines w:val="0"/>
        <w:pageBreakBefore w:val="0"/>
        <w:kinsoku/>
        <w:overflowPunct/>
        <w:topLinePunct/>
        <w:autoSpaceDE/>
        <w:autoSpaceDN/>
        <w:bidi w:val="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注：①此表应认真填写，不得提供虚假业绩。</w:t>
      </w:r>
    </w:p>
    <w:p w14:paraId="06034F18">
      <w:pPr>
        <w:keepNext w:val="0"/>
        <w:keepLines w:val="0"/>
        <w:pageBreakBefore w:val="0"/>
        <w:kinsoku/>
        <w:overflowPunct/>
        <w:topLinePunct/>
        <w:autoSpaceDE/>
        <w:autoSpaceDN/>
        <w:bidi w:val="0"/>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②按照</w:t>
      </w:r>
      <w:r>
        <w:rPr>
          <w:rFonts w:hint="eastAsia" w:ascii="仿宋" w:hAnsi="仿宋" w:eastAsia="仿宋" w:cs="仿宋"/>
          <w:color w:val="auto"/>
          <w:sz w:val="28"/>
          <w:szCs w:val="28"/>
          <w:highlight w:val="none"/>
          <w:lang w:val="en-US" w:eastAsia="zh-CN"/>
        </w:rPr>
        <w:t>招标文件</w:t>
      </w:r>
      <w:r>
        <w:rPr>
          <w:rFonts w:hint="eastAsia" w:ascii="仿宋" w:hAnsi="仿宋" w:eastAsia="仿宋" w:cs="仿宋"/>
          <w:color w:val="auto"/>
          <w:sz w:val="28"/>
          <w:szCs w:val="28"/>
          <w:highlight w:val="none"/>
        </w:rPr>
        <w:t>要求</w:t>
      </w:r>
      <w:r>
        <w:rPr>
          <w:rFonts w:hint="eastAsia" w:ascii="仿宋" w:hAnsi="仿宋" w:eastAsia="仿宋" w:cs="仿宋"/>
          <w:color w:val="auto"/>
          <w:sz w:val="28"/>
          <w:szCs w:val="28"/>
          <w:highlight w:val="none"/>
          <w:lang w:val="en-US" w:eastAsia="zh-CN"/>
        </w:rPr>
        <w:t>后附</w:t>
      </w:r>
      <w:r>
        <w:rPr>
          <w:rFonts w:hint="eastAsia" w:ascii="仿宋" w:hAnsi="仿宋" w:eastAsia="仿宋" w:cs="仿宋"/>
          <w:color w:val="auto"/>
          <w:sz w:val="28"/>
          <w:szCs w:val="28"/>
          <w:highlight w:val="none"/>
        </w:rPr>
        <w:t>相关资料</w:t>
      </w:r>
      <w:r>
        <w:rPr>
          <w:rFonts w:hint="eastAsia" w:ascii="仿宋" w:hAnsi="仿宋" w:eastAsia="仿宋" w:cs="仿宋"/>
          <w:color w:val="auto"/>
          <w:sz w:val="28"/>
          <w:szCs w:val="28"/>
          <w:highlight w:val="none"/>
          <w:lang w:eastAsia="zh-CN"/>
        </w:rPr>
        <w:t>。</w:t>
      </w:r>
    </w:p>
    <w:p w14:paraId="2C06B136">
      <w:pPr>
        <w:keepNext w:val="0"/>
        <w:keepLines w:val="0"/>
        <w:pageBreakBefore w:val="0"/>
        <w:kinsoku/>
        <w:overflowPunct/>
        <w:topLinePunct/>
        <w:autoSpaceDE/>
        <w:autoSpaceDN/>
        <w:bidi w:val="0"/>
        <w:ind w:firstLine="840" w:firstLineChars="300"/>
        <w:textAlignment w:val="auto"/>
        <w:rPr>
          <w:rFonts w:hint="eastAsia" w:ascii="仿宋" w:hAnsi="仿宋" w:eastAsia="仿宋" w:cs="仿宋"/>
          <w:color w:val="auto"/>
          <w:sz w:val="28"/>
          <w:szCs w:val="28"/>
          <w:highlight w:val="none"/>
        </w:rPr>
      </w:pPr>
    </w:p>
    <w:p w14:paraId="12E77065">
      <w:pPr>
        <w:pStyle w:val="9"/>
        <w:keepNext w:val="0"/>
        <w:keepLines w:val="0"/>
        <w:pageBreakBefore w:val="0"/>
        <w:kinsoku/>
        <w:overflowPunct/>
        <w:topLinePunct/>
        <w:autoSpaceDE/>
        <w:autoSpaceDN/>
        <w:bidi w:val="0"/>
        <w:textAlignment w:val="auto"/>
        <w:rPr>
          <w:rFonts w:hint="eastAsia" w:ascii="仿宋" w:hAnsi="仿宋" w:eastAsia="仿宋" w:cs="仿宋"/>
          <w:color w:val="auto"/>
          <w:highlight w:val="none"/>
        </w:rPr>
      </w:pPr>
    </w:p>
    <w:p w14:paraId="0D0CBC50">
      <w:pPr>
        <w:keepNext w:val="0"/>
        <w:keepLines w:val="0"/>
        <w:pageBreakBefore w:val="0"/>
        <w:kinsoku/>
        <w:wordWrap/>
        <w:overflowPunct/>
        <w:topLinePunct/>
        <w:autoSpaceDE/>
        <w:autoSpaceDN/>
        <w:bidi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投标人</w:t>
      </w:r>
      <w:r>
        <w:rPr>
          <w:rFonts w:hint="eastAsia" w:ascii="仿宋" w:hAnsi="仿宋" w:eastAsia="仿宋" w:cs="仿宋"/>
          <w:color w:val="auto"/>
          <w:kern w:val="0"/>
          <w:sz w:val="28"/>
          <w:szCs w:val="28"/>
          <w:highlight w:val="none"/>
        </w:rPr>
        <w:t xml:space="preserve">（公章）： </w:t>
      </w:r>
    </w:p>
    <w:p w14:paraId="5C6FE645">
      <w:pPr>
        <w:keepNext w:val="0"/>
        <w:keepLines w:val="0"/>
        <w:pageBreakBefore w:val="0"/>
        <w:kinsoku/>
        <w:wordWrap/>
        <w:overflowPunct/>
        <w:topLinePunct/>
        <w:autoSpaceDE/>
        <w:autoSpaceDN/>
        <w:bidi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法定代表人或</w:t>
      </w:r>
      <w:r>
        <w:rPr>
          <w:rFonts w:hint="eastAsia" w:ascii="仿宋" w:hAnsi="仿宋" w:eastAsia="仿宋" w:cs="仿宋"/>
          <w:color w:val="auto"/>
          <w:kern w:val="0"/>
          <w:sz w:val="28"/>
          <w:szCs w:val="28"/>
          <w:highlight w:val="none"/>
          <w:lang w:val="en-US" w:eastAsia="zh-CN"/>
        </w:rPr>
        <w:t>委托代理人</w:t>
      </w:r>
      <w:r>
        <w:rPr>
          <w:rFonts w:hint="eastAsia" w:ascii="仿宋" w:hAnsi="仿宋" w:eastAsia="仿宋" w:cs="仿宋"/>
          <w:color w:val="auto"/>
          <w:kern w:val="0"/>
          <w:sz w:val="28"/>
          <w:szCs w:val="28"/>
          <w:highlight w:val="none"/>
        </w:rPr>
        <w:t>（签字或签章）：</w:t>
      </w:r>
    </w:p>
    <w:p w14:paraId="570E3405">
      <w:pPr>
        <w:keepNext w:val="0"/>
        <w:keepLines w:val="0"/>
        <w:pageBreakBefore w:val="0"/>
        <w:kinsoku/>
        <w:overflowPunct/>
        <w:topLinePunct/>
        <w:autoSpaceDE/>
        <w:autoSpaceDN/>
        <w:bidi w:val="0"/>
        <w:snapToGrid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日期：</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日</w:t>
      </w:r>
    </w:p>
    <w:p w14:paraId="1F5FC301">
      <w:pPr>
        <w:keepNext w:val="0"/>
        <w:keepLines w:val="0"/>
        <w:pageBreakBefore w:val="0"/>
        <w:kinsoku/>
        <w:overflowPunct/>
        <w:autoSpaceDE/>
        <w:autoSpaceDN/>
        <w:bidi w:val="0"/>
        <w:spacing w:line="480" w:lineRule="exact"/>
        <w:jc w:val="center"/>
        <w:rPr>
          <w:rFonts w:hint="eastAsia" w:ascii="宋体" w:hAnsi="宋体"/>
          <w:b/>
          <w:sz w:val="32"/>
          <w:szCs w:val="36"/>
        </w:rPr>
        <w:sectPr>
          <w:pgSz w:w="11906" w:h="16838"/>
          <w:pgMar w:top="1280" w:right="1142" w:bottom="1118" w:left="1324" w:header="454" w:footer="680" w:gutter="0"/>
          <w:pgNumType w:fmt="decimal"/>
          <w:cols w:space="0" w:num="1"/>
          <w:docGrid w:linePitch="312" w:charSpace="0"/>
        </w:sectPr>
      </w:pPr>
    </w:p>
    <w:p w14:paraId="44A693E8">
      <w:pPr>
        <w:pStyle w:val="15"/>
        <w:keepNext w:val="0"/>
        <w:keepLines w:val="0"/>
        <w:pageBreakBefore w:val="0"/>
        <w:kinsoku/>
        <w:overflowPunct/>
        <w:topLinePunct/>
        <w:autoSpaceDE/>
        <w:autoSpaceDN/>
        <w:bidi w:val="0"/>
        <w:jc w:val="center"/>
        <w:textAlignment w:val="auto"/>
        <w:outlineLvl w:val="2"/>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响应偏离表</w:t>
      </w:r>
    </w:p>
    <w:p w14:paraId="0E31EE3C">
      <w:pPr>
        <w:keepNext w:val="0"/>
        <w:keepLines w:val="0"/>
        <w:pageBreakBefore w:val="0"/>
        <w:kinsoku/>
        <w:overflowPunct/>
        <w:topLinePunct/>
        <w:autoSpaceDE/>
        <w:autoSpaceDN/>
        <w:bidi w:val="0"/>
        <w:spacing w:line="360" w:lineRule="exact"/>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（包括技术规格、参数和商务条款偏离）</w:t>
      </w:r>
    </w:p>
    <w:p w14:paraId="66B18258">
      <w:pPr>
        <w:keepNext w:val="0"/>
        <w:keepLines w:val="0"/>
        <w:pageBreakBefore w:val="0"/>
        <w:kinsoku/>
        <w:overflowPunct/>
        <w:topLinePunct/>
        <w:autoSpaceDE/>
        <w:autoSpaceDN/>
        <w:bidi w:val="0"/>
        <w:spacing w:line="360" w:lineRule="exact"/>
        <w:jc w:val="center"/>
        <w:textAlignment w:val="auto"/>
        <w:rPr>
          <w:rFonts w:hint="eastAsia" w:ascii="仿宋" w:hAnsi="仿宋" w:eastAsia="仿宋" w:cs="仿宋"/>
          <w:b/>
          <w:color w:val="auto"/>
          <w:sz w:val="28"/>
          <w:szCs w:val="28"/>
          <w:highlight w:val="none"/>
        </w:rPr>
      </w:pPr>
    </w:p>
    <w:tbl>
      <w:tblPr>
        <w:tblStyle w:val="26"/>
        <w:tblW w:w="9869" w:type="dxa"/>
        <w:tblInd w:w="-3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712"/>
        <w:gridCol w:w="1013"/>
        <w:gridCol w:w="2564"/>
        <w:gridCol w:w="1162"/>
        <w:gridCol w:w="2684"/>
        <w:gridCol w:w="1734"/>
      </w:tblGrid>
      <w:tr w14:paraId="59B3D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622" w:hRule="atLeast"/>
        </w:trPr>
        <w:tc>
          <w:tcPr>
            <w:tcW w:w="712" w:type="dxa"/>
            <w:vMerge w:val="restart"/>
            <w:noWrap/>
            <w:vAlign w:val="center"/>
          </w:tcPr>
          <w:p w14:paraId="7D4EE967">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序号</w:t>
            </w:r>
          </w:p>
        </w:tc>
        <w:tc>
          <w:tcPr>
            <w:tcW w:w="3577" w:type="dxa"/>
            <w:gridSpan w:val="2"/>
            <w:noWrap/>
            <w:vAlign w:val="center"/>
          </w:tcPr>
          <w:p w14:paraId="68EB50EE">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招标文件</w:t>
            </w:r>
            <w:r>
              <w:rPr>
                <w:rFonts w:hint="eastAsia" w:ascii="仿宋" w:hAnsi="仿宋" w:eastAsia="仿宋" w:cs="仿宋"/>
                <w:color w:val="auto"/>
                <w:kern w:val="0"/>
                <w:sz w:val="28"/>
                <w:szCs w:val="28"/>
                <w:highlight w:val="none"/>
              </w:rPr>
              <w:t>条款</w:t>
            </w:r>
          </w:p>
        </w:tc>
        <w:tc>
          <w:tcPr>
            <w:tcW w:w="3846" w:type="dxa"/>
            <w:gridSpan w:val="2"/>
            <w:noWrap/>
            <w:vAlign w:val="center"/>
          </w:tcPr>
          <w:p w14:paraId="65F555D6">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投标文件</w:t>
            </w:r>
            <w:r>
              <w:rPr>
                <w:rFonts w:hint="eastAsia" w:ascii="仿宋" w:hAnsi="仿宋" w:eastAsia="仿宋" w:cs="仿宋"/>
                <w:color w:val="auto"/>
                <w:kern w:val="0"/>
                <w:sz w:val="28"/>
                <w:szCs w:val="28"/>
                <w:highlight w:val="none"/>
              </w:rPr>
              <w:t>条款</w:t>
            </w:r>
          </w:p>
        </w:tc>
        <w:tc>
          <w:tcPr>
            <w:tcW w:w="1734" w:type="dxa"/>
            <w:vMerge w:val="restart"/>
            <w:vAlign w:val="center"/>
          </w:tcPr>
          <w:p w14:paraId="5B628DE4">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正/负偏离</w:t>
            </w:r>
          </w:p>
        </w:tc>
      </w:tr>
      <w:tr w14:paraId="4525B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701" w:hRule="atLeast"/>
        </w:trPr>
        <w:tc>
          <w:tcPr>
            <w:tcW w:w="712" w:type="dxa"/>
            <w:vMerge w:val="continue"/>
            <w:noWrap/>
            <w:vAlign w:val="center"/>
          </w:tcPr>
          <w:p w14:paraId="7B7B520A">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013" w:type="dxa"/>
            <w:noWrap/>
            <w:vAlign w:val="center"/>
          </w:tcPr>
          <w:p w14:paraId="44858195">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条款号</w:t>
            </w:r>
          </w:p>
        </w:tc>
        <w:tc>
          <w:tcPr>
            <w:tcW w:w="2564" w:type="dxa"/>
            <w:noWrap/>
            <w:vAlign w:val="center"/>
          </w:tcPr>
          <w:p w14:paraId="20FAC67D">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招标文件</w:t>
            </w:r>
            <w:r>
              <w:rPr>
                <w:rFonts w:hint="eastAsia" w:ascii="仿宋" w:hAnsi="仿宋" w:eastAsia="仿宋" w:cs="仿宋"/>
                <w:color w:val="auto"/>
                <w:kern w:val="0"/>
                <w:sz w:val="28"/>
                <w:szCs w:val="28"/>
                <w:highlight w:val="none"/>
              </w:rPr>
              <w:t>的内容</w:t>
            </w:r>
          </w:p>
        </w:tc>
        <w:tc>
          <w:tcPr>
            <w:tcW w:w="1162" w:type="dxa"/>
            <w:noWrap/>
            <w:vAlign w:val="center"/>
          </w:tcPr>
          <w:p w14:paraId="391B2F34">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条款号</w:t>
            </w:r>
          </w:p>
        </w:tc>
        <w:tc>
          <w:tcPr>
            <w:tcW w:w="2684" w:type="dxa"/>
            <w:noWrap/>
            <w:vAlign w:val="center"/>
          </w:tcPr>
          <w:p w14:paraId="41378DE1">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投标文件</w:t>
            </w:r>
            <w:r>
              <w:rPr>
                <w:rFonts w:hint="eastAsia" w:ascii="仿宋" w:hAnsi="仿宋" w:eastAsia="仿宋" w:cs="仿宋"/>
                <w:color w:val="auto"/>
                <w:kern w:val="0"/>
                <w:sz w:val="28"/>
                <w:szCs w:val="28"/>
                <w:highlight w:val="none"/>
              </w:rPr>
              <w:t>偏离内容</w:t>
            </w:r>
          </w:p>
        </w:tc>
        <w:tc>
          <w:tcPr>
            <w:tcW w:w="1734" w:type="dxa"/>
            <w:vMerge w:val="continue"/>
            <w:vAlign w:val="center"/>
          </w:tcPr>
          <w:p w14:paraId="0A9E9713">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r>
      <w:tr w14:paraId="64651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6" w:hRule="atLeast"/>
        </w:trPr>
        <w:tc>
          <w:tcPr>
            <w:tcW w:w="712" w:type="dxa"/>
            <w:noWrap/>
            <w:vAlign w:val="center"/>
          </w:tcPr>
          <w:p w14:paraId="2F4123AC">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013" w:type="dxa"/>
            <w:noWrap/>
            <w:vAlign w:val="center"/>
          </w:tcPr>
          <w:p w14:paraId="4BDF79C3">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564" w:type="dxa"/>
            <w:noWrap/>
            <w:vAlign w:val="center"/>
          </w:tcPr>
          <w:p w14:paraId="739DBC09">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162" w:type="dxa"/>
            <w:noWrap/>
            <w:vAlign w:val="center"/>
          </w:tcPr>
          <w:p w14:paraId="019D00DE">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684" w:type="dxa"/>
            <w:noWrap/>
            <w:vAlign w:val="center"/>
          </w:tcPr>
          <w:p w14:paraId="4BB712E7">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734" w:type="dxa"/>
          </w:tcPr>
          <w:p w14:paraId="2CFD7561">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r>
      <w:tr w14:paraId="7D4D0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6" w:hRule="atLeast"/>
        </w:trPr>
        <w:tc>
          <w:tcPr>
            <w:tcW w:w="712" w:type="dxa"/>
            <w:noWrap/>
            <w:vAlign w:val="center"/>
          </w:tcPr>
          <w:p w14:paraId="126F358D">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013" w:type="dxa"/>
            <w:noWrap/>
            <w:vAlign w:val="center"/>
          </w:tcPr>
          <w:p w14:paraId="319052E4">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564" w:type="dxa"/>
            <w:noWrap/>
            <w:vAlign w:val="center"/>
          </w:tcPr>
          <w:p w14:paraId="0611745B">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162" w:type="dxa"/>
            <w:noWrap/>
            <w:vAlign w:val="center"/>
          </w:tcPr>
          <w:p w14:paraId="20FF5DCC">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684" w:type="dxa"/>
            <w:noWrap/>
            <w:vAlign w:val="center"/>
          </w:tcPr>
          <w:p w14:paraId="5469160D">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734" w:type="dxa"/>
          </w:tcPr>
          <w:p w14:paraId="10AD0122">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r>
      <w:tr w14:paraId="30422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6" w:hRule="atLeast"/>
        </w:trPr>
        <w:tc>
          <w:tcPr>
            <w:tcW w:w="712" w:type="dxa"/>
            <w:noWrap/>
            <w:vAlign w:val="center"/>
          </w:tcPr>
          <w:p w14:paraId="28C452E8">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013" w:type="dxa"/>
            <w:noWrap/>
            <w:vAlign w:val="center"/>
          </w:tcPr>
          <w:p w14:paraId="2700BA7F">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564" w:type="dxa"/>
            <w:noWrap/>
            <w:vAlign w:val="center"/>
          </w:tcPr>
          <w:p w14:paraId="762C32B1">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162" w:type="dxa"/>
            <w:noWrap/>
            <w:vAlign w:val="center"/>
          </w:tcPr>
          <w:p w14:paraId="0EC22387">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684" w:type="dxa"/>
            <w:noWrap/>
            <w:vAlign w:val="center"/>
          </w:tcPr>
          <w:p w14:paraId="40D7CAD8">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734" w:type="dxa"/>
          </w:tcPr>
          <w:p w14:paraId="0D9C84C1">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r>
      <w:tr w14:paraId="5E6B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6" w:hRule="atLeast"/>
        </w:trPr>
        <w:tc>
          <w:tcPr>
            <w:tcW w:w="712" w:type="dxa"/>
            <w:noWrap/>
            <w:vAlign w:val="center"/>
          </w:tcPr>
          <w:p w14:paraId="7766BFAF">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013" w:type="dxa"/>
            <w:noWrap/>
            <w:vAlign w:val="center"/>
          </w:tcPr>
          <w:p w14:paraId="7A0555B8">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564" w:type="dxa"/>
            <w:noWrap/>
            <w:vAlign w:val="center"/>
          </w:tcPr>
          <w:p w14:paraId="709262C6">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162" w:type="dxa"/>
            <w:noWrap/>
            <w:vAlign w:val="center"/>
          </w:tcPr>
          <w:p w14:paraId="39BAC2BA">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684" w:type="dxa"/>
            <w:noWrap/>
            <w:vAlign w:val="center"/>
          </w:tcPr>
          <w:p w14:paraId="0BB8B0A0">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734" w:type="dxa"/>
          </w:tcPr>
          <w:p w14:paraId="0B310B4D">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r>
      <w:tr w14:paraId="103A4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6" w:hRule="atLeast"/>
        </w:trPr>
        <w:tc>
          <w:tcPr>
            <w:tcW w:w="712" w:type="dxa"/>
            <w:noWrap/>
            <w:vAlign w:val="center"/>
          </w:tcPr>
          <w:p w14:paraId="13A73C64">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013" w:type="dxa"/>
            <w:noWrap/>
            <w:vAlign w:val="center"/>
          </w:tcPr>
          <w:p w14:paraId="07B83823">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564" w:type="dxa"/>
            <w:noWrap/>
            <w:vAlign w:val="center"/>
          </w:tcPr>
          <w:p w14:paraId="73662D02">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162" w:type="dxa"/>
            <w:noWrap/>
            <w:vAlign w:val="center"/>
          </w:tcPr>
          <w:p w14:paraId="6BECE0CE">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684" w:type="dxa"/>
            <w:noWrap/>
            <w:vAlign w:val="center"/>
          </w:tcPr>
          <w:p w14:paraId="34DB872B">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734" w:type="dxa"/>
          </w:tcPr>
          <w:p w14:paraId="7756D9FA">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r>
      <w:tr w14:paraId="5BF2A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9" w:hRule="atLeast"/>
        </w:trPr>
        <w:tc>
          <w:tcPr>
            <w:tcW w:w="712" w:type="dxa"/>
            <w:noWrap/>
            <w:vAlign w:val="center"/>
          </w:tcPr>
          <w:p w14:paraId="568E75E4">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013" w:type="dxa"/>
            <w:noWrap/>
            <w:vAlign w:val="center"/>
          </w:tcPr>
          <w:p w14:paraId="678E463B">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564" w:type="dxa"/>
            <w:noWrap/>
            <w:vAlign w:val="center"/>
          </w:tcPr>
          <w:p w14:paraId="7543EED7">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162" w:type="dxa"/>
            <w:noWrap/>
            <w:vAlign w:val="center"/>
          </w:tcPr>
          <w:p w14:paraId="3D249491">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684" w:type="dxa"/>
            <w:noWrap/>
            <w:vAlign w:val="center"/>
          </w:tcPr>
          <w:p w14:paraId="2F8A0218">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734" w:type="dxa"/>
          </w:tcPr>
          <w:p w14:paraId="4C894707">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r>
      <w:tr w14:paraId="66B0E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8" w:hRule="atLeast"/>
        </w:trPr>
        <w:tc>
          <w:tcPr>
            <w:tcW w:w="712" w:type="dxa"/>
            <w:noWrap/>
            <w:vAlign w:val="center"/>
          </w:tcPr>
          <w:p w14:paraId="504B4FC7">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013" w:type="dxa"/>
            <w:noWrap/>
            <w:vAlign w:val="center"/>
          </w:tcPr>
          <w:p w14:paraId="50DA9364">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564" w:type="dxa"/>
            <w:noWrap/>
            <w:vAlign w:val="center"/>
          </w:tcPr>
          <w:p w14:paraId="16043A86">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162" w:type="dxa"/>
            <w:noWrap/>
            <w:vAlign w:val="center"/>
          </w:tcPr>
          <w:p w14:paraId="59AE65E6">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684" w:type="dxa"/>
            <w:noWrap/>
            <w:vAlign w:val="center"/>
          </w:tcPr>
          <w:p w14:paraId="1DF5C700">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734" w:type="dxa"/>
          </w:tcPr>
          <w:p w14:paraId="44FCE165">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r>
      <w:tr w14:paraId="59DE1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7" w:hRule="atLeast"/>
        </w:trPr>
        <w:tc>
          <w:tcPr>
            <w:tcW w:w="712" w:type="dxa"/>
            <w:noWrap/>
            <w:vAlign w:val="center"/>
          </w:tcPr>
          <w:p w14:paraId="76D6152D">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013" w:type="dxa"/>
            <w:noWrap/>
            <w:vAlign w:val="center"/>
          </w:tcPr>
          <w:p w14:paraId="3D34B354">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564" w:type="dxa"/>
            <w:noWrap/>
            <w:vAlign w:val="center"/>
          </w:tcPr>
          <w:p w14:paraId="2DB8CDBA">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162" w:type="dxa"/>
            <w:noWrap/>
            <w:vAlign w:val="center"/>
          </w:tcPr>
          <w:p w14:paraId="28039E65">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684" w:type="dxa"/>
            <w:noWrap/>
            <w:vAlign w:val="center"/>
          </w:tcPr>
          <w:p w14:paraId="4AEE5397">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734" w:type="dxa"/>
          </w:tcPr>
          <w:p w14:paraId="4D18A82C">
            <w:pPr>
              <w:keepNext w:val="0"/>
              <w:keepLines w:val="0"/>
              <w:pageBreakBefore w:val="0"/>
              <w:kinsoku/>
              <w:overflowPunct/>
              <w:topLinePunct/>
              <w:autoSpaceDE/>
              <w:autoSpaceDN/>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r>
    </w:tbl>
    <w:p w14:paraId="04CDE2A9">
      <w:pPr>
        <w:keepNext w:val="0"/>
        <w:keepLines w:val="0"/>
        <w:pageBreakBefore w:val="0"/>
        <w:kinsoku/>
        <w:overflowPunct/>
        <w:topLinePunct/>
        <w:autoSpaceDE/>
        <w:autoSpaceDN/>
        <w:bidi w:val="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注：无偏离可填写“无”字，有偏离必须在本表列明，实际存在负偏离而在本表内没有列明的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视为虚假投标。</w:t>
      </w:r>
    </w:p>
    <w:p w14:paraId="0C97703A">
      <w:pPr>
        <w:pStyle w:val="15"/>
        <w:keepNext w:val="0"/>
        <w:keepLines w:val="0"/>
        <w:pageBreakBefore w:val="0"/>
        <w:kinsoku/>
        <w:overflowPunct/>
        <w:topLinePunct/>
        <w:autoSpaceDE/>
        <w:autoSpaceDN/>
        <w:bidi w:val="0"/>
        <w:spacing w:line="400" w:lineRule="exact"/>
        <w:textAlignment w:val="auto"/>
        <w:rPr>
          <w:rFonts w:hint="eastAsia" w:ascii="仿宋" w:hAnsi="仿宋" w:eastAsia="仿宋" w:cs="仿宋"/>
          <w:color w:val="auto"/>
          <w:sz w:val="24"/>
          <w:highlight w:val="none"/>
        </w:rPr>
      </w:pPr>
    </w:p>
    <w:p w14:paraId="5A7EE7B8">
      <w:pPr>
        <w:keepNext w:val="0"/>
        <w:keepLines w:val="0"/>
        <w:pageBreakBefore w:val="0"/>
        <w:kinsoku/>
        <w:overflowPunct/>
        <w:topLinePunct/>
        <w:autoSpaceDE/>
        <w:autoSpaceDN/>
        <w:bidi w:val="0"/>
        <w:spacing w:line="360" w:lineRule="exact"/>
        <w:ind w:firstLine="4900" w:firstLineChars="1750"/>
        <w:textAlignment w:val="auto"/>
        <w:rPr>
          <w:rFonts w:hint="eastAsia" w:ascii="仿宋" w:hAnsi="仿宋" w:eastAsia="仿宋" w:cs="仿宋"/>
          <w:color w:val="auto"/>
          <w:sz w:val="28"/>
          <w:highlight w:val="none"/>
        </w:rPr>
      </w:pPr>
    </w:p>
    <w:p w14:paraId="698C800A">
      <w:pPr>
        <w:keepNext w:val="0"/>
        <w:keepLines w:val="0"/>
        <w:pageBreakBefore w:val="0"/>
        <w:kinsoku/>
        <w:wordWrap/>
        <w:overflowPunct/>
        <w:topLinePunct/>
        <w:autoSpaceDE/>
        <w:autoSpaceDN/>
        <w:bidi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投标人</w:t>
      </w:r>
      <w:r>
        <w:rPr>
          <w:rFonts w:hint="eastAsia" w:ascii="仿宋" w:hAnsi="仿宋" w:eastAsia="仿宋" w:cs="仿宋"/>
          <w:color w:val="auto"/>
          <w:kern w:val="0"/>
          <w:sz w:val="28"/>
          <w:szCs w:val="28"/>
          <w:highlight w:val="none"/>
        </w:rPr>
        <w:t xml:space="preserve">（公章）： </w:t>
      </w:r>
    </w:p>
    <w:p w14:paraId="204A07C3">
      <w:pPr>
        <w:keepNext w:val="0"/>
        <w:keepLines w:val="0"/>
        <w:pageBreakBefore w:val="0"/>
        <w:kinsoku/>
        <w:wordWrap/>
        <w:overflowPunct/>
        <w:topLinePunct/>
        <w:autoSpaceDE/>
        <w:autoSpaceDN/>
        <w:bidi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法定代表人或</w:t>
      </w:r>
      <w:r>
        <w:rPr>
          <w:rFonts w:hint="eastAsia" w:ascii="仿宋" w:hAnsi="仿宋" w:eastAsia="仿宋" w:cs="仿宋"/>
          <w:color w:val="auto"/>
          <w:kern w:val="0"/>
          <w:sz w:val="28"/>
          <w:szCs w:val="28"/>
          <w:highlight w:val="none"/>
          <w:lang w:val="en-US" w:eastAsia="zh-CN"/>
        </w:rPr>
        <w:t>委托代理人</w:t>
      </w:r>
      <w:r>
        <w:rPr>
          <w:rFonts w:hint="eastAsia" w:ascii="仿宋" w:hAnsi="仿宋" w:eastAsia="仿宋" w:cs="仿宋"/>
          <w:color w:val="auto"/>
          <w:kern w:val="0"/>
          <w:sz w:val="28"/>
          <w:szCs w:val="28"/>
          <w:highlight w:val="none"/>
        </w:rPr>
        <w:t>（签字或签章）：</w:t>
      </w:r>
    </w:p>
    <w:p w14:paraId="16E64CC4">
      <w:pPr>
        <w:keepNext w:val="0"/>
        <w:keepLines w:val="0"/>
        <w:pageBreakBefore w:val="0"/>
        <w:kinsoku/>
        <w:overflowPunct/>
        <w:topLinePunct/>
        <w:autoSpaceDE/>
        <w:autoSpaceDN/>
        <w:bidi w:val="0"/>
        <w:snapToGrid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日期：</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日</w:t>
      </w:r>
    </w:p>
    <w:p w14:paraId="728FC11B">
      <w:pPr>
        <w:keepNext w:val="0"/>
        <w:keepLines w:val="0"/>
        <w:pageBreakBefore w:val="0"/>
        <w:kinsoku/>
        <w:overflowPunct/>
        <w:topLinePunct/>
        <w:autoSpaceDE/>
        <w:autoSpaceDN/>
        <w:bidi w:val="0"/>
        <w:snapToGrid w:val="0"/>
        <w:spacing w:line="480" w:lineRule="auto"/>
        <w:ind w:firstLine="3920" w:firstLineChars="1400"/>
        <w:textAlignment w:val="auto"/>
        <w:rPr>
          <w:rFonts w:hint="eastAsia" w:ascii="仿宋" w:hAnsi="仿宋" w:eastAsia="仿宋" w:cs="仿宋"/>
          <w:color w:val="auto"/>
          <w:kern w:val="0"/>
          <w:sz w:val="28"/>
          <w:szCs w:val="28"/>
          <w:highlight w:val="none"/>
        </w:rPr>
        <w:sectPr>
          <w:pgSz w:w="11906" w:h="16838"/>
          <w:pgMar w:top="1280" w:right="1142" w:bottom="1118" w:left="1324" w:header="454" w:footer="680" w:gutter="0"/>
          <w:pgNumType w:fmt="decimal"/>
          <w:cols w:space="0" w:num="1"/>
          <w:docGrid w:linePitch="312" w:charSpace="0"/>
        </w:sectPr>
      </w:pPr>
    </w:p>
    <w:p w14:paraId="5B3B4F09">
      <w:pPr>
        <w:pStyle w:val="15"/>
        <w:keepNext w:val="0"/>
        <w:keepLines w:val="0"/>
        <w:pageBreakBefore w:val="0"/>
        <w:kinsoku/>
        <w:overflowPunct/>
        <w:topLinePunct/>
        <w:autoSpaceDE/>
        <w:autoSpaceDN/>
        <w:bidi w:val="0"/>
        <w:jc w:val="center"/>
        <w:textAlignment w:val="auto"/>
        <w:outlineLvl w:val="2"/>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投标人认为需要提交的其他材料</w:t>
      </w:r>
    </w:p>
    <w:p w14:paraId="7629365F">
      <w:pPr>
        <w:pStyle w:val="33"/>
        <w:keepNext w:val="0"/>
        <w:keepLines w:val="0"/>
        <w:pageBreakBefore w:val="0"/>
        <w:kinsoku/>
        <w:overflowPunct/>
        <w:topLinePunct/>
        <w:autoSpaceDE/>
        <w:autoSpaceDN/>
        <w:bidi w:val="0"/>
        <w:jc w:val="center"/>
        <w:textAlignment w:val="auto"/>
        <w:rPr>
          <w:rFonts w:hint="eastAsia" w:ascii="仿宋" w:hAnsi="仿宋" w:eastAsia="仿宋" w:cs="仿宋"/>
          <w:b/>
          <w:bCs w:val="0"/>
          <w:color w:val="auto"/>
          <w:highlight w:val="none"/>
        </w:rPr>
      </w:pPr>
      <w:r>
        <w:rPr>
          <w:rFonts w:hint="eastAsia" w:ascii="仿宋" w:hAnsi="仿宋" w:eastAsia="仿宋" w:cs="仿宋"/>
          <w:b/>
          <w:bCs w:val="0"/>
          <w:color w:val="auto"/>
          <w:kern w:val="2"/>
          <w:sz w:val="36"/>
          <w:szCs w:val="36"/>
          <w:highlight w:val="none"/>
          <w:lang w:val="en-US" w:eastAsia="zh-CN" w:bidi="ar-SA"/>
        </w:rPr>
        <w:t>（盖公章）</w:t>
      </w:r>
    </w:p>
    <w:p w14:paraId="0C73BE09">
      <w:pPr>
        <w:pStyle w:val="23"/>
        <w:keepNext w:val="0"/>
        <w:keepLines w:val="0"/>
        <w:pageBreakBefore w:val="0"/>
        <w:kinsoku/>
        <w:overflowPunct/>
        <w:autoSpaceDE/>
        <w:autoSpaceDN/>
        <w:bidi w:val="0"/>
        <w:rPr>
          <w:rFonts w:hint="eastAsia"/>
          <w:lang w:val="en-US" w:eastAsia="zh-CN"/>
        </w:rPr>
        <w:sectPr>
          <w:pgSz w:w="11906" w:h="16838"/>
          <w:pgMar w:top="1280" w:right="1142" w:bottom="1118" w:left="1324" w:header="454" w:footer="680" w:gutter="0"/>
          <w:pgNumType w:fmt="decimal"/>
          <w:cols w:space="0" w:num="1"/>
          <w:docGrid w:linePitch="312" w:charSpace="0"/>
        </w:sectPr>
      </w:pPr>
    </w:p>
    <w:p w14:paraId="18D90DA3">
      <w:pPr>
        <w:pStyle w:val="15"/>
        <w:keepNext w:val="0"/>
        <w:keepLines w:val="0"/>
        <w:pageBreakBefore w:val="0"/>
        <w:kinsoku/>
        <w:overflowPunct/>
        <w:topLinePunct/>
        <w:autoSpaceDE/>
        <w:autoSpaceDN/>
        <w:bidi w:val="0"/>
        <w:jc w:val="center"/>
        <w:textAlignment w:val="auto"/>
        <w:outlineLvl w:val="1"/>
        <w:rPr>
          <w:rFonts w:hint="eastAsia" w:ascii="仿宋" w:hAnsi="仿宋" w:eastAsia="仿宋" w:cs="仿宋"/>
          <w:b/>
          <w:color w:val="auto"/>
          <w:sz w:val="44"/>
          <w:szCs w:val="44"/>
          <w:highlight w:val="none"/>
        </w:rPr>
      </w:pPr>
      <w:bookmarkStart w:id="42" w:name="_Toc32215"/>
      <w:r>
        <w:rPr>
          <w:rFonts w:hint="eastAsia" w:ascii="仿宋" w:hAnsi="仿宋" w:eastAsia="仿宋" w:cs="仿宋"/>
          <w:b/>
          <w:color w:val="auto"/>
          <w:sz w:val="44"/>
          <w:szCs w:val="44"/>
          <w:highlight w:val="none"/>
        </w:rPr>
        <w:t>技术文件</w:t>
      </w:r>
      <w:bookmarkEnd w:id="42"/>
    </w:p>
    <w:p w14:paraId="02EB775B">
      <w:pPr>
        <w:pStyle w:val="15"/>
        <w:keepNext w:val="0"/>
        <w:keepLines w:val="0"/>
        <w:pageBreakBefore w:val="0"/>
        <w:kinsoku/>
        <w:overflowPunct/>
        <w:topLinePunct/>
        <w:autoSpaceDE/>
        <w:autoSpaceDN/>
        <w:bidi w:val="0"/>
        <w:spacing w:line="520" w:lineRule="exact"/>
        <w:jc w:val="both"/>
        <w:textAlignment w:val="auto"/>
        <w:rPr>
          <w:rFonts w:hint="eastAsia" w:ascii="仿宋" w:hAnsi="仿宋" w:eastAsia="仿宋" w:cs="仿宋"/>
          <w:b/>
          <w:color w:val="auto"/>
          <w:sz w:val="44"/>
          <w:szCs w:val="44"/>
          <w:highlight w:val="none"/>
        </w:rPr>
      </w:pPr>
    </w:p>
    <w:p w14:paraId="179B2C02">
      <w:pPr>
        <w:keepNext w:val="0"/>
        <w:keepLines w:val="0"/>
        <w:pageBreakBefore w:val="0"/>
        <w:widowControl w:val="0"/>
        <w:kinsoku/>
        <w:wordWrap/>
        <w:overflowPunct/>
        <w:topLinePunct/>
        <w:autoSpaceDE/>
        <w:autoSpaceDN/>
        <w:bidi w:val="0"/>
        <w:adjustRightInd/>
        <w:snapToGrid w:val="0"/>
        <w:spacing w:line="500" w:lineRule="exact"/>
        <w:ind w:firstLine="565" w:firstLineChars="202"/>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包括但不限于以下内容：</w:t>
      </w:r>
    </w:p>
    <w:p w14:paraId="48F02853">
      <w:pPr>
        <w:keepNext w:val="0"/>
        <w:keepLines w:val="0"/>
        <w:pageBreakBefore w:val="0"/>
        <w:widowControl w:val="0"/>
        <w:kinsoku/>
        <w:wordWrap/>
        <w:overflowPunct/>
        <w:topLinePunct/>
        <w:autoSpaceDE/>
        <w:autoSpaceDN/>
        <w:bidi w:val="0"/>
        <w:adjustRightInd/>
        <w:snapToGrid w:val="0"/>
        <w:spacing w:line="500" w:lineRule="exact"/>
        <w:ind w:firstLine="565" w:firstLineChars="202"/>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（1）对本项目的认识、服务定位及重点难点分析；</w:t>
      </w:r>
    </w:p>
    <w:p w14:paraId="51263AFB">
      <w:pPr>
        <w:keepNext w:val="0"/>
        <w:keepLines w:val="0"/>
        <w:pageBreakBefore w:val="0"/>
        <w:widowControl w:val="0"/>
        <w:kinsoku/>
        <w:wordWrap/>
        <w:overflowPunct/>
        <w:topLinePunct/>
        <w:autoSpaceDE/>
        <w:autoSpaceDN/>
        <w:bidi w:val="0"/>
        <w:adjustRightInd/>
        <w:snapToGrid w:val="0"/>
        <w:spacing w:line="500" w:lineRule="exact"/>
        <w:ind w:firstLine="565" w:firstLineChars="202"/>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（2）项目服务实施方案；</w:t>
      </w:r>
    </w:p>
    <w:p w14:paraId="42D6AE79">
      <w:pPr>
        <w:keepNext w:val="0"/>
        <w:keepLines w:val="0"/>
        <w:pageBreakBefore w:val="0"/>
        <w:widowControl w:val="0"/>
        <w:kinsoku/>
        <w:wordWrap/>
        <w:overflowPunct/>
        <w:topLinePunct/>
        <w:autoSpaceDE/>
        <w:autoSpaceDN/>
        <w:bidi w:val="0"/>
        <w:adjustRightInd/>
        <w:snapToGrid w:val="0"/>
        <w:spacing w:line="500" w:lineRule="exact"/>
        <w:ind w:firstLine="565" w:firstLineChars="202"/>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（3）质量控制措施；</w:t>
      </w:r>
    </w:p>
    <w:p w14:paraId="6CFE9890">
      <w:pPr>
        <w:keepNext w:val="0"/>
        <w:keepLines w:val="0"/>
        <w:pageBreakBefore w:val="0"/>
        <w:widowControl w:val="0"/>
        <w:kinsoku/>
        <w:wordWrap/>
        <w:overflowPunct/>
        <w:topLinePunct/>
        <w:autoSpaceDE/>
        <w:autoSpaceDN/>
        <w:bidi w:val="0"/>
        <w:adjustRightInd/>
        <w:snapToGrid w:val="0"/>
        <w:spacing w:line="500" w:lineRule="exact"/>
        <w:ind w:firstLine="565" w:firstLineChars="202"/>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（4）供货服务方案；</w:t>
      </w:r>
    </w:p>
    <w:p w14:paraId="518F1376">
      <w:pPr>
        <w:keepNext w:val="0"/>
        <w:keepLines w:val="0"/>
        <w:pageBreakBefore w:val="0"/>
        <w:widowControl w:val="0"/>
        <w:kinsoku/>
        <w:wordWrap/>
        <w:overflowPunct/>
        <w:topLinePunct/>
        <w:autoSpaceDE/>
        <w:autoSpaceDN/>
        <w:bidi w:val="0"/>
        <w:adjustRightInd/>
        <w:snapToGrid w:val="0"/>
        <w:spacing w:line="500" w:lineRule="exact"/>
        <w:ind w:firstLine="565" w:firstLineChars="202"/>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（5）备货服务方案；</w:t>
      </w:r>
    </w:p>
    <w:p w14:paraId="49650506">
      <w:pPr>
        <w:keepNext w:val="0"/>
        <w:keepLines w:val="0"/>
        <w:pageBreakBefore w:val="0"/>
        <w:widowControl w:val="0"/>
        <w:kinsoku/>
        <w:wordWrap/>
        <w:overflowPunct/>
        <w:topLinePunct/>
        <w:autoSpaceDE/>
        <w:autoSpaceDN/>
        <w:bidi w:val="0"/>
        <w:adjustRightInd/>
        <w:snapToGrid w:val="0"/>
        <w:spacing w:line="500" w:lineRule="exact"/>
        <w:ind w:firstLine="565" w:firstLineChars="202"/>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（6）团队人员配备；</w:t>
      </w:r>
    </w:p>
    <w:p w14:paraId="62878589">
      <w:pPr>
        <w:keepNext w:val="0"/>
        <w:keepLines w:val="0"/>
        <w:pageBreakBefore w:val="0"/>
        <w:widowControl w:val="0"/>
        <w:kinsoku/>
        <w:wordWrap/>
        <w:overflowPunct/>
        <w:topLinePunct/>
        <w:autoSpaceDE/>
        <w:autoSpaceDN/>
        <w:bidi w:val="0"/>
        <w:adjustRightInd/>
        <w:snapToGrid w:val="0"/>
        <w:spacing w:line="500" w:lineRule="exact"/>
        <w:ind w:firstLine="565" w:firstLineChars="202"/>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（7）考核方案；</w:t>
      </w:r>
    </w:p>
    <w:p w14:paraId="3045A68B">
      <w:pPr>
        <w:keepNext w:val="0"/>
        <w:keepLines w:val="0"/>
        <w:pageBreakBefore w:val="0"/>
        <w:widowControl w:val="0"/>
        <w:kinsoku/>
        <w:wordWrap/>
        <w:overflowPunct/>
        <w:topLinePunct/>
        <w:autoSpaceDE/>
        <w:autoSpaceDN/>
        <w:bidi w:val="0"/>
        <w:adjustRightInd/>
        <w:snapToGrid w:val="0"/>
        <w:spacing w:line="500" w:lineRule="exact"/>
        <w:ind w:firstLine="565" w:firstLineChars="202"/>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（8）应急响应能力方案；</w:t>
      </w:r>
    </w:p>
    <w:p w14:paraId="27C16176">
      <w:pPr>
        <w:keepNext w:val="0"/>
        <w:keepLines w:val="0"/>
        <w:pageBreakBefore w:val="0"/>
        <w:widowControl w:val="0"/>
        <w:kinsoku/>
        <w:wordWrap/>
        <w:overflowPunct/>
        <w:topLinePunct/>
        <w:autoSpaceDE/>
        <w:autoSpaceDN/>
        <w:bidi w:val="0"/>
        <w:adjustRightInd/>
        <w:snapToGrid w:val="0"/>
        <w:spacing w:line="500" w:lineRule="exact"/>
        <w:ind w:firstLine="565" w:firstLineChars="202"/>
        <w:textAlignment w:val="auto"/>
        <w:rPr>
          <w:rFonts w:hint="eastAsia" w:ascii="仿宋" w:hAnsi="仿宋" w:eastAsia="仿宋" w:cs="仿宋"/>
          <w:color w:val="auto"/>
          <w:sz w:val="28"/>
          <w:szCs w:val="28"/>
          <w:highlight w:val="none"/>
          <w:lang w:eastAsia="zh-CN"/>
        </w:rPr>
        <w:sectPr>
          <w:pgSz w:w="11906" w:h="16838"/>
          <w:pgMar w:top="1280" w:right="1142" w:bottom="1118" w:left="1324" w:header="454" w:footer="680" w:gutter="0"/>
          <w:pgNumType w:fmt="decimal"/>
          <w:cols w:space="0" w:num="1"/>
          <w:docGrid w:linePitch="312" w:charSpace="0"/>
        </w:sectPr>
      </w:pPr>
      <w:r>
        <w:rPr>
          <w:rFonts w:hint="eastAsia" w:ascii="仿宋" w:hAnsi="仿宋" w:eastAsia="仿宋" w:cs="仿宋"/>
          <w:color w:val="auto"/>
          <w:sz w:val="28"/>
          <w:szCs w:val="28"/>
          <w:highlight w:val="none"/>
          <w:lang w:eastAsia="zh-CN"/>
        </w:rPr>
        <w:t>（9）售后服务保障与支持。</w:t>
      </w:r>
    </w:p>
    <w:p w14:paraId="11761004">
      <w:pPr>
        <w:pStyle w:val="24"/>
        <w:keepNext w:val="0"/>
        <w:keepLines w:val="0"/>
        <w:pageBreakBefore w:val="0"/>
        <w:numPr>
          <w:ilvl w:val="0"/>
          <w:numId w:val="0"/>
        </w:numPr>
        <w:kinsoku/>
        <w:overflowPunct/>
        <w:topLinePunct/>
        <w:autoSpaceDE/>
        <w:autoSpaceDN/>
        <w:bidi w:val="0"/>
        <w:spacing w:before="100" w:beforeAutospacing="1" w:after="100" w:afterAutospacing="1" w:line="240" w:lineRule="auto"/>
        <w:ind w:left="1440" w:leftChars="0" w:hanging="1440" w:firstLineChars="0"/>
        <w:jc w:val="center"/>
        <w:textAlignment w:val="auto"/>
        <w:rPr>
          <w:rFonts w:hint="eastAsia" w:ascii="仿宋" w:hAnsi="仿宋" w:eastAsia="仿宋" w:cs="仿宋"/>
          <w:b/>
          <w:bCs/>
          <w:color w:val="auto"/>
          <w:kern w:val="0"/>
          <w:sz w:val="48"/>
          <w:szCs w:val="48"/>
          <w:highlight w:val="none"/>
          <w:lang w:val="en-US" w:eastAsia="zh-CN" w:bidi="ar-SA"/>
        </w:rPr>
      </w:pPr>
      <w:bookmarkStart w:id="43" w:name="_Toc30028"/>
      <w:bookmarkStart w:id="44" w:name="_Toc32754"/>
      <w:r>
        <w:rPr>
          <w:rFonts w:hint="eastAsia" w:ascii="仿宋" w:hAnsi="仿宋" w:eastAsia="仿宋" w:cs="仿宋"/>
          <w:b/>
          <w:bCs/>
          <w:color w:val="auto"/>
          <w:kern w:val="0"/>
          <w:sz w:val="48"/>
          <w:szCs w:val="48"/>
          <w:highlight w:val="none"/>
          <w:lang w:val="en-US" w:eastAsia="zh-CN" w:bidi="ar-SA"/>
        </w:rPr>
        <w:t xml:space="preserve">第六章 </w:t>
      </w:r>
      <w:bookmarkEnd w:id="43"/>
      <w:bookmarkEnd w:id="44"/>
      <w:r>
        <w:rPr>
          <w:rFonts w:hint="eastAsia" w:ascii="仿宋" w:hAnsi="仿宋" w:eastAsia="仿宋" w:cs="仿宋"/>
          <w:b/>
          <w:bCs/>
          <w:color w:val="auto"/>
          <w:kern w:val="0"/>
          <w:sz w:val="48"/>
          <w:szCs w:val="48"/>
          <w:highlight w:val="none"/>
          <w:lang w:val="en-US" w:eastAsia="zh-CN" w:bidi="ar-SA"/>
        </w:rPr>
        <w:t>合同（范本）</w:t>
      </w:r>
    </w:p>
    <w:p w14:paraId="68A77C0A">
      <w:pPr>
        <w:keepNext w:val="0"/>
        <w:keepLines w:val="0"/>
        <w:pageBreakBefore w:val="0"/>
        <w:kinsoku/>
        <w:overflowPunct/>
        <w:autoSpaceDE/>
        <w:autoSpaceDN/>
        <w:bidi w:val="0"/>
        <w:rPr>
          <w:rFonts w:hint="eastAsia" w:ascii="仿宋" w:hAnsi="仿宋" w:eastAsia="仿宋" w:cs="仿宋"/>
          <w:b/>
          <w:bCs/>
          <w:color w:val="auto"/>
          <w:kern w:val="0"/>
          <w:sz w:val="40"/>
          <w:szCs w:val="44"/>
          <w:highlight w:val="none"/>
          <w:lang w:val="en-US" w:eastAsia="zh-CN" w:bidi="ar-SA"/>
        </w:rPr>
        <w:sectPr>
          <w:pgSz w:w="11906" w:h="16838"/>
          <w:pgMar w:top="1280" w:right="1142" w:bottom="1118" w:left="1324" w:header="454" w:footer="680" w:gutter="0"/>
          <w:pgNumType w:fmt="decimal"/>
          <w:cols w:space="0" w:num="1"/>
          <w:docGrid w:linePitch="312" w:charSpace="0"/>
        </w:sectPr>
      </w:pPr>
    </w:p>
    <w:p w14:paraId="217E43B6">
      <w:pPr>
        <w:keepNext w:val="0"/>
        <w:keepLines w:val="0"/>
        <w:pageBreakBefore w:val="0"/>
        <w:kinsoku/>
        <w:overflowPunct/>
        <w:autoSpaceDE/>
        <w:autoSpaceDN/>
        <w:bidi w:val="0"/>
        <w:spacing w:before="0" w:after="0" w:line="360" w:lineRule="auto"/>
        <w:jc w:val="center"/>
        <w:outlineLvl w:val="1"/>
        <w:rPr>
          <w:rFonts w:hint="default" w:ascii="仿宋" w:hAnsi="仿宋" w:eastAsia="仿宋" w:cs="仿宋"/>
          <w:b/>
          <w:bCs w:val="0"/>
          <w:kern w:val="2"/>
          <w:sz w:val="44"/>
          <w:szCs w:val="44"/>
        </w:rPr>
      </w:pPr>
      <w:r>
        <w:rPr>
          <w:rFonts w:hint="default" w:ascii="仿宋" w:hAnsi="仿宋" w:eastAsia="仿宋" w:cs="仿宋"/>
          <w:b/>
          <w:bCs w:val="0"/>
          <w:kern w:val="2"/>
          <w:sz w:val="44"/>
          <w:szCs w:val="44"/>
        </w:rPr>
        <w:t>选定景区物料供应入围单位服务合同</w:t>
      </w:r>
    </w:p>
    <w:p w14:paraId="56875830">
      <w:pPr>
        <w:jc w:val="center"/>
        <w:rPr>
          <w:rFonts w:hint="default" w:ascii="Times New Roman" w:hAnsi="Times New Roman" w:eastAsia="方正小标宋简体" w:cs="Times New Roman"/>
          <w:sz w:val="44"/>
          <w:szCs w:val="44"/>
        </w:rPr>
      </w:pPr>
    </w:p>
    <w:p w14:paraId="146D800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u w:val="single"/>
          <w:lang w:val="en-US" w:eastAsia="zh-CN"/>
        </w:rPr>
      </w:pPr>
      <w:r>
        <w:rPr>
          <w:rFonts w:hint="eastAsia" w:ascii="仿宋" w:hAnsi="仿宋" w:eastAsia="仿宋" w:cs="仿宋"/>
          <w:sz w:val="28"/>
          <w:szCs w:val="28"/>
        </w:rPr>
        <w:t>甲方（采购单位）：</w:t>
      </w:r>
      <w:r>
        <w:rPr>
          <w:rFonts w:hint="eastAsia" w:ascii="仿宋" w:hAnsi="仿宋" w:eastAsia="仿宋" w:cs="仿宋"/>
          <w:sz w:val="28"/>
          <w:szCs w:val="28"/>
          <w:u w:val="single"/>
          <w:lang w:val="en-US" w:eastAsia="zh-CN"/>
        </w:rPr>
        <w:t xml:space="preserve">                      </w:t>
      </w:r>
    </w:p>
    <w:p w14:paraId="1AB0D2B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统一社会信用代码：</w:t>
      </w:r>
      <w:r>
        <w:rPr>
          <w:rFonts w:hint="eastAsia" w:ascii="仿宋" w:hAnsi="仿宋" w:eastAsia="仿宋" w:cs="仿宋"/>
          <w:sz w:val="28"/>
          <w:szCs w:val="28"/>
          <w:u w:val="single"/>
          <w:lang w:val="en-US" w:eastAsia="zh-CN"/>
        </w:rPr>
        <w:t xml:space="preserve">                     </w:t>
      </w:r>
    </w:p>
    <w:p w14:paraId="0324EBC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z w:val="28"/>
          <w:szCs w:val="28"/>
          <w:u w:val="single"/>
          <w:lang w:val="en-US" w:eastAsia="zh-CN"/>
        </w:rPr>
        <w:t xml:space="preserve">                     </w:t>
      </w:r>
    </w:p>
    <w:p w14:paraId="105E00B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u w:val="single"/>
          <w:lang w:val="en-US" w:eastAsia="zh-CN"/>
        </w:rPr>
      </w:pPr>
      <w:r>
        <w:rPr>
          <w:rFonts w:hint="eastAsia" w:ascii="仿宋" w:hAnsi="仿宋" w:eastAsia="仿宋" w:cs="仿宋"/>
          <w:sz w:val="28"/>
          <w:szCs w:val="28"/>
        </w:rPr>
        <w:t>联系电话：</w:t>
      </w:r>
      <w:r>
        <w:rPr>
          <w:rFonts w:hint="eastAsia" w:ascii="仿宋" w:hAnsi="仿宋" w:eastAsia="仿宋" w:cs="仿宋"/>
          <w:sz w:val="28"/>
          <w:szCs w:val="28"/>
          <w:u w:val="single"/>
          <w:lang w:val="en-US" w:eastAsia="zh-CN"/>
        </w:rPr>
        <w:t xml:space="preserve">                     </w:t>
      </w:r>
    </w:p>
    <w:p w14:paraId="2494050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p>
    <w:p w14:paraId="0D36820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p>
    <w:p w14:paraId="5A39B26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乙方（供应服务单位）：</w:t>
      </w:r>
      <w:r>
        <w:rPr>
          <w:rFonts w:hint="eastAsia" w:ascii="仿宋" w:hAnsi="仿宋" w:eastAsia="仿宋" w:cs="仿宋"/>
          <w:sz w:val="28"/>
          <w:szCs w:val="28"/>
          <w:u w:val="single"/>
          <w:lang w:val="en-US" w:eastAsia="zh-CN"/>
        </w:rPr>
        <w:t xml:space="preserve">                     </w:t>
      </w:r>
    </w:p>
    <w:p w14:paraId="30EF8AB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统一社会信用代码：</w:t>
      </w:r>
      <w:r>
        <w:rPr>
          <w:rFonts w:hint="eastAsia" w:ascii="仿宋" w:hAnsi="仿宋" w:eastAsia="仿宋" w:cs="仿宋"/>
          <w:sz w:val="28"/>
          <w:szCs w:val="28"/>
          <w:u w:val="single"/>
          <w:lang w:val="en-US" w:eastAsia="zh-CN"/>
        </w:rPr>
        <w:t xml:space="preserve">                     </w:t>
      </w:r>
    </w:p>
    <w:p w14:paraId="4F34D24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z w:val="28"/>
          <w:szCs w:val="28"/>
          <w:u w:val="single"/>
          <w:lang w:val="en-US" w:eastAsia="zh-CN"/>
        </w:rPr>
        <w:t xml:space="preserve">                     </w:t>
      </w:r>
    </w:p>
    <w:p w14:paraId="3CCFF63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u w:val="single"/>
          <w:lang w:val="en-US" w:eastAsia="zh-CN"/>
        </w:rPr>
      </w:pPr>
      <w:r>
        <w:rPr>
          <w:rFonts w:hint="eastAsia" w:ascii="仿宋" w:hAnsi="仿宋" w:eastAsia="仿宋" w:cs="仿宋"/>
          <w:sz w:val="28"/>
          <w:szCs w:val="28"/>
        </w:rPr>
        <w:t>联系电话：</w:t>
      </w:r>
      <w:r>
        <w:rPr>
          <w:rFonts w:hint="eastAsia" w:ascii="仿宋" w:hAnsi="仿宋" w:eastAsia="仿宋" w:cs="仿宋"/>
          <w:sz w:val="28"/>
          <w:szCs w:val="28"/>
          <w:u w:val="single"/>
          <w:lang w:val="en-US" w:eastAsia="zh-CN"/>
        </w:rPr>
        <w:t xml:space="preserve">                     </w:t>
      </w:r>
    </w:p>
    <w:p w14:paraId="68AA591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p>
    <w:p w14:paraId="41E692D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依据《中华人民共和国民法典》及相关法律法规，甲方通过公开入围采购方式选定乙方为半月湾景区物料供应入围服务商，甲乙双方本着平等自愿、诚实信用、权责对等原则，就乙方为甲方半月湾景区（含环海路、中国油画交易中心及甲方全部运营项目）提供物料供应、租赁、仓储、物流配套服务事宜，订立本合同，双方共同遵照执行。</w:t>
      </w:r>
    </w:p>
    <w:p w14:paraId="695DB35B">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第一条 服务项目与合作说明</w:t>
      </w:r>
    </w:p>
    <w:p w14:paraId="48675D1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1.项目名称：选定景区物料供应入围单位</w:t>
      </w:r>
    </w:p>
    <w:p w14:paraId="7C5BFA0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合作模式：本合同仅确认乙方入围服务资格，甲方不承诺固定业务量，所有物料、服务均按照甲方实际需求据实结算。本次入围服务商总数不超过2家，甲方每次发布采购需求采用比价模式，同等需求下报价最低的入围单位承接本次订单。</w:t>
      </w:r>
    </w:p>
    <w:p w14:paraId="78CB11F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3.服务期限：自</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日起至</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日止，服务周期1年。合同期满，甲方依据季度综合考核结果决定是否与乙方续签合同；乙方考核不合格的，甲方有权不予续签。</w:t>
      </w:r>
    </w:p>
    <w:p w14:paraId="3F7DF58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4.服务覆盖范围：半月湾景区全域日常运营、节庆活动、游客保障等全部场景，包含环海路、中国油画交易中心以及甲方后续新增运营点位。</w:t>
      </w:r>
    </w:p>
    <w:p w14:paraId="6B2E1678">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第二条 乙方资质与基础履约条件</w:t>
      </w:r>
    </w:p>
    <w:p w14:paraId="774B44F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（一）资质承诺</w:t>
      </w:r>
    </w:p>
    <w:p w14:paraId="7DD4E27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1.乙方为具备独立法人资格的企业，持有合法有效的营业执照，具备独立承担物料供应、货物配送、仓储管理、现场布置及撤场等全部服务的民事责任能力。</w:t>
      </w:r>
    </w:p>
    <w:p w14:paraId="1AAF048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2.乙方承诺未被列入“信用中国”失信被执行人名单、重大税收违法案件当事人名单；合同履行期间若出现上述失信记录，甲方有权单方解除合同，乙方承担全部违约责任。</w:t>
      </w:r>
    </w:p>
    <w:p w14:paraId="7AEBB3E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乙方入围阶段提交的全部证件、业绩、仓库、运输车辆等资料均真实有效；甲方可随时通过现场核查、函证等方式核验，若乙方提供虚假资料，甲方立即取消乙方入围资格、解除合同，乙方赔偿甲方全部经济损失。</w:t>
      </w:r>
    </w:p>
    <w:p w14:paraId="4A37BAD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（二）硬件配套要求</w:t>
      </w:r>
    </w:p>
    <w:p w14:paraId="4D105F8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1.乙方自有或长期租赁合规仓库，仓库满足防火、防盗、防潮、分类分区存储标准，可存放本合同约定全部品类物资。</w:t>
      </w:r>
    </w:p>
    <w:p w14:paraId="2D4A3FD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2.乙方自有或长期合作运输车辆不少于1台，保障日常配送及2-4小时紧急补货的运力需求。</w:t>
      </w:r>
    </w:p>
    <w:p w14:paraId="35097D6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3.乙方设立7×24小时全天候应急对接人员及联系电话，保证甲方任何时段均可正常联络。</w:t>
      </w:r>
    </w:p>
    <w:p w14:paraId="6079AA1E">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第三条 乙方服务范围</w:t>
      </w:r>
    </w:p>
    <w:p w14:paraId="56F01D4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（一）通用物资供应/租赁</w:t>
      </w:r>
    </w:p>
    <w:p w14:paraId="6E5DE47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1.桌椅类：折叠椅、塑料凳、沙滩椅、长条桌、洽谈桌等；</w:t>
      </w:r>
    </w:p>
    <w:p w14:paraId="7F89C07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2.遮阳避雨类：太阳伞、户外遮阳伞、普通帐篷、天幕等；</w:t>
      </w:r>
    </w:p>
    <w:p w14:paraId="4809003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3.隔离引导类：铁马护栏、移动隔离护栏等；</w:t>
      </w:r>
    </w:p>
    <w:p w14:paraId="6E712B6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4.配套设备：对讲机、扩音器、移动厕所、落地风扇、电暖气等。</w:t>
      </w:r>
    </w:p>
    <w:p w14:paraId="0BF1ECF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（二）基础物品供应</w:t>
      </w:r>
    </w:p>
    <w:p w14:paraId="343FB80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1.活动消耗品：气球、仿真花、成品灯笼、各类装饰道具；</w:t>
      </w:r>
    </w:p>
    <w:p w14:paraId="668EEC7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2.游客便民物资：轮椅、拐杖、婴儿车、雨具、便民急救药箱；</w:t>
      </w:r>
    </w:p>
    <w:p w14:paraId="71D9B3E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3.运营保障物资：户外用品、体育器材、劳保用品、景区售卖小商品、玩具、纪念引流品、荧光棒、手拍掌、泡泡机等互动道具。</w:t>
      </w:r>
    </w:p>
    <w:p w14:paraId="2FEA17E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（三）仓储、物流全流程配套服务</w:t>
      </w:r>
    </w:p>
    <w:p w14:paraId="09ABF6E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1.仓储管理：乙方负责自有仓库物资规范化分类存放，落实消防安全、防潮、防盗管理工作；</w:t>
      </w:r>
    </w:p>
    <w:p w14:paraId="192CDE3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2.紧急配送：甲方下达应急补货需求后，乙方须在2-4小时内将物资送达甲方指定景区点位；</w:t>
      </w:r>
    </w:p>
    <w:p w14:paraId="5A034A9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3.全流程物流：乙方承担物资提货、运输、现场卸货摆放、活动结束后撤场回收、清运全部工作，相关所有费用均包含在物料报价内。</w:t>
      </w:r>
    </w:p>
    <w:p w14:paraId="4CD0281C">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第四条 双方权利与义务</w:t>
      </w:r>
    </w:p>
    <w:p w14:paraId="4F33D82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（一）甲方权利义务</w:t>
      </w:r>
    </w:p>
    <w:p w14:paraId="6541119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1.甲方以书面采购单（线上/线下）形式下发物料需求，明确物料品类、规格、数量、交付时间、交付地点；</w:t>
      </w:r>
    </w:p>
    <w:p w14:paraId="57323C6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2.甲方下发采购需求后，乙方需在2小时内完成报价，甲方对比全部入围服务商报价，确定本次订单供货单位；</w:t>
      </w:r>
    </w:p>
    <w:p w14:paraId="761A544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3.甲方建立季度考核机制，从供货时效、产品质量、服务态度、对账准确性、应急响应等多维度打分，80分（含）以上为考核合格；</w:t>
      </w:r>
    </w:p>
    <w:p w14:paraId="501782D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4.甲方有权对不合格货品拒收、要求乙方无条件退换；有权随时现场核查乙方仓库、运输车辆、资质文件；</w:t>
      </w:r>
    </w:p>
    <w:p w14:paraId="3C2FD8B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5.甲方按照合同约定完成物料验收及款项结算，无正当理由不得无故拖欠应付费用。</w:t>
      </w:r>
    </w:p>
    <w:p w14:paraId="436193E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（二）乙方核心义务</w:t>
      </w:r>
    </w:p>
    <w:p w14:paraId="147F13B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1.样品与产品管控：按甲方要求免费提供样品，根据甲方需求调整物料规格；所有不合格产品无条件退换，运输、人工、损耗等全部费用由乙方自行承担。</w:t>
      </w:r>
    </w:p>
    <w:p w14:paraId="0A97489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需求响应义务：收到甲方采购需求后2小时内完成报价；同一自然月内累计3次及以上未及时响应报价，甲方有权单方解除合同。乙方不得以无库存为由拒绝报价，无现货品类必须完成市场询价并向甲方提供正式报价；多次出现货品不全、供货不足情形，甲方可暂停乙方供货资格直至解除合同。</w:t>
      </w:r>
    </w:p>
    <w:p w14:paraId="5EC6EAB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3.履约告知义务：因乙方库存、车辆、人员等自身原因无法按期供货的，须提前书面通知甲方并提交甲方认可的补救方案；未提前告知造成甲方活动延误、运营损失的，全部损失由乙方全额赔付。</w:t>
      </w:r>
    </w:p>
    <w:p w14:paraId="595F1A5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知识产权责任：乙方提供所有物料、道具、商品不得侵犯第三方专利、商标、外观设计等知识产权；若引发第三方维权、诉讼、索赔，全部法律责任、赔偿金、诉讼费由乙方承担，同时乙方需赔偿甲方商誉及经济损失。</w:t>
      </w:r>
    </w:p>
    <w:p w14:paraId="3555BDA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5.货品管控：未经甲方书面许可，乙方不得擅自更换物料品牌、规格、数量；无甲方正式采购订单的物资，甲方现场验收人员有权拒收，甲方不予结算对应款项。</w:t>
      </w:r>
    </w:p>
    <w:p w14:paraId="42FA11D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6.对账义务：乙方定期主动与甲方核对订单、送货单、结算单据；因乙方单据丢失、订单漏报、记账错误造成无法结算的，对应订单甲方不予付款，全部损失由乙方自行承担。</w:t>
      </w:r>
    </w:p>
    <w:p w14:paraId="4AD515F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7.安全责任：乙方交付物料存在质量缺陷，造成甲方工作人员、游客、第三方人身伤害或财产损失的，乙方承担全部赔偿、医疗、诉讼等所有相关费用。</w:t>
      </w:r>
    </w:p>
    <w:p w14:paraId="6DD8C91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8.应急保障：全年7×24小时保持通讯畅通，节假日、夜间景区应急活动须无条件配合加急配送。</w:t>
      </w:r>
    </w:p>
    <w:p w14:paraId="4BC9CFC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第五条 价格、结算与付款</w:t>
      </w:r>
    </w:p>
    <w:p w14:paraId="071553A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1.报价包含费用：乙方所有报价为包干总价，涵盖物料成本、租赁费用、包装、运输、装卸、现场布置、回收、仓储、人工、税费、退换货耗材等全部费用，甲方无需额外支付其他任何费用。</w:t>
      </w:r>
    </w:p>
    <w:p w14:paraId="4E1277E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2.比价规则：甲方同一采购需求同步发送全部入围服务商，乙方须在2小时内反馈完整报价单，报价最低服务商承接本次订单；未按时报价视为自动放弃本次供货资格。</w:t>
      </w:r>
    </w:p>
    <w:p w14:paraId="4034CC5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3.结算依据：以甲方签字确认的送货验收单、正式采购订单为结算唯一依据，无验收单据甲方不予结算。</w:t>
      </w:r>
    </w:p>
    <w:p w14:paraId="0B64F28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4.付款方式：按项目批次据实结算或单个项目验收合格后一次性结算，乙方提供合法等额增值税发票后，甲方按照内部财务流程支付款项，具体付款周期以对应项目约定为准。</w:t>
      </w:r>
    </w:p>
    <w:p w14:paraId="0D4E826B">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第六条 考核、暂停供货与合同解除</w:t>
      </w:r>
    </w:p>
    <w:p w14:paraId="3F39296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yellow"/>
        </w:rPr>
      </w:pPr>
      <w:r>
        <w:rPr>
          <w:rFonts w:hint="eastAsia" w:ascii="仿宋" w:hAnsi="仿宋" w:eastAsia="仿宋" w:cs="仿宋"/>
          <w:sz w:val="28"/>
          <w:szCs w:val="28"/>
          <w:highlight w:val="yellow"/>
        </w:rPr>
        <w:t>1.季度考核：甲方每季度开展综合考核，考核分数低于80分为不合格</w:t>
      </w:r>
      <w:r>
        <w:rPr>
          <w:rFonts w:hint="eastAsia" w:ascii="仿宋" w:hAnsi="仿宋" w:eastAsia="仿宋" w:cs="仿宋"/>
          <w:sz w:val="28"/>
          <w:szCs w:val="28"/>
          <w:highlight w:val="yellow"/>
          <w:lang w:eastAsia="zh-CN"/>
        </w:rPr>
        <w:t>，</w:t>
      </w:r>
      <w:r>
        <w:rPr>
          <w:rFonts w:hint="eastAsia" w:ascii="仿宋" w:hAnsi="仿宋" w:eastAsia="仿宋" w:cs="仿宋"/>
          <w:sz w:val="28"/>
          <w:szCs w:val="28"/>
          <w:highlight w:val="yellow"/>
        </w:rPr>
        <w:t>甲方可直接解除本合同。</w:t>
      </w:r>
    </w:p>
    <w:p w14:paraId="7841ADB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2.甲方可单方解除合同、无需支付违约金、不承担任何赔偿责任，且乙方需赔偿甲方全部损失的情形：</w:t>
      </w:r>
    </w:p>
    <w:p w14:paraId="68DFE72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（1）乙方提供资质、业绩、仓库、车辆等资料存在虚假、伪造情形；</w:t>
      </w:r>
    </w:p>
    <w:p w14:paraId="1978111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（2）单月累计3次及以上未在2小时内响应甲方采购报价需求；</w:t>
      </w:r>
    </w:p>
    <w:p w14:paraId="5C1CB6B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（3）多次出现货品缺失、断货、拒绝报价，经甲方书面整改通知后仍未改善；</w:t>
      </w:r>
    </w:p>
    <w:p w14:paraId="7DC5CA2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（4）交付物料存在严重质量问题，造成游客人身伤害、景区重大财产损失或产生负面舆情；</w:t>
      </w:r>
    </w:p>
    <w:p w14:paraId="448A436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（5）乙方被列入失信被执行人、重大税收违法案件当事人名单；</w:t>
      </w:r>
    </w:p>
    <w:p w14:paraId="7CB1B03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（6）乙方擅自更换物料规格、品牌，拒不配合退换不合格产品；</w:t>
      </w:r>
    </w:p>
    <w:p w14:paraId="6AF29DB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（7）乙方物料引发知识产权侵权纠纷，给甲方造成负面影响；</w:t>
      </w:r>
    </w:p>
    <w:p w14:paraId="044B620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（8）乙方未妥善处理对账差异，长期单据混乱、漏报订单造成甲方经济损失。</w:t>
      </w:r>
    </w:p>
    <w:p w14:paraId="5F3F30F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3.合同解除后，乙方须在3日内完成现场物资回收、场地清理撤场，逾期产生的场地占用费、清理费全部由乙方承担。</w:t>
      </w:r>
    </w:p>
    <w:p w14:paraId="6A478A7E">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第七条 违约责任</w:t>
      </w:r>
    </w:p>
    <w:p w14:paraId="2256C4E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1.乙方逾期配送物资，每逾期1小时，按该批次订单总金额5%向甲方支付违约金；逾期超过4小时，甲方有权取消本次订单，乙方赔偿甲方因临时另行采购产生的差价、活动延误全部损失。</w:t>
      </w:r>
    </w:p>
    <w:p w14:paraId="1F3531A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2.物料质量不合格、规格与订单不符，乙方须24小时内完成更换；逾期未更换的，甲方可自行另行采购，采购差价及人工成本由乙方承担，同时扣除该批次订单10%作为违约金。</w:t>
      </w:r>
    </w:p>
    <w:p w14:paraId="7B13CAF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3.乙方违约导致甲方活动取消、延期、游客大规模投诉、媒体负面报道的，乙方除全额赔偿甲方直接经济损失外，另支付违约金人民币5000元—20000元（具体金额由甲方根据实际影响程度核定）。</w:t>
      </w:r>
    </w:p>
    <w:p w14:paraId="19E01AC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4.任何一方单方面无故提前解除合同，需提前30日书面通知对方，违约方赔偿守约方由此产生的全部实际损失。</w:t>
      </w:r>
    </w:p>
    <w:p w14:paraId="0DC0DB48">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第八条 不可抗力</w:t>
      </w:r>
    </w:p>
    <w:p w14:paraId="53B4374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因地震、台风、洪水、极端天气、政府管控、疫情等不能预见、不能避免且无法克服的不可抗力因素导致一方无法履约的，受影响一方应第一时间书面通知对方，并提供有效证明材料，双方协商顺延供货或终止对应订单，互不承担违约责任，但双方均应采取措施尽力降低损失。</w:t>
      </w:r>
    </w:p>
    <w:p w14:paraId="0FBDEBC5">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第九条 争议解决</w:t>
      </w:r>
    </w:p>
    <w:p w14:paraId="55DE422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本合同履行过程中发生争议，双方优先友好协商解决；协商不成的，任何一方均可向甲方所在地人民法院提起诉讼。</w:t>
      </w:r>
    </w:p>
    <w:p w14:paraId="01EA60F9">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第十条 其他约定</w:t>
      </w:r>
    </w:p>
    <w:p w14:paraId="2DD9ED8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1.本合同所有附件为本合同不可分割组成部分，与本合同具有同等法律效力。</w:t>
      </w:r>
    </w:p>
    <w:p w14:paraId="5AF55CC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2.甲方下发的采购单、整改通知、季度考核通知书、双方往来正式函件均作为本合同有效履约文件。</w:t>
      </w:r>
    </w:p>
    <w:p w14:paraId="3393002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3.本合同一式两份，甲乙双方各执一份，加盖双方公章后生效，两份合同具备同等法律效力。</w:t>
      </w:r>
    </w:p>
    <w:p w14:paraId="6828109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4.本合同未尽事宜，双方另行签订书面补充协议；补充协议内容与本合同条款冲突的，以补充协议约定为准。</w:t>
      </w:r>
    </w:p>
    <w:p w14:paraId="21BE561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p>
    <w:p w14:paraId="2C0AA3D9">
      <w:pPr>
        <w:keepNext w:val="0"/>
        <w:keepLines w:val="0"/>
        <w:pageBreakBefore w:val="0"/>
        <w:widowControl w:val="0"/>
        <w:kinsoku/>
        <w:wordWrap/>
        <w:overflowPunct/>
        <w:topLinePunct w:val="0"/>
        <w:autoSpaceDE/>
        <w:autoSpaceDN/>
        <w:bidi w:val="0"/>
        <w:adjustRightInd/>
        <w:snapToGrid/>
        <w:spacing w:line="600" w:lineRule="auto"/>
        <w:ind w:firstLine="560" w:firstLineChars="200"/>
        <w:textAlignment w:val="auto"/>
        <w:rPr>
          <w:rFonts w:hint="eastAsia" w:ascii="仿宋" w:hAnsi="仿宋" w:eastAsia="仿宋" w:cs="仿宋"/>
          <w:sz w:val="28"/>
          <w:szCs w:val="28"/>
          <w:u w:val="single"/>
          <w:lang w:val="en-US" w:eastAsia="zh-CN"/>
        </w:rPr>
      </w:pPr>
      <w:r>
        <w:rPr>
          <w:rFonts w:hint="eastAsia" w:ascii="仿宋" w:hAnsi="仿宋" w:eastAsia="仿宋" w:cs="仿宋"/>
          <w:sz w:val="28"/>
          <w:szCs w:val="28"/>
        </w:rPr>
        <w:t>甲方（盖章）：</w:t>
      </w:r>
      <w:r>
        <w:rPr>
          <w:rFonts w:hint="eastAsia" w:ascii="仿宋" w:hAnsi="仿宋" w:eastAsia="仿宋" w:cs="仿宋"/>
          <w:sz w:val="28"/>
          <w:szCs w:val="28"/>
          <w:u w:val="single"/>
          <w:lang w:val="en-US" w:eastAsia="zh-CN"/>
        </w:rPr>
        <w:t xml:space="preserve">          </w:t>
      </w:r>
    </w:p>
    <w:p w14:paraId="55281C99">
      <w:pPr>
        <w:keepNext w:val="0"/>
        <w:keepLines w:val="0"/>
        <w:pageBreakBefore w:val="0"/>
        <w:widowControl w:val="0"/>
        <w:kinsoku/>
        <w:wordWrap/>
        <w:overflowPunct/>
        <w:topLinePunct w:val="0"/>
        <w:autoSpaceDE/>
        <w:autoSpaceDN/>
        <w:bidi w:val="0"/>
        <w:adjustRightInd/>
        <w:snapToGrid/>
        <w:spacing w:line="600" w:lineRule="auto"/>
        <w:ind w:firstLine="560" w:firstLineChars="200"/>
        <w:textAlignment w:val="auto"/>
        <w:rPr>
          <w:rFonts w:hint="eastAsia" w:ascii="仿宋" w:hAnsi="仿宋" w:eastAsia="仿宋" w:cs="仿宋"/>
          <w:sz w:val="28"/>
          <w:szCs w:val="28"/>
          <w:u w:val="single"/>
          <w:lang w:val="en-US" w:eastAsia="zh-CN"/>
        </w:rPr>
      </w:pPr>
      <w:r>
        <w:rPr>
          <w:rFonts w:hint="eastAsia" w:ascii="仿宋" w:hAnsi="仿宋" w:eastAsia="仿宋" w:cs="仿宋"/>
          <w:sz w:val="28"/>
          <w:szCs w:val="28"/>
        </w:rPr>
        <w:t>法定代表人/授权代表</w:t>
      </w:r>
      <w:r>
        <w:rPr>
          <w:rFonts w:hint="eastAsia" w:ascii="仿宋_GB2312" w:eastAsia="仿宋_GB2312" w:cs="仿宋_GB2312"/>
          <w:sz w:val="28"/>
          <w:szCs w:val="28"/>
        </w:rPr>
        <w:t>（签字</w:t>
      </w:r>
      <w:r>
        <w:rPr>
          <w:rFonts w:hint="eastAsia" w:ascii="仿宋_GB2312" w:eastAsia="仿宋_GB2312" w:cs="仿宋_GB2312"/>
          <w:sz w:val="28"/>
          <w:szCs w:val="28"/>
          <w:lang w:val="en-US" w:eastAsia="zh-CN"/>
        </w:rPr>
        <w:t>或盖章</w:t>
      </w:r>
      <w:r>
        <w:rPr>
          <w:rFonts w:hint="eastAsia" w:ascii="仿宋_GB2312" w:eastAsia="仿宋_GB2312" w:cs="仿宋_GB2312"/>
          <w:sz w:val="28"/>
          <w:szCs w:val="28"/>
        </w:rPr>
        <w:t>）</w:t>
      </w:r>
      <w:r>
        <w:rPr>
          <w:rFonts w:hint="eastAsia" w:ascii="仿宋" w:hAnsi="仿宋" w:eastAsia="仿宋" w:cs="仿宋"/>
          <w:sz w:val="28"/>
          <w:szCs w:val="28"/>
        </w:rPr>
        <w:t>：</w:t>
      </w:r>
      <w:r>
        <w:rPr>
          <w:rFonts w:hint="eastAsia" w:ascii="仿宋" w:hAnsi="仿宋" w:eastAsia="仿宋" w:cs="仿宋"/>
          <w:sz w:val="28"/>
          <w:szCs w:val="28"/>
          <w:u w:val="single"/>
          <w:lang w:val="en-US" w:eastAsia="zh-CN"/>
        </w:rPr>
        <w:t xml:space="preserve">          </w:t>
      </w:r>
    </w:p>
    <w:p w14:paraId="4A3DFCF6">
      <w:pPr>
        <w:keepNext w:val="0"/>
        <w:keepLines w:val="0"/>
        <w:pageBreakBefore w:val="0"/>
        <w:widowControl w:val="0"/>
        <w:kinsoku/>
        <w:wordWrap/>
        <w:overflowPunct/>
        <w:topLinePunct w:val="0"/>
        <w:autoSpaceDE/>
        <w:autoSpaceDN/>
        <w:bidi w:val="0"/>
        <w:adjustRightInd/>
        <w:snapToGrid/>
        <w:spacing w:line="60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签订日期：</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日</w:t>
      </w:r>
    </w:p>
    <w:p w14:paraId="49BBDF6B">
      <w:pPr>
        <w:keepNext w:val="0"/>
        <w:keepLines w:val="0"/>
        <w:pageBreakBefore w:val="0"/>
        <w:widowControl w:val="0"/>
        <w:kinsoku/>
        <w:wordWrap/>
        <w:overflowPunct/>
        <w:topLinePunct w:val="0"/>
        <w:autoSpaceDE/>
        <w:autoSpaceDN/>
        <w:bidi w:val="0"/>
        <w:adjustRightInd/>
        <w:snapToGrid/>
        <w:spacing w:line="600" w:lineRule="auto"/>
        <w:ind w:firstLine="560" w:firstLineChars="200"/>
        <w:textAlignment w:val="auto"/>
        <w:rPr>
          <w:rFonts w:hint="eastAsia" w:ascii="仿宋" w:hAnsi="仿宋" w:eastAsia="仿宋" w:cs="仿宋"/>
          <w:sz w:val="28"/>
          <w:szCs w:val="28"/>
        </w:rPr>
      </w:pPr>
    </w:p>
    <w:p w14:paraId="40DA76CF">
      <w:pPr>
        <w:keepNext w:val="0"/>
        <w:keepLines w:val="0"/>
        <w:pageBreakBefore w:val="0"/>
        <w:widowControl w:val="0"/>
        <w:kinsoku/>
        <w:wordWrap/>
        <w:overflowPunct/>
        <w:topLinePunct w:val="0"/>
        <w:autoSpaceDE/>
        <w:autoSpaceDN/>
        <w:bidi w:val="0"/>
        <w:adjustRightInd/>
        <w:snapToGrid/>
        <w:spacing w:line="600" w:lineRule="auto"/>
        <w:ind w:firstLine="560" w:firstLineChars="200"/>
        <w:textAlignment w:val="auto"/>
        <w:rPr>
          <w:rFonts w:hint="eastAsia" w:ascii="仿宋" w:hAnsi="仿宋" w:eastAsia="仿宋" w:cs="仿宋"/>
          <w:sz w:val="28"/>
          <w:szCs w:val="28"/>
          <w:u w:val="single"/>
          <w:lang w:val="en-US" w:eastAsia="zh-CN"/>
        </w:rPr>
      </w:pPr>
      <w:r>
        <w:rPr>
          <w:rFonts w:hint="eastAsia" w:ascii="仿宋" w:hAnsi="仿宋" w:eastAsia="仿宋" w:cs="仿宋"/>
          <w:sz w:val="28"/>
          <w:szCs w:val="28"/>
        </w:rPr>
        <w:t>乙方（盖章）：</w:t>
      </w:r>
      <w:r>
        <w:rPr>
          <w:rFonts w:hint="eastAsia" w:ascii="仿宋" w:hAnsi="仿宋" w:eastAsia="仿宋" w:cs="仿宋"/>
          <w:sz w:val="28"/>
          <w:szCs w:val="28"/>
          <w:u w:val="single"/>
          <w:lang w:val="en-US" w:eastAsia="zh-CN"/>
        </w:rPr>
        <w:t xml:space="preserve">          </w:t>
      </w:r>
    </w:p>
    <w:p w14:paraId="2D02BE0C">
      <w:pPr>
        <w:keepNext w:val="0"/>
        <w:keepLines w:val="0"/>
        <w:pageBreakBefore w:val="0"/>
        <w:widowControl w:val="0"/>
        <w:kinsoku/>
        <w:wordWrap/>
        <w:overflowPunct/>
        <w:topLinePunct w:val="0"/>
        <w:autoSpaceDE/>
        <w:autoSpaceDN/>
        <w:bidi w:val="0"/>
        <w:adjustRightInd/>
        <w:snapToGrid/>
        <w:spacing w:line="600" w:lineRule="auto"/>
        <w:ind w:firstLine="560" w:firstLineChars="200"/>
        <w:textAlignment w:val="auto"/>
        <w:rPr>
          <w:rFonts w:hint="eastAsia" w:ascii="仿宋" w:hAnsi="仿宋" w:eastAsia="仿宋" w:cs="仿宋"/>
          <w:sz w:val="28"/>
          <w:szCs w:val="28"/>
          <w:u w:val="single"/>
          <w:lang w:val="en-US" w:eastAsia="zh-CN"/>
        </w:rPr>
      </w:pPr>
      <w:r>
        <w:rPr>
          <w:rFonts w:hint="eastAsia" w:ascii="仿宋" w:hAnsi="仿宋" w:eastAsia="仿宋" w:cs="仿宋"/>
          <w:sz w:val="28"/>
          <w:szCs w:val="28"/>
        </w:rPr>
        <w:t>法定代表人/授权代表</w:t>
      </w:r>
      <w:r>
        <w:rPr>
          <w:rFonts w:hint="eastAsia" w:ascii="仿宋_GB2312" w:eastAsia="仿宋_GB2312" w:cs="仿宋_GB2312"/>
          <w:sz w:val="28"/>
          <w:szCs w:val="28"/>
        </w:rPr>
        <w:t>（签字</w:t>
      </w:r>
      <w:r>
        <w:rPr>
          <w:rFonts w:hint="eastAsia" w:ascii="仿宋_GB2312" w:eastAsia="仿宋_GB2312" w:cs="仿宋_GB2312"/>
          <w:sz w:val="28"/>
          <w:szCs w:val="28"/>
          <w:lang w:val="en-US" w:eastAsia="zh-CN"/>
        </w:rPr>
        <w:t>或盖章</w:t>
      </w:r>
      <w:r>
        <w:rPr>
          <w:rFonts w:hint="eastAsia" w:ascii="仿宋_GB2312" w:eastAsia="仿宋_GB2312" w:cs="仿宋_GB2312"/>
          <w:sz w:val="28"/>
          <w:szCs w:val="28"/>
        </w:rPr>
        <w:t>）</w:t>
      </w:r>
      <w:r>
        <w:rPr>
          <w:rFonts w:hint="eastAsia" w:ascii="仿宋" w:hAnsi="仿宋" w:eastAsia="仿宋" w:cs="仿宋"/>
          <w:sz w:val="28"/>
          <w:szCs w:val="28"/>
        </w:rPr>
        <w:t>：</w:t>
      </w:r>
      <w:r>
        <w:rPr>
          <w:rFonts w:hint="eastAsia" w:ascii="仿宋" w:hAnsi="仿宋" w:eastAsia="仿宋" w:cs="仿宋"/>
          <w:sz w:val="28"/>
          <w:szCs w:val="28"/>
          <w:u w:val="single"/>
          <w:lang w:val="en-US" w:eastAsia="zh-CN"/>
        </w:rPr>
        <w:t xml:space="preserve">          </w:t>
      </w:r>
    </w:p>
    <w:p w14:paraId="50A3207E">
      <w:pPr>
        <w:keepNext w:val="0"/>
        <w:keepLines w:val="0"/>
        <w:pageBreakBefore w:val="0"/>
        <w:widowControl w:val="0"/>
        <w:kinsoku/>
        <w:wordWrap/>
        <w:overflowPunct/>
        <w:topLinePunct w:val="0"/>
        <w:autoSpaceDE/>
        <w:autoSpaceDN/>
        <w:bidi w:val="0"/>
        <w:adjustRightInd/>
        <w:snapToGrid/>
        <w:spacing w:line="60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签订日期：</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日</w:t>
      </w:r>
    </w:p>
    <w:p w14:paraId="6DD85991">
      <w:pPr>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br w:type="page"/>
      </w:r>
    </w:p>
    <w:p w14:paraId="6657DBD4">
      <w:pPr>
        <w:keepNext w:val="0"/>
        <w:keepLines w:val="0"/>
        <w:pageBreakBefore w:val="0"/>
        <w:kinsoku/>
        <w:overflowPunct/>
        <w:autoSpaceDE/>
        <w:autoSpaceDN/>
        <w:bidi w:val="0"/>
        <w:spacing w:before="0" w:after="0" w:line="360" w:lineRule="auto"/>
        <w:jc w:val="center"/>
        <w:outlineLvl w:val="1"/>
        <w:rPr>
          <w:rFonts w:hint="eastAsia" w:ascii="仿宋" w:hAnsi="仿宋" w:eastAsia="仿宋" w:cs="仿宋"/>
          <w:b/>
          <w:bCs w:val="0"/>
          <w:kern w:val="2"/>
          <w:sz w:val="44"/>
          <w:szCs w:val="44"/>
        </w:rPr>
      </w:pPr>
      <w:r>
        <w:rPr>
          <w:rFonts w:hint="eastAsia" w:ascii="仿宋" w:hAnsi="仿宋" w:eastAsia="仿宋" w:cs="仿宋"/>
          <w:b/>
          <w:bCs w:val="0"/>
          <w:kern w:val="2"/>
          <w:sz w:val="44"/>
          <w:szCs w:val="44"/>
        </w:rPr>
        <w:t>威海环晟文旅发展有限公司廉洁合作协议</w:t>
      </w:r>
    </w:p>
    <w:p w14:paraId="0D20C9D3">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签订方名称：</w:t>
      </w:r>
      <w:r>
        <w:rPr>
          <w:rFonts w:hint="eastAsia" w:ascii="仿宋" w:hAnsi="仿宋" w:eastAsia="仿宋" w:cs="仿宋"/>
          <w:color w:val="auto"/>
          <w:sz w:val="28"/>
          <w:szCs w:val="21"/>
          <w:highlight w:val="none"/>
          <w:u w:val="single"/>
        </w:rPr>
        <w:t xml:space="preserve">威海环晟文旅发展有限公司   </w:t>
      </w:r>
      <w:r>
        <w:rPr>
          <w:rFonts w:hint="eastAsia" w:ascii="仿宋" w:hAnsi="仿宋" w:eastAsia="仿宋" w:cs="仿宋"/>
          <w:color w:val="auto"/>
          <w:sz w:val="28"/>
          <w:szCs w:val="21"/>
          <w:highlight w:val="none"/>
        </w:rPr>
        <w:t>（简称环晟文旅公司）</w:t>
      </w:r>
    </w:p>
    <w:p w14:paraId="1AF086D4">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签订方名称：</w:t>
      </w:r>
      <w:r>
        <w:rPr>
          <w:rFonts w:hint="eastAsia" w:ascii="仿宋" w:hAnsi="仿宋" w:eastAsia="仿宋" w:cs="仿宋"/>
          <w:color w:val="auto"/>
          <w:sz w:val="28"/>
          <w:szCs w:val="21"/>
          <w:highlight w:val="none"/>
          <w:u w:val="single"/>
          <w:lang w:val="en-US" w:eastAsia="zh-CN"/>
        </w:rPr>
        <w:t xml:space="preserve">                           </w:t>
      </w:r>
      <w:r>
        <w:rPr>
          <w:rFonts w:hint="eastAsia" w:ascii="仿宋" w:hAnsi="仿宋" w:eastAsia="仿宋" w:cs="仿宋"/>
          <w:color w:val="auto"/>
          <w:sz w:val="28"/>
          <w:szCs w:val="21"/>
          <w:highlight w:val="none"/>
        </w:rPr>
        <w:t>（简称合作单位）</w:t>
      </w:r>
    </w:p>
    <w:p w14:paraId="25CD8227">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为促进双方廉洁高效合作、双方工作人员廉洁从业，经双方共同协商，就业务往来中的廉洁事宜达成一致意见，签订如下协议：</w:t>
      </w:r>
    </w:p>
    <w:p w14:paraId="02398A52">
      <w:pPr>
        <w:keepNext w:val="0"/>
        <w:keepLines w:val="0"/>
        <w:pageBreakBefore w:val="0"/>
        <w:widowControl w:val="0"/>
        <w:kinsoku/>
        <w:wordWrap/>
        <w:overflowPunct/>
        <w:topLinePunct/>
        <w:autoSpaceDE/>
        <w:autoSpaceDN/>
        <w:bidi w:val="0"/>
        <w:adjustRightInd/>
        <w:snapToGrid/>
        <w:spacing w:line="560" w:lineRule="exact"/>
        <w:ind w:firstLine="562" w:firstLineChars="200"/>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第一条 双方的责任</w:t>
      </w:r>
    </w:p>
    <w:p w14:paraId="42E2EA4D">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（一）严格遵守党和国家有关法律法规及环晟文旅公司有关廉洁从业的制度规定。</w:t>
      </w:r>
    </w:p>
    <w:p w14:paraId="3EFBE00F">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（二）双方本着公开、公平、诚信的原则，自觉遵守协议约定，不得损害国家、集体利益以及个人合法权益。</w:t>
      </w:r>
    </w:p>
    <w:p w14:paraId="002EB8AC">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（三）双方要加强互相监督，对违反协议行为及时提醒并予以纠正，发现违法违纪行为及时告知环晟文旅公司纪检监察机构（详见第四条）。</w:t>
      </w:r>
    </w:p>
    <w:p w14:paraId="05568AB2">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四）对违反《廉洁合作协议》约定的行为，环晟文旅公司按照有关规定给予本公司相关责任人党纪、政纪处分，涉嫌犯罪的，移交司法机关追究刑事责任；合作单位人员存在违反职业操守行为的，环晟文旅公司有权利要求合作单位对其人员进行查处，并保留终止相关合同、将合作单位列入合作伙伴黑名单的权利。</w:t>
      </w:r>
    </w:p>
    <w:p w14:paraId="1C267779">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五）环晟文旅公司的《廉洁合作协议》管理人员或纪检监察人员在对合同执行情况进行检查或抽查时，合作单位应给予配合。双方人员存在弄虚作假、玩忽职守、包庇纵容等行为的，双方单位均应对责任人进行处置。</w:t>
      </w:r>
    </w:p>
    <w:p w14:paraId="4992BEE5">
      <w:pPr>
        <w:keepNext w:val="0"/>
        <w:keepLines w:val="0"/>
        <w:pageBreakBefore w:val="0"/>
        <w:widowControl w:val="0"/>
        <w:kinsoku/>
        <w:wordWrap/>
        <w:overflowPunct/>
        <w:topLinePunct/>
        <w:autoSpaceDE/>
        <w:autoSpaceDN/>
        <w:bidi w:val="0"/>
        <w:adjustRightInd/>
        <w:snapToGrid/>
        <w:spacing w:line="560" w:lineRule="exact"/>
        <w:ind w:firstLine="562" w:firstLineChars="200"/>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第二条 环晟文旅公司义务</w:t>
      </w:r>
    </w:p>
    <w:p w14:paraId="0B762149">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（一）环晟文旅公司在业务委托过程中，应做到公平、公正、公开，禁止暗箱操作，不得泄露应当保密的项目信息。</w:t>
      </w:r>
    </w:p>
    <w:p w14:paraId="62F33066">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二）环晟文旅公司人员及其配偶、子女、特定关系人不得与合作单位人员发生任何非工作的往来，包括但不限于以下内容：不得收受对方馈送的任何现金、贵重物品、有价证券等；不得要求或接受对方为其住房建修、婚丧嫁娶、出国等提供资助；不得介绍亲友从事与双方合作有关的业务活动；不得收受回扣；不得参加合作单位组织的宴请、娱乐、旅游等活动；不得要求对方报销应由本人支付的费用等；不得吃拿卡要或变相吃拿卡要。</w:t>
      </w:r>
    </w:p>
    <w:p w14:paraId="68D80078">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（三）环晟文旅公司人员若违反《廉洁合作协议》约定，按照有关规定给予党纪政务处分；涉嫌犯罪的，按照有关程序移送司法机关处理。</w:t>
      </w:r>
    </w:p>
    <w:p w14:paraId="557D3239">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（四）环晟文旅公司人员不得为合作单位超合同约定比例结算款项、多计量、多签证或故意降低验收标准，并从中谋取私利。</w:t>
      </w:r>
    </w:p>
    <w:p w14:paraId="16E07B28">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（五）环晟文旅公司人员不得利用计量、结算、支付等职务权利，故意刁难合作单位以谋取私利。</w:t>
      </w:r>
    </w:p>
    <w:p w14:paraId="71433EA1">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（六）环晟文旅公司人员发现合作单位人员行贿以及其他违反《廉洁合作协议》的行为，有义务向环晟文旅公司纪检监察机构或其他相关部门举报。</w:t>
      </w:r>
    </w:p>
    <w:p w14:paraId="3FAD46D0">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（七）对合作单位所属机构和人员存在违反《廉洁合作协议》约定的行为，环晟文旅公司应收集汇总有关违规证据，配合合作单位调查处置。</w:t>
      </w:r>
    </w:p>
    <w:p w14:paraId="3B650A6F">
      <w:pPr>
        <w:keepNext w:val="0"/>
        <w:keepLines w:val="0"/>
        <w:pageBreakBefore w:val="0"/>
        <w:widowControl w:val="0"/>
        <w:kinsoku/>
        <w:wordWrap/>
        <w:overflowPunct/>
        <w:topLinePunct/>
        <w:autoSpaceDE/>
        <w:autoSpaceDN/>
        <w:bidi w:val="0"/>
        <w:adjustRightInd/>
        <w:snapToGrid/>
        <w:spacing w:line="560" w:lineRule="exact"/>
        <w:ind w:firstLine="562" w:firstLineChars="200"/>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第三条 合作单位义务</w:t>
      </w:r>
    </w:p>
    <w:p w14:paraId="4B992D98">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（一）合作单位不得有围标、串标、泄露双方机密，排挤其他经营者的公平竞争，在预决算、招投标和商务报价中弄虚作假、恶意高估冒算或故意以低价扰乱招投标等违反商业道德、扰乱正常竞争秩序等行为。</w:t>
      </w:r>
    </w:p>
    <w:p w14:paraId="30F52F84">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（二）合作单位人员不得为获取合作利益向环晟文旅公司人员送礼、行贿，不得有向环晟文旅公司人员提供宴请和娱乐活动及其他有违反法律法规和廉洁从业规定、影响公平交易的行为。</w:t>
      </w:r>
    </w:p>
    <w:p w14:paraId="213D6DD5">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（三）合作单位应对其所属机构和人员严格执行《廉洁合作协议》提出明确的要求，并加强监督和管理。</w:t>
      </w:r>
    </w:p>
    <w:p w14:paraId="5187F6E9">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（四）合作单位应积极配合环晟文旅公司纪检监察机构开展各项检查、核实工作。</w:t>
      </w:r>
    </w:p>
    <w:p w14:paraId="3CAEBD05">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（五）合作单位发现环晟文旅公司人员有索贿行为、受贿行为及其他不廉洁行为时，应向环晟文旅公司纪检监察机构或其他相关部门举报，并有义务提供相关证据。</w:t>
      </w:r>
    </w:p>
    <w:p w14:paraId="5ED2B9FC">
      <w:pPr>
        <w:keepNext w:val="0"/>
        <w:keepLines w:val="0"/>
        <w:pageBreakBefore w:val="0"/>
        <w:widowControl w:val="0"/>
        <w:kinsoku/>
        <w:wordWrap/>
        <w:overflowPunct/>
        <w:topLinePunct/>
        <w:autoSpaceDE/>
        <w:autoSpaceDN/>
        <w:bidi w:val="0"/>
        <w:adjustRightInd/>
        <w:snapToGrid/>
        <w:spacing w:line="560" w:lineRule="exact"/>
        <w:ind w:firstLine="562" w:firstLineChars="200"/>
        <w:textAlignment w:val="auto"/>
        <w:rPr>
          <w:rFonts w:hint="eastAsia" w:ascii="仿宋" w:hAnsi="仿宋" w:eastAsia="仿宋" w:cs="仿宋"/>
          <w:color w:val="auto"/>
          <w:sz w:val="28"/>
          <w:szCs w:val="21"/>
          <w:highlight w:val="none"/>
        </w:rPr>
      </w:pPr>
      <w:r>
        <w:rPr>
          <w:rFonts w:hint="eastAsia" w:ascii="仿宋" w:hAnsi="仿宋" w:eastAsia="仿宋" w:cs="仿宋"/>
          <w:b/>
          <w:bCs/>
          <w:color w:val="auto"/>
          <w:sz w:val="28"/>
          <w:szCs w:val="28"/>
          <w:highlight w:val="none"/>
          <w:lang w:val="en-US" w:eastAsia="zh-CN"/>
        </w:rPr>
        <w:t xml:space="preserve">第四条 </w:t>
      </w:r>
      <w:r>
        <w:rPr>
          <w:rFonts w:hint="eastAsia" w:ascii="仿宋" w:hAnsi="仿宋" w:eastAsia="仿宋" w:cs="仿宋"/>
          <w:color w:val="auto"/>
          <w:sz w:val="28"/>
          <w:szCs w:val="21"/>
          <w:highlight w:val="none"/>
        </w:rPr>
        <w:t>环晟文旅公司纪检监察机构受理举报电话：0631-5239953。</w:t>
      </w:r>
    </w:p>
    <w:p w14:paraId="44A00BFD">
      <w:pPr>
        <w:keepNext w:val="0"/>
        <w:keepLines w:val="0"/>
        <w:pageBreakBefore w:val="0"/>
        <w:widowControl w:val="0"/>
        <w:kinsoku/>
        <w:wordWrap/>
        <w:overflowPunct/>
        <w:topLinePunct/>
        <w:autoSpaceDE/>
        <w:autoSpaceDN/>
        <w:bidi w:val="0"/>
        <w:adjustRightInd/>
        <w:snapToGrid/>
        <w:spacing w:line="560" w:lineRule="exact"/>
        <w:ind w:firstLine="562" w:firstLineChars="200"/>
        <w:textAlignment w:val="auto"/>
        <w:rPr>
          <w:rFonts w:hint="eastAsia" w:ascii="仿宋" w:hAnsi="仿宋" w:eastAsia="仿宋" w:cs="仿宋"/>
          <w:color w:val="auto"/>
          <w:sz w:val="28"/>
          <w:szCs w:val="21"/>
          <w:highlight w:val="none"/>
        </w:rPr>
      </w:pPr>
      <w:r>
        <w:rPr>
          <w:rFonts w:hint="eastAsia" w:ascii="仿宋" w:hAnsi="仿宋" w:eastAsia="仿宋" w:cs="仿宋"/>
          <w:b/>
          <w:bCs/>
          <w:color w:val="auto"/>
          <w:sz w:val="28"/>
          <w:szCs w:val="21"/>
          <w:highlight w:val="none"/>
        </w:rPr>
        <w:t>第五条</w:t>
      </w:r>
      <w:r>
        <w:rPr>
          <w:rFonts w:hint="eastAsia" w:ascii="仿宋" w:hAnsi="仿宋" w:eastAsia="仿宋" w:cs="仿宋"/>
          <w:color w:val="auto"/>
          <w:sz w:val="28"/>
          <w:szCs w:val="21"/>
          <w:highlight w:val="none"/>
        </w:rPr>
        <w:t xml:space="preserve"> 本协议双方签字盖章后生效，有效期与主合同一致。</w:t>
      </w:r>
    </w:p>
    <w:p w14:paraId="0E852A11">
      <w:pPr>
        <w:pStyle w:val="23"/>
        <w:keepNext w:val="0"/>
        <w:keepLines w:val="0"/>
        <w:pageBreakBefore w:val="0"/>
        <w:kinsoku/>
        <w:overflowPunct/>
        <w:autoSpaceDE/>
        <w:autoSpaceDN/>
        <w:bidi w:val="0"/>
        <w:rPr>
          <w:rFonts w:hint="eastAsia" w:ascii="仿宋" w:hAnsi="仿宋" w:eastAsia="仿宋" w:cs="仿宋"/>
          <w:color w:val="auto"/>
          <w:sz w:val="28"/>
          <w:szCs w:val="21"/>
          <w:highlight w:val="none"/>
        </w:rPr>
      </w:pPr>
    </w:p>
    <w:p w14:paraId="5A672F4E">
      <w:pPr>
        <w:pStyle w:val="23"/>
        <w:keepNext w:val="0"/>
        <w:keepLines w:val="0"/>
        <w:pageBreakBefore w:val="0"/>
        <w:kinsoku/>
        <w:overflowPunct/>
        <w:autoSpaceDE/>
        <w:autoSpaceDN/>
        <w:bidi w:val="0"/>
        <w:rPr>
          <w:rFonts w:hint="eastAsia" w:ascii="仿宋" w:hAnsi="仿宋" w:eastAsia="仿宋" w:cs="仿宋"/>
          <w:color w:val="auto"/>
          <w:sz w:val="28"/>
          <w:szCs w:val="21"/>
          <w:highlight w:val="none"/>
        </w:rPr>
      </w:pPr>
    </w:p>
    <w:p w14:paraId="6B84C3F3">
      <w:pPr>
        <w:keepNext w:val="0"/>
        <w:keepLines w:val="0"/>
        <w:pageBreakBefore w:val="0"/>
        <w:kinsoku/>
        <w:overflowPunct/>
        <w:autoSpaceDE/>
        <w:autoSpaceDN/>
        <w:bidi w:val="0"/>
        <w:spacing w:line="720" w:lineRule="auto"/>
        <w:rPr>
          <w:rFonts w:hint="eastAsia" w:ascii="仿宋_GB2312" w:eastAsia="仿宋_GB2312" w:cs="仿宋_GB2312"/>
          <w:sz w:val="28"/>
          <w:szCs w:val="28"/>
        </w:rPr>
      </w:pPr>
      <w:r>
        <w:rPr>
          <w:rFonts w:hint="eastAsia" w:ascii="仿宋_GB2312" w:eastAsia="仿宋_GB2312" w:cs="仿宋_GB2312"/>
          <w:sz w:val="28"/>
          <w:szCs w:val="28"/>
        </w:rPr>
        <w:t xml:space="preserve">威海环晟文旅发展有限公司       </w:t>
      </w:r>
      <w:r>
        <w:rPr>
          <w:rFonts w:hint="eastAsia" w:ascii="仿宋_GB2312" w:eastAsia="仿宋_GB2312" w:cs="仿宋_GB2312"/>
          <w:sz w:val="28"/>
          <w:szCs w:val="28"/>
          <w:lang w:val="en-US" w:eastAsia="zh-CN"/>
        </w:rPr>
        <w:t xml:space="preserve">       </w:t>
      </w:r>
      <w:r>
        <w:rPr>
          <w:rFonts w:hint="eastAsia" w:ascii="仿宋_GB2312" w:eastAsia="仿宋_GB2312" w:cs="仿宋_GB2312"/>
          <w:sz w:val="28"/>
          <w:szCs w:val="28"/>
        </w:rPr>
        <w:t>合作单位：</w:t>
      </w:r>
      <w:r>
        <w:rPr>
          <w:rFonts w:hint="eastAsia" w:ascii="仿宋_GB2312" w:eastAsia="仿宋_GB2312" w:cs="仿宋_GB2312"/>
          <w:sz w:val="28"/>
          <w:szCs w:val="28"/>
        </w:rPr>
        <w:cr/>
      </w:r>
      <w:r>
        <w:rPr>
          <w:rFonts w:hint="eastAsia" w:ascii="仿宋_GB2312" w:eastAsia="仿宋_GB2312" w:cs="仿宋_GB2312"/>
          <w:sz w:val="28"/>
          <w:szCs w:val="28"/>
        </w:rPr>
        <w:t xml:space="preserve">（盖章）        </w:t>
      </w:r>
      <w:r>
        <w:rPr>
          <w:rFonts w:hint="eastAsia" w:ascii="仿宋_GB2312" w:eastAsia="仿宋_GB2312" w:cs="仿宋_GB2312"/>
          <w:sz w:val="28"/>
          <w:szCs w:val="28"/>
          <w:lang w:val="en-US" w:eastAsia="zh-CN"/>
        </w:rPr>
        <w:t xml:space="preserve"> </w:t>
      </w:r>
      <w:r>
        <w:rPr>
          <w:rFonts w:hint="eastAsia" w:ascii="仿宋_GB2312" w:eastAsia="仿宋_GB2312" w:cs="仿宋_GB2312"/>
          <w:sz w:val="28"/>
          <w:szCs w:val="28"/>
        </w:rPr>
        <w:t xml:space="preserve">                     （盖章）</w:t>
      </w:r>
    </w:p>
    <w:p w14:paraId="20E7C773">
      <w:pPr>
        <w:keepNext w:val="0"/>
        <w:keepLines w:val="0"/>
        <w:pageBreakBefore w:val="0"/>
        <w:kinsoku/>
        <w:overflowPunct/>
        <w:autoSpaceDE/>
        <w:autoSpaceDN/>
        <w:bidi w:val="0"/>
        <w:spacing w:line="720" w:lineRule="auto"/>
        <w:rPr>
          <w:rFonts w:hint="eastAsia" w:ascii="仿宋_GB2312" w:eastAsia="仿宋_GB2312" w:cs="仿宋_GB2312"/>
          <w:sz w:val="28"/>
          <w:szCs w:val="28"/>
        </w:rPr>
      </w:pPr>
      <w:r>
        <w:rPr>
          <w:rFonts w:hint="eastAsia" w:ascii="仿宋_GB2312" w:eastAsia="仿宋_GB2312" w:cs="仿宋_GB2312"/>
          <w:sz w:val="28"/>
          <w:szCs w:val="28"/>
        </w:rPr>
        <w:t>负责人或授权人：（签字</w:t>
      </w:r>
      <w:r>
        <w:rPr>
          <w:rFonts w:hint="eastAsia" w:ascii="仿宋_GB2312" w:eastAsia="仿宋_GB2312" w:cs="仿宋_GB2312"/>
          <w:sz w:val="28"/>
          <w:szCs w:val="28"/>
          <w:lang w:val="en-US" w:eastAsia="zh-CN"/>
        </w:rPr>
        <w:t>或盖章</w:t>
      </w:r>
      <w:r>
        <w:rPr>
          <w:rFonts w:hint="eastAsia" w:ascii="仿宋_GB2312" w:eastAsia="仿宋_GB2312" w:cs="仿宋_GB2312"/>
          <w:sz w:val="28"/>
          <w:szCs w:val="28"/>
        </w:rPr>
        <w:t>）</w:t>
      </w:r>
      <w:r>
        <w:rPr>
          <w:rFonts w:hint="eastAsia" w:ascii="仿宋_GB2312" w:eastAsia="仿宋_GB2312" w:cs="仿宋_GB2312"/>
          <w:sz w:val="28"/>
          <w:szCs w:val="28"/>
          <w:lang w:val="en-US" w:eastAsia="zh-CN"/>
        </w:rPr>
        <w:t xml:space="preserve">        </w:t>
      </w:r>
      <w:r>
        <w:rPr>
          <w:rFonts w:hint="eastAsia" w:ascii="仿宋_GB2312" w:eastAsia="仿宋_GB2312" w:cs="仿宋_GB2312"/>
          <w:sz w:val="28"/>
          <w:szCs w:val="28"/>
        </w:rPr>
        <w:t>合作单位负责人：（签字</w:t>
      </w:r>
      <w:r>
        <w:rPr>
          <w:rFonts w:hint="eastAsia" w:ascii="仿宋_GB2312" w:eastAsia="仿宋_GB2312" w:cs="仿宋_GB2312"/>
          <w:sz w:val="28"/>
          <w:szCs w:val="28"/>
          <w:lang w:val="en-US" w:eastAsia="zh-CN"/>
        </w:rPr>
        <w:t>或盖章</w:t>
      </w:r>
      <w:r>
        <w:rPr>
          <w:rFonts w:hint="eastAsia" w:ascii="仿宋_GB2312" w:eastAsia="仿宋_GB2312" w:cs="仿宋_GB2312"/>
          <w:sz w:val="28"/>
          <w:szCs w:val="28"/>
        </w:rPr>
        <w:t>）</w:t>
      </w:r>
    </w:p>
    <w:p w14:paraId="0636D81B">
      <w:pPr>
        <w:keepNext w:val="0"/>
        <w:keepLines w:val="0"/>
        <w:pageBreakBefore w:val="0"/>
        <w:widowControl w:val="0"/>
        <w:kinsoku/>
        <w:wordWrap/>
        <w:overflowPunct/>
        <w:topLinePunct/>
        <w:autoSpaceDE/>
        <w:autoSpaceDN/>
        <w:bidi w:val="0"/>
        <w:adjustRightInd/>
        <w:snapToGrid/>
        <w:spacing w:line="720" w:lineRule="auto"/>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日期：</w:t>
      </w:r>
      <w:r>
        <w:rPr>
          <w:rFonts w:hint="eastAsia" w:ascii="仿宋" w:hAnsi="仿宋" w:eastAsia="仿宋" w:cs="仿宋"/>
          <w:color w:val="auto"/>
          <w:sz w:val="28"/>
          <w:szCs w:val="21"/>
          <w:highlight w:val="none"/>
          <w:lang w:val="en-US" w:eastAsia="zh-CN"/>
        </w:rPr>
        <w:t xml:space="preserve">    年   月   日                </w:t>
      </w:r>
      <w:r>
        <w:rPr>
          <w:rFonts w:hint="eastAsia" w:ascii="仿宋" w:hAnsi="仿宋" w:eastAsia="仿宋" w:cs="仿宋"/>
          <w:color w:val="auto"/>
          <w:sz w:val="28"/>
          <w:szCs w:val="21"/>
          <w:highlight w:val="none"/>
        </w:rPr>
        <w:t>日期：</w:t>
      </w:r>
      <w:r>
        <w:rPr>
          <w:rFonts w:hint="eastAsia" w:ascii="仿宋" w:hAnsi="仿宋" w:eastAsia="仿宋" w:cs="仿宋"/>
          <w:color w:val="auto"/>
          <w:sz w:val="28"/>
          <w:szCs w:val="21"/>
          <w:highlight w:val="none"/>
          <w:lang w:val="en-US" w:eastAsia="zh-CN"/>
        </w:rPr>
        <w:t xml:space="preserve">    年   月   日</w:t>
      </w:r>
    </w:p>
    <w:p w14:paraId="3965B6E5">
      <w:pPr>
        <w:pStyle w:val="17"/>
        <w:keepNext w:val="0"/>
        <w:keepLines w:val="0"/>
        <w:pageBreakBefore w:val="0"/>
        <w:kinsoku/>
        <w:overflowPunct/>
        <w:autoSpaceDE/>
        <w:autoSpaceDN/>
        <w:bidi w:val="0"/>
        <w:rPr>
          <w:rFonts w:hint="default"/>
          <w:lang w:val="en-US" w:eastAsia="zh-CN"/>
        </w:rPr>
      </w:pPr>
    </w:p>
    <w:sectPr>
      <w:pgSz w:w="11906" w:h="16838"/>
      <w:pgMar w:top="1280" w:right="1142" w:bottom="1118" w:left="1324" w:header="454" w:footer="680" w:gutter="0"/>
      <w:pgNumType w:fmt="decimal"/>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B94ED38-9ABF-42E1-AB5D-13DE769D933F}"/>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2" w:fontKey="{C1C267E0-825C-441B-A056-98648BA7C280}"/>
  </w:font>
  <w:font w:name="仿宋_GB2312">
    <w:panose1 w:val="02010609030101010101"/>
    <w:charset w:val="86"/>
    <w:family w:val="modern"/>
    <w:pitch w:val="default"/>
    <w:sig w:usb0="00000001" w:usb1="080E0000" w:usb2="00000000" w:usb3="00000000" w:csb0="00040000" w:csb1="00000000"/>
    <w:embedRegular r:id="rId3" w:fontKey="{5D797B5C-9ED0-4A17-8E47-2DD30B6F0C47}"/>
  </w:font>
  <w:font w:name="微软雅黑">
    <w:panose1 w:val="020B0503020204020204"/>
    <w:charset w:val="86"/>
    <w:family w:val="auto"/>
    <w:pitch w:val="default"/>
    <w:sig w:usb0="80000287" w:usb1="2ACF3C50" w:usb2="00000016" w:usb3="00000000" w:csb0="0004001F" w:csb1="00000000"/>
    <w:embedRegular r:id="rId4" w:fontKey="{FC728CA3-4201-4903-A671-15C2FBD3BEB8}"/>
  </w:font>
  <w:font w:name="方正小标宋简体">
    <w:panose1 w:val="03000509000000000000"/>
    <w:charset w:val="86"/>
    <w:family w:val="auto"/>
    <w:pitch w:val="default"/>
    <w:sig w:usb0="00000001" w:usb1="080E0000" w:usb2="00000000" w:usb3="00000000" w:csb0="00040000" w:csb1="00000000"/>
    <w:embedRegular r:id="rId5" w:fontKey="{98E85CAD-2974-46C1-A1B0-E4C87EE79FE6}"/>
  </w:font>
  <w:font w:name="WPSEMBED1">
    <w:panose1 w:val="02010609030101010101"/>
    <w:charset w:val="86"/>
    <w:family w:val="auto"/>
    <w:pitch w:val="default"/>
    <w:sig w:usb0="00000001" w:usb1="080E0000" w:usb2="00000000" w:usb3="00000000" w:csb0="00040000" w:csb1="00000000"/>
  </w:font>
  <w:font w:name="WPSEMBED2">
    <w:panose1 w:val="03000509000000000000"/>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9A8D">
    <w:pPr>
      <w:pStyle w:val="19"/>
      <w:framePr w:wrap="around" w:vAnchor="text" w:hAnchor="margin" w:xAlign="center" w:y="1"/>
      <w:rPr>
        <w:rStyle w:val="30"/>
      </w:rPr>
    </w:pPr>
    <w:r>
      <w:fldChar w:fldCharType="begin"/>
    </w:r>
    <w:r>
      <w:rPr>
        <w:rStyle w:val="30"/>
      </w:rPr>
      <w:instrText xml:space="preserve">PAGE  </w:instrText>
    </w:r>
    <w:r>
      <w:fldChar w:fldCharType="end"/>
    </w:r>
  </w:p>
  <w:p w14:paraId="4ACCA2CA">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F38E7">
    <w:pPr>
      <w:pStyle w:val="1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F72F7">
    <w:pPr>
      <w:pStyle w:val="19"/>
    </w:pPr>
    <w:r>
      <w:rPr>
        <w:sz w:val="18"/>
      </w:rPr>
      <w:pict>
        <v:shape id="_x0000_s4103" o:spid="_x0000_s410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1DD5C51E">
                <w:pPr>
                  <w:pStyle w:val="19"/>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C9A09">
    <w:pPr>
      <w:pStyle w:val="20"/>
      <w:pBdr>
        <w:bottom w:val="none" w:color="auto" w:sz="0" w:space="1"/>
      </w:pBdr>
      <w:ind w:firstLine="540" w:firstLineChars="300"/>
      <w:jc w:val="both"/>
    </w:pPr>
    <w:r>
      <w:drawing>
        <wp:anchor distT="0" distB="0" distL="114300" distR="114300" simplePos="0" relativeHeight="251659264" behindDoc="0" locked="0" layoutInCell="1" allowOverlap="1">
          <wp:simplePos x="0" y="0"/>
          <wp:positionH relativeFrom="column">
            <wp:posOffset>-57150</wp:posOffset>
          </wp:positionH>
          <wp:positionV relativeFrom="paragraph">
            <wp:posOffset>-133350</wp:posOffset>
          </wp:positionV>
          <wp:extent cx="372745" cy="303530"/>
          <wp:effectExtent l="0" t="0" r="0" b="1270"/>
          <wp:wrapNone/>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
                  <a:stretch>
                    <a:fillRect/>
                  </a:stretch>
                </pic:blipFill>
                <pic:spPr>
                  <a:xfrm>
                    <a:off x="0" y="0"/>
                    <a:ext cx="372745" cy="303530"/>
                  </a:xfrm>
                  <a:prstGeom prst="rect">
                    <a:avLst/>
                  </a:prstGeom>
                  <a:noFill/>
                  <a:ln>
                    <a:noFill/>
                  </a:ln>
                </pic:spPr>
              </pic:pic>
            </a:graphicData>
          </a:graphic>
        </wp:anchor>
      </w:drawing>
    </w:r>
    <w:r>
      <w:rPr>
        <w:szCs w:val="21"/>
        <w:u w:val="single"/>
      </w:rPr>
      <w:t xml:space="preserve">WEIHAI HANTAI </w:t>
    </w:r>
    <w:r>
      <w:rPr>
        <w:rFonts w:hint="eastAsia"/>
        <w:szCs w:val="18"/>
        <w:u w:val="single"/>
      </w:rPr>
      <w:t>ENGINEERING</w:t>
    </w:r>
    <w:r>
      <w:rPr>
        <w:szCs w:val="18"/>
        <w:u w:val="single"/>
      </w:rPr>
      <w:t xml:space="preserve"> PROGECT MANAGEMENT</w:t>
    </w:r>
    <w:r>
      <w:rPr>
        <w:szCs w:val="21"/>
        <w:u w:val="single"/>
      </w:rPr>
      <w:t xml:space="preserve"> </w:t>
    </w:r>
    <w:r>
      <w:rPr>
        <w:rFonts w:hint="eastAsia"/>
        <w:szCs w:val="18"/>
        <w:u w:val="single"/>
      </w:rPr>
      <w:t>CONSULTING Co.,LTD</w:t>
    </w:r>
    <w:r>
      <w:rPr>
        <w:szCs w:val="21"/>
        <w:u w:val="single"/>
      </w:rPr>
      <w:t xml:space="preserve"> </w:t>
    </w:r>
    <w:r>
      <w:rPr>
        <w:szCs w:val="18"/>
        <w:u w:val="single"/>
      </w:rPr>
      <w:t xml:space="preserve">    </w:t>
    </w:r>
    <w:r>
      <w:rPr>
        <w:rFonts w:hint="eastAsia"/>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9FE67">
    <w:pPr>
      <w:pStyle w:val="20"/>
      <w:pBdr>
        <w:bottom w:val="none" w:color="auto" w:sz="0" w:space="1"/>
      </w:pBdr>
      <w:ind w:firstLine="540" w:firstLineChars="30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69F99">
    <w:pPr>
      <w:pStyle w:val="20"/>
      <w:pBdr>
        <w:bottom w:val="single" w:color="auto" w:sz="4" w:space="1"/>
      </w:pBdr>
      <w:jc w:val="left"/>
    </w:pPr>
    <w:r>
      <w:rPr>
        <w:rFonts w:hint="eastAsia" w:eastAsia="宋体"/>
      </w:rPr>
      <w:drawing>
        <wp:inline distT="0" distB="0" distL="114300" distR="114300">
          <wp:extent cx="363855" cy="276225"/>
          <wp:effectExtent l="0" t="0" r="17145" b="8890"/>
          <wp:docPr id="3" name="图片 2" descr="瀚泰loug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瀚泰lougou"/>
                  <pic:cNvPicPr>
                    <a:picLocks noChangeAspect="1"/>
                  </pic:cNvPicPr>
                </pic:nvPicPr>
                <pic:blipFill>
                  <a:blip r:embed="rId1"/>
                  <a:stretch>
                    <a:fillRect/>
                  </a:stretch>
                </pic:blipFill>
                <pic:spPr>
                  <a:xfrm>
                    <a:off x="0" y="0"/>
                    <a:ext cx="363855" cy="276225"/>
                  </a:xfrm>
                  <a:prstGeom prst="rect">
                    <a:avLst/>
                  </a:prstGeom>
                  <a:noFill/>
                  <a:ln>
                    <a:noFill/>
                  </a:ln>
                </pic:spPr>
              </pic:pic>
            </a:graphicData>
          </a:graphic>
        </wp:inline>
      </w:drawing>
    </w:r>
    <w:r>
      <w:rPr>
        <w:rFonts w:ascii="Arial" w:hAnsi="Arial" w:eastAsia="宋体" w:cs="Arial"/>
        <w:i w:val="0"/>
        <w:iCs w:val="0"/>
        <w:caps w:val="0"/>
        <w:color w:val="000000"/>
        <w:spacing w:val="0"/>
        <w:sz w:val="21"/>
        <w:szCs w:val="21"/>
        <w:shd w:val="clear" w:color="auto" w:fill="FFFFFF"/>
      </w:rPr>
      <w:t>Shandong Hantai Construction Management Co., Ltd</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1ODQ2NDFlMDI4MGRkN2NmMzRmOGJjNzNjMTQ4M2UifQ=="/>
  </w:docVars>
  <w:rsids>
    <w:rsidRoot w:val="0013613E"/>
    <w:rsid w:val="00011781"/>
    <w:rsid w:val="000118A6"/>
    <w:rsid w:val="000161BA"/>
    <w:rsid w:val="00020876"/>
    <w:rsid w:val="00032F7A"/>
    <w:rsid w:val="00043144"/>
    <w:rsid w:val="000462B1"/>
    <w:rsid w:val="000518EC"/>
    <w:rsid w:val="000520F5"/>
    <w:rsid w:val="00065CAF"/>
    <w:rsid w:val="00077DD3"/>
    <w:rsid w:val="00083D9F"/>
    <w:rsid w:val="00091946"/>
    <w:rsid w:val="000B1A22"/>
    <w:rsid w:val="000B375D"/>
    <w:rsid w:val="000B49A6"/>
    <w:rsid w:val="000E6AF8"/>
    <w:rsid w:val="000F1CEA"/>
    <w:rsid w:val="000F3DE8"/>
    <w:rsid w:val="00107795"/>
    <w:rsid w:val="00113271"/>
    <w:rsid w:val="00116D3D"/>
    <w:rsid w:val="001230AD"/>
    <w:rsid w:val="001239E6"/>
    <w:rsid w:val="0013613E"/>
    <w:rsid w:val="001363B8"/>
    <w:rsid w:val="00146A3D"/>
    <w:rsid w:val="001525E0"/>
    <w:rsid w:val="001700EE"/>
    <w:rsid w:val="00186BF0"/>
    <w:rsid w:val="00186DE4"/>
    <w:rsid w:val="001919F2"/>
    <w:rsid w:val="00192A3A"/>
    <w:rsid w:val="00193B8D"/>
    <w:rsid w:val="001B54FB"/>
    <w:rsid w:val="001B5810"/>
    <w:rsid w:val="001C2CBC"/>
    <w:rsid w:val="001D67B6"/>
    <w:rsid w:val="001E13B5"/>
    <w:rsid w:val="001E41DB"/>
    <w:rsid w:val="001E7A43"/>
    <w:rsid w:val="001E7D99"/>
    <w:rsid w:val="001F2C85"/>
    <w:rsid w:val="001F7F7E"/>
    <w:rsid w:val="0020312E"/>
    <w:rsid w:val="00225378"/>
    <w:rsid w:val="002257E4"/>
    <w:rsid w:val="0025159D"/>
    <w:rsid w:val="00252AF5"/>
    <w:rsid w:val="00260B1B"/>
    <w:rsid w:val="00271E37"/>
    <w:rsid w:val="00286A0B"/>
    <w:rsid w:val="00287D1E"/>
    <w:rsid w:val="00293E21"/>
    <w:rsid w:val="00296867"/>
    <w:rsid w:val="002B252C"/>
    <w:rsid w:val="002B69DE"/>
    <w:rsid w:val="002D0064"/>
    <w:rsid w:val="002D1F58"/>
    <w:rsid w:val="002E1F6F"/>
    <w:rsid w:val="0030387E"/>
    <w:rsid w:val="00306735"/>
    <w:rsid w:val="00327FA2"/>
    <w:rsid w:val="00336285"/>
    <w:rsid w:val="003532FE"/>
    <w:rsid w:val="00356705"/>
    <w:rsid w:val="00371807"/>
    <w:rsid w:val="003B0CFA"/>
    <w:rsid w:val="003B4A0C"/>
    <w:rsid w:val="003B643A"/>
    <w:rsid w:val="003D15A3"/>
    <w:rsid w:val="00406725"/>
    <w:rsid w:val="00411AD0"/>
    <w:rsid w:val="0043193D"/>
    <w:rsid w:val="00447425"/>
    <w:rsid w:val="0046550B"/>
    <w:rsid w:val="0046645D"/>
    <w:rsid w:val="0048639B"/>
    <w:rsid w:val="004866CF"/>
    <w:rsid w:val="00495CB5"/>
    <w:rsid w:val="004A1228"/>
    <w:rsid w:val="004C3466"/>
    <w:rsid w:val="004D3C6A"/>
    <w:rsid w:val="004D549C"/>
    <w:rsid w:val="004F7457"/>
    <w:rsid w:val="005015E6"/>
    <w:rsid w:val="00503463"/>
    <w:rsid w:val="00506D9E"/>
    <w:rsid w:val="005133BF"/>
    <w:rsid w:val="005155C4"/>
    <w:rsid w:val="005200DD"/>
    <w:rsid w:val="00541C61"/>
    <w:rsid w:val="00563F5D"/>
    <w:rsid w:val="005661BE"/>
    <w:rsid w:val="00576BDA"/>
    <w:rsid w:val="00577718"/>
    <w:rsid w:val="00580A5A"/>
    <w:rsid w:val="00596245"/>
    <w:rsid w:val="00597B68"/>
    <w:rsid w:val="005A2D64"/>
    <w:rsid w:val="005C2218"/>
    <w:rsid w:val="005C2A9D"/>
    <w:rsid w:val="005C4D2E"/>
    <w:rsid w:val="005C6ECC"/>
    <w:rsid w:val="005C703A"/>
    <w:rsid w:val="005D10B1"/>
    <w:rsid w:val="005D2854"/>
    <w:rsid w:val="005D4D56"/>
    <w:rsid w:val="005D7C9D"/>
    <w:rsid w:val="005E0666"/>
    <w:rsid w:val="005E1254"/>
    <w:rsid w:val="005F4534"/>
    <w:rsid w:val="00600AB0"/>
    <w:rsid w:val="00610D01"/>
    <w:rsid w:val="006140F3"/>
    <w:rsid w:val="006209E1"/>
    <w:rsid w:val="00626EB8"/>
    <w:rsid w:val="00642EC8"/>
    <w:rsid w:val="006437E7"/>
    <w:rsid w:val="00646DCD"/>
    <w:rsid w:val="006535E5"/>
    <w:rsid w:val="0065589D"/>
    <w:rsid w:val="006709B5"/>
    <w:rsid w:val="006C43DC"/>
    <w:rsid w:val="006D2A9B"/>
    <w:rsid w:val="006E0877"/>
    <w:rsid w:val="006E7ED4"/>
    <w:rsid w:val="007119F5"/>
    <w:rsid w:val="00724453"/>
    <w:rsid w:val="00724981"/>
    <w:rsid w:val="007265F1"/>
    <w:rsid w:val="00736CE1"/>
    <w:rsid w:val="00747AB4"/>
    <w:rsid w:val="007535E1"/>
    <w:rsid w:val="00787A5A"/>
    <w:rsid w:val="007A1658"/>
    <w:rsid w:val="007A285C"/>
    <w:rsid w:val="007D2E61"/>
    <w:rsid w:val="007F33AB"/>
    <w:rsid w:val="00806FB0"/>
    <w:rsid w:val="00826C78"/>
    <w:rsid w:val="008429AC"/>
    <w:rsid w:val="00850B10"/>
    <w:rsid w:val="00861B40"/>
    <w:rsid w:val="008815FE"/>
    <w:rsid w:val="00885D8D"/>
    <w:rsid w:val="008861DE"/>
    <w:rsid w:val="00886EFE"/>
    <w:rsid w:val="008A0726"/>
    <w:rsid w:val="008A1593"/>
    <w:rsid w:val="008C44DA"/>
    <w:rsid w:val="0090125F"/>
    <w:rsid w:val="00911784"/>
    <w:rsid w:val="00933BD1"/>
    <w:rsid w:val="00941B08"/>
    <w:rsid w:val="009444C8"/>
    <w:rsid w:val="009603FF"/>
    <w:rsid w:val="00960C8B"/>
    <w:rsid w:val="0097316A"/>
    <w:rsid w:val="00983546"/>
    <w:rsid w:val="009A2599"/>
    <w:rsid w:val="009C337D"/>
    <w:rsid w:val="009C4C3B"/>
    <w:rsid w:val="009D0EA3"/>
    <w:rsid w:val="009E63B7"/>
    <w:rsid w:val="009E6479"/>
    <w:rsid w:val="009F4FAC"/>
    <w:rsid w:val="009F555D"/>
    <w:rsid w:val="00A07FB0"/>
    <w:rsid w:val="00A1186F"/>
    <w:rsid w:val="00A14830"/>
    <w:rsid w:val="00A20885"/>
    <w:rsid w:val="00A32B35"/>
    <w:rsid w:val="00A44D02"/>
    <w:rsid w:val="00A52192"/>
    <w:rsid w:val="00A56220"/>
    <w:rsid w:val="00A6171B"/>
    <w:rsid w:val="00A662A3"/>
    <w:rsid w:val="00A667D5"/>
    <w:rsid w:val="00A81DDA"/>
    <w:rsid w:val="00A92FE8"/>
    <w:rsid w:val="00AA6882"/>
    <w:rsid w:val="00AB1812"/>
    <w:rsid w:val="00AC7375"/>
    <w:rsid w:val="00AD7412"/>
    <w:rsid w:val="00AE53A5"/>
    <w:rsid w:val="00B00BD6"/>
    <w:rsid w:val="00B25F7A"/>
    <w:rsid w:val="00B35724"/>
    <w:rsid w:val="00B37D6C"/>
    <w:rsid w:val="00B46A09"/>
    <w:rsid w:val="00B71F65"/>
    <w:rsid w:val="00B82A59"/>
    <w:rsid w:val="00B83F51"/>
    <w:rsid w:val="00B86B24"/>
    <w:rsid w:val="00B92B4B"/>
    <w:rsid w:val="00BB3DA8"/>
    <w:rsid w:val="00BB72CE"/>
    <w:rsid w:val="00BC732A"/>
    <w:rsid w:val="00BE4084"/>
    <w:rsid w:val="00C00E64"/>
    <w:rsid w:val="00C106E9"/>
    <w:rsid w:val="00C12DE3"/>
    <w:rsid w:val="00C16F32"/>
    <w:rsid w:val="00C30909"/>
    <w:rsid w:val="00C31F54"/>
    <w:rsid w:val="00C37991"/>
    <w:rsid w:val="00C41468"/>
    <w:rsid w:val="00C44385"/>
    <w:rsid w:val="00C458F2"/>
    <w:rsid w:val="00C524EA"/>
    <w:rsid w:val="00C62EE5"/>
    <w:rsid w:val="00CB33EF"/>
    <w:rsid w:val="00CC0D58"/>
    <w:rsid w:val="00CC38FC"/>
    <w:rsid w:val="00CD5FBB"/>
    <w:rsid w:val="00CD6E5A"/>
    <w:rsid w:val="00CE470B"/>
    <w:rsid w:val="00CF5410"/>
    <w:rsid w:val="00CF6B08"/>
    <w:rsid w:val="00D01278"/>
    <w:rsid w:val="00D03026"/>
    <w:rsid w:val="00D11D17"/>
    <w:rsid w:val="00D2599E"/>
    <w:rsid w:val="00D40516"/>
    <w:rsid w:val="00D40D69"/>
    <w:rsid w:val="00D549C1"/>
    <w:rsid w:val="00D70AF7"/>
    <w:rsid w:val="00D726F2"/>
    <w:rsid w:val="00DA3EA5"/>
    <w:rsid w:val="00DC2373"/>
    <w:rsid w:val="00DC2904"/>
    <w:rsid w:val="00E019EA"/>
    <w:rsid w:val="00E14E79"/>
    <w:rsid w:val="00E16447"/>
    <w:rsid w:val="00E17B56"/>
    <w:rsid w:val="00E3331B"/>
    <w:rsid w:val="00E60A9C"/>
    <w:rsid w:val="00E7261D"/>
    <w:rsid w:val="00E865C2"/>
    <w:rsid w:val="00E95303"/>
    <w:rsid w:val="00EA2F15"/>
    <w:rsid w:val="00EA40E8"/>
    <w:rsid w:val="00EA54E7"/>
    <w:rsid w:val="00EB1560"/>
    <w:rsid w:val="00EB18DA"/>
    <w:rsid w:val="00EB2487"/>
    <w:rsid w:val="00EB304F"/>
    <w:rsid w:val="00EB5D2B"/>
    <w:rsid w:val="00EB6C58"/>
    <w:rsid w:val="00EC175B"/>
    <w:rsid w:val="00EC74E3"/>
    <w:rsid w:val="00EE14A7"/>
    <w:rsid w:val="00EE1E28"/>
    <w:rsid w:val="00EE28CE"/>
    <w:rsid w:val="00EF0470"/>
    <w:rsid w:val="00EF056C"/>
    <w:rsid w:val="00F137C0"/>
    <w:rsid w:val="00F20108"/>
    <w:rsid w:val="00F434E8"/>
    <w:rsid w:val="00F44F67"/>
    <w:rsid w:val="00F50CDF"/>
    <w:rsid w:val="00F53031"/>
    <w:rsid w:val="00F648CF"/>
    <w:rsid w:val="00F84F5E"/>
    <w:rsid w:val="00F96845"/>
    <w:rsid w:val="00FA2397"/>
    <w:rsid w:val="00FA4466"/>
    <w:rsid w:val="00FB3654"/>
    <w:rsid w:val="00FB4547"/>
    <w:rsid w:val="00FC55ED"/>
    <w:rsid w:val="00FC7BC2"/>
    <w:rsid w:val="00FE795E"/>
    <w:rsid w:val="01011432"/>
    <w:rsid w:val="01055032"/>
    <w:rsid w:val="010B2944"/>
    <w:rsid w:val="010D4F6F"/>
    <w:rsid w:val="01100E48"/>
    <w:rsid w:val="0115093E"/>
    <w:rsid w:val="0118690F"/>
    <w:rsid w:val="012313A8"/>
    <w:rsid w:val="0127018A"/>
    <w:rsid w:val="012D66CB"/>
    <w:rsid w:val="01320ACB"/>
    <w:rsid w:val="013B4944"/>
    <w:rsid w:val="013B6B5D"/>
    <w:rsid w:val="01422176"/>
    <w:rsid w:val="014A4B87"/>
    <w:rsid w:val="014D51EB"/>
    <w:rsid w:val="014F4893"/>
    <w:rsid w:val="0156177E"/>
    <w:rsid w:val="0156352C"/>
    <w:rsid w:val="015717F3"/>
    <w:rsid w:val="015A111D"/>
    <w:rsid w:val="015B6D94"/>
    <w:rsid w:val="015E1A89"/>
    <w:rsid w:val="015F18B8"/>
    <w:rsid w:val="016022B4"/>
    <w:rsid w:val="01635650"/>
    <w:rsid w:val="017165B7"/>
    <w:rsid w:val="017460A8"/>
    <w:rsid w:val="017552E8"/>
    <w:rsid w:val="018B2121"/>
    <w:rsid w:val="018C33F1"/>
    <w:rsid w:val="019329D2"/>
    <w:rsid w:val="0196601E"/>
    <w:rsid w:val="01970BC3"/>
    <w:rsid w:val="0198159D"/>
    <w:rsid w:val="0199213C"/>
    <w:rsid w:val="019F790E"/>
    <w:rsid w:val="019F7B6C"/>
    <w:rsid w:val="01A3073B"/>
    <w:rsid w:val="01AF0E8E"/>
    <w:rsid w:val="01B5188B"/>
    <w:rsid w:val="01BB7833"/>
    <w:rsid w:val="01BD042C"/>
    <w:rsid w:val="01BD17FD"/>
    <w:rsid w:val="01C0753F"/>
    <w:rsid w:val="01C52716"/>
    <w:rsid w:val="01C5380A"/>
    <w:rsid w:val="01C53836"/>
    <w:rsid w:val="01C7267B"/>
    <w:rsid w:val="01D454A1"/>
    <w:rsid w:val="01D60B10"/>
    <w:rsid w:val="01D630C2"/>
    <w:rsid w:val="01D84888"/>
    <w:rsid w:val="01E005CD"/>
    <w:rsid w:val="01E50D53"/>
    <w:rsid w:val="01E7687A"/>
    <w:rsid w:val="01EC5C3E"/>
    <w:rsid w:val="01F30A06"/>
    <w:rsid w:val="01F66ABD"/>
    <w:rsid w:val="02016E9A"/>
    <w:rsid w:val="02022281"/>
    <w:rsid w:val="02076421"/>
    <w:rsid w:val="02095AB2"/>
    <w:rsid w:val="020C62E0"/>
    <w:rsid w:val="020E3E06"/>
    <w:rsid w:val="020F65B7"/>
    <w:rsid w:val="0213766F"/>
    <w:rsid w:val="02145EAB"/>
    <w:rsid w:val="021C29C7"/>
    <w:rsid w:val="022B3C48"/>
    <w:rsid w:val="022D66A7"/>
    <w:rsid w:val="02334221"/>
    <w:rsid w:val="02337D11"/>
    <w:rsid w:val="0236335D"/>
    <w:rsid w:val="02380E83"/>
    <w:rsid w:val="02385327"/>
    <w:rsid w:val="023D0B8F"/>
    <w:rsid w:val="023D7002"/>
    <w:rsid w:val="024261A6"/>
    <w:rsid w:val="02497CA0"/>
    <w:rsid w:val="024E06A7"/>
    <w:rsid w:val="024E68F9"/>
    <w:rsid w:val="02511F45"/>
    <w:rsid w:val="025F4662"/>
    <w:rsid w:val="0261487E"/>
    <w:rsid w:val="026B3007"/>
    <w:rsid w:val="0273010D"/>
    <w:rsid w:val="02754CC0"/>
    <w:rsid w:val="02780760"/>
    <w:rsid w:val="027B41E5"/>
    <w:rsid w:val="027F3A06"/>
    <w:rsid w:val="0281282A"/>
    <w:rsid w:val="028D7421"/>
    <w:rsid w:val="02924A37"/>
    <w:rsid w:val="029562D6"/>
    <w:rsid w:val="029B0B88"/>
    <w:rsid w:val="02A76009"/>
    <w:rsid w:val="02AA5749"/>
    <w:rsid w:val="02AB78A7"/>
    <w:rsid w:val="02AD7AC3"/>
    <w:rsid w:val="02B07A91"/>
    <w:rsid w:val="02B70CA0"/>
    <w:rsid w:val="02B726F0"/>
    <w:rsid w:val="02C46BBB"/>
    <w:rsid w:val="02CD3389"/>
    <w:rsid w:val="02CF5B57"/>
    <w:rsid w:val="02D3157B"/>
    <w:rsid w:val="02D42E5C"/>
    <w:rsid w:val="02DB3ACA"/>
    <w:rsid w:val="02E1151B"/>
    <w:rsid w:val="02E4100B"/>
    <w:rsid w:val="02E903CF"/>
    <w:rsid w:val="02EB2811"/>
    <w:rsid w:val="02FF17CC"/>
    <w:rsid w:val="0301396B"/>
    <w:rsid w:val="030271C5"/>
    <w:rsid w:val="03157416"/>
    <w:rsid w:val="031A137F"/>
    <w:rsid w:val="032D4760"/>
    <w:rsid w:val="032F7D47"/>
    <w:rsid w:val="03315320"/>
    <w:rsid w:val="0334789D"/>
    <w:rsid w:val="03353615"/>
    <w:rsid w:val="03391357"/>
    <w:rsid w:val="033C49A3"/>
    <w:rsid w:val="03426126"/>
    <w:rsid w:val="03455F4E"/>
    <w:rsid w:val="03465822"/>
    <w:rsid w:val="03477597"/>
    <w:rsid w:val="034920CB"/>
    <w:rsid w:val="035717DD"/>
    <w:rsid w:val="035C5045"/>
    <w:rsid w:val="035E4919"/>
    <w:rsid w:val="03617354"/>
    <w:rsid w:val="036208AE"/>
    <w:rsid w:val="036E1B26"/>
    <w:rsid w:val="036E4623"/>
    <w:rsid w:val="03736A25"/>
    <w:rsid w:val="03760A36"/>
    <w:rsid w:val="0381685A"/>
    <w:rsid w:val="03821040"/>
    <w:rsid w:val="038834A2"/>
    <w:rsid w:val="038D1B08"/>
    <w:rsid w:val="03960557"/>
    <w:rsid w:val="03984491"/>
    <w:rsid w:val="03990047"/>
    <w:rsid w:val="039E740C"/>
    <w:rsid w:val="03AB508A"/>
    <w:rsid w:val="03AC12AA"/>
    <w:rsid w:val="03AF1619"/>
    <w:rsid w:val="03BD5AE4"/>
    <w:rsid w:val="03BE7AAE"/>
    <w:rsid w:val="03C03826"/>
    <w:rsid w:val="03C738D7"/>
    <w:rsid w:val="03C74493"/>
    <w:rsid w:val="03C926DB"/>
    <w:rsid w:val="03E5753D"/>
    <w:rsid w:val="03EE3EEF"/>
    <w:rsid w:val="03F31506"/>
    <w:rsid w:val="03F4527E"/>
    <w:rsid w:val="040218C2"/>
    <w:rsid w:val="0405748B"/>
    <w:rsid w:val="040F3E66"/>
    <w:rsid w:val="04195CEF"/>
    <w:rsid w:val="041A57A7"/>
    <w:rsid w:val="041B6CAE"/>
    <w:rsid w:val="041D483A"/>
    <w:rsid w:val="041E22FB"/>
    <w:rsid w:val="0422003D"/>
    <w:rsid w:val="04221DEB"/>
    <w:rsid w:val="04277401"/>
    <w:rsid w:val="04323463"/>
    <w:rsid w:val="04440EA5"/>
    <w:rsid w:val="04504BAA"/>
    <w:rsid w:val="04506958"/>
    <w:rsid w:val="045126D0"/>
    <w:rsid w:val="04553F6E"/>
    <w:rsid w:val="045B70AB"/>
    <w:rsid w:val="04602913"/>
    <w:rsid w:val="04626F09"/>
    <w:rsid w:val="04637C2E"/>
    <w:rsid w:val="04665625"/>
    <w:rsid w:val="04671EF4"/>
    <w:rsid w:val="046C3066"/>
    <w:rsid w:val="046E5030"/>
    <w:rsid w:val="047363D2"/>
    <w:rsid w:val="04736E13"/>
    <w:rsid w:val="04774EDE"/>
    <w:rsid w:val="047C599F"/>
    <w:rsid w:val="048021E8"/>
    <w:rsid w:val="04820844"/>
    <w:rsid w:val="048605CC"/>
    <w:rsid w:val="04956A61"/>
    <w:rsid w:val="049D5915"/>
    <w:rsid w:val="04AC3B33"/>
    <w:rsid w:val="04AD7905"/>
    <w:rsid w:val="04B30C95"/>
    <w:rsid w:val="04B52267"/>
    <w:rsid w:val="04B86835"/>
    <w:rsid w:val="04B87D74"/>
    <w:rsid w:val="04C176DC"/>
    <w:rsid w:val="04C36291"/>
    <w:rsid w:val="04C54806"/>
    <w:rsid w:val="04C717A9"/>
    <w:rsid w:val="04CC1D57"/>
    <w:rsid w:val="04D356AB"/>
    <w:rsid w:val="04DF43CA"/>
    <w:rsid w:val="04E279FE"/>
    <w:rsid w:val="04E452F2"/>
    <w:rsid w:val="04E533D3"/>
    <w:rsid w:val="04E92909"/>
    <w:rsid w:val="04EB6681"/>
    <w:rsid w:val="04EE7F1F"/>
    <w:rsid w:val="04EF43C3"/>
    <w:rsid w:val="04F217BD"/>
    <w:rsid w:val="04F25C61"/>
    <w:rsid w:val="04F419D9"/>
    <w:rsid w:val="04F512AE"/>
    <w:rsid w:val="04F6718F"/>
    <w:rsid w:val="04F80D9E"/>
    <w:rsid w:val="04F853C7"/>
    <w:rsid w:val="04FC43EA"/>
    <w:rsid w:val="05027B01"/>
    <w:rsid w:val="05055F0D"/>
    <w:rsid w:val="05080FE1"/>
    <w:rsid w:val="050B6D23"/>
    <w:rsid w:val="050D470B"/>
    <w:rsid w:val="05143E2A"/>
    <w:rsid w:val="05195543"/>
    <w:rsid w:val="05201126"/>
    <w:rsid w:val="0525608B"/>
    <w:rsid w:val="05300538"/>
    <w:rsid w:val="053534D2"/>
    <w:rsid w:val="053D466A"/>
    <w:rsid w:val="05465FAD"/>
    <w:rsid w:val="05485881"/>
    <w:rsid w:val="054B5371"/>
    <w:rsid w:val="055931ED"/>
    <w:rsid w:val="055F5FC7"/>
    <w:rsid w:val="05600E1D"/>
    <w:rsid w:val="056A7E67"/>
    <w:rsid w:val="05720B50"/>
    <w:rsid w:val="057513FF"/>
    <w:rsid w:val="057B5C57"/>
    <w:rsid w:val="0580326D"/>
    <w:rsid w:val="0580501B"/>
    <w:rsid w:val="058051DD"/>
    <w:rsid w:val="05863F97"/>
    <w:rsid w:val="05873034"/>
    <w:rsid w:val="059223BC"/>
    <w:rsid w:val="05947C79"/>
    <w:rsid w:val="05962A91"/>
    <w:rsid w:val="0596483F"/>
    <w:rsid w:val="05990FF5"/>
    <w:rsid w:val="05A0746B"/>
    <w:rsid w:val="05A14F91"/>
    <w:rsid w:val="05A625A8"/>
    <w:rsid w:val="05B922DB"/>
    <w:rsid w:val="05D47115"/>
    <w:rsid w:val="05D76C05"/>
    <w:rsid w:val="05DA28F5"/>
    <w:rsid w:val="05DB0F6C"/>
    <w:rsid w:val="05DF00BF"/>
    <w:rsid w:val="05E0481B"/>
    <w:rsid w:val="05E05ABA"/>
    <w:rsid w:val="05EC0669"/>
    <w:rsid w:val="05EF21A1"/>
    <w:rsid w:val="05F477B7"/>
    <w:rsid w:val="05FA420C"/>
    <w:rsid w:val="06113EC5"/>
    <w:rsid w:val="06135E8F"/>
    <w:rsid w:val="0616597F"/>
    <w:rsid w:val="0616772D"/>
    <w:rsid w:val="0619721E"/>
    <w:rsid w:val="06197802"/>
    <w:rsid w:val="061A5470"/>
    <w:rsid w:val="062C0CFF"/>
    <w:rsid w:val="062E4A77"/>
    <w:rsid w:val="063302DF"/>
    <w:rsid w:val="0639166E"/>
    <w:rsid w:val="063C3DD2"/>
    <w:rsid w:val="064047AA"/>
    <w:rsid w:val="064424ED"/>
    <w:rsid w:val="0648365F"/>
    <w:rsid w:val="064C7016"/>
    <w:rsid w:val="06523DD1"/>
    <w:rsid w:val="06565D7C"/>
    <w:rsid w:val="0658468A"/>
    <w:rsid w:val="06593102"/>
    <w:rsid w:val="065B5A88"/>
    <w:rsid w:val="065D6858"/>
    <w:rsid w:val="065F7326"/>
    <w:rsid w:val="06620BC5"/>
    <w:rsid w:val="0667442D"/>
    <w:rsid w:val="06681F2D"/>
    <w:rsid w:val="066C6FCD"/>
    <w:rsid w:val="06856F5D"/>
    <w:rsid w:val="068648B3"/>
    <w:rsid w:val="0689799C"/>
    <w:rsid w:val="068F128E"/>
    <w:rsid w:val="0695635D"/>
    <w:rsid w:val="069710EB"/>
    <w:rsid w:val="069C40D7"/>
    <w:rsid w:val="06A64F55"/>
    <w:rsid w:val="06AB3EFF"/>
    <w:rsid w:val="06AE7966"/>
    <w:rsid w:val="06B238FA"/>
    <w:rsid w:val="06B31420"/>
    <w:rsid w:val="06B807E5"/>
    <w:rsid w:val="06B843C5"/>
    <w:rsid w:val="06B971B1"/>
    <w:rsid w:val="06C4362D"/>
    <w:rsid w:val="06C76C7A"/>
    <w:rsid w:val="06CD24E2"/>
    <w:rsid w:val="06CE625A"/>
    <w:rsid w:val="06D03D80"/>
    <w:rsid w:val="06D934E4"/>
    <w:rsid w:val="06DA6638"/>
    <w:rsid w:val="06E14AFA"/>
    <w:rsid w:val="06E24909"/>
    <w:rsid w:val="06E31D05"/>
    <w:rsid w:val="06E40101"/>
    <w:rsid w:val="06E65352"/>
    <w:rsid w:val="06F2019A"/>
    <w:rsid w:val="06F37A6F"/>
    <w:rsid w:val="06F757B1"/>
    <w:rsid w:val="06F87FF9"/>
    <w:rsid w:val="06F9692F"/>
    <w:rsid w:val="0701218C"/>
    <w:rsid w:val="07195727"/>
    <w:rsid w:val="071C0767"/>
    <w:rsid w:val="071D13D8"/>
    <w:rsid w:val="072530D7"/>
    <w:rsid w:val="072B7BD7"/>
    <w:rsid w:val="0733142A"/>
    <w:rsid w:val="073E3517"/>
    <w:rsid w:val="073E6F3C"/>
    <w:rsid w:val="074134A7"/>
    <w:rsid w:val="07447785"/>
    <w:rsid w:val="07462294"/>
    <w:rsid w:val="075C73C2"/>
    <w:rsid w:val="075D7F93"/>
    <w:rsid w:val="07683FB9"/>
    <w:rsid w:val="07724E37"/>
    <w:rsid w:val="077566D6"/>
    <w:rsid w:val="077B7EA2"/>
    <w:rsid w:val="077C7A64"/>
    <w:rsid w:val="077D1377"/>
    <w:rsid w:val="07805C8A"/>
    <w:rsid w:val="078608E3"/>
    <w:rsid w:val="078D1C71"/>
    <w:rsid w:val="078F7F52"/>
    <w:rsid w:val="07927288"/>
    <w:rsid w:val="07936306"/>
    <w:rsid w:val="07944DAE"/>
    <w:rsid w:val="07986A77"/>
    <w:rsid w:val="079C3C62"/>
    <w:rsid w:val="079E3E7E"/>
    <w:rsid w:val="079F3753"/>
    <w:rsid w:val="07AF3B4C"/>
    <w:rsid w:val="07BA109C"/>
    <w:rsid w:val="07BD2872"/>
    <w:rsid w:val="07D01B5E"/>
    <w:rsid w:val="07D16002"/>
    <w:rsid w:val="07D416AF"/>
    <w:rsid w:val="07D63618"/>
    <w:rsid w:val="07D7113E"/>
    <w:rsid w:val="07DC069D"/>
    <w:rsid w:val="07E3599F"/>
    <w:rsid w:val="07E51AAD"/>
    <w:rsid w:val="07E82273"/>
    <w:rsid w:val="07EC1D91"/>
    <w:rsid w:val="07EE1002"/>
    <w:rsid w:val="07F4584C"/>
    <w:rsid w:val="07F65A68"/>
    <w:rsid w:val="07FC2953"/>
    <w:rsid w:val="07FE491D"/>
    <w:rsid w:val="07FE66CB"/>
    <w:rsid w:val="080812F8"/>
    <w:rsid w:val="08144660"/>
    <w:rsid w:val="081859DF"/>
    <w:rsid w:val="081B78E5"/>
    <w:rsid w:val="08204893"/>
    <w:rsid w:val="082425D6"/>
    <w:rsid w:val="082964D9"/>
    <w:rsid w:val="082A74C0"/>
    <w:rsid w:val="082B7290"/>
    <w:rsid w:val="083572E7"/>
    <w:rsid w:val="083E3FC8"/>
    <w:rsid w:val="083F464A"/>
    <w:rsid w:val="08412454"/>
    <w:rsid w:val="08412974"/>
    <w:rsid w:val="0849203C"/>
    <w:rsid w:val="084E7652"/>
    <w:rsid w:val="08502355"/>
    <w:rsid w:val="0854453D"/>
    <w:rsid w:val="085816BE"/>
    <w:rsid w:val="086552F7"/>
    <w:rsid w:val="08670714"/>
    <w:rsid w:val="086933B2"/>
    <w:rsid w:val="086B6DF8"/>
    <w:rsid w:val="08723BC6"/>
    <w:rsid w:val="087B3B3C"/>
    <w:rsid w:val="087C6C73"/>
    <w:rsid w:val="087E15BA"/>
    <w:rsid w:val="087F75CF"/>
    <w:rsid w:val="088210AA"/>
    <w:rsid w:val="088970C6"/>
    <w:rsid w:val="088B53B7"/>
    <w:rsid w:val="088C1F29"/>
    <w:rsid w:val="088F0AC2"/>
    <w:rsid w:val="088F7561"/>
    <w:rsid w:val="08931509"/>
    <w:rsid w:val="089C289E"/>
    <w:rsid w:val="08A639AA"/>
    <w:rsid w:val="08A94889"/>
    <w:rsid w:val="08AC0788"/>
    <w:rsid w:val="08AC25CB"/>
    <w:rsid w:val="08AE00F1"/>
    <w:rsid w:val="08B06560"/>
    <w:rsid w:val="08B125BC"/>
    <w:rsid w:val="08B66FA6"/>
    <w:rsid w:val="08C43471"/>
    <w:rsid w:val="08C56734"/>
    <w:rsid w:val="08C711B3"/>
    <w:rsid w:val="08CB0CA3"/>
    <w:rsid w:val="08D00067"/>
    <w:rsid w:val="08D2254A"/>
    <w:rsid w:val="08DA0EE6"/>
    <w:rsid w:val="08DD2784"/>
    <w:rsid w:val="08DF5AD4"/>
    <w:rsid w:val="08DF64FD"/>
    <w:rsid w:val="08EE4992"/>
    <w:rsid w:val="08EF3D81"/>
    <w:rsid w:val="08F0261D"/>
    <w:rsid w:val="08F67D80"/>
    <w:rsid w:val="08F71A98"/>
    <w:rsid w:val="08F947C7"/>
    <w:rsid w:val="09095327"/>
    <w:rsid w:val="090A37C1"/>
    <w:rsid w:val="090E0B90"/>
    <w:rsid w:val="090E293E"/>
    <w:rsid w:val="091D0DD3"/>
    <w:rsid w:val="09284F7E"/>
    <w:rsid w:val="09287EA3"/>
    <w:rsid w:val="092C7268"/>
    <w:rsid w:val="092E4D8E"/>
    <w:rsid w:val="094953E2"/>
    <w:rsid w:val="094F44C9"/>
    <w:rsid w:val="095A15DC"/>
    <w:rsid w:val="095B721E"/>
    <w:rsid w:val="09652EA6"/>
    <w:rsid w:val="096B4234"/>
    <w:rsid w:val="096D1D5A"/>
    <w:rsid w:val="09732517"/>
    <w:rsid w:val="097430E9"/>
    <w:rsid w:val="09750C0F"/>
    <w:rsid w:val="097730C5"/>
    <w:rsid w:val="09774987"/>
    <w:rsid w:val="097A7230"/>
    <w:rsid w:val="0983332C"/>
    <w:rsid w:val="098B3F8E"/>
    <w:rsid w:val="098D7D07"/>
    <w:rsid w:val="09903D3F"/>
    <w:rsid w:val="09A514F4"/>
    <w:rsid w:val="09AC35E2"/>
    <w:rsid w:val="09B207F9"/>
    <w:rsid w:val="09B96D4E"/>
    <w:rsid w:val="09BB68FD"/>
    <w:rsid w:val="09BF1E8A"/>
    <w:rsid w:val="09BF72F9"/>
    <w:rsid w:val="09C840CA"/>
    <w:rsid w:val="09C851E3"/>
    <w:rsid w:val="09CB6A81"/>
    <w:rsid w:val="09D16488"/>
    <w:rsid w:val="09D405A0"/>
    <w:rsid w:val="09D76AC8"/>
    <w:rsid w:val="09E813E1"/>
    <w:rsid w:val="09E87633"/>
    <w:rsid w:val="09ED3CE1"/>
    <w:rsid w:val="09EE7B49"/>
    <w:rsid w:val="09FC58D4"/>
    <w:rsid w:val="09FC6C3A"/>
    <w:rsid w:val="0A067AB9"/>
    <w:rsid w:val="0A0855DF"/>
    <w:rsid w:val="0A0A57FB"/>
    <w:rsid w:val="0A195A3E"/>
    <w:rsid w:val="0A1E6855"/>
    <w:rsid w:val="0A200008"/>
    <w:rsid w:val="0A21743C"/>
    <w:rsid w:val="0A2A63E7"/>
    <w:rsid w:val="0A362209"/>
    <w:rsid w:val="0A391C3C"/>
    <w:rsid w:val="0A3B3C06"/>
    <w:rsid w:val="0A3E36F7"/>
    <w:rsid w:val="0A3E7901"/>
    <w:rsid w:val="0A3F6ADD"/>
    <w:rsid w:val="0A530F50"/>
    <w:rsid w:val="0A5440F6"/>
    <w:rsid w:val="0A59056C"/>
    <w:rsid w:val="0A5922DF"/>
    <w:rsid w:val="0A6932D7"/>
    <w:rsid w:val="0A7E1160"/>
    <w:rsid w:val="0A820893"/>
    <w:rsid w:val="0A8729A8"/>
    <w:rsid w:val="0A876E4C"/>
    <w:rsid w:val="0A8A2498"/>
    <w:rsid w:val="0A8B25C6"/>
    <w:rsid w:val="0A913826"/>
    <w:rsid w:val="0A91511F"/>
    <w:rsid w:val="0A9F4195"/>
    <w:rsid w:val="0AA23C86"/>
    <w:rsid w:val="0AA417AC"/>
    <w:rsid w:val="0AAC68B2"/>
    <w:rsid w:val="0AAE43D8"/>
    <w:rsid w:val="0ABF4545"/>
    <w:rsid w:val="0AC43BFC"/>
    <w:rsid w:val="0AC534D0"/>
    <w:rsid w:val="0AC7549A"/>
    <w:rsid w:val="0ACB4F8A"/>
    <w:rsid w:val="0ACD525E"/>
    <w:rsid w:val="0ACE4A7B"/>
    <w:rsid w:val="0AEF1B60"/>
    <w:rsid w:val="0AF0197B"/>
    <w:rsid w:val="0AF049F1"/>
    <w:rsid w:val="0AF3003D"/>
    <w:rsid w:val="0AF30DA4"/>
    <w:rsid w:val="0AF3628F"/>
    <w:rsid w:val="0AF53DB5"/>
    <w:rsid w:val="0AF77D1D"/>
    <w:rsid w:val="0AF81AF7"/>
    <w:rsid w:val="0AFB5331"/>
    <w:rsid w:val="0AFF69E2"/>
    <w:rsid w:val="0B0264D2"/>
    <w:rsid w:val="0B112BB9"/>
    <w:rsid w:val="0B1306DF"/>
    <w:rsid w:val="0B141D0B"/>
    <w:rsid w:val="0B1E3309"/>
    <w:rsid w:val="0B3537E8"/>
    <w:rsid w:val="0B3568A8"/>
    <w:rsid w:val="0B372620"/>
    <w:rsid w:val="0B375954"/>
    <w:rsid w:val="0B3D575C"/>
    <w:rsid w:val="0B3F7726"/>
    <w:rsid w:val="0B427292"/>
    <w:rsid w:val="0B4E1717"/>
    <w:rsid w:val="0B505490"/>
    <w:rsid w:val="0B546770"/>
    <w:rsid w:val="0B5750F1"/>
    <w:rsid w:val="0B584344"/>
    <w:rsid w:val="0B5C5BE2"/>
    <w:rsid w:val="0B6947A3"/>
    <w:rsid w:val="0B770C6E"/>
    <w:rsid w:val="0B783E0B"/>
    <w:rsid w:val="0B785A87"/>
    <w:rsid w:val="0B7942F8"/>
    <w:rsid w:val="0B7A048B"/>
    <w:rsid w:val="0B7A250D"/>
    <w:rsid w:val="0B7C6285"/>
    <w:rsid w:val="0B7F3FC7"/>
    <w:rsid w:val="0B83153D"/>
    <w:rsid w:val="0B835865"/>
    <w:rsid w:val="0B837613"/>
    <w:rsid w:val="0B8674D4"/>
    <w:rsid w:val="0B8F448F"/>
    <w:rsid w:val="0B927856"/>
    <w:rsid w:val="0B9362F3"/>
    <w:rsid w:val="0B9510F4"/>
    <w:rsid w:val="0B970BBE"/>
    <w:rsid w:val="0B9730BE"/>
    <w:rsid w:val="0BA17A99"/>
    <w:rsid w:val="0BA37CB5"/>
    <w:rsid w:val="0BA92DF2"/>
    <w:rsid w:val="0BAC5F1F"/>
    <w:rsid w:val="0BAE7348"/>
    <w:rsid w:val="0BB95C99"/>
    <w:rsid w:val="0BBA55B7"/>
    <w:rsid w:val="0BBA5BBB"/>
    <w:rsid w:val="0BC419DA"/>
    <w:rsid w:val="0BCB68A3"/>
    <w:rsid w:val="0BD04822"/>
    <w:rsid w:val="0BD25EA5"/>
    <w:rsid w:val="0BD45B9A"/>
    <w:rsid w:val="0BDC0CB8"/>
    <w:rsid w:val="0BDD03A0"/>
    <w:rsid w:val="0BDF6813"/>
    <w:rsid w:val="0BE67BA2"/>
    <w:rsid w:val="0BE8391A"/>
    <w:rsid w:val="0BF73038"/>
    <w:rsid w:val="0BFB4241"/>
    <w:rsid w:val="0C006EB6"/>
    <w:rsid w:val="0C022BE0"/>
    <w:rsid w:val="0C043813"/>
    <w:rsid w:val="0C085D6A"/>
    <w:rsid w:val="0C0A4457"/>
    <w:rsid w:val="0C11328B"/>
    <w:rsid w:val="0C116221"/>
    <w:rsid w:val="0C131DE7"/>
    <w:rsid w:val="0C1666D9"/>
    <w:rsid w:val="0C1741FF"/>
    <w:rsid w:val="0C285E2F"/>
    <w:rsid w:val="0C2D71F1"/>
    <w:rsid w:val="0C325422"/>
    <w:rsid w:val="0C3355AF"/>
    <w:rsid w:val="0C346B5F"/>
    <w:rsid w:val="0C395F24"/>
    <w:rsid w:val="0C3B1C9C"/>
    <w:rsid w:val="0C3C4D6A"/>
    <w:rsid w:val="0C3E71D6"/>
    <w:rsid w:val="0C41302A"/>
    <w:rsid w:val="0C434FF4"/>
    <w:rsid w:val="0C452B1A"/>
    <w:rsid w:val="0C4777DD"/>
    <w:rsid w:val="0C4B673B"/>
    <w:rsid w:val="0C4F1BEB"/>
    <w:rsid w:val="0C50449E"/>
    <w:rsid w:val="0C537002"/>
    <w:rsid w:val="0C54524D"/>
    <w:rsid w:val="0C57284E"/>
    <w:rsid w:val="0C580AA0"/>
    <w:rsid w:val="0C596995"/>
    <w:rsid w:val="0C5A37AB"/>
    <w:rsid w:val="0C605BA6"/>
    <w:rsid w:val="0C61547A"/>
    <w:rsid w:val="0C6236CC"/>
    <w:rsid w:val="0C6311F3"/>
    <w:rsid w:val="0C664B78"/>
    <w:rsid w:val="0C673F81"/>
    <w:rsid w:val="0C6F5DE9"/>
    <w:rsid w:val="0C762D5D"/>
    <w:rsid w:val="0C767178"/>
    <w:rsid w:val="0C7D0506"/>
    <w:rsid w:val="0C811679"/>
    <w:rsid w:val="0C822574"/>
    <w:rsid w:val="0C885367"/>
    <w:rsid w:val="0C8E2713"/>
    <w:rsid w:val="0C8F3D96"/>
    <w:rsid w:val="0C9456E7"/>
    <w:rsid w:val="0C9B098C"/>
    <w:rsid w:val="0C9F66CF"/>
    <w:rsid w:val="0CA02447"/>
    <w:rsid w:val="0CA912FB"/>
    <w:rsid w:val="0CAA0BCF"/>
    <w:rsid w:val="0CAA5073"/>
    <w:rsid w:val="0CB70393"/>
    <w:rsid w:val="0CB952B6"/>
    <w:rsid w:val="0CBA3508"/>
    <w:rsid w:val="0CBD4DA7"/>
    <w:rsid w:val="0CBE3ADF"/>
    <w:rsid w:val="0CC07B02"/>
    <w:rsid w:val="0CC212FB"/>
    <w:rsid w:val="0CC872A8"/>
    <w:rsid w:val="0CCD0C4F"/>
    <w:rsid w:val="0CD65E68"/>
    <w:rsid w:val="0CE27C09"/>
    <w:rsid w:val="0CE75980"/>
    <w:rsid w:val="0CE75B16"/>
    <w:rsid w:val="0CE963DF"/>
    <w:rsid w:val="0CEB7EF6"/>
    <w:rsid w:val="0CFC5FAF"/>
    <w:rsid w:val="0D1349C7"/>
    <w:rsid w:val="0D1C7D1F"/>
    <w:rsid w:val="0D1F336B"/>
    <w:rsid w:val="0D1F511A"/>
    <w:rsid w:val="0D244E26"/>
    <w:rsid w:val="0D2C3CDA"/>
    <w:rsid w:val="0D3A63F7"/>
    <w:rsid w:val="0D45332F"/>
    <w:rsid w:val="0D4B4161"/>
    <w:rsid w:val="0D4E21F9"/>
    <w:rsid w:val="0D4E3C51"/>
    <w:rsid w:val="0D4F1601"/>
    <w:rsid w:val="0D531267"/>
    <w:rsid w:val="0D533A2C"/>
    <w:rsid w:val="0D554381"/>
    <w:rsid w:val="0D5648B3"/>
    <w:rsid w:val="0D5D42FF"/>
    <w:rsid w:val="0D6B4A79"/>
    <w:rsid w:val="0D774410"/>
    <w:rsid w:val="0D780CCE"/>
    <w:rsid w:val="0D782A7C"/>
    <w:rsid w:val="0D847672"/>
    <w:rsid w:val="0D8D4779"/>
    <w:rsid w:val="0D8E04F1"/>
    <w:rsid w:val="0D95362E"/>
    <w:rsid w:val="0D957AD2"/>
    <w:rsid w:val="0DA41AC3"/>
    <w:rsid w:val="0DA770AD"/>
    <w:rsid w:val="0DAD0977"/>
    <w:rsid w:val="0DB37F58"/>
    <w:rsid w:val="0DB8556E"/>
    <w:rsid w:val="0DB8731C"/>
    <w:rsid w:val="0DC12675"/>
    <w:rsid w:val="0DCA4B50"/>
    <w:rsid w:val="0DCB34F3"/>
    <w:rsid w:val="0DCE41AD"/>
    <w:rsid w:val="0DD34156"/>
    <w:rsid w:val="0DDA54E4"/>
    <w:rsid w:val="0DDD31AC"/>
    <w:rsid w:val="0DDE11F1"/>
    <w:rsid w:val="0DDF0D4D"/>
    <w:rsid w:val="0DDF2AFB"/>
    <w:rsid w:val="0DDF432E"/>
    <w:rsid w:val="0DE10B00"/>
    <w:rsid w:val="0DE545B5"/>
    <w:rsid w:val="0DE80577"/>
    <w:rsid w:val="0DEA1BCB"/>
    <w:rsid w:val="0DED6FC6"/>
    <w:rsid w:val="0DF843DB"/>
    <w:rsid w:val="0DFA16E3"/>
    <w:rsid w:val="0DFA7935"/>
    <w:rsid w:val="0DFF4F4B"/>
    <w:rsid w:val="0E010CC3"/>
    <w:rsid w:val="0E056A05"/>
    <w:rsid w:val="0E0B1B42"/>
    <w:rsid w:val="0E0B7D94"/>
    <w:rsid w:val="0E0D2764"/>
    <w:rsid w:val="0E1374B2"/>
    <w:rsid w:val="0E262ABF"/>
    <w:rsid w:val="0E2826F4"/>
    <w:rsid w:val="0E2F75DE"/>
    <w:rsid w:val="0E344BF5"/>
    <w:rsid w:val="0E3E2325"/>
    <w:rsid w:val="0E470944"/>
    <w:rsid w:val="0E4D215A"/>
    <w:rsid w:val="0E5232CD"/>
    <w:rsid w:val="0E527771"/>
    <w:rsid w:val="0E546325"/>
    <w:rsid w:val="0E567261"/>
    <w:rsid w:val="0E597FCE"/>
    <w:rsid w:val="0E5B4877"/>
    <w:rsid w:val="0E5C239D"/>
    <w:rsid w:val="0E6010CF"/>
    <w:rsid w:val="0E6179B4"/>
    <w:rsid w:val="0E651252"/>
    <w:rsid w:val="0E6574A4"/>
    <w:rsid w:val="0E6B77BE"/>
    <w:rsid w:val="0E6C0832"/>
    <w:rsid w:val="0E6D6DF7"/>
    <w:rsid w:val="0E6F0323"/>
    <w:rsid w:val="0E6F3E7F"/>
    <w:rsid w:val="0E7262FB"/>
    <w:rsid w:val="0E741495"/>
    <w:rsid w:val="0E7938DE"/>
    <w:rsid w:val="0E79438E"/>
    <w:rsid w:val="0E7B0A75"/>
    <w:rsid w:val="0E83792A"/>
    <w:rsid w:val="0E8518F4"/>
    <w:rsid w:val="0E8B67DF"/>
    <w:rsid w:val="0E903DF5"/>
    <w:rsid w:val="0E92554F"/>
    <w:rsid w:val="0E972710"/>
    <w:rsid w:val="0E9A7672"/>
    <w:rsid w:val="0E9D7E6D"/>
    <w:rsid w:val="0EA24254"/>
    <w:rsid w:val="0EA70AC6"/>
    <w:rsid w:val="0EA93835"/>
    <w:rsid w:val="0EA951FA"/>
    <w:rsid w:val="0EAD0191"/>
    <w:rsid w:val="0EB61AAE"/>
    <w:rsid w:val="0EBA52B3"/>
    <w:rsid w:val="0EBA7F59"/>
    <w:rsid w:val="0EC3241C"/>
    <w:rsid w:val="0EC56195"/>
    <w:rsid w:val="0EC71F0D"/>
    <w:rsid w:val="0ED35A82"/>
    <w:rsid w:val="0EDB7766"/>
    <w:rsid w:val="0EE54141"/>
    <w:rsid w:val="0EE632F1"/>
    <w:rsid w:val="0EEA79A9"/>
    <w:rsid w:val="0EF6579B"/>
    <w:rsid w:val="0EFF16A6"/>
    <w:rsid w:val="0F05321E"/>
    <w:rsid w:val="0F0547E3"/>
    <w:rsid w:val="0F056591"/>
    <w:rsid w:val="0F0942D3"/>
    <w:rsid w:val="0F112DF3"/>
    <w:rsid w:val="0F133102"/>
    <w:rsid w:val="0F135152"/>
    <w:rsid w:val="0F1457B6"/>
    <w:rsid w:val="0F1B4006"/>
    <w:rsid w:val="0F1C3AFD"/>
    <w:rsid w:val="0F1D0E35"/>
    <w:rsid w:val="0F1F4EFA"/>
    <w:rsid w:val="0F274028"/>
    <w:rsid w:val="0F2904D1"/>
    <w:rsid w:val="0F2F1860"/>
    <w:rsid w:val="0F31382A"/>
    <w:rsid w:val="0F3171C0"/>
    <w:rsid w:val="0F3A448D"/>
    <w:rsid w:val="0F4241BA"/>
    <w:rsid w:val="0F492922"/>
    <w:rsid w:val="0F4A0448"/>
    <w:rsid w:val="0F4C41C0"/>
    <w:rsid w:val="0F50638A"/>
    <w:rsid w:val="0F512094"/>
    <w:rsid w:val="0F535A6B"/>
    <w:rsid w:val="0F544B86"/>
    <w:rsid w:val="0F5B4403"/>
    <w:rsid w:val="0F5D017B"/>
    <w:rsid w:val="0F5D63CD"/>
    <w:rsid w:val="0F5F0397"/>
    <w:rsid w:val="0F601A19"/>
    <w:rsid w:val="0F6239E3"/>
    <w:rsid w:val="0F625791"/>
    <w:rsid w:val="0F661996"/>
    <w:rsid w:val="0F67724C"/>
    <w:rsid w:val="0F696B20"/>
    <w:rsid w:val="0F6A48A4"/>
    <w:rsid w:val="0F6B0AEA"/>
    <w:rsid w:val="0F701F63"/>
    <w:rsid w:val="0F721A12"/>
    <w:rsid w:val="0F803E6A"/>
    <w:rsid w:val="0F865C67"/>
    <w:rsid w:val="0F8676D2"/>
    <w:rsid w:val="0F890837"/>
    <w:rsid w:val="0F8B2F3A"/>
    <w:rsid w:val="0F8B5EC3"/>
    <w:rsid w:val="0F8C6CB2"/>
    <w:rsid w:val="0F902CCD"/>
    <w:rsid w:val="0F94164E"/>
    <w:rsid w:val="0F96572F"/>
    <w:rsid w:val="0F9658E5"/>
    <w:rsid w:val="0F9811B3"/>
    <w:rsid w:val="0F987405"/>
    <w:rsid w:val="0F9A317D"/>
    <w:rsid w:val="0F9F2F82"/>
    <w:rsid w:val="0FA802DC"/>
    <w:rsid w:val="0FB75ADD"/>
    <w:rsid w:val="0FBB52E6"/>
    <w:rsid w:val="0FC1070A"/>
    <w:rsid w:val="0FC4644C"/>
    <w:rsid w:val="0FC621C4"/>
    <w:rsid w:val="0FC8241E"/>
    <w:rsid w:val="0FCB3DF0"/>
    <w:rsid w:val="0FCE2E27"/>
    <w:rsid w:val="0FCE5F07"/>
    <w:rsid w:val="0FCF68E2"/>
    <w:rsid w:val="0FD57294"/>
    <w:rsid w:val="0FDF0F1F"/>
    <w:rsid w:val="0FE06D92"/>
    <w:rsid w:val="0FE8038D"/>
    <w:rsid w:val="0FEC4946"/>
    <w:rsid w:val="0FF26B15"/>
    <w:rsid w:val="0FF56606"/>
    <w:rsid w:val="0FF7412C"/>
    <w:rsid w:val="0FFA3C1C"/>
    <w:rsid w:val="0FFC5D23"/>
    <w:rsid w:val="0FFE268B"/>
    <w:rsid w:val="10046849"/>
    <w:rsid w:val="100B6775"/>
    <w:rsid w:val="10101691"/>
    <w:rsid w:val="10120F66"/>
    <w:rsid w:val="10125409"/>
    <w:rsid w:val="101E3DAE"/>
    <w:rsid w:val="101F13D6"/>
    <w:rsid w:val="102139A6"/>
    <w:rsid w:val="102E5FAA"/>
    <w:rsid w:val="10392996"/>
    <w:rsid w:val="103E7FAD"/>
    <w:rsid w:val="1043306C"/>
    <w:rsid w:val="10466E61"/>
    <w:rsid w:val="104B17E4"/>
    <w:rsid w:val="104D01F0"/>
    <w:rsid w:val="104E518D"/>
    <w:rsid w:val="10507CE0"/>
    <w:rsid w:val="10525806"/>
    <w:rsid w:val="10544E03"/>
    <w:rsid w:val="105477D0"/>
    <w:rsid w:val="10571DDB"/>
    <w:rsid w:val="106043C7"/>
    <w:rsid w:val="106070C3"/>
    <w:rsid w:val="10615A49"/>
    <w:rsid w:val="10637DEB"/>
    <w:rsid w:val="10685029"/>
    <w:rsid w:val="106A6FF4"/>
    <w:rsid w:val="106C0642"/>
    <w:rsid w:val="106D2640"/>
    <w:rsid w:val="106E45C2"/>
    <w:rsid w:val="1074513D"/>
    <w:rsid w:val="1074577C"/>
    <w:rsid w:val="107D4FF4"/>
    <w:rsid w:val="10802373"/>
    <w:rsid w:val="1082318D"/>
    <w:rsid w:val="108300B5"/>
    <w:rsid w:val="10863702"/>
    <w:rsid w:val="108A6AFD"/>
    <w:rsid w:val="108D24B2"/>
    <w:rsid w:val="108F6A5A"/>
    <w:rsid w:val="1091366B"/>
    <w:rsid w:val="10926579"/>
    <w:rsid w:val="109C4DC8"/>
    <w:rsid w:val="10A01F43"/>
    <w:rsid w:val="10A02A15"/>
    <w:rsid w:val="10A2678D"/>
    <w:rsid w:val="10A73DA4"/>
    <w:rsid w:val="10AE2435"/>
    <w:rsid w:val="10B244F7"/>
    <w:rsid w:val="10B30C1C"/>
    <w:rsid w:val="10B628CD"/>
    <w:rsid w:val="10BA31FF"/>
    <w:rsid w:val="10BE6ECD"/>
    <w:rsid w:val="10C20559"/>
    <w:rsid w:val="10C5247C"/>
    <w:rsid w:val="10C81F6C"/>
    <w:rsid w:val="10CB1CF0"/>
    <w:rsid w:val="10D462AA"/>
    <w:rsid w:val="10D51608"/>
    <w:rsid w:val="10DB7377"/>
    <w:rsid w:val="10EA3C90"/>
    <w:rsid w:val="10EE1DD4"/>
    <w:rsid w:val="10F24FAF"/>
    <w:rsid w:val="10F70AF5"/>
    <w:rsid w:val="10F845FF"/>
    <w:rsid w:val="10FB396F"/>
    <w:rsid w:val="11017E3D"/>
    <w:rsid w:val="11071547"/>
    <w:rsid w:val="11082369"/>
    <w:rsid w:val="110B12DB"/>
    <w:rsid w:val="1116208F"/>
    <w:rsid w:val="111B02EE"/>
    <w:rsid w:val="111D4066"/>
    <w:rsid w:val="11301FEB"/>
    <w:rsid w:val="11335637"/>
    <w:rsid w:val="11357601"/>
    <w:rsid w:val="1137627A"/>
    <w:rsid w:val="11380C28"/>
    <w:rsid w:val="11382C4E"/>
    <w:rsid w:val="113D0264"/>
    <w:rsid w:val="113D39E9"/>
    <w:rsid w:val="11403824"/>
    <w:rsid w:val="11441A61"/>
    <w:rsid w:val="1146778F"/>
    <w:rsid w:val="114E2471"/>
    <w:rsid w:val="115036D5"/>
    <w:rsid w:val="11542778"/>
    <w:rsid w:val="1157728C"/>
    <w:rsid w:val="115832F0"/>
    <w:rsid w:val="115A6D46"/>
    <w:rsid w:val="115F642C"/>
    <w:rsid w:val="11692E07"/>
    <w:rsid w:val="116F23E8"/>
    <w:rsid w:val="116F4196"/>
    <w:rsid w:val="11733C86"/>
    <w:rsid w:val="11733F8E"/>
    <w:rsid w:val="11800D39"/>
    <w:rsid w:val="118063A3"/>
    <w:rsid w:val="11823EC9"/>
    <w:rsid w:val="11833402"/>
    <w:rsid w:val="11851C0B"/>
    <w:rsid w:val="11867E5D"/>
    <w:rsid w:val="119360D6"/>
    <w:rsid w:val="11974CD7"/>
    <w:rsid w:val="11990110"/>
    <w:rsid w:val="119F468C"/>
    <w:rsid w:val="11A42091"/>
    <w:rsid w:val="11A71B81"/>
    <w:rsid w:val="11AB1672"/>
    <w:rsid w:val="11AE4CBE"/>
    <w:rsid w:val="11B56635"/>
    <w:rsid w:val="11B72083"/>
    <w:rsid w:val="11C368B1"/>
    <w:rsid w:val="11C646FD"/>
    <w:rsid w:val="11C77337"/>
    <w:rsid w:val="11C95F9C"/>
    <w:rsid w:val="11CB1D14"/>
    <w:rsid w:val="11CD7E2D"/>
    <w:rsid w:val="11D0732A"/>
    <w:rsid w:val="11D30BC8"/>
    <w:rsid w:val="11D36E9D"/>
    <w:rsid w:val="11D74D27"/>
    <w:rsid w:val="11D81D3B"/>
    <w:rsid w:val="11DA3FAE"/>
    <w:rsid w:val="11DC7A7D"/>
    <w:rsid w:val="11E4793A"/>
    <w:rsid w:val="11E5113A"/>
    <w:rsid w:val="11E8281D"/>
    <w:rsid w:val="11E86280"/>
    <w:rsid w:val="11EA4DE7"/>
    <w:rsid w:val="11ED5EAE"/>
    <w:rsid w:val="11F1104F"/>
    <w:rsid w:val="11F56D91"/>
    <w:rsid w:val="11F748B7"/>
    <w:rsid w:val="11F823DD"/>
    <w:rsid w:val="11FB1334"/>
    <w:rsid w:val="11FB1D36"/>
    <w:rsid w:val="11FB7B9C"/>
    <w:rsid w:val="11FC4E5E"/>
    <w:rsid w:val="12015A49"/>
    <w:rsid w:val="1202500A"/>
    <w:rsid w:val="120622C2"/>
    <w:rsid w:val="12064AFA"/>
    <w:rsid w:val="12071DA1"/>
    <w:rsid w:val="1207243B"/>
    <w:rsid w:val="120945EA"/>
    <w:rsid w:val="120B3EBE"/>
    <w:rsid w:val="1212349F"/>
    <w:rsid w:val="12132537"/>
    <w:rsid w:val="12135F22"/>
    <w:rsid w:val="1218482D"/>
    <w:rsid w:val="121976AB"/>
    <w:rsid w:val="121E232E"/>
    <w:rsid w:val="12211934"/>
    <w:rsid w:val="123031AC"/>
    <w:rsid w:val="12331667"/>
    <w:rsid w:val="123A47A4"/>
    <w:rsid w:val="123C1304"/>
    <w:rsid w:val="123C331F"/>
    <w:rsid w:val="12413D84"/>
    <w:rsid w:val="12503FC7"/>
    <w:rsid w:val="12521AED"/>
    <w:rsid w:val="12541D09"/>
    <w:rsid w:val="125515DD"/>
    <w:rsid w:val="12597320"/>
    <w:rsid w:val="125D0492"/>
    <w:rsid w:val="126275BD"/>
    <w:rsid w:val="126A4A84"/>
    <w:rsid w:val="126F1852"/>
    <w:rsid w:val="12706417"/>
    <w:rsid w:val="12802AFE"/>
    <w:rsid w:val="128271C8"/>
    <w:rsid w:val="12852524"/>
    <w:rsid w:val="12866DB5"/>
    <w:rsid w:val="128A1139"/>
    <w:rsid w:val="128D521B"/>
    <w:rsid w:val="12955E7E"/>
    <w:rsid w:val="129B16E6"/>
    <w:rsid w:val="12A165D1"/>
    <w:rsid w:val="12A56E0D"/>
    <w:rsid w:val="12A82023"/>
    <w:rsid w:val="12AB744F"/>
    <w:rsid w:val="12AF0CEE"/>
    <w:rsid w:val="12AF6F40"/>
    <w:rsid w:val="12B409FA"/>
    <w:rsid w:val="12BB4D96"/>
    <w:rsid w:val="12C0114D"/>
    <w:rsid w:val="12C02EFB"/>
    <w:rsid w:val="12C66037"/>
    <w:rsid w:val="12CA6F00"/>
    <w:rsid w:val="12D322B2"/>
    <w:rsid w:val="12D645D8"/>
    <w:rsid w:val="12D70244"/>
    <w:rsid w:val="12E13922"/>
    <w:rsid w:val="12E33603"/>
    <w:rsid w:val="12F25439"/>
    <w:rsid w:val="12F46AEA"/>
    <w:rsid w:val="12F901BB"/>
    <w:rsid w:val="12FD2641"/>
    <w:rsid w:val="12FF7D7B"/>
    <w:rsid w:val="130152C1"/>
    <w:rsid w:val="1303728B"/>
    <w:rsid w:val="13070B2A"/>
    <w:rsid w:val="13141499"/>
    <w:rsid w:val="13182D37"/>
    <w:rsid w:val="131B45D5"/>
    <w:rsid w:val="131C419D"/>
    <w:rsid w:val="131E2317"/>
    <w:rsid w:val="132A7D5E"/>
    <w:rsid w:val="132C1427"/>
    <w:rsid w:val="13313DF9"/>
    <w:rsid w:val="133B07D3"/>
    <w:rsid w:val="13416360"/>
    <w:rsid w:val="13445B41"/>
    <w:rsid w:val="13465C7A"/>
    <w:rsid w:val="13514251"/>
    <w:rsid w:val="135915A9"/>
    <w:rsid w:val="135B1AD8"/>
    <w:rsid w:val="13623FB2"/>
    <w:rsid w:val="136715C8"/>
    <w:rsid w:val="136B76CE"/>
    <w:rsid w:val="136E0BA9"/>
    <w:rsid w:val="136F4921"/>
    <w:rsid w:val="137247D6"/>
    <w:rsid w:val="13733702"/>
    <w:rsid w:val="1376608B"/>
    <w:rsid w:val="137B5074"/>
    <w:rsid w:val="137E6D8C"/>
    <w:rsid w:val="137F2DB6"/>
    <w:rsid w:val="1380268A"/>
    <w:rsid w:val="13815B20"/>
    <w:rsid w:val="13855EF2"/>
    <w:rsid w:val="13871C6A"/>
    <w:rsid w:val="138A5A29"/>
    <w:rsid w:val="138D7D05"/>
    <w:rsid w:val="139879D4"/>
    <w:rsid w:val="139D188B"/>
    <w:rsid w:val="13A10F7E"/>
    <w:rsid w:val="13AC5B97"/>
    <w:rsid w:val="13AF2F6F"/>
    <w:rsid w:val="13B3480E"/>
    <w:rsid w:val="13BA2040"/>
    <w:rsid w:val="13BF1404"/>
    <w:rsid w:val="13C133CE"/>
    <w:rsid w:val="13C31E39"/>
    <w:rsid w:val="13C40F69"/>
    <w:rsid w:val="13C655F9"/>
    <w:rsid w:val="13C800FB"/>
    <w:rsid w:val="13CA715B"/>
    <w:rsid w:val="13DA7FEC"/>
    <w:rsid w:val="13DB7D26"/>
    <w:rsid w:val="13DD5D2E"/>
    <w:rsid w:val="13DF3855"/>
    <w:rsid w:val="13EB044B"/>
    <w:rsid w:val="13ED0220"/>
    <w:rsid w:val="13F56BD4"/>
    <w:rsid w:val="13F60B9E"/>
    <w:rsid w:val="13F762F6"/>
    <w:rsid w:val="13F82B68"/>
    <w:rsid w:val="14067033"/>
    <w:rsid w:val="140B63F8"/>
    <w:rsid w:val="14100946"/>
    <w:rsid w:val="14157276"/>
    <w:rsid w:val="141B1709"/>
    <w:rsid w:val="14217D71"/>
    <w:rsid w:val="14237BE5"/>
    <w:rsid w:val="142F2A6F"/>
    <w:rsid w:val="143516C6"/>
    <w:rsid w:val="143E480A"/>
    <w:rsid w:val="143F0797"/>
    <w:rsid w:val="143F367F"/>
    <w:rsid w:val="14425B91"/>
    <w:rsid w:val="144B0EEA"/>
    <w:rsid w:val="145A0633"/>
    <w:rsid w:val="145A737F"/>
    <w:rsid w:val="145F04F1"/>
    <w:rsid w:val="146975C2"/>
    <w:rsid w:val="146E4CDC"/>
    <w:rsid w:val="147246C9"/>
    <w:rsid w:val="14755F67"/>
    <w:rsid w:val="147848D7"/>
    <w:rsid w:val="147E4E1C"/>
    <w:rsid w:val="147E6E66"/>
    <w:rsid w:val="148443FC"/>
    <w:rsid w:val="1485220B"/>
    <w:rsid w:val="14877402"/>
    <w:rsid w:val="14890F64"/>
    <w:rsid w:val="148B12E6"/>
    <w:rsid w:val="1490549F"/>
    <w:rsid w:val="14952165"/>
    <w:rsid w:val="14984A52"/>
    <w:rsid w:val="14A211D9"/>
    <w:rsid w:val="14A44572"/>
    <w:rsid w:val="14A56265"/>
    <w:rsid w:val="14A80541"/>
    <w:rsid w:val="14A95C11"/>
    <w:rsid w:val="14AA20B4"/>
    <w:rsid w:val="14AA270C"/>
    <w:rsid w:val="14AB3737"/>
    <w:rsid w:val="14AD3953"/>
    <w:rsid w:val="14AE45AC"/>
    <w:rsid w:val="14B720DC"/>
    <w:rsid w:val="14BA1BCC"/>
    <w:rsid w:val="14BA78A7"/>
    <w:rsid w:val="14C01DB8"/>
    <w:rsid w:val="14C173FE"/>
    <w:rsid w:val="14C4222A"/>
    <w:rsid w:val="14C52A4A"/>
    <w:rsid w:val="14CF6317"/>
    <w:rsid w:val="14DC7EF7"/>
    <w:rsid w:val="14E475D3"/>
    <w:rsid w:val="14E87AD6"/>
    <w:rsid w:val="14FB74A2"/>
    <w:rsid w:val="14FC21E4"/>
    <w:rsid w:val="14FC3F92"/>
    <w:rsid w:val="14FE32A2"/>
    <w:rsid w:val="15017368"/>
    <w:rsid w:val="15087A46"/>
    <w:rsid w:val="150C16A4"/>
    <w:rsid w:val="151632A6"/>
    <w:rsid w:val="151700EF"/>
    <w:rsid w:val="151B08BC"/>
    <w:rsid w:val="152931E2"/>
    <w:rsid w:val="153320AA"/>
    <w:rsid w:val="153F7762"/>
    <w:rsid w:val="1543751C"/>
    <w:rsid w:val="154849C3"/>
    <w:rsid w:val="155045BC"/>
    <w:rsid w:val="1551146D"/>
    <w:rsid w:val="15512530"/>
    <w:rsid w:val="155142DE"/>
    <w:rsid w:val="15591FA7"/>
    <w:rsid w:val="15597637"/>
    <w:rsid w:val="155B282E"/>
    <w:rsid w:val="155B515D"/>
    <w:rsid w:val="155D7127"/>
    <w:rsid w:val="155E0782"/>
    <w:rsid w:val="155E69FB"/>
    <w:rsid w:val="15670DD1"/>
    <w:rsid w:val="156A35F2"/>
    <w:rsid w:val="1573515B"/>
    <w:rsid w:val="157601E9"/>
    <w:rsid w:val="157D3607"/>
    <w:rsid w:val="158C3568"/>
    <w:rsid w:val="158F225A"/>
    <w:rsid w:val="1594066F"/>
    <w:rsid w:val="15941D70"/>
    <w:rsid w:val="1598015F"/>
    <w:rsid w:val="15AD04C1"/>
    <w:rsid w:val="15B060DD"/>
    <w:rsid w:val="15B50D11"/>
    <w:rsid w:val="15B900D5"/>
    <w:rsid w:val="15BB2A37"/>
    <w:rsid w:val="15BB5BFB"/>
    <w:rsid w:val="15BF393E"/>
    <w:rsid w:val="15C54AC9"/>
    <w:rsid w:val="15D078F9"/>
    <w:rsid w:val="15D1541F"/>
    <w:rsid w:val="15D22960"/>
    <w:rsid w:val="15E211F7"/>
    <w:rsid w:val="15E96C0C"/>
    <w:rsid w:val="15F0776C"/>
    <w:rsid w:val="15F35395"/>
    <w:rsid w:val="15FA463D"/>
    <w:rsid w:val="15FD6214"/>
    <w:rsid w:val="16082E04"/>
    <w:rsid w:val="160D26F5"/>
    <w:rsid w:val="16147D9B"/>
    <w:rsid w:val="16163175"/>
    <w:rsid w:val="16175EE7"/>
    <w:rsid w:val="161A5018"/>
    <w:rsid w:val="161B669A"/>
    <w:rsid w:val="161B7A15"/>
    <w:rsid w:val="161C1F83"/>
    <w:rsid w:val="162419F3"/>
    <w:rsid w:val="162C08A7"/>
    <w:rsid w:val="162C3563"/>
    <w:rsid w:val="16300397"/>
    <w:rsid w:val="16353C00"/>
    <w:rsid w:val="16354792"/>
    <w:rsid w:val="163F4A7E"/>
    <w:rsid w:val="16556050"/>
    <w:rsid w:val="165C118C"/>
    <w:rsid w:val="165F6ECF"/>
    <w:rsid w:val="16604C7B"/>
    <w:rsid w:val="1660788A"/>
    <w:rsid w:val="166149F5"/>
    <w:rsid w:val="166B13D0"/>
    <w:rsid w:val="1673312F"/>
    <w:rsid w:val="168635CD"/>
    <w:rsid w:val="16953304"/>
    <w:rsid w:val="16976811"/>
    <w:rsid w:val="169F551D"/>
    <w:rsid w:val="16A10D7E"/>
    <w:rsid w:val="16A86180"/>
    <w:rsid w:val="16A91EF8"/>
    <w:rsid w:val="16AA639C"/>
    <w:rsid w:val="16AB0B68"/>
    <w:rsid w:val="16AF66B2"/>
    <w:rsid w:val="16B04577"/>
    <w:rsid w:val="16B425B9"/>
    <w:rsid w:val="16B44623"/>
    <w:rsid w:val="16BD3D30"/>
    <w:rsid w:val="16C11378"/>
    <w:rsid w:val="16C32BE5"/>
    <w:rsid w:val="16C90EC2"/>
    <w:rsid w:val="16CC5916"/>
    <w:rsid w:val="16CE51CA"/>
    <w:rsid w:val="16D57191"/>
    <w:rsid w:val="16D74CB7"/>
    <w:rsid w:val="16D9538A"/>
    <w:rsid w:val="16DC051F"/>
    <w:rsid w:val="16E41182"/>
    <w:rsid w:val="16E701B4"/>
    <w:rsid w:val="16EA17B8"/>
    <w:rsid w:val="16ED0036"/>
    <w:rsid w:val="16ED6288"/>
    <w:rsid w:val="16F2564D"/>
    <w:rsid w:val="16F83A74"/>
    <w:rsid w:val="16F92E7F"/>
    <w:rsid w:val="16FF1ACF"/>
    <w:rsid w:val="17035AAC"/>
    <w:rsid w:val="170759C5"/>
    <w:rsid w:val="170A4468"/>
    <w:rsid w:val="17147CB9"/>
    <w:rsid w:val="17161C69"/>
    <w:rsid w:val="17167FED"/>
    <w:rsid w:val="17176842"/>
    <w:rsid w:val="17231CAA"/>
    <w:rsid w:val="17233804"/>
    <w:rsid w:val="172427CA"/>
    <w:rsid w:val="17285513"/>
    <w:rsid w:val="172A560C"/>
    <w:rsid w:val="172B0B5F"/>
    <w:rsid w:val="1732013F"/>
    <w:rsid w:val="17325833"/>
    <w:rsid w:val="17347CCD"/>
    <w:rsid w:val="1739327C"/>
    <w:rsid w:val="173A1679"/>
    <w:rsid w:val="173C2D6C"/>
    <w:rsid w:val="174228BB"/>
    <w:rsid w:val="174C228E"/>
    <w:rsid w:val="174F1DAC"/>
    <w:rsid w:val="17577BA6"/>
    <w:rsid w:val="175E2CE2"/>
    <w:rsid w:val="17635A05"/>
    <w:rsid w:val="1767428D"/>
    <w:rsid w:val="17732C32"/>
    <w:rsid w:val="17753D7C"/>
    <w:rsid w:val="17760616"/>
    <w:rsid w:val="177C13BA"/>
    <w:rsid w:val="177C760C"/>
    <w:rsid w:val="178A1D29"/>
    <w:rsid w:val="178C3CF3"/>
    <w:rsid w:val="178C5AA1"/>
    <w:rsid w:val="179233DD"/>
    <w:rsid w:val="17967879"/>
    <w:rsid w:val="179901BE"/>
    <w:rsid w:val="179E2B81"/>
    <w:rsid w:val="179E3A27"/>
    <w:rsid w:val="179E7583"/>
    <w:rsid w:val="17A7636F"/>
    <w:rsid w:val="17A776A1"/>
    <w:rsid w:val="17A80401"/>
    <w:rsid w:val="17AC1CA0"/>
    <w:rsid w:val="17B1375A"/>
    <w:rsid w:val="17B91CC2"/>
    <w:rsid w:val="17C7349B"/>
    <w:rsid w:val="17CB05F3"/>
    <w:rsid w:val="17D204C8"/>
    <w:rsid w:val="17D46F83"/>
    <w:rsid w:val="17D82A95"/>
    <w:rsid w:val="17E01949"/>
    <w:rsid w:val="17E23913"/>
    <w:rsid w:val="17E56F60"/>
    <w:rsid w:val="17E7646C"/>
    <w:rsid w:val="17EC0950"/>
    <w:rsid w:val="17F65611"/>
    <w:rsid w:val="17F90C5D"/>
    <w:rsid w:val="17FB2C27"/>
    <w:rsid w:val="17FF2717"/>
    <w:rsid w:val="18041ADC"/>
    <w:rsid w:val="18057602"/>
    <w:rsid w:val="180A2E6A"/>
    <w:rsid w:val="181100BF"/>
    <w:rsid w:val="181141F9"/>
    <w:rsid w:val="18144605"/>
    <w:rsid w:val="181817DB"/>
    <w:rsid w:val="181A30AD"/>
    <w:rsid w:val="181B5077"/>
    <w:rsid w:val="181B6E25"/>
    <w:rsid w:val="181C16C5"/>
    <w:rsid w:val="181C7800"/>
    <w:rsid w:val="181E2472"/>
    <w:rsid w:val="1820543E"/>
    <w:rsid w:val="182145DD"/>
    <w:rsid w:val="1822771A"/>
    <w:rsid w:val="182757CA"/>
    <w:rsid w:val="18280A8E"/>
    <w:rsid w:val="183028D1"/>
    <w:rsid w:val="18381785"/>
    <w:rsid w:val="18383533"/>
    <w:rsid w:val="183F5345"/>
    <w:rsid w:val="184A7980"/>
    <w:rsid w:val="184F5194"/>
    <w:rsid w:val="18504D21"/>
    <w:rsid w:val="18516CFD"/>
    <w:rsid w:val="18553913"/>
    <w:rsid w:val="185C1918"/>
    <w:rsid w:val="18615571"/>
    <w:rsid w:val="18665705"/>
    <w:rsid w:val="18721093"/>
    <w:rsid w:val="187B771C"/>
    <w:rsid w:val="187C6677"/>
    <w:rsid w:val="187D72C6"/>
    <w:rsid w:val="187F1162"/>
    <w:rsid w:val="18820C52"/>
    <w:rsid w:val="18836C66"/>
    <w:rsid w:val="18846779"/>
    <w:rsid w:val="18866995"/>
    <w:rsid w:val="18871757"/>
    <w:rsid w:val="18887223"/>
    <w:rsid w:val="188B5D59"/>
    <w:rsid w:val="188D7D23"/>
    <w:rsid w:val="18910E95"/>
    <w:rsid w:val="18967F87"/>
    <w:rsid w:val="189A2440"/>
    <w:rsid w:val="189C1D14"/>
    <w:rsid w:val="189D783A"/>
    <w:rsid w:val="18A4506D"/>
    <w:rsid w:val="18A575F7"/>
    <w:rsid w:val="18A64941"/>
    <w:rsid w:val="18AD6E63"/>
    <w:rsid w:val="18AE37F5"/>
    <w:rsid w:val="18B122FA"/>
    <w:rsid w:val="18B40E51"/>
    <w:rsid w:val="18B74DA0"/>
    <w:rsid w:val="18B8339B"/>
    <w:rsid w:val="18BC23B6"/>
    <w:rsid w:val="18BD4F9A"/>
    <w:rsid w:val="18C42B32"/>
    <w:rsid w:val="18D212F9"/>
    <w:rsid w:val="18D72D4C"/>
    <w:rsid w:val="18E66D77"/>
    <w:rsid w:val="18E722AD"/>
    <w:rsid w:val="18ED6A14"/>
    <w:rsid w:val="18EE0096"/>
    <w:rsid w:val="18EE62E8"/>
    <w:rsid w:val="18EF0616"/>
    <w:rsid w:val="18EF6677"/>
    <w:rsid w:val="18F77CFC"/>
    <w:rsid w:val="18FB5CC4"/>
    <w:rsid w:val="18FF1D76"/>
    <w:rsid w:val="19040E9E"/>
    <w:rsid w:val="19120228"/>
    <w:rsid w:val="191311B8"/>
    <w:rsid w:val="1917300C"/>
    <w:rsid w:val="19202945"/>
    <w:rsid w:val="19213B4A"/>
    <w:rsid w:val="192561AE"/>
    <w:rsid w:val="192E299C"/>
    <w:rsid w:val="193006AE"/>
    <w:rsid w:val="1930193F"/>
    <w:rsid w:val="19377C8F"/>
    <w:rsid w:val="193E726F"/>
    <w:rsid w:val="193F7D58"/>
    <w:rsid w:val="19404D95"/>
    <w:rsid w:val="19405F4F"/>
    <w:rsid w:val="1941206D"/>
    <w:rsid w:val="19434185"/>
    <w:rsid w:val="194A5652"/>
    <w:rsid w:val="194B54E8"/>
    <w:rsid w:val="19540841"/>
    <w:rsid w:val="19556C0B"/>
    <w:rsid w:val="19575C3B"/>
    <w:rsid w:val="196315DB"/>
    <w:rsid w:val="19707CE6"/>
    <w:rsid w:val="19762565"/>
    <w:rsid w:val="1977314F"/>
    <w:rsid w:val="1977452F"/>
    <w:rsid w:val="19856C4C"/>
    <w:rsid w:val="19865256"/>
    <w:rsid w:val="19873C1D"/>
    <w:rsid w:val="19874772"/>
    <w:rsid w:val="19923117"/>
    <w:rsid w:val="199306BA"/>
    <w:rsid w:val="199E69B0"/>
    <w:rsid w:val="19A0192B"/>
    <w:rsid w:val="19A05834"/>
    <w:rsid w:val="19A31463"/>
    <w:rsid w:val="19AF3B81"/>
    <w:rsid w:val="19B04509"/>
    <w:rsid w:val="19B412DF"/>
    <w:rsid w:val="19B968F6"/>
    <w:rsid w:val="19C71013"/>
    <w:rsid w:val="19CD414F"/>
    <w:rsid w:val="19D13844"/>
    <w:rsid w:val="19D41982"/>
    <w:rsid w:val="19D61256"/>
    <w:rsid w:val="19E14816"/>
    <w:rsid w:val="19E716B5"/>
    <w:rsid w:val="19E971DB"/>
    <w:rsid w:val="19EB2693"/>
    <w:rsid w:val="19EC5694"/>
    <w:rsid w:val="19ED50A0"/>
    <w:rsid w:val="19F3005A"/>
    <w:rsid w:val="19F33CB9"/>
    <w:rsid w:val="19FD2C86"/>
    <w:rsid w:val="1A037B71"/>
    <w:rsid w:val="1A0A0EFF"/>
    <w:rsid w:val="1A0E6C42"/>
    <w:rsid w:val="1A1104E0"/>
    <w:rsid w:val="1A136F0E"/>
    <w:rsid w:val="1A182A48"/>
    <w:rsid w:val="1A1B474E"/>
    <w:rsid w:val="1A1D08EB"/>
    <w:rsid w:val="1A1F2BFD"/>
    <w:rsid w:val="1A22449B"/>
    <w:rsid w:val="1A25488B"/>
    <w:rsid w:val="1A2C531A"/>
    <w:rsid w:val="1A2E721A"/>
    <w:rsid w:val="1A2F0966"/>
    <w:rsid w:val="1A313F02"/>
    <w:rsid w:val="1A362AA5"/>
    <w:rsid w:val="1A3F329F"/>
    <w:rsid w:val="1A434330"/>
    <w:rsid w:val="1A440A74"/>
    <w:rsid w:val="1A450189"/>
    <w:rsid w:val="1A473F02"/>
    <w:rsid w:val="1A491A28"/>
    <w:rsid w:val="1A577219"/>
    <w:rsid w:val="1A5B598A"/>
    <w:rsid w:val="1A5D54D3"/>
    <w:rsid w:val="1A5D6A3F"/>
    <w:rsid w:val="1A606D71"/>
    <w:rsid w:val="1A6940BC"/>
    <w:rsid w:val="1A6E3C55"/>
    <w:rsid w:val="1A7016AA"/>
    <w:rsid w:val="1A7B1DFD"/>
    <w:rsid w:val="1A7C5F3D"/>
    <w:rsid w:val="1A7D44BD"/>
    <w:rsid w:val="1A822408"/>
    <w:rsid w:val="1A83719D"/>
    <w:rsid w:val="1A89276C"/>
    <w:rsid w:val="1A8962C8"/>
    <w:rsid w:val="1A8C55EC"/>
    <w:rsid w:val="1A8C60A2"/>
    <w:rsid w:val="1A903AFB"/>
    <w:rsid w:val="1A976C37"/>
    <w:rsid w:val="1A98475D"/>
    <w:rsid w:val="1A98650B"/>
    <w:rsid w:val="1A9C249F"/>
    <w:rsid w:val="1A9C78A1"/>
    <w:rsid w:val="1A9D6217"/>
    <w:rsid w:val="1A9F3D3E"/>
    <w:rsid w:val="1AA17AB6"/>
    <w:rsid w:val="1AA43102"/>
    <w:rsid w:val="1AAD4CB7"/>
    <w:rsid w:val="1AAE3F81"/>
    <w:rsid w:val="1AB33345"/>
    <w:rsid w:val="1AB518B2"/>
    <w:rsid w:val="1AB66952"/>
    <w:rsid w:val="1AB772D9"/>
    <w:rsid w:val="1ABA7CDE"/>
    <w:rsid w:val="1ABD1C31"/>
    <w:rsid w:val="1ABD41C4"/>
    <w:rsid w:val="1AC11F06"/>
    <w:rsid w:val="1AC25486"/>
    <w:rsid w:val="1AC47300"/>
    <w:rsid w:val="1ACE56DF"/>
    <w:rsid w:val="1AD80FFE"/>
    <w:rsid w:val="1ADA6E0F"/>
    <w:rsid w:val="1AE16104"/>
    <w:rsid w:val="1AEE0821"/>
    <w:rsid w:val="1AF01D0B"/>
    <w:rsid w:val="1AF226AD"/>
    <w:rsid w:val="1AF37BE5"/>
    <w:rsid w:val="1AF4654F"/>
    <w:rsid w:val="1AF851FC"/>
    <w:rsid w:val="1AFC6A9A"/>
    <w:rsid w:val="1AFF2662"/>
    <w:rsid w:val="1B024856"/>
    <w:rsid w:val="1B080CFE"/>
    <w:rsid w:val="1B1B7DAF"/>
    <w:rsid w:val="1B1C7C04"/>
    <w:rsid w:val="1B244243"/>
    <w:rsid w:val="1B252495"/>
    <w:rsid w:val="1B253440"/>
    <w:rsid w:val="1B267FBB"/>
    <w:rsid w:val="1B28610D"/>
    <w:rsid w:val="1B28788F"/>
    <w:rsid w:val="1B2A3C6F"/>
    <w:rsid w:val="1B2E6E70"/>
    <w:rsid w:val="1B334486"/>
    <w:rsid w:val="1B3501FE"/>
    <w:rsid w:val="1B39216B"/>
    <w:rsid w:val="1B39686C"/>
    <w:rsid w:val="1B3A75C2"/>
    <w:rsid w:val="1B3B1CB8"/>
    <w:rsid w:val="1B3D1C0A"/>
    <w:rsid w:val="1B475841"/>
    <w:rsid w:val="1B487F31"/>
    <w:rsid w:val="1B4B17D0"/>
    <w:rsid w:val="1B55353E"/>
    <w:rsid w:val="1B593EEC"/>
    <w:rsid w:val="1B6034CD"/>
    <w:rsid w:val="1B662AAD"/>
    <w:rsid w:val="1B6B1E72"/>
    <w:rsid w:val="1B734D5C"/>
    <w:rsid w:val="1B742AD4"/>
    <w:rsid w:val="1B754A9E"/>
    <w:rsid w:val="1B824429"/>
    <w:rsid w:val="1B8B6070"/>
    <w:rsid w:val="1B8C565B"/>
    <w:rsid w:val="1B94128E"/>
    <w:rsid w:val="1B970EB9"/>
    <w:rsid w:val="1B982ED9"/>
    <w:rsid w:val="1B98309D"/>
    <w:rsid w:val="1B9E3FF5"/>
    <w:rsid w:val="1B9F38C9"/>
    <w:rsid w:val="1BA15893"/>
    <w:rsid w:val="1BA15EFF"/>
    <w:rsid w:val="1BA55384"/>
    <w:rsid w:val="1BAC167D"/>
    <w:rsid w:val="1BAF4735"/>
    <w:rsid w:val="1BC04A26"/>
    <w:rsid w:val="1BC62475"/>
    <w:rsid w:val="1BD14E8A"/>
    <w:rsid w:val="1BD9300C"/>
    <w:rsid w:val="1BDB3120"/>
    <w:rsid w:val="1BDB584F"/>
    <w:rsid w:val="1BE340FE"/>
    <w:rsid w:val="1BE35EAC"/>
    <w:rsid w:val="1BE539D2"/>
    <w:rsid w:val="1BE53E44"/>
    <w:rsid w:val="1BE834C2"/>
    <w:rsid w:val="1C026332"/>
    <w:rsid w:val="1C073948"/>
    <w:rsid w:val="1C0960D8"/>
    <w:rsid w:val="1C136791"/>
    <w:rsid w:val="1C171D4E"/>
    <w:rsid w:val="1C183DA8"/>
    <w:rsid w:val="1C200EAE"/>
    <w:rsid w:val="1C201EF0"/>
    <w:rsid w:val="1C274BD2"/>
    <w:rsid w:val="1C2A7637"/>
    <w:rsid w:val="1C2E0A67"/>
    <w:rsid w:val="1C3310EC"/>
    <w:rsid w:val="1C335730"/>
    <w:rsid w:val="1C346708"/>
    <w:rsid w:val="1C384865"/>
    <w:rsid w:val="1C395ACC"/>
    <w:rsid w:val="1C403F9F"/>
    <w:rsid w:val="1C4E7894"/>
    <w:rsid w:val="1C560CED"/>
    <w:rsid w:val="1C576AE9"/>
    <w:rsid w:val="1C5C2227"/>
    <w:rsid w:val="1C5E7FF7"/>
    <w:rsid w:val="1C67332C"/>
    <w:rsid w:val="1C7301C8"/>
    <w:rsid w:val="1C7C1EB6"/>
    <w:rsid w:val="1C8E5E18"/>
    <w:rsid w:val="1C923F69"/>
    <w:rsid w:val="1C93375D"/>
    <w:rsid w:val="1C954CD6"/>
    <w:rsid w:val="1C986C96"/>
    <w:rsid w:val="1CAC31A1"/>
    <w:rsid w:val="1CAF5FA7"/>
    <w:rsid w:val="1CB6582C"/>
    <w:rsid w:val="1CC15A71"/>
    <w:rsid w:val="1CC17F9B"/>
    <w:rsid w:val="1CC7132A"/>
    <w:rsid w:val="1CC96E50"/>
    <w:rsid w:val="1CCB2BC8"/>
    <w:rsid w:val="1CCE2E4F"/>
    <w:rsid w:val="1CCF3AA2"/>
    <w:rsid w:val="1CD04682"/>
    <w:rsid w:val="1CD13F56"/>
    <w:rsid w:val="1CD86382"/>
    <w:rsid w:val="1CE4012E"/>
    <w:rsid w:val="1CE76D4F"/>
    <w:rsid w:val="1CEE07C3"/>
    <w:rsid w:val="1CF6743A"/>
    <w:rsid w:val="1CF77E61"/>
    <w:rsid w:val="1CF87735"/>
    <w:rsid w:val="1D0165EA"/>
    <w:rsid w:val="1D0674BF"/>
    <w:rsid w:val="1D0B1216"/>
    <w:rsid w:val="1D0F4F11"/>
    <w:rsid w:val="1D13456F"/>
    <w:rsid w:val="1D190631"/>
    <w:rsid w:val="1D256673"/>
    <w:rsid w:val="1D2A5666"/>
    <w:rsid w:val="1D2B7B0B"/>
    <w:rsid w:val="1D2E3157"/>
    <w:rsid w:val="1D322C47"/>
    <w:rsid w:val="1D372DB2"/>
    <w:rsid w:val="1D3938CE"/>
    <w:rsid w:val="1D40420F"/>
    <w:rsid w:val="1D48081E"/>
    <w:rsid w:val="1D4B1F5B"/>
    <w:rsid w:val="1D4E55A7"/>
    <w:rsid w:val="1D57445C"/>
    <w:rsid w:val="1D5A1AD5"/>
    <w:rsid w:val="1D5A219E"/>
    <w:rsid w:val="1D5D48F4"/>
    <w:rsid w:val="1D5F5A06"/>
    <w:rsid w:val="1D666D95"/>
    <w:rsid w:val="1D721295"/>
    <w:rsid w:val="1D7738EA"/>
    <w:rsid w:val="1D7B2840"/>
    <w:rsid w:val="1D8B2357"/>
    <w:rsid w:val="1D8E7F6E"/>
    <w:rsid w:val="1D9456B0"/>
    <w:rsid w:val="1D9B4C90"/>
    <w:rsid w:val="1DA33B45"/>
    <w:rsid w:val="1DA55279"/>
    <w:rsid w:val="1DA67191"/>
    <w:rsid w:val="1DAA4ED3"/>
    <w:rsid w:val="1DB624A5"/>
    <w:rsid w:val="1DC51D0D"/>
    <w:rsid w:val="1DCB4E4A"/>
    <w:rsid w:val="1DCC309C"/>
    <w:rsid w:val="1DF0665E"/>
    <w:rsid w:val="1DF71875"/>
    <w:rsid w:val="1DFB128B"/>
    <w:rsid w:val="1E05035C"/>
    <w:rsid w:val="1E062937"/>
    <w:rsid w:val="1E0F4D36"/>
    <w:rsid w:val="1E126935"/>
    <w:rsid w:val="1E152B49"/>
    <w:rsid w:val="1E197963"/>
    <w:rsid w:val="1E1D56A5"/>
    <w:rsid w:val="1E2307E2"/>
    <w:rsid w:val="1E256308"/>
    <w:rsid w:val="1E2E3FC6"/>
    <w:rsid w:val="1E2F67FD"/>
    <w:rsid w:val="1E3576CC"/>
    <w:rsid w:val="1E366767"/>
    <w:rsid w:val="1E370E0A"/>
    <w:rsid w:val="1E380731"/>
    <w:rsid w:val="1E403142"/>
    <w:rsid w:val="1E4075E6"/>
    <w:rsid w:val="1E420718"/>
    <w:rsid w:val="1E4A5D6E"/>
    <w:rsid w:val="1E51534F"/>
    <w:rsid w:val="1E5310C7"/>
    <w:rsid w:val="1E546BED"/>
    <w:rsid w:val="1E5F0FCE"/>
    <w:rsid w:val="1E611101"/>
    <w:rsid w:val="1E676920"/>
    <w:rsid w:val="1E696B3C"/>
    <w:rsid w:val="1E6A4611"/>
    <w:rsid w:val="1E6B1006"/>
    <w:rsid w:val="1E6C03DB"/>
    <w:rsid w:val="1E6E5F01"/>
    <w:rsid w:val="1E733D65"/>
    <w:rsid w:val="1E780B2E"/>
    <w:rsid w:val="1E780F3D"/>
    <w:rsid w:val="1E7A16BA"/>
    <w:rsid w:val="1E7B3054"/>
    <w:rsid w:val="1E7E3C6A"/>
    <w:rsid w:val="1E7F39EB"/>
    <w:rsid w:val="1E82430E"/>
    <w:rsid w:val="1E863E28"/>
    <w:rsid w:val="1E890F8D"/>
    <w:rsid w:val="1E910415"/>
    <w:rsid w:val="1E94348E"/>
    <w:rsid w:val="1E9A6CF6"/>
    <w:rsid w:val="1E9B001D"/>
    <w:rsid w:val="1E9F144C"/>
    <w:rsid w:val="1E9F430C"/>
    <w:rsid w:val="1EA01E32"/>
    <w:rsid w:val="1EA731C1"/>
    <w:rsid w:val="1EAE291C"/>
    <w:rsid w:val="1EAF2075"/>
    <w:rsid w:val="1EB51D82"/>
    <w:rsid w:val="1EB83620"/>
    <w:rsid w:val="1EBA3E4F"/>
    <w:rsid w:val="1EBD4792"/>
    <w:rsid w:val="1EC02DEE"/>
    <w:rsid w:val="1ECC2C27"/>
    <w:rsid w:val="1ECE2873"/>
    <w:rsid w:val="1ED02718"/>
    <w:rsid w:val="1ED12C54"/>
    <w:rsid w:val="1EDA17E8"/>
    <w:rsid w:val="1EDC5E47"/>
    <w:rsid w:val="1EE85FD9"/>
    <w:rsid w:val="1EFA3A95"/>
    <w:rsid w:val="1EFA7794"/>
    <w:rsid w:val="1F0A515A"/>
    <w:rsid w:val="1F0B7BF4"/>
    <w:rsid w:val="1F0E4FEE"/>
    <w:rsid w:val="1F152820"/>
    <w:rsid w:val="1F197261"/>
    <w:rsid w:val="1F23657A"/>
    <w:rsid w:val="1F264A2D"/>
    <w:rsid w:val="1F2B3DF2"/>
    <w:rsid w:val="1F334A54"/>
    <w:rsid w:val="1F374545"/>
    <w:rsid w:val="1F3C3740"/>
    <w:rsid w:val="1F470500"/>
    <w:rsid w:val="1F4D3D68"/>
    <w:rsid w:val="1F4E5E2B"/>
    <w:rsid w:val="1F5D7D23"/>
    <w:rsid w:val="1F617814"/>
    <w:rsid w:val="1F621CE1"/>
    <w:rsid w:val="1F6966C8"/>
    <w:rsid w:val="1F8429BD"/>
    <w:rsid w:val="1F890B18"/>
    <w:rsid w:val="1F8D23B7"/>
    <w:rsid w:val="1F923E71"/>
    <w:rsid w:val="1F9336CE"/>
    <w:rsid w:val="1F95570F"/>
    <w:rsid w:val="1F996889"/>
    <w:rsid w:val="1F9B480F"/>
    <w:rsid w:val="1FA6661C"/>
    <w:rsid w:val="1FAD4807"/>
    <w:rsid w:val="1FAD6B4E"/>
    <w:rsid w:val="1FB02549"/>
    <w:rsid w:val="1FB9474C"/>
    <w:rsid w:val="1FB9730F"/>
    <w:rsid w:val="1FBA6F24"/>
    <w:rsid w:val="1FBB493B"/>
    <w:rsid w:val="1FBE53A3"/>
    <w:rsid w:val="1FC97281"/>
    <w:rsid w:val="1FCC0CA9"/>
    <w:rsid w:val="1FD3446B"/>
    <w:rsid w:val="1FD3789B"/>
    <w:rsid w:val="1FD44489"/>
    <w:rsid w:val="1FD75BF2"/>
    <w:rsid w:val="1FD91AA0"/>
    <w:rsid w:val="1FDA1374"/>
    <w:rsid w:val="1FDE0E64"/>
    <w:rsid w:val="1FE47C93"/>
    <w:rsid w:val="1FE52611"/>
    <w:rsid w:val="1FE7674F"/>
    <w:rsid w:val="1FE81CE3"/>
    <w:rsid w:val="1FF71F26"/>
    <w:rsid w:val="1FFC646D"/>
    <w:rsid w:val="20012DA5"/>
    <w:rsid w:val="20014B53"/>
    <w:rsid w:val="200D1749"/>
    <w:rsid w:val="20120B0E"/>
    <w:rsid w:val="20144886"/>
    <w:rsid w:val="20161930"/>
    <w:rsid w:val="202244C0"/>
    <w:rsid w:val="20234AC9"/>
    <w:rsid w:val="20286583"/>
    <w:rsid w:val="202C7E22"/>
    <w:rsid w:val="20336B1C"/>
    <w:rsid w:val="20337402"/>
    <w:rsid w:val="20365311"/>
    <w:rsid w:val="20367D75"/>
    <w:rsid w:val="203B62B7"/>
    <w:rsid w:val="203E7B55"/>
    <w:rsid w:val="204038CD"/>
    <w:rsid w:val="204131A1"/>
    <w:rsid w:val="20435C16"/>
    <w:rsid w:val="204D1B46"/>
    <w:rsid w:val="20521EA0"/>
    <w:rsid w:val="20586E69"/>
    <w:rsid w:val="205904EB"/>
    <w:rsid w:val="205D447F"/>
    <w:rsid w:val="205E01F7"/>
    <w:rsid w:val="20670E5A"/>
    <w:rsid w:val="206C2914"/>
    <w:rsid w:val="206F45A5"/>
    <w:rsid w:val="207033FB"/>
    <w:rsid w:val="207500F4"/>
    <w:rsid w:val="20774389"/>
    <w:rsid w:val="20781906"/>
    <w:rsid w:val="207B66B3"/>
    <w:rsid w:val="207C615F"/>
    <w:rsid w:val="2080016D"/>
    <w:rsid w:val="20887022"/>
    <w:rsid w:val="20895A1F"/>
    <w:rsid w:val="208A3AF0"/>
    <w:rsid w:val="20933A75"/>
    <w:rsid w:val="20967991"/>
    <w:rsid w:val="209B6D55"/>
    <w:rsid w:val="209F6845"/>
    <w:rsid w:val="20A1302F"/>
    <w:rsid w:val="20A35C0A"/>
    <w:rsid w:val="20A51982"/>
    <w:rsid w:val="20A91472"/>
    <w:rsid w:val="20AA0CE3"/>
    <w:rsid w:val="20AF0D9B"/>
    <w:rsid w:val="20B45378"/>
    <w:rsid w:val="20B7429F"/>
    <w:rsid w:val="20B94C39"/>
    <w:rsid w:val="20B971DB"/>
    <w:rsid w:val="20BE7EF7"/>
    <w:rsid w:val="20BF58DF"/>
    <w:rsid w:val="20C07E7A"/>
    <w:rsid w:val="20C84600"/>
    <w:rsid w:val="20C938C2"/>
    <w:rsid w:val="20CC6F0F"/>
    <w:rsid w:val="20D01EE9"/>
    <w:rsid w:val="20D14525"/>
    <w:rsid w:val="20D44015"/>
    <w:rsid w:val="20DF30E6"/>
    <w:rsid w:val="20E34258"/>
    <w:rsid w:val="20E56222"/>
    <w:rsid w:val="20E83ABC"/>
    <w:rsid w:val="20E97AC1"/>
    <w:rsid w:val="20F93B48"/>
    <w:rsid w:val="20FE449A"/>
    <w:rsid w:val="2100305C"/>
    <w:rsid w:val="21005A13"/>
    <w:rsid w:val="21022930"/>
    <w:rsid w:val="21031D54"/>
    <w:rsid w:val="210448FA"/>
    <w:rsid w:val="21050673"/>
    <w:rsid w:val="2107759F"/>
    <w:rsid w:val="210A48F8"/>
    <w:rsid w:val="2115138E"/>
    <w:rsid w:val="2115671A"/>
    <w:rsid w:val="211605E1"/>
    <w:rsid w:val="211C60D5"/>
    <w:rsid w:val="212705E9"/>
    <w:rsid w:val="212B146E"/>
    <w:rsid w:val="212E5E1B"/>
    <w:rsid w:val="21325624"/>
    <w:rsid w:val="21337B47"/>
    <w:rsid w:val="21355D04"/>
    <w:rsid w:val="213B2764"/>
    <w:rsid w:val="213D22F1"/>
    <w:rsid w:val="213D23B6"/>
    <w:rsid w:val="2145042F"/>
    <w:rsid w:val="214B194C"/>
    <w:rsid w:val="21585B26"/>
    <w:rsid w:val="2158623E"/>
    <w:rsid w:val="215C64E4"/>
    <w:rsid w:val="215E3DEE"/>
    <w:rsid w:val="215E44A7"/>
    <w:rsid w:val="215F3F86"/>
    <w:rsid w:val="216361B0"/>
    <w:rsid w:val="216830DB"/>
    <w:rsid w:val="216B3E44"/>
    <w:rsid w:val="216B56D2"/>
    <w:rsid w:val="21717AB6"/>
    <w:rsid w:val="217A23C3"/>
    <w:rsid w:val="217C6B87"/>
    <w:rsid w:val="21821CC3"/>
    <w:rsid w:val="21867A05"/>
    <w:rsid w:val="21894314"/>
    <w:rsid w:val="21907007"/>
    <w:rsid w:val="21920158"/>
    <w:rsid w:val="21920880"/>
    <w:rsid w:val="21957C48"/>
    <w:rsid w:val="219C2D85"/>
    <w:rsid w:val="21A108CB"/>
    <w:rsid w:val="21AB1B98"/>
    <w:rsid w:val="21B24356"/>
    <w:rsid w:val="21B77BBF"/>
    <w:rsid w:val="21BA145D"/>
    <w:rsid w:val="21BF0821"/>
    <w:rsid w:val="21BF3F6C"/>
    <w:rsid w:val="21BF4CC5"/>
    <w:rsid w:val="21C260D3"/>
    <w:rsid w:val="21C61599"/>
    <w:rsid w:val="21CC3CDF"/>
    <w:rsid w:val="21CF11D0"/>
    <w:rsid w:val="21D06ED2"/>
    <w:rsid w:val="21D818E3"/>
    <w:rsid w:val="21DD6EFA"/>
    <w:rsid w:val="21E035E5"/>
    <w:rsid w:val="21E07116"/>
    <w:rsid w:val="21E27404"/>
    <w:rsid w:val="21EA7F94"/>
    <w:rsid w:val="21EF55AB"/>
    <w:rsid w:val="21F25FEA"/>
    <w:rsid w:val="21FD6D7A"/>
    <w:rsid w:val="220646A2"/>
    <w:rsid w:val="220B1BC2"/>
    <w:rsid w:val="22114641"/>
    <w:rsid w:val="22121299"/>
    <w:rsid w:val="22137F08"/>
    <w:rsid w:val="221A3813"/>
    <w:rsid w:val="222608A0"/>
    <w:rsid w:val="222A0391"/>
    <w:rsid w:val="222A6B96"/>
    <w:rsid w:val="22307955"/>
    <w:rsid w:val="22324A09"/>
    <w:rsid w:val="2235037E"/>
    <w:rsid w:val="223E29CA"/>
    <w:rsid w:val="22401962"/>
    <w:rsid w:val="22411897"/>
    <w:rsid w:val="22433110"/>
    <w:rsid w:val="22435E3E"/>
    <w:rsid w:val="22460F43"/>
    <w:rsid w:val="224A27E1"/>
    <w:rsid w:val="224F429B"/>
    <w:rsid w:val="22563A79"/>
    <w:rsid w:val="22592A24"/>
    <w:rsid w:val="22596EC8"/>
    <w:rsid w:val="22602004"/>
    <w:rsid w:val="2262669D"/>
    <w:rsid w:val="22627DAF"/>
    <w:rsid w:val="22655067"/>
    <w:rsid w:val="22673393"/>
    <w:rsid w:val="22684985"/>
    <w:rsid w:val="226E2973"/>
    <w:rsid w:val="22743D02"/>
    <w:rsid w:val="22806203"/>
    <w:rsid w:val="22813D29"/>
    <w:rsid w:val="228757E3"/>
    <w:rsid w:val="228A0E2F"/>
    <w:rsid w:val="228C2DF9"/>
    <w:rsid w:val="228D26CE"/>
    <w:rsid w:val="22995516"/>
    <w:rsid w:val="229E75EE"/>
    <w:rsid w:val="22AB3233"/>
    <w:rsid w:val="22B660C8"/>
    <w:rsid w:val="22B8599C"/>
    <w:rsid w:val="22BB4743"/>
    <w:rsid w:val="22BD1205"/>
    <w:rsid w:val="22C34341"/>
    <w:rsid w:val="22CB76A0"/>
    <w:rsid w:val="22D02771"/>
    <w:rsid w:val="22D402FC"/>
    <w:rsid w:val="22D4654E"/>
    <w:rsid w:val="22D5515C"/>
    <w:rsid w:val="22E20907"/>
    <w:rsid w:val="22E22A19"/>
    <w:rsid w:val="22E52653"/>
    <w:rsid w:val="22E5535D"/>
    <w:rsid w:val="22E948D4"/>
    <w:rsid w:val="22EF5A2B"/>
    <w:rsid w:val="22F8048F"/>
    <w:rsid w:val="22F83FEB"/>
    <w:rsid w:val="22F97417"/>
    <w:rsid w:val="22F97D63"/>
    <w:rsid w:val="22FF2F22"/>
    <w:rsid w:val="22FF7A6F"/>
    <w:rsid w:val="2303104A"/>
    <w:rsid w:val="23046E34"/>
    <w:rsid w:val="2309444A"/>
    <w:rsid w:val="230E1A60"/>
    <w:rsid w:val="231177A3"/>
    <w:rsid w:val="231774AE"/>
    <w:rsid w:val="23226D27"/>
    <w:rsid w:val="232272BA"/>
    <w:rsid w:val="232D371B"/>
    <w:rsid w:val="232F64FC"/>
    <w:rsid w:val="232F76C9"/>
    <w:rsid w:val="233012E3"/>
    <w:rsid w:val="23362D65"/>
    <w:rsid w:val="233B56AD"/>
    <w:rsid w:val="233D1CF0"/>
    <w:rsid w:val="233D2346"/>
    <w:rsid w:val="23400177"/>
    <w:rsid w:val="23403BE4"/>
    <w:rsid w:val="23447230"/>
    <w:rsid w:val="23461B9F"/>
    <w:rsid w:val="23496F3C"/>
    <w:rsid w:val="234E1A6D"/>
    <w:rsid w:val="23515DF1"/>
    <w:rsid w:val="23626302"/>
    <w:rsid w:val="23694EE9"/>
    <w:rsid w:val="236A0C62"/>
    <w:rsid w:val="236C13D9"/>
    <w:rsid w:val="236D6760"/>
    <w:rsid w:val="236E69A3"/>
    <w:rsid w:val="23700025"/>
    <w:rsid w:val="23711FEF"/>
    <w:rsid w:val="2372299A"/>
    <w:rsid w:val="23760F5B"/>
    <w:rsid w:val="2378337E"/>
    <w:rsid w:val="237C16B0"/>
    <w:rsid w:val="237C661D"/>
    <w:rsid w:val="237D439E"/>
    <w:rsid w:val="2380128E"/>
    <w:rsid w:val="2383244E"/>
    <w:rsid w:val="23835E99"/>
    <w:rsid w:val="23847F75"/>
    <w:rsid w:val="2385066C"/>
    <w:rsid w:val="23871813"/>
    <w:rsid w:val="23874E71"/>
    <w:rsid w:val="23906919"/>
    <w:rsid w:val="23907664"/>
    <w:rsid w:val="23914D1B"/>
    <w:rsid w:val="239C52BE"/>
    <w:rsid w:val="23A0431E"/>
    <w:rsid w:val="23A221A9"/>
    <w:rsid w:val="23A579AE"/>
    <w:rsid w:val="23AE7537"/>
    <w:rsid w:val="23B5012E"/>
    <w:rsid w:val="23B75C54"/>
    <w:rsid w:val="23B853F0"/>
    <w:rsid w:val="23BA2425"/>
    <w:rsid w:val="23BB04AF"/>
    <w:rsid w:val="23BC14BC"/>
    <w:rsid w:val="23C06BC8"/>
    <w:rsid w:val="23C12F77"/>
    <w:rsid w:val="23C164F1"/>
    <w:rsid w:val="23D20CE0"/>
    <w:rsid w:val="23D700A4"/>
    <w:rsid w:val="23DB14C5"/>
    <w:rsid w:val="23DF1942"/>
    <w:rsid w:val="23E422FF"/>
    <w:rsid w:val="23E822B1"/>
    <w:rsid w:val="23EF6A23"/>
    <w:rsid w:val="23F362E5"/>
    <w:rsid w:val="23F5117A"/>
    <w:rsid w:val="23FA64AA"/>
    <w:rsid w:val="240370EB"/>
    <w:rsid w:val="24066BDB"/>
    <w:rsid w:val="24084C18"/>
    <w:rsid w:val="240E783E"/>
    <w:rsid w:val="24172EB7"/>
    <w:rsid w:val="242249C6"/>
    <w:rsid w:val="24247062"/>
    <w:rsid w:val="24262DDA"/>
    <w:rsid w:val="24381A9C"/>
    <w:rsid w:val="24455956"/>
    <w:rsid w:val="2455546D"/>
    <w:rsid w:val="24572F93"/>
    <w:rsid w:val="245B6F27"/>
    <w:rsid w:val="245E07C6"/>
    <w:rsid w:val="245F009A"/>
    <w:rsid w:val="246A716A"/>
    <w:rsid w:val="246F27F5"/>
    <w:rsid w:val="246F652F"/>
    <w:rsid w:val="2472601F"/>
    <w:rsid w:val="24766199"/>
    <w:rsid w:val="247B4ED4"/>
    <w:rsid w:val="248339FB"/>
    <w:rsid w:val="2483647E"/>
    <w:rsid w:val="24892FA4"/>
    <w:rsid w:val="2497134E"/>
    <w:rsid w:val="249965E0"/>
    <w:rsid w:val="249E6AF6"/>
    <w:rsid w:val="24A73F1B"/>
    <w:rsid w:val="24AC3B92"/>
    <w:rsid w:val="24BB5C18"/>
    <w:rsid w:val="24BE19A8"/>
    <w:rsid w:val="24BE3012"/>
    <w:rsid w:val="24BE6297"/>
    <w:rsid w:val="24BE74B6"/>
    <w:rsid w:val="24C04FDC"/>
    <w:rsid w:val="24C06D8A"/>
    <w:rsid w:val="24C31A17"/>
    <w:rsid w:val="24D42836"/>
    <w:rsid w:val="24D6035C"/>
    <w:rsid w:val="24DB0068"/>
    <w:rsid w:val="24DC60AB"/>
    <w:rsid w:val="24DE1906"/>
    <w:rsid w:val="24E054D7"/>
    <w:rsid w:val="24E422B9"/>
    <w:rsid w:val="24E52E55"/>
    <w:rsid w:val="24E567F1"/>
    <w:rsid w:val="24E76A0D"/>
    <w:rsid w:val="24F00B4F"/>
    <w:rsid w:val="24F133E8"/>
    <w:rsid w:val="24F20F0E"/>
    <w:rsid w:val="24F66C50"/>
    <w:rsid w:val="24F67EBF"/>
    <w:rsid w:val="250177AF"/>
    <w:rsid w:val="250550E5"/>
    <w:rsid w:val="25070E5D"/>
    <w:rsid w:val="250C5C83"/>
    <w:rsid w:val="250D0E48"/>
    <w:rsid w:val="250E05A3"/>
    <w:rsid w:val="250F1AC0"/>
    <w:rsid w:val="25115838"/>
    <w:rsid w:val="25135768"/>
    <w:rsid w:val="2517003B"/>
    <w:rsid w:val="25180974"/>
    <w:rsid w:val="251A0B90"/>
    <w:rsid w:val="251B2213"/>
    <w:rsid w:val="251B66B7"/>
    <w:rsid w:val="251C63B0"/>
    <w:rsid w:val="251D6422"/>
    <w:rsid w:val="25257535"/>
    <w:rsid w:val="252D7E52"/>
    <w:rsid w:val="252E1F46"/>
    <w:rsid w:val="252F2E19"/>
    <w:rsid w:val="252F3F10"/>
    <w:rsid w:val="25323DC4"/>
    <w:rsid w:val="253E73EE"/>
    <w:rsid w:val="2540611D"/>
    <w:rsid w:val="25423AAB"/>
    <w:rsid w:val="25434C5E"/>
    <w:rsid w:val="25442DC3"/>
    <w:rsid w:val="255319AC"/>
    <w:rsid w:val="255418A8"/>
    <w:rsid w:val="25553977"/>
    <w:rsid w:val="25592D3B"/>
    <w:rsid w:val="255D282B"/>
    <w:rsid w:val="256040C9"/>
    <w:rsid w:val="256E7CC8"/>
    <w:rsid w:val="25710085"/>
    <w:rsid w:val="258E0BB3"/>
    <w:rsid w:val="258E0C37"/>
    <w:rsid w:val="25943308"/>
    <w:rsid w:val="25981AB5"/>
    <w:rsid w:val="259B711F"/>
    <w:rsid w:val="25A246E2"/>
    <w:rsid w:val="25A5087C"/>
    <w:rsid w:val="25B73564"/>
    <w:rsid w:val="25C7239A"/>
    <w:rsid w:val="25CB59E7"/>
    <w:rsid w:val="25D16D75"/>
    <w:rsid w:val="25D43A4F"/>
    <w:rsid w:val="25D54AB7"/>
    <w:rsid w:val="25D845A8"/>
    <w:rsid w:val="25D87C9C"/>
    <w:rsid w:val="25DB3C35"/>
    <w:rsid w:val="25DF22A8"/>
    <w:rsid w:val="25DF5602"/>
    <w:rsid w:val="25E1520A"/>
    <w:rsid w:val="25E92311"/>
    <w:rsid w:val="25ED4D74"/>
    <w:rsid w:val="25EE6204"/>
    <w:rsid w:val="25F2111F"/>
    <w:rsid w:val="25F81110"/>
    <w:rsid w:val="25F969F8"/>
    <w:rsid w:val="25FF1B34"/>
    <w:rsid w:val="260333D3"/>
    <w:rsid w:val="260337BB"/>
    <w:rsid w:val="26084E8D"/>
    <w:rsid w:val="260C02FD"/>
    <w:rsid w:val="260E7FC9"/>
    <w:rsid w:val="26103D41"/>
    <w:rsid w:val="261750D0"/>
    <w:rsid w:val="261A696E"/>
    <w:rsid w:val="261C26E6"/>
    <w:rsid w:val="26263565"/>
    <w:rsid w:val="262A4E03"/>
    <w:rsid w:val="262E41C8"/>
    <w:rsid w:val="26331035"/>
    <w:rsid w:val="26332E9A"/>
    <w:rsid w:val="2634680F"/>
    <w:rsid w:val="264071ED"/>
    <w:rsid w:val="26487037"/>
    <w:rsid w:val="264B2FCC"/>
    <w:rsid w:val="264F328F"/>
    <w:rsid w:val="264F6618"/>
    <w:rsid w:val="265064E5"/>
    <w:rsid w:val="2652435A"/>
    <w:rsid w:val="265C6F87"/>
    <w:rsid w:val="265D2254"/>
    <w:rsid w:val="266165C3"/>
    <w:rsid w:val="26633E71"/>
    <w:rsid w:val="26661BB3"/>
    <w:rsid w:val="2666570F"/>
    <w:rsid w:val="26667E05"/>
    <w:rsid w:val="2668592C"/>
    <w:rsid w:val="266A4FF8"/>
    <w:rsid w:val="266B47A1"/>
    <w:rsid w:val="266D2F42"/>
    <w:rsid w:val="2674607E"/>
    <w:rsid w:val="26790D02"/>
    <w:rsid w:val="267E4D71"/>
    <w:rsid w:val="26812549"/>
    <w:rsid w:val="268362C1"/>
    <w:rsid w:val="268A7650"/>
    <w:rsid w:val="268D5392"/>
    <w:rsid w:val="26920923"/>
    <w:rsid w:val="2694227D"/>
    <w:rsid w:val="269975E3"/>
    <w:rsid w:val="26A37B9C"/>
    <w:rsid w:val="26A54C67"/>
    <w:rsid w:val="26AF70B6"/>
    <w:rsid w:val="26B7240F"/>
    <w:rsid w:val="26BC7A25"/>
    <w:rsid w:val="26BD472B"/>
    <w:rsid w:val="26BE72FA"/>
    <w:rsid w:val="26C8461C"/>
    <w:rsid w:val="26CD1C32"/>
    <w:rsid w:val="26CE45BA"/>
    <w:rsid w:val="26D27249"/>
    <w:rsid w:val="26E34FB2"/>
    <w:rsid w:val="26E8081A"/>
    <w:rsid w:val="26ED22C2"/>
    <w:rsid w:val="26F471BF"/>
    <w:rsid w:val="26F61189"/>
    <w:rsid w:val="26FB67A0"/>
    <w:rsid w:val="2705317A"/>
    <w:rsid w:val="270A69E3"/>
    <w:rsid w:val="27101A29"/>
    <w:rsid w:val="27174C5C"/>
    <w:rsid w:val="27194B8A"/>
    <w:rsid w:val="271E423C"/>
    <w:rsid w:val="27206206"/>
    <w:rsid w:val="27231852"/>
    <w:rsid w:val="272870CA"/>
    <w:rsid w:val="272E0923"/>
    <w:rsid w:val="27315D1D"/>
    <w:rsid w:val="273830D5"/>
    <w:rsid w:val="27466343"/>
    <w:rsid w:val="27475541"/>
    <w:rsid w:val="27495A23"/>
    <w:rsid w:val="274D0515"/>
    <w:rsid w:val="274F2647"/>
    <w:rsid w:val="275005D7"/>
    <w:rsid w:val="27531FA3"/>
    <w:rsid w:val="27547C5E"/>
    <w:rsid w:val="2758774E"/>
    <w:rsid w:val="275B4584"/>
    <w:rsid w:val="27675BE3"/>
    <w:rsid w:val="276A7481"/>
    <w:rsid w:val="276B3F3A"/>
    <w:rsid w:val="276C31F9"/>
    <w:rsid w:val="27700695"/>
    <w:rsid w:val="27710810"/>
    <w:rsid w:val="27750300"/>
    <w:rsid w:val="27767BD4"/>
    <w:rsid w:val="27787DF0"/>
    <w:rsid w:val="27873B8F"/>
    <w:rsid w:val="27896E59"/>
    <w:rsid w:val="278972A9"/>
    <w:rsid w:val="278A18D2"/>
    <w:rsid w:val="27910EB2"/>
    <w:rsid w:val="27912C60"/>
    <w:rsid w:val="279567AB"/>
    <w:rsid w:val="27AC5CEC"/>
    <w:rsid w:val="27B27BBE"/>
    <w:rsid w:val="27BA7103"/>
    <w:rsid w:val="27BA7E30"/>
    <w:rsid w:val="27BF5A1F"/>
    <w:rsid w:val="27C178CF"/>
    <w:rsid w:val="27C2106B"/>
    <w:rsid w:val="27C3016B"/>
    <w:rsid w:val="27C76682"/>
    <w:rsid w:val="27C84BBE"/>
    <w:rsid w:val="27CA2B44"/>
    <w:rsid w:val="27CB6172"/>
    <w:rsid w:val="27D731F5"/>
    <w:rsid w:val="27D94C4A"/>
    <w:rsid w:val="27DD7C53"/>
    <w:rsid w:val="27E15995"/>
    <w:rsid w:val="27E40050"/>
    <w:rsid w:val="27E50111"/>
    <w:rsid w:val="27F03E2A"/>
    <w:rsid w:val="27F07987"/>
    <w:rsid w:val="27F136FF"/>
    <w:rsid w:val="27F447DE"/>
    <w:rsid w:val="27F66382"/>
    <w:rsid w:val="28082B24"/>
    <w:rsid w:val="28110E64"/>
    <w:rsid w:val="28122CFF"/>
    <w:rsid w:val="28153891"/>
    <w:rsid w:val="28177514"/>
    <w:rsid w:val="28177609"/>
    <w:rsid w:val="28191ACE"/>
    <w:rsid w:val="281D62A2"/>
    <w:rsid w:val="28212236"/>
    <w:rsid w:val="28227B42"/>
    <w:rsid w:val="28267BD1"/>
    <w:rsid w:val="282835C4"/>
    <w:rsid w:val="2829733C"/>
    <w:rsid w:val="282B6C11"/>
    <w:rsid w:val="282D2989"/>
    <w:rsid w:val="282F4641"/>
    <w:rsid w:val="283E523E"/>
    <w:rsid w:val="283F446A"/>
    <w:rsid w:val="284460E4"/>
    <w:rsid w:val="28461C9C"/>
    <w:rsid w:val="28475245"/>
    <w:rsid w:val="28485A15"/>
    <w:rsid w:val="284B72B3"/>
    <w:rsid w:val="285048C9"/>
    <w:rsid w:val="2852419D"/>
    <w:rsid w:val="28551EE0"/>
    <w:rsid w:val="285D08F3"/>
    <w:rsid w:val="285D2B42"/>
    <w:rsid w:val="28620159"/>
    <w:rsid w:val="28643ED1"/>
    <w:rsid w:val="286A598B"/>
    <w:rsid w:val="286B525F"/>
    <w:rsid w:val="287632C7"/>
    <w:rsid w:val="2878077C"/>
    <w:rsid w:val="288307FB"/>
    <w:rsid w:val="288822B5"/>
    <w:rsid w:val="288B3B53"/>
    <w:rsid w:val="288B5901"/>
    <w:rsid w:val="289C25C7"/>
    <w:rsid w:val="289C690F"/>
    <w:rsid w:val="28A349F9"/>
    <w:rsid w:val="28B27CA3"/>
    <w:rsid w:val="28B37BA6"/>
    <w:rsid w:val="28B5297E"/>
    <w:rsid w:val="28B9421C"/>
    <w:rsid w:val="28BA1D43"/>
    <w:rsid w:val="28BA5189"/>
    <w:rsid w:val="28C01A4F"/>
    <w:rsid w:val="28C42612"/>
    <w:rsid w:val="28C60BC2"/>
    <w:rsid w:val="28C6741D"/>
    <w:rsid w:val="28CC03F4"/>
    <w:rsid w:val="28D04EA7"/>
    <w:rsid w:val="28DA6B17"/>
    <w:rsid w:val="28DB23E5"/>
    <w:rsid w:val="28DD687E"/>
    <w:rsid w:val="28DE3C83"/>
    <w:rsid w:val="28EA7C43"/>
    <w:rsid w:val="28EC5824"/>
    <w:rsid w:val="28ED2BF2"/>
    <w:rsid w:val="28F568D6"/>
    <w:rsid w:val="28F83DC7"/>
    <w:rsid w:val="28FE60D3"/>
    <w:rsid w:val="290336EA"/>
    <w:rsid w:val="290556B4"/>
    <w:rsid w:val="29095FDB"/>
    <w:rsid w:val="29114058"/>
    <w:rsid w:val="29154BC6"/>
    <w:rsid w:val="29191116"/>
    <w:rsid w:val="29197BC1"/>
    <w:rsid w:val="291C3D58"/>
    <w:rsid w:val="29210AC9"/>
    <w:rsid w:val="292F0982"/>
    <w:rsid w:val="292F1BEB"/>
    <w:rsid w:val="293164A9"/>
    <w:rsid w:val="29345C93"/>
    <w:rsid w:val="29347D47"/>
    <w:rsid w:val="293C183B"/>
    <w:rsid w:val="293E2974"/>
    <w:rsid w:val="294011B3"/>
    <w:rsid w:val="2940493E"/>
    <w:rsid w:val="294213D2"/>
    <w:rsid w:val="294311F5"/>
    <w:rsid w:val="29453D02"/>
    <w:rsid w:val="294E56DF"/>
    <w:rsid w:val="294F2DD3"/>
    <w:rsid w:val="2953641F"/>
    <w:rsid w:val="29582EF0"/>
    <w:rsid w:val="295B1778"/>
    <w:rsid w:val="295E3560"/>
    <w:rsid w:val="29606D8E"/>
    <w:rsid w:val="29613FA7"/>
    <w:rsid w:val="296419B8"/>
    <w:rsid w:val="2973544C"/>
    <w:rsid w:val="29756479"/>
    <w:rsid w:val="297939AC"/>
    <w:rsid w:val="297E5591"/>
    <w:rsid w:val="29801A08"/>
    <w:rsid w:val="298365D8"/>
    <w:rsid w:val="29851D94"/>
    <w:rsid w:val="2987256D"/>
    <w:rsid w:val="29890093"/>
    <w:rsid w:val="29910CF5"/>
    <w:rsid w:val="29944834"/>
    <w:rsid w:val="2996731B"/>
    <w:rsid w:val="299A404E"/>
    <w:rsid w:val="29A033F0"/>
    <w:rsid w:val="29A7676B"/>
    <w:rsid w:val="29A9038D"/>
    <w:rsid w:val="29AD788C"/>
    <w:rsid w:val="29AF561F"/>
    <w:rsid w:val="29B11398"/>
    <w:rsid w:val="29B669AE"/>
    <w:rsid w:val="29BB3FC4"/>
    <w:rsid w:val="29C015DB"/>
    <w:rsid w:val="29C54E43"/>
    <w:rsid w:val="29CB06AB"/>
    <w:rsid w:val="29CB5C04"/>
    <w:rsid w:val="29CE019B"/>
    <w:rsid w:val="29D86924"/>
    <w:rsid w:val="29DA6B40"/>
    <w:rsid w:val="29DB01C2"/>
    <w:rsid w:val="29E11C7D"/>
    <w:rsid w:val="29E57DBC"/>
    <w:rsid w:val="29E7300B"/>
    <w:rsid w:val="29E80F54"/>
    <w:rsid w:val="29F714A0"/>
    <w:rsid w:val="29F80D74"/>
    <w:rsid w:val="29F86FC6"/>
    <w:rsid w:val="29FF77DC"/>
    <w:rsid w:val="2A145412"/>
    <w:rsid w:val="2A1B4A63"/>
    <w:rsid w:val="2A1B583C"/>
    <w:rsid w:val="2A1D189D"/>
    <w:rsid w:val="2A2D4EC2"/>
    <w:rsid w:val="2A42536F"/>
    <w:rsid w:val="2A4346E5"/>
    <w:rsid w:val="2A44045E"/>
    <w:rsid w:val="2A455ED8"/>
    <w:rsid w:val="2A4734EC"/>
    <w:rsid w:val="2A482C60"/>
    <w:rsid w:val="2A4D466A"/>
    <w:rsid w:val="2A4E6BE6"/>
    <w:rsid w:val="2A53244F"/>
    <w:rsid w:val="2A537700"/>
    <w:rsid w:val="2A5561C7"/>
    <w:rsid w:val="2A557F75"/>
    <w:rsid w:val="2A5F3376"/>
    <w:rsid w:val="2A635D9A"/>
    <w:rsid w:val="2A6C7005"/>
    <w:rsid w:val="2A7F3244"/>
    <w:rsid w:val="2A816FBC"/>
    <w:rsid w:val="2A823751"/>
    <w:rsid w:val="2A9071FF"/>
    <w:rsid w:val="2A9074E1"/>
    <w:rsid w:val="2A924D25"/>
    <w:rsid w:val="2A942B0C"/>
    <w:rsid w:val="2A944F41"/>
    <w:rsid w:val="2A9652C2"/>
    <w:rsid w:val="2A994305"/>
    <w:rsid w:val="2A9D36CA"/>
    <w:rsid w:val="2AA131BA"/>
    <w:rsid w:val="2AA13343"/>
    <w:rsid w:val="2AAF56F4"/>
    <w:rsid w:val="2ABA427C"/>
    <w:rsid w:val="2AC60E73"/>
    <w:rsid w:val="2AC82E3D"/>
    <w:rsid w:val="2AC944BF"/>
    <w:rsid w:val="2ACB0237"/>
    <w:rsid w:val="2ACB72AC"/>
    <w:rsid w:val="2AD510B6"/>
    <w:rsid w:val="2AD76BDC"/>
    <w:rsid w:val="2AD924CA"/>
    <w:rsid w:val="2AE82B97"/>
    <w:rsid w:val="2AED28A3"/>
    <w:rsid w:val="2AF8625E"/>
    <w:rsid w:val="2AF92FF6"/>
    <w:rsid w:val="2B0674C1"/>
    <w:rsid w:val="2B0A6FB1"/>
    <w:rsid w:val="2B0C1970"/>
    <w:rsid w:val="2B0D4CF3"/>
    <w:rsid w:val="2B0F45C8"/>
    <w:rsid w:val="2B1C4F36"/>
    <w:rsid w:val="2B1E0CAF"/>
    <w:rsid w:val="2B235515"/>
    <w:rsid w:val="2B2D4A4E"/>
    <w:rsid w:val="2B2F6A18"/>
    <w:rsid w:val="2B32247C"/>
    <w:rsid w:val="2B373B1E"/>
    <w:rsid w:val="2B392D73"/>
    <w:rsid w:val="2B3B74A1"/>
    <w:rsid w:val="2B3E4EAD"/>
    <w:rsid w:val="2B3E6C5B"/>
    <w:rsid w:val="2B3F207C"/>
    <w:rsid w:val="2B3F2232"/>
    <w:rsid w:val="2B3F2B94"/>
    <w:rsid w:val="2B411E0D"/>
    <w:rsid w:val="2B4D50F0"/>
    <w:rsid w:val="2B4D6E9E"/>
    <w:rsid w:val="2B4F0E68"/>
    <w:rsid w:val="2B507D30"/>
    <w:rsid w:val="2B514BE0"/>
    <w:rsid w:val="2B546A3B"/>
    <w:rsid w:val="2B5534AE"/>
    <w:rsid w:val="2B5621F6"/>
    <w:rsid w:val="2B595843"/>
    <w:rsid w:val="2B5D5D69"/>
    <w:rsid w:val="2B67502E"/>
    <w:rsid w:val="2B6A5CA2"/>
    <w:rsid w:val="2B6C7799"/>
    <w:rsid w:val="2B737EB9"/>
    <w:rsid w:val="2B747632"/>
    <w:rsid w:val="2B7663F5"/>
    <w:rsid w:val="2B776CD1"/>
    <w:rsid w:val="2B7A2B6D"/>
    <w:rsid w:val="2B7D7162"/>
    <w:rsid w:val="2B7E5CB2"/>
    <w:rsid w:val="2B8C3863"/>
    <w:rsid w:val="2B8E7BE2"/>
    <w:rsid w:val="2B8F74B6"/>
    <w:rsid w:val="2B980A61"/>
    <w:rsid w:val="2B991AB0"/>
    <w:rsid w:val="2B9D7E25"/>
    <w:rsid w:val="2BA016C4"/>
    <w:rsid w:val="2BA967CA"/>
    <w:rsid w:val="2BAA2542"/>
    <w:rsid w:val="2BAF7B59"/>
    <w:rsid w:val="2BB331A5"/>
    <w:rsid w:val="2BB459FD"/>
    <w:rsid w:val="2BB77950"/>
    <w:rsid w:val="2BBE24DE"/>
    <w:rsid w:val="2BBF5E5B"/>
    <w:rsid w:val="2BCA042B"/>
    <w:rsid w:val="2BCE4483"/>
    <w:rsid w:val="2BD17256"/>
    <w:rsid w:val="2BD414DD"/>
    <w:rsid w:val="2BE66E1E"/>
    <w:rsid w:val="2BE912BD"/>
    <w:rsid w:val="2BE9306B"/>
    <w:rsid w:val="2BE930E3"/>
    <w:rsid w:val="2BEE60A6"/>
    <w:rsid w:val="2BF24EE6"/>
    <w:rsid w:val="2BF44DCD"/>
    <w:rsid w:val="2BF65788"/>
    <w:rsid w:val="2C0559CB"/>
    <w:rsid w:val="2C0A4D8F"/>
    <w:rsid w:val="2C0B23D8"/>
    <w:rsid w:val="2C131E96"/>
    <w:rsid w:val="2C165FD6"/>
    <w:rsid w:val="2C194D6A"/>
    <w:rsid w:val="2C1A1476"/>
    <w:rsid w:val="2C1B6F9C"/>
    <w:rsid w:val="2C22785F"/>
    <w:rsid w:val="2C277F89"/>
    <w:rsid w:val="2C2959EE"/>
    <w:rsid w:val="2C3E5171"/>
    <w:rsid w:val="2C3F0EDD"/>
    <w:rsid w:val="2C3F2C8B"/>
    <w:rsid w:val="2C416A03"/>
    <w:rsid w:val="2C491D5B"/>
    <w:rsid w:val="2C4E7372"/>
    <w:rsid w:val="2C536973"/>
    <w:rsid w:val="2C5524AE"/>
    <w:rsid w:val="2C55425C"/>
    <w:rsid w:val="2C671380"/>
    <w:rsid w:val="2C723060"/>
    <w:rsid w:val="2C7E7560"/>
    <w:rsid w:val="2C7E7C57"/>
    <w:rsid w:val="2C82701B"/>
    <w:rsid w:val="2C886DDD"/>
    <w:rsid w:val="2C891ED6"/>
    <w:rsid w:val="2C8F3E83"/>
    <w:rsid w:val="2C90798A"/>
    <w:rsid w:val="2C991F13"/>
    <w:rsid w:val="2CA156F3"/>
    <w:rsid w:val="2CAB3B93"/>
    <w:rsid w:val="2CAB6572"/>
    <w:rsid w:val="2CB52F4D"/>
    <w:rsid w:val="2CB847EB"/>
    <w:rsid w:val="2CBE62A5"/>
    <w:rsid w:val="2CC50F38"/>
    <w:rsid w:val="2CC80ED2"/>
    <w:rsid w:val="2CC94C06"/>
    <w:rsid w:val="2CC97DA0"/>
    <w:rsid w:val="2CCA2E9C"/>
    <w:rsid w:val="2CCF0CFF"/>
    <w:rsid w:val="2CD53BBC"/>
    <w:rsid w:val="2CD930DF"/>
    <w:rsid w:val="2CDA6E57"/>
    <w:rsid w:val="2CDC65BC"/>
    <w:rsid w:val="2CDC672B"/>
    <w:rsid w:val="2CE257DF"/>
    <w:rsid w:val="2CEA709A"/>
    <w:rsid w:val="2CED6B8B"/>
    <w:rsid w:val="2CFB12A7"/>
    <w:rsid w:val="2CFE66A2"/>
    <w:rsid w:val="2D0363AE"/>
    <w:rsid w:val="2D036FA6"/>
    <w:rsid w:val="2D095047"/>
    <w:rsid w:val="2D0A6704"/>
    <w:rsid w:val="2D0D36B6"/>
    <w:rsid w:val="2D19172E"/>
    <w:rsid w:val="2D212671"/>
    <w:rsid w:val="2D297497"/>
    <w:rsid w:val="2D30634A"/>
    <w:rsid w:val="2D3B19FD"/>
    <w:rsid w:val="2D3C541C"/>
    <w:rsid w:val="2D3E18A3"/>
    <w:rsid w:val="2D410C84"/>
    <w:rsid w:val="2D4367AA"/>
    <w:rsid w:val="2D4A18E7"/>
    <w:rsid w:val="2D4D7629"/>
    <w:rsid w:val="2D526117"/>
    <w:rsid w:val="2D5664DE"/>
    <w:rsid w:val="2D595FCE"/>
    <w:rsid w:val="2D5E1836"/>
    <w:rsid w:val="2D616C31"/>
    <w:rsid w:val="2D630BFB"/>
    <w:rsid w:val="2D697572"/>
    <w:rsid w:val="2D6C1689"/>
    <w:rsid w:val="2D6F134E"/>
    <w:rsid w:val="2D7068B0"/>
    <w:rsid w:val="2D71156A"/>
    <w:rsid w:val="2D742E08"/>
    <w:rsid w:val="2D7746A6"/>
    <w:rsid w:val="2D7805F1"/>
    <w:rsid w:val="2D806BDB"/>
    <w:rsid w:val="2D8172D3"/>
    <w:rsid w:val="2D840162"/>
    <w:rsid w:val="2D88240F"/>
    <w:rsid w:val="2D897BF3"/>
    <w:rsid w:val="2D8C6BD5"/>
    <w:rsid w:val="2D8D7A26"/>
    <w:rsid w:val="2D8E1F75"/>
    <w:rsid w:val="2D931734"/>
    <w:rsid w:val="2D992479"/>
    <w:rsid w:val="2D9B65E7"/>
    <w:rsid w:val="2DA15B6B"/>
    <w:rsid w:val="2DA36B51"/>
    <w:rsid w:val="2DA57465"/>
    <w:rsid w:val="2DB11966"/>
    <w:rsid w:val="2DB14845"/>
    <w:rsid w:val="2DB56DA0"/>
    <w:rsid w:val="2DB9081B"/>
    <w:rsid w:val="2DC25921"/>
    <w:rsid w:val="2DC6679F"/>
    <w:rsid w:val="2DCC0037"/>
    <w:rsid w:val="2DCC2C44"/>
    <w:rsid w:val="2DD11DF2"/>
    <w:rsid w:val="2DDC24EF"/>
    <w:rsid w:val="2DDF0EFF"/>
    <w:rsid w:val="2DDF2977"/>
    <w:rsid w:val="2DEB77E7"/>
    <w:rsid w:val="2DED299B"/>
    <w:rsid w:val="2DF0305C"/>
    <w:rsid w:val="2DF85E7D"/>
    <w:rsid w:val="2DFD104F"/>
    <w:rsid w:val="2E045F3A"/>
    <w:rsid w:val="2E09248B"/>
    <w:rsid w:val="2E196FF0"/>
    <w:rsid w:val="2E1F0FC6"/>
    <w:rsid w:val="2E1F500D"/>
    <w:rsid w:val="2E2658A8"/>
    <w:rsid w:val="2E2A1718"/>
    <w:rsid w:val="2E351701"/>
    <w:rsid w:val="2E3734F7"/>
    <w:rsid w:val="2E383E35"/>
    <w:rsid w:val="2E3A4F0F"/>
    <w:rsid w:val="2E400F3C"/>
    <w:rsid w:val="2E405D27"/>
    <w:rsid w:val="2E4C76DD"/>
    <w:rsid w:val="2E50117F"/>
    <w:rsid w:val="2E545937"/>
    <w:rsid w:val="2E615640"/>
    <w:rsid w:val="2E627104"/>
    <w:rsid w:val="2E673D9C"/>
    <w:rsid w:val="2E6828E8"/>
    <w:rsid w:val="2E6E5AA9"/>
    <w:rsid w:val="2E783F54"/>
    <w:rsid w:val="2E7C01C6"/>
    <w:rsid w:val="2E7D7A9A"/>
    <w:rsid w:val="2E8157DC"/>
    <w:rsid w:val="2E851C21"/>
    <w:rsid w:val="2E870919"/>
    <w:rsid w:val="2E8B49D1"/>
    <w:rsid w:val="2E8C4181"/>
    <w:rsid w:val="2E8F7BFD"/>
    <w:rsid w:val="2E953036"/>
    <w:rsid w:val="2E9A28EC"/>
    <w:rsid w:val="2E9C6069"/>
    <w:rsid w:val="2E9F3EB4"/>
    <w:rsid w:val="2E9F6AD3"/>
    <w:rsid w:val="2EA27501"/>
    <w:rsid w:val="2EA36628"/>
    <w:rsid w:val="2EA367EC"/>
    <w:rsid w:val="2EA96AE1"/>
    <w:rsid w:val="2EAE2349"/>
    <w:rsid w:val="2EB97CA5"/>
    <w:rsid w:val="2EC2677C"/>
    <w:rsid w:val="2EC35DF5"/>
    <w:rsid w:val="2EC91E34"/>
    <w:rsid w:val="2ED6247B"/>
    <w:rsid w:val="2EE26297"/>
    <w:rsid w:val="2EE66FE0"/>
    <w:rsid w:val="2EED10C4"/>
    <w:rsid w:val="2EF17594"/>
    <w:rsid w:val="2EF53AD4"/>
    <w:rsid w:val="2EF568F9"/>
    <w:rsid w:val="2EFF2EEF"/>
    <w:rsid w:val="2F1274EF"/>
    <w:rsid w:val="2F157F78"/>
    <w:rsid w:val="2F1D70ED"/>
    <w:rsid w:val="2F295782"/>
    <w:rsid w:val="2F2B24C1"/>
    <w:rsid w:val="2F2C1714"/>
    <w:rsid w:val="2F2F348A"/>
    <w:rsid w:val="2F337E9A"/>
    <w:rsid w:val="2F3564EE"/>
    <w:rsid w:val="2F364819"/>
    <w:rsid w:val="2F4131BE"/>
    <w:rsid w:val="2F4F58DB"/>
    <w:rsid w:val="2F570620"/>
    <w:rsid w:val="2F586FE4"/>
    <w:rsid w:val="2F590507"/>
    <w:rsid w:val="2F631386"/>
    <w:rsid w:val="2F652D29"/>
    <w:rsid w:val="2F6A2714"/>
    <w:rsid w:val="2F6B1FE9"/>
    <w:rsid w:val="2F6B3D97"/>
    <w:rsid w:val="2F6C023B"/>
    <w:rsid w:val="2F6C2DC7"/>
    <w:rsid w:val="2F6F3887"/>
    <w:rsid w:val="2F7D7209"/>
    <w:rsid w:val="2F8310E0"/>
    <w:rsid w:val="2F864569"/>
    <w:rsid w:val="2F875074"/>
    <w:rsid w:val="2F917CA1"/>
    <w:rsid w:val="2F923A19"/>
    <w:rsid w:val="2F94153F"/>
    <w:rsid w:val="2F947791"/>
    <w:rsid w:val="2F982E42"/>
    <w:rsid w:val="2F9F7C08"/>
    <w:rsid w:val="2FA21EAE"/>
    <w:rsid w:val="2FA953FC"/>
    <w:rsid w:val="2FB120F1"/>
    <w:rsid w:val="2FB35E69"/>
    <w:rsid w:val="2FB36704"/>
    <w:rsid w:val="2FB642D1"/>
    <w:rsid w:val="2FBE65BC"/>
    <w:rsid w:val="2FC00586"/>
    <w:rsid w:val="2FC736C3"/>
    <w:rsid w:val="2FD720F4"/>
    <w:rsid w:val="2FE31C96"/>
    <w:rsid w:val="2FE36023"/>
    <w:rsid w:val="2FE37DD1"/>
    <w:rsid w:val="2FE97292"/>
    <w:rsid w:val="2FEB51AF"/>
    <w:rsid w:val="2FF53D49"/>
    <w:rsid w:val="2FFB15BE"/>
    <w:rsid w:val="2FFD5337"/>
    <w:rsid w:val="3007380B"/>
    <w:rsid w:val="30087837"/>
    <w:rsid w:val="300A7A53"/>
    <w:rsid w:val="300F01B1"/>
    <w:rsid w:val="30110DE2"/>
    <w:rsid w:val="301306B6"/>
    <w:rsid w:val="30155912"/>
    <w:rsid w:val="301B3A0F"/>
    <w:rsid w:val="301C3484"/>
    <w:rsid w:val="301E2EA9"/>
    <w:rsid w:val="30274161"/>
    <w:rsid w:val="302C1778"/>
    <w:rsid w:val="302F3016"/>
    <w:rsid w:val="30330D58"/>
    <w:rsid w:val="3034687E"/>
    <w:rsid w:val="303625F7"/>
    <w:rsid w:val="3038011D"/>
    <w:rsid w:val="303960D5"/>
    <w:rsid w:val="304B42F4"/>
    <w:rsid w:val="304C3BC8"/>
    <w:rsid w:val="304E59DB"/>
    <w:rsid w:val="304F5466"/>
    <w:rsid w:val="30536D05"/>
    <w:rsid w:val="30542857"/>
    <w:rsid w:val="3058165E"/>
    <w:rsid w:val="306058C5"/>
    <w:rsid w:val="306C58BD"/>
    <w:rsid w:val="306D4FC5"/>
    <w:rsid w:val="306E3B3E"/>
    <w:rsid w:val="3078676B"/>
    <w:rsid w:val="307B6EF4"/>
    <w:rsid w:val="30843362"/>
    <w:rsid w:val="30872F8E"/>
    <w:rsid w:val="30894E1C"/>
    <w:rsid w:val="308E369B"/>
    <w:rsid w:val="308E5F8F"/>
    <w:rsid w:val="308F639E"/>
    <w:rsid w:val="309C68FD"/>
    <w:rsid w:val="309E2DC2"/>
    <w:rsid w:val="30A04851"/>
    <w:rsid w:val="30AA3AD7"/>
    <w:rsid w:val="30AC28B9"/>
    <w:rsid w:val="30AD1777"/>
    <w:rsid w:val="30B5176D"/>
    <w:rsid w:val="30C406C5"/>
    <w:rsid w:val="30CE346C"/>
    <w:rsid w:val="30D06622"/>
    <w:rsid w:val="30D13ACC"/>
    <w:rsid w:val="30D2475E"/>
    <w:rsid w:val="30D836AE"/>
    <w:rsid w:val="30D97821"/>
    <w:rsid w:val="30DB536D"/>
    <w:rsid w:val="30E91417"/>
    <w:rsid w:val="30E958BB"/>
    <w:rsid w:val="30E97669"/>
    <w:rsid w:val="30EA3353"/>
    <w:rsid w:val="30F06C49"/>
    <w:rsid w:val="30F2169A"/>
    <w:rsid w:val="30F542EC"/>
    <w:rsid w:val="30F5782A"/>
    <w:rsid w:val="30F71D86"/>
    <w:rsid w:val="310027E0"/>
    <w:rsid w:val="3100782B"/>
    <w:rsid w:val="31046251"/>
    <w:rsid w:val="310530BD"/>
    <w:rsid w:val="31093867"/>
    <w:rsid w:val="311100D9"/>
    <w:rsid w:val="31172428"/>
    <w:rsid w:val="311A1F18"/>
    <w:rsid w:val="311A560B"/>
    <w:rsid w:val="311D3DF9"/>
    <w:rsid w:val="311F752F"/>
    <w:rsid w:val="31231879"/>
    <w:rsid w:val="31264419"/>
    <w:rsid w:val="31292053"/>
    <w:rsid w:val="312D57A8"/>
    <w:rsid w:val="31336B36"/>
    <w:rsid w:val="31380A01"/>
    <w:rsid w:val="31384830"/>
    <w:rsid w:val="3140197F"/>
    <w:rsid w:val="31464ABB"/>
    <w:rsid w:val="31466E58"/>
    <w:rsid w:val="31475DF9"/>
    <w:rsid w:val="315471D8"/>
    <w:rsid w:val="315A41CC"/>
    <w:rsid w:val="316513A8"/>
    <w:rsid w:val="316E7B6E"/>
    <w:rsid w:val="316F550D"/>
    <w:rsid w:val="31750EFD"/>
    <w:rsid w:val="31774C75"/>
    <w:rsid w:val="317B6CB8"/>
    <w:rsid w:val="31855377"/>
    <w:rsid w:val="318A1295"/>
    <w:rsid w:val="318C2145"/>
    <w:rsid w:val="318D26EA"/>
    <w:rsid w:val="318D6246"/>
    <w:rsid w:val="318E0B28"/>
    <w:rsid w:val="318F0210"/>
    <w:rsid w:val="319770C5"/>
    <w:rsid w:val="319C7154"/>
    <w:rsid w:val="31A44863"/>
    <w:rsid w:val="31A56934"/>
    <w:rsid w:val="31AA504A"/>
    <w:rsid w:val="31B47C77"/>
    <w:rsid w:val="31B732C3"/>
    <w:rsid w:val="31BB7257"/>
    <w:rsid w:val="31BC6B2B"/>
    <w:rsid w:val="31C03E09"/>
    <w:rsid w:val="31C93D2F"/>
    <w:rsid w:val="31CC1C9D"/>
    <w:rsid w:val="31D125D7"/>
    <w:rsid w:val="31D86C08"/>
    <w:rsid w:val="31DA3488"/>
    <w:rsid w:val="31DD71CE"/>
    <w:rsid w:val="31E85B72"/>
    <w:rsid w:val="31EC2995"/>
    <w:rsid w:val="31EF5153"/>
    <w:rsid w:val="31F03E72"/>
    <w:rsid w:val="31F253EB"/>
    <w:rsid w:val="31F34798"/>
    <w:rsid w:val="31F664E1"/>
    <w:rsid w:val="31F76523"/>
    <w:rsid w:val="31F97D80"/>
    <w:rsid w:val="31FB7654"/>
    <w:rsid w:val="31FD7870"/>
    <w:rsid w:val="31FE5396"/>
    <w:rsid w:val="32024E86"/>
    <w:rsid w:val="32076AC9"/>
    <w:rsid w:val="3212499D"/>
    <w:rsid w:val="32285F6F"/>
    <w:rsid w:val="32333292"/>
    <w:rsid w:val="323B2146"/>
    <w:rsid w:val="323E5792"/>
    <w:rsid w:val="32447FA1"/>
    <w:rsid w:val="3246371D"/>
    <w:rsid w:val="3248142F"/>
    <w:rsid w:val="32534421"/>
    <w:rsid w:val="32566140"/>
    <w:rsid w:val="325757F5"/>
    <w:rsid w:val="32590955"/>
    <w:rsid w:val="32676A97"/>
    <w:rsid w:val="32694A7A"/>
    <w:rsid w:val="326B739A"/>
    <w:rsid w:val="326B7E18"/>
    <w:rsid w:val="32705B18"/>
    <w:rsid w:val="32713DBA"/>
    <w:rsid w:val="3277039E"/>
    <w:rsid w:val="3281224F"/>
    <w:rsid w:val="32843AED"/>
    <w:rsid w:val="32851613"/>
    <w:rsid w:val="3289460C"/>
    <w:rsid w:val="32940B22"/>
    <w:rsid w:val="329B4993"/>
    <w:rsid w:val="32B141B6"/>
    <w:rsid w:val="32B57DB4"/>
    <w:rsid w:val="32B85545"/>
    <w:rsid w:val="32BD0DAD"/>
    <w:rsid w:val="32BF2D77"/>
    <w:rsid w:val="32CB6203"/>
    <w:rsid w:val="32D00AE0"/>
    <w:rsid w:val="32D76116"/>
    <w:rsid w:val="32F62910"/>
    <w:rsid w:val="32F742BF"/>
    <w:rsid w:val="32FD73FC"/>
    <w:rsid w:val="33053CF6"/>
    <w:rsid w:val="330723DC"/>
    <w:rsid w:val="331533CF"/>
    <w:rsid w:val="331A1D5C"/>
    <w:rsid w:val="331C3D26"/>
    <w:rsid w:val="33261CA6"/>
    <w:rsid w:val="33263C60"/>
    <w:rsid w:val="333205FB"/>
    <w:rsid w:val="33370B5F"/>
    <w:rsid w:val="333948D8"/>
    <w:rsid w:val="334119DE"/>
    <w:rsid w:val="33423060"/>
    <w:rsid w:val="33435756"/>
    <w:rsid w:val="334B2CA4"/>
    <w:rsid w:val="33510801"/>
    <w:rsid w:val="33520A10"/>
    <w:rsid w:val="33585C2A"/>
    <w:rsid w:val="335F00B6"/>
    <w:rsid w:val="33605869"/>
    <w:rsid w:val="3362265F"/>
    <w:rsid w:val="336A2CE3"/>
    <w:rsid w:val="336B0809"/>
    <w:rsid w:val="336B25B7"/>
    <w:rsid w:val="336D0FA8"/>
    <w:rsid w:val="33722874"/>
    <w:rsid w:val="33791178"/>
    <w:rsid w:val="338D077F"/>
    <w:rsid w:val="338D4C23"/>
    <w:rsid w:val="338E62A6"/>
    <w:rsid w:val="3392223A"/>
    <w:rsid w:val="33947047"/>
    <w:rsid w:val="339E629E"/>
    <w:rsid w:val="33A04957"/>
    <w:rsid w:val="33A741A9"/>
    <w:rsid w:val="33B43F5E"/>
    <w:rsid w:val="33B815D8"/>
    <w:rsid w:val="33B823B2"/>
    <w:rsid w:val="33B977C6"/>
    <w:rsid w:val="33BA52ED"/>
    <w:rsid w:val="33C63C91"/>
    <w:rsid w:val="33C82C70"/>
    <w:rsid w:val="33CA11F3"/>
    <w:rsid w:val="33CA7042"/>
    <w:rsid w:val="33CE6204"/>
    <w:rsid w:val="33CF0D98"/>
    <w:rsid w:val="33CF5525"/>
    <w:rsid w:val="33D80A95"/>
    <w:rsid w:val="33DA09AC"/>
    <w:rsid w:val="33E07D37"/>
    <w:rsid w:val="33E61723"/>
    <w:rsid w:val="33F048E2"/>
    <w:rsid w:val="33F2678E"/>
    <w:rsid w:val="33F26834"/>
    <w:rsid w:val="33F46A50"/>
    <w:rsid w:val="33F47CAE"/>
    <w:rsid w:val="33F56325"/>
    <w:rsid w:val="33FD7BDF"/>
    <w:rsid w:val="33FE78CF"/>
    <w:rsid w:val="340622E0"/>
    <w:rsid w:val="340824FC"/>
    <w:rsid w:val="34164C19"/>
    <w:rsid w:val="341C014B"/>
    <w:rsid w:val="341D5FA7"/>
    <w:rsid w:val="34236EBD"/>
    <w:rsid w:val="34242CB0"/>
    <w:rsid w:val="342804A8"/>
    <w:rsid w:val="34283DE7"/>
    <w:rsid w:val="342C0CA2"/>
    <w:rsid w:val="3431735D"/>
    <w:rsid w:val="343313EF"/>
    <w:rsid w:val="343668E0"/>
    <w:rsid w:val="343D21A6"/>
    <w:rsid w:val="343E1A7A"/>
    <w:rsid w:val="34410298"/>
    <w:rsid w:val="34433534"/>
    <w:rsid w:val="34473024"/>
    <w:rsid w:val="34474DD2"/>
    <w:rsid w:val="344A16FB"/>
    <w:rsid w:val="344E1C6F"/>
    <w:rsid w:val="345567EF"/>
    <w:rsid w:val="345614B9"/>
    <w:rsid w:val="345751A6"/>
    <w:rsid w:val="345B3646"/>
    <w:rsid w:val="345D2848"/>
    <w:rsid w:val="34617200"/>
    <w:rsid w:val="34735BC7"/>
    <w:rsid w:val="347405A6"/>
    <w:rsid w:val="347B4A7C"/>
    <w:rsid w:val="347C3FD8"/>
    <w:rsid w:val="347D6A46"/>
    <w:rsid w:val="347F36F4"/>
    <w:rsid w:val="34806536"/>
    <w:rsid w:val="348576A9"/>
    <w:rsid w:val="3487053D"/>
    <w:rsid w:val="34877704"/>
    <w:rsid w:val="348A2CD0"/>
    <w:rsid w:val="348C6C89"/>
    <w:rsid w:val="34916D5E"/>
    <w:rsid w:val="349A13A6"/>
    <w:rsid w:val="349D49F2"/>
    <w:rsid w:val="34A0222E"/>
    <w:rsid w:val="34A71D15"/>
    <w:rsid w:val="34A83397"/>
    <w:rsid w:val="34A915E9"/>
    <w:rsid w:val="34AA5967"/>
    <w:rsid w:val="34B047E9"/>
    <w:rsid w:val="34B87EDC"/>
    <w:rsid w:val="34C603ED"/>
    <w:rsid w:val="34C7361A"/>
    <w:rsid w:val="34C75F13"/>
    <w:rsid w:val="34CD705B"/>
    <w:rsid w:val="34CE1050"/>
    <w:rsid w:val="34CF1173"/>
    <w:rsid w:val="34D16D92"/>
    <w:rsid w:val="34D83C7C"/>
    <w:rsid w:val="34DA17F1"/>
    <w:rsid w:val="34DB376C"/>
    <w:rsid w:val="34DB551B"/>
    <w:rsid w:val="34E42621"/>
    <w:rsid w:val="34E61527"/>
    <w:rsid w:val="34E906D4"/>
    <w:rsid w:val="34F32864"/>
    <w:rsid w:val="34FB7939"/>
    <w:rsid w:val="34FD7E90"/>
    <w:rsid w:val="34FE09FB"/>
    <w:rsid w:val="35026356"/>
    <w:rsid w:val="350615C5"/>
    <w:rsid w:val="350723C1"/>
    <w:rsid w:val="350E769E"/>
    <w:rsid w:val="35171D73"/>
    <w:rsid w:val="351B1938"/>
    <w:rsid w:val="352275ED"/>
    <w:rsid w:val="35246EC1"/>
    <w:rsid w:val="352E7A77"/>
    <w:rsid w:val="35335357"/>
    <w:rsid w:val="35356E5E"/>
    <w:rsid w:val="353A0493"/>
    <w:rsid w:val="35453173"/>
    <w:rsid w:val="35494B7A"/>
    <w:rsid w:val="354D466A"/>
    <w:rsid w:val="354D7C57"/>
    <w:rsid w:val="35505F08"/>
    <w:rsid w:val="3558300F"/>
    <w:rsid w:val="35584C29"/>
    <w:rsid w:val="3559433A"/>
    <w:rsid w:val="355F7EFA"/>
    <w:rsid w:val="35645510"/>
    <w:rsid w:val="356458FB"/>
    <w:rsid w:val="356B1A9D"/>
    <w:rsid w:val="356C0074"/>
    <w:rsid w:val="35731BF7"/>
    <w:rsid w:val="35775243"/>
    <w:rsid w:val="35833828"/>
    <w:rsid w:val="3587034C"/>
    <w:rsid w:val="358856A2"/>
    <w:rsid w:val="358909F6"/>
    <w:rsid w:val="358B5193"/>
    <w:rsid w:val="359207AA"/>
    <w:rsid w:val="359E01CA"/>
    <w:rsid w:val="35A16764"/>
    <w:rsid w:val="35A5258E"/>
    <w:rsid w:val="35AE2C2F"/>
    <w:rsid w:val="35BE29CB"/>
    <w:rsid w:val="35C30488"/>
    <w:rsid w:val="35C366DA"/>
    <w:rsid w:val="35C8614C"/>
    <w:rsid w:val="35CB37E1"/>
    <w:rsid w:val="35CD57AB"/>
    <w:rsid w:val="35CE44E9"/>
    <w:rsid w:val="35CE6599"/>
    <w:rsid w:val="35D20016"/>
    <w:rsid w:val="35DE019D"/>
    <w:rsid w:val="35E23668"/>
    <w:rsid w:val="35E36D7D"/>
    <w:rsid w:val="35F112BE"/>
    <w:rsid w:val="35F40F8A"/>
    <w:rsid w:val="35F47297"/>
    <w:rsid w:val="35FC399A"/>
    <w:rsid w:val="35FE75F8"/>
    <w:rsid w:val="360E0429"/>
    <w:rsid w:val="36162CAE"/>
    <w:rsid w:val="36213401"/>
    <w:rsid w:val="3624187A"/>
    <w:rsid w:val="36257395"/>
    <w:rsid w:val="363500A6"/>
    <w:rsid w:val="364B1388"/>
    <w:rsid w:val="3659703F"/>
    <w:rsid w:val="36653C36"/>
    <w:rsid w:val="36681D9D"/>
    <w:rsid w:val="366C0B20"/>
    <w:rsid w:val="366D6646"/>
    <w:rsid w:val="366F6862"/>
    <w:rsid w:val="3671381E"/>
    <w:rsid w:val="367D3204"/>
    <w:rsid w:val="368315AB"/>
    <w:rsid w:val="36900240"/>
    <w:rsid w:val="369242A1"/>
    <w:rsid w:val="369938DF"/>
    <w:rsid w:val="3699568D"/>
    <w:rsid w:val="36A013C5"/>
    <w:rsid w:val="36A26A1A"/>
    <w:rsid w:val="36AA789A"/>
    <w:rsid w:val="36AC3746"/>
    <w:rsid w:val="36AC53C0"/>
    <w:rsid w:val="36AC716F"/>
    <w:rsid w:val="36B545AF"/>
    <w:rsid w:val="36B96CD0"/>
    <w:rsid w:val="36C46BAE"/>
    <w:rsid w:val="36C61EE0"/>
    <w:rsid w:val="36CA7772"/>
    <w:rsid w:val="36CC4181"/>
    <w:rsid w:val="36CC5A63"/>
    <w:rsid w:val="36CF7871"/>
    <w:rsid w:val="36D3294D"/>
    <w:rsid w:val="36D6068F"/>
    <w:rsid w:val="36D63C8A"/>
    <w:rsid w:val="36DB5CA6"/>
    <w:rsid w:val="36DD3EED"/>
    <w:rsid w:val="36E25286"/>
    <w:rsid w:val="36E909DC"/>
    <w:rsid w:val="36EB413B"/>
    <w:rsid w:val="36F16E02"/>
    <w:rsid w:val="36F428E8"/>
    <w:rsid w:val="36F87C76"/>
    <w:rsid w:val="36FA02FD"/>
    <w:rsid w:val="36FF28B8"/>
    <w:rsid w:val="3700570C"/>
    <w:rsid w:val="3701395E"/>
    <w:rsid w:val="37031C33"/>
    <w:rsid w:val="37054AD1"/>
    <w:rsid w:val="370551CF"/>
    <w:rsid w:val="37076A9B"/>
    <w:rsid w:val="370945C1"/>
    <w:rsid w:val="370B1D72"/>
    <w:rsid w:val="370C1FBC"/>
    <w:rsid w:val="371234AD"/>
    <w:rsid w:val="37154F79"/>
    <w:rsid w:val="37164F30"/>
    <w:rsid w:val="37172D68"/>
    <w:rsid w:val="371823C5"/>
    <w:rsid w:val="3729371C"/>
    <w:rsid w:val="372C0887"/>
    <w:rsid w:val="372C4753"/>
    <w:rsid w:val="372F1B4E"/>
    <w:rsid w:val="37311A62"/>
    <w:rsid w:val="373C4433"/>
    <w:rsid w:val="373D24BC"/>
    <w:rsid w:val="3744384B"/>
    <w:rsid w:val="37452EE6"/>
    <w:rsid w:val="37460314"/>
    <w:rsid w:val="3748158D"/>
    <w:rsid w:val="374E6478"/>
    <w:rsid w:val="37590D17"/>
    <w:rsid w:val="375B545C"/>
    <w:rsid w:val="375F2433"/>
    <w:rsid w:val="3767081C"/>
    <w:rsid w:val="376C29B8"/>
    <w:rsid w:val="376D0FF4"/>
    <w:rsid w:val="376D2DA2"/>
    <w:rsid w:val="37712166"/>
    <w:rsid w:val="37775226"/>
    <w:rsid w:val="37781747"/>
    <w:rsid w:val="377E6681"/>
    <w:rsid w:val="377F4883"/>
    <w:rsid w:val="37814CAA"/>
    <w:rsid w:val="37880B15"/>
    <w:rsid w:val="37957071"/>
    <w:rsid w:val="379C3687"/>
    <w:rsid w:val="37A35753"/>
    <w:rsid w:val="37B7401D"/>
    <w:rsid w:val="37BD09EA"/>
    <w:rsid w:val="37BF2ED1"/>
    <w:rsid w:val="37C26009"/>
    <w:rsid w:val="37C33988"/>
    <w:rsid w:val="37D270A9"/>
    <w:rsid w:val="37D56B99"/>
    <w:rsid w:val="37D723E4"/>
    <w:rsid w:val="37E62B54"/>
    <w:rsid w:val="37EA43F2"/>
    <w:rsid w:val="37EF1A09"/>
    <w:rsid w:val="37FE1C4C"/>
    <w:rsid w:val="37FE39FA"/>
    <w:rsid w:val="37FF59C4"/>
    <w:rsid w:val="3810372D"/>
    <w:rsid w:val="381178D5"/>
    <w:rsid w:val="38172D0E"/>
    <w:rsid w:val="381864A3"/>
    <w:rsid w:val="381E5E4A"/>
    <w:rsid w:val="382023F7"/>
    <w:rsid w:val="382E48D7"/>
    <w:rsid w:val="38333A05"/>
    <w:rsid w:val="383B4C4E"/>
    <w:rsid w:val="383B5237"/>
    <w:rsid w:val="383D480E"/>
    <w:rsid w:val="383D7513"/>
    <w:rsid w:val="38471845"/>
    <w:rsid w:val="38477E80"/>
    <w:rsid w:val="38496832"/>
    <w:rsid w:val="384A169E"/>
    <w:rsid w:val="384F1CE3"/>
    <w:rsid w:val="385002E8"/>
    <w:rsid w:val="38545D10"/>
    <w:rsid w:val="385840C6"/>
    <w:rsid w:val="38593326"/>
    <w:rsid w:val="3859503E"/>
    <w:rsid w:val="385E3352"/>
    <w:rsid w:val="38677E1A"/>
    <w:rsid w:val="386B4E07"/>
    <w:rsid w:val="386F7ABE"/>
    <w:rsid w:val="38705E92"/>
    <w:rsid w:val="38714F0C"/>
    <w:rsid w:val="387A3DF1"/>
    <w:rsid w:val="387B504A"/>
    <w:rsid w:val="387C7014"/>
    <w:rsid w:val="387E4B3B"/>
    <w:rsid w:val="38883C0B"/>
    <w:rsid w:val="3888518D"/>
    <w:rsid w:val="388B14B0"/>
    <w:rsid w:val="38A10B77"/>
    <w:rsid w:val="38A2101E"/>
    <w:rsid w:val="38A44828"/>
    <w:rsid w:val="38A74BE1"/>
    <w:rsid w:val="38AB2FCD"/>
    <w:rsid w:val="38AE0185"/>
    <w:rsid w:val="38B14F10"/>
    <w:rsid w:val="38B16CBE"/>
    <w:rsid w:val="38B2205E"/>
    <w:rsid w:val="38B36EDA"/>
    <w:rsid w:val="38B85882"/>
    <w:rsid w:val="38C61C36"/>
    <w:rsid w:val="38C65D44"/>
    <w:rsid w:val="38C727A6"/>
    <w:rsid w:val="38CC7F9C"/>
    <w:rsid w:val="38CD0523"/>
    <w:rsid w:val="38CF35E8"/>
    <w:rsid w:val="38CF5396"/>
    <w:rsid w:val="38D330D8"/>
    <w:rsid w:val="38D4425E"/>
    <w:rsid w:val="38D445C9"/>
    <w:rsid w:val="38D534B1"/>
    <w:rsid w:val="38D942CD"/>
    <w:rsid w:val="38D94888"/>
    <w:rsid w:val="38DB01DF"/>
    <w:rsid w:val="38DB20AB"/>
    <w:rsid w:val="38E5105E"/>
    <w:rsid w:val="38F02E41"/>
    <w:rsid w:val="38FD63A7"/>
    <w:rsid w:val="38FE5C7B"/>
    <w:rsid w:val="390414E4"/>
    <w:rsid w:val="390529E2"/>
    <w:rsid w:val="390A3657"/>
    <w:rsid w:val="391334D5"/>
    <w:rsid w:val="391536F1"/>
    <w:rsid w:val="391A0D07"/>
    <w:rsid w:val="391F00CC"/>
    <w:rsid w:val="392E030F"/>
    <w:rsid w:val="393B2A2C"/>
    <w:rsid w:val="3947398A"/>
    <w:rsid w:val="39477622"/>
    <w:rsid w:val="39495149"/>
    <w:rsid w:val="394A4669"/>
    <w:rsid w:val="3950441F"/>
    <w:rsid w:val="3954558D"/>
    <w:rsid w:val="39597B8B"/>
    <w:rsid w:val="39597D4F"/>
    <w:rsid w:val="395F496C"/>
    <w:rsid w:val="3962620A"/>
    <w:rsid w:val="39657AA9"/>
    <w:rsid w:val="396E2E01"/>
    <w:rsid w:val="39736669"/>
    <w:rsid w:val="397A79F8"/>
    <w:rsid w:val="398048E2"/>
    <w:rsid w:val="39836A27"/>
    <w:rsid w:val="398375FF"/>
    <w:rsid w:val="398B5761"/>
    <w:rsid w:val="398C14D9"/>
    <w:rsid w:val="398C3287"/>
    <w:rsid w:val="399A59A4"/>
    <w:rsid w:val="399D4EAB"/>
    <w:rsid w:val="39A1680E"/>
    <w:rsid w:val="39A71E6F"/>
    <w:rsid w:val="39A93E39"/>
    <w:rsid w:val="39B36A66"/>
    <w:rsid w:val="39BD1729"/>
    <w:rsid w:val="39BD78E5"/>
    <w:rsid w:val="39C26CA9"/>
    <w:rsid w:val="39C82C86"/>
    <w:rsid w:val="39D2513E"/>
    <w:rsid w:val="39D55FF8"/>
    <w:rsid w:val="39D871E4"/>
    <w:rsid w:val="39E41315"/>
    <w:rsid w:val="39EF3F42"/>
    <w:rsid w:val="39F2758E"/>
    <w:rsid w:val="39F63852"/>
    <w:rsid w:val="39FA5C2B"/>
    <w:rsid w:val="39FE3F43"/>
    <w:rsid w:val="3A01186D"/>
    <w:rsid w:val="3A086DB2"/>
    <w:rsid w:val="3A0E0140"/>
    <w:rsid w:val="3A1219DE"/>
    <w:rsid w:val="3A175247"/>
    <w:rsid w:val="3A17723B"/>
    <w:rsid w:val="3A2068F9"/>
    <w:rsid w:val="3A27015C"/>
    <w:rsid w:val="3A2B6F44"/>
    <w:rsid w:val="3A340FF7"/>
    <w:rsid w:val="3A371445"/>
    <w:rsid w:val="3A3E06F2"/>
    <w:rsid w:val="3A4122C4"/>
    <w:rsid w:val="3A4B7299"/>
    <w:rsid w:val="3A59585F"/>
    <w:rsid w:val="3A59760D"/>
    <w:rsid w:val="3A5B15D7"/>
    <w:rsid w:val="3A5D2309"/>
    <w:rsid w:val="3A5E1F81"/>
    <w:rsid w:val="3A655FB2"/>
    <w:rsid w:val="3A6F6E31"/>
    <w:rsid w:val="3A712BA9"/>
    <w:rsid w:val="3A773F37"/>
    <w:rsid w:val="3A7B6635"/>
    <w:rsid w:val="3A7B66B0"/>
    <w:rsid w:val="3A8272F9"/>
    <w:rsid w:val="3A836438"/>
    <w:rsid w:val="3A8723CC"/>
    <w:rsid w:val="3A881CA1"/>
    <w:rsid w:val="3A900B55"/>
    <w:rsid w:val="3A9E14C4"/>
    <w:rsid w:val="3AA2284D"/>
    <w:rsid w:val="3AAA4C10"/>
    <w:rsid w:val="3AB26498"/>
    <w:rsid w:val="3AB46F3A"/>
    <w:rsid w:val="3ABD5CA2"/>
    <w:rsid w:val="3ABF721B"/>
    <w:rsid w:val="3ACD1DA9"/>
    <w:rsid w:val="3ACF0929"/>
    <w:rsid w:val="3ACF62F1"/>
    <w:rsid w:val="3AD44EE6"/>
    <w:rsid w:val="3ADE0A16"/>
    <w:rsid w:val="3AE570F3"/>
    <w:rsid w:val="3AE80991"/>
    <w:rsid w:val="3AEA64B7"/>
    <w:rsid w:val="3AEE274E"/>
    <w:rsid w:val="3AEE28B6"/>
    <w:rsid w:val="3AEF1D20"/>
    <w:rsid w:val="3AEF3ACE"/>
    <w:rsid w:val="3AEF5172"/>
    <w:rsid w:val="3AF13CEA"/>
    <w:rsid w:val="3AF235BE"/>
    <w:rsid w:val="3AF30580"/>
    <w:rsid w:val="3AF410E4"/>
    <w:rsid w:val="3AF70BD4"/>
    <w:rsid w:val="3AFB5CD8"/>
    <w:rsid w:val="3AFC50E0"/>
    <w:rsid w:val="3AFE04FE"/>
    <w:rsid w:val="3B0752BB"/>
    <w:rsid w:val="3B135A0E"/>
    <w:rsid w:val="3B1874C8"/>
    <w:rsid w:val="3B190B4B"/>
    <w:rsid w:val="3B20342B"/>
    <w:rsid w:val="3B220A43"/>
    <w:rsid w:val="3B241DF8"/>
    <w:rsid w:val="3B246476"/>
    <w:rsid w:val="3B273268"/>
    <w:rsid w:val="3B274F32"/>
    <w:rsid w:val="3B2A0FAA"/>
    <w:rsid w:val="3B2C4D22"/>
    <w:rsid w:val="3B40264A"/>
    <w:rsid w:val="3B434E00"/>
    <w:rsid w:val="3B451F73"/>
    <w:rsid w:val="3B4D7B05"/>
    <w:rsid w:val="3B4E2EEA"/>
    <w:rsid w:val="3B4F7C53"/>
    <w:rsid w:val="3B5322AF"/>
    <w:rsid w:val="3B565BC2"/>
    <w:rsid w:val="3B5B6C6E"/>
    <w:rsid w:val="3B5E1EF8"/>
    <w:rsid w:val="3B602C1D"/>
    <w:rsid w:val="3B61689A"/>
    <w:rsid w:val="3B691AD2"/>
    <w:rsid w:val="3B6C3370"/>
    <w:rsid w:val="3B6C6B34"/>
    <w:rsid w:val="3B700067"/>
    <w:rsid w:val="3B710987"/>
    <w:rsid w:val="3B750EAE"/>
    <w:rsid w:val="3B765F9D"/>
    <w:rsid w:val="3B7D557D"/>
    <w:rsid w:val="3B7F1FB8"/>
    <w:rsid w:val="3B800BCA"/>
    <w:rsid w:val="3B8102A9"/>
    <w:rsid w:val="3B814871"/>
    <w:rsid w:val="3B86303C"/>
    <w:rsid w:val="3B8701AA"/>
    <w:rsid w:val="3B87274B"/>
    <w:rsid w:val="3B922D1B"/>
    <w:rsid w:val="3B97027E"/>
    <w:rsid w:val="3B9763AB"/>
    <w:rsid w:val="3B99505E"/>
    <w:rsid w:val="3B9A1C8B"/>
    <w:rsid w:val="3B9D6010"/>
    <w:rsid w:val="3B9D6F75"/>
    <w:rsid w:val="3BA50630"/>
    <w:rsid w:val="3BAB24AE"/>
    <w:rsid w:val="3BB014AF"/>
    <w:rsid w:val="3BB0325D"/>
    <w:rsid w:val="3BB224BC"/>
    <w:rsid w:val="3BB93D77"/>
    <w:rsid w:val="3BBA0580"/>
    <w:rsid w:val="3BBD1E1E"/>
    <w:rsid w:val="3BC767F9"/>
    <w:rsid w:val="3BC82C9D"/>
    <w:rsid w:val="3BC8595D"/>
    <w:rsid w:val="3BCC2061"/>
    <w:rsid w:val="3BDD601C"/>
    <w:rsid w:val="3BE473AB"/>
    <w:rsid w:val="3BE63387"/>
    <w:rsid w:val="3BEB698B"/>
    <w:rsid w:val="3BF07952"/>
    <w:rsid w:val="3BF76D7E"/>
    <w:rsid w:val="3BFC46F4"/>
    <w:rsid w:val="3C0278A6"/>
    <w:rsid w:val="3C03644E"/>
    <w:rsid w:val="3C0637C5"/>
    <w:rsid w:val="3C08385B"/>
    <w:rsid w:val="3C0B0DDB"/>
    <w:rsid w:val="3C0D7FAA"/>
    <w:rsid w:val="3C0F349F"/>
    <w:rsid w:val="3C153A08"/>
    <w:rsid w:val="3C1A04BF"/>
    <w:rsid w:val="3C1B04CE"/>
    <w:rsid w:val="3C1C23B4"/>
    <w:rsid w:val="3C22670C"/>
    <w:rsid w:val="3C243C4B"/>
    <w:rsid w:val="3C373913"/>
    <w:rsid w:val="3C3C71E7"/>
    <w:rsid w:val="3C463BC1"/>
    <w:rsid w:val="3C487939"/>
    <w:rsid w:val="3C495460"/>
    <w:rsid w:val="3C4E2A76"/>
    <w:rsid w:val="3C526A0A"/>
    <w:rsid w:val="3C554748"/>
    <w:rsid w:val="3C591B47"/>
    <w:rsid w:val="3C5A39D8"/>
    <w:rsid w:val="3C5D7CBE"/>
    <w:rsid w:val="3C6109FB"/>
    <w:rsid w:val="3C6F3118"/>
    <w:rsid w:val="3C6F54AA"/>
    <w:rsid w:val="3C744E44"/>
    <w:rsid w:val="3C7626F9"/>
    <w:rsid w:val="3C81411E"/>
    <w:rsid w:val="3C873516"/>
    <w:rsid w:val="3C8A1D00"/>
    <w:rsid w:val="3C9160A2"/>
    <w:rsid w:val="3C936DD0"/>
    <w:rsid w:val="3C9549EA"/>
    <w:rsid w:val="3C9E1C4F"/>
    <w:rsid w:val="3C9E57AB"/>
    <w:rsid w:val="3CA56B3A"/>
    <w:rsid w:val="3CAE3557"/>
    <w:rsid w:val="3CB21257"/>
    <w:rsid w:val="3CB23005"/>
    <w:rsid w:val="3CB44FCF"/>
    <w:rsid w:val="3CB52AF5"/>
    <w:rsid w:val="3CBE25E8"/>
    <w:rsid w:val="3CC50F8A"/>
    <w:rsid w:val="3CC86CCC"/>
    <w:rsid w:val="3CCA65A0"/>
    <w:rsid w:val="3CCD42E3"/>
    <w:rsid w:val="3CCF005B"/>
    <w:rsid w:val="3CD47902"/>
    <w:rsid w:val="3CE5162C"/>
    <w:rsid w:val="3CE77152"/>
    <w:rsid w:val="3CEA279F"/>
    <w:rsid w:val="3CEC264B"/>
    <w:rsid w:val="3CF4361D"/>
    <w:rsid w:val="3CF5326E"/>
    <w:rsid w:val="3CF90C34"/>
    <w:rsid w:val="3CF950D8"/>
    <w:rsid w:val="3CFE449C"/>
    <w:rsid w:val="3D0715A3"/>
    <w:rsid w:val="3D072EB4"/>
    <w:rsid w:val="3D080A88"/>
    <w:rsid w:val="3D0A2E41"/>
    <w:rsid w:val="3D0D152A"/>
    <w:rsid w:val="3D0F48FB"/>
    <w:rsid w:val="3D145A6E"/>
    <w:rsid w:val="3D197528"/>
    <w:rsid w:val="3D204412"/>
    <w:rsid w:val="3D211F38"/>
    <w:rsid w:val="3D232155"/>
    <w:rsid w:val="3D233F03"/>
    <w:rsid w:val="3D2C5F0E"/>
    <w:rsid w:val="3D3305EA"/>
    <w:rsid w:val="3D337EB5"/>
    <w:rsid w:val="3D430101"/>
    <w:rsid w:val="3D4445A5"/>
    <w:rsid w:val="3D486B76"/>
    <w:rsid w:val="3D554E22"/>
    <w:rsid w:val="3D556267"/>
    <w:rsid w:val="3D566E05"/>
    <w:rsid w:val="3D580050"/>
    <w:rsid w:val="3D5F13DF"/>
    <w:rsid w:val="3D6469F5"/>
    <w:rsid w:val="3D6A1B31"/>
    <w:rsid w:val="3D791D75"/>
    <w:rsid w:val="3D7F382F"/>
    <w:rsid w:val="3D8929D1"/>
    <w:rsid w:val="3D8A5D30"/>
    <w:rsid w:val="3D8C7CFA"/>
    <w:rsid w:val="3D8F1598"/>
    <w:rsid w:val="3D9077EA"/>
    <w:rsid w:val="3D915310"/>
    <w:rsid w:val="3D954E00"/>
    <w:rsid w:val="3D985E97"/>
    <w:rsid w:val="3D98669F"/>
    <w:rsid w:val="3DA03B15"/>
    <w:rsid w:val="3DA649C1"/>
    <w:rsid w:val="3DA8208E"/>
    <w:rsid w:val="3DAE1A1E"/>
    <w:rsid w:val="3DB1191E"/>
    <w:rsid w:val="3DB40624"/>
    <w:rsid w:val="3DB443FE"/>
    <w:rsid w:val="3DB82D12"/>
    <w:rsid w:val="3DBC4B55"/>
    <w:rsid w:val="3DBD3298"/>
    <w:rsid w:val="3DC258AE"/>
    <w:rsid w:val="3DC620BB"/>
    <w:rsid w:val="3DC76F84"/>
    <w:rsid w:val="3DCA6F9F"/>
    <w:rsid w:val="3DCE23CC"/>
    <w:rsid w:val="3DD00B61"/>
    <w:rsid w:val="3DD376D7"/>
    <w:rsid w:val="3DD764CD"/>
    <w:rsid w:val="3DDB658B"/>
    <w:rsid w:val="3DDD67A7"/>
    <w:rsid w:val="3DE633D7"/>
    <w:rsid w:val="3DE8594A"/>
    <w:rsid w:val="3DEC2546"/>
    <w:rsid w:val="3DF05BE8"/>
    <w:rsid w:val="3DF064DB"/>
    <w:rsid w:val="3DF245B0"/>
    <w:rsid w:val="3DFE0C51"/>
    <w:rsid w:val="3E003607"/>
    <w:rsid w:val="3E012496"/>
    <w:rsid w:val="3E095155"/>
    <w:rsid w:val="3E18158D"/>
    <w:rsid w:val="3E18333B"/>
    <w:rsid w:val="3E1A3557"/>
    <w:rsid w:val="3E1A7CC9"/>
    <w:rsid w:val="3E1C47FE"/>
    <w:rsid w:val="3E2C636E"/>
    <w:rsid w:val="3E3143FD"/>
    <w:rsid w:val="3E353EED"/>
    <w:rsid w:val="3E377C66"/>
    <w:rsid w:val="3E3A02BF"/>
    <w:rsid w:val="3E3A0EB7"/>
    <w:rsid w:val="3E3B7B31"/>
    <w:rsid w:val="3E3F6B1A"/>
    <w:rsid w:val="3E43485C"/>
    <w:rsid w:val="3E471BD9"/>
    <w:rsid w:val="3E481E73"/>
    <w:rsid w:val="3E4B7B72"/>
    <w:rsid w:val="3E5438DC"/>
    <w:rsid w:val="3E580CE6"/>
    <w:rsid w:val="3E594080"/>
    <w:rsid w:val="3E5A1BA6"/>
    <w:rsid w:val="3E5D51F2"/>
    <w:rsid w:val="3E5E1C00"/>
    <w:rsid w:val="3E5F0F6A"/>
    <w:rsid w:val="3E5F71BC"/>
    <w:rsid w:val="3E657DC2"/>
    <w:rsid w:val="3E6671C1"/>
    <w:rsid w:val="3E677F46"/>
    <w:rsid w:val="3E6A2690"/>
    <w:rsid w:val="3E6A66F5"/>
    <w:rsid w:val="3E725142"/>
    <w:rsid w:val="3E751487"/>
    <w:rsid w:val="3E7569E0"/>
    <w:rsid w:val="3E772758"/>
    <w:rsid w:val="3E7E7642"/>
    <w:rsid w:val="3E8D5AD7"/>
    <w:rsid w:val="3E95498C"/>
    <w:rsid w:val="3E962575"/>
    <w:rsid w:val="3E971969"/>
    <w:rsid w:val="3E9F20A1"/>
    <w:rsid w:val="3EA15361"/>
    <w:rsid w:val="3EA6693C"/>
    <w:rsid w:val="3EA846BF"/>
    <w:rsid w:val="3EAD617A"/>
    <w:rsid w:val="3EB05C6A"/>
    <w:rsid w:val="3EBA43F3"/>
    <w:rsid w:val="3EC51715"/>
    <w:rsid w:val="3EC7672F"/>
    <w:rsid w:val="3ECC2AA4"/>
    <w:rsid w:val="3ED10285"/>
    <w:rsid w:val="3ED23E32"/>
    <w:rsid w:val="3EDA2672"/>
    <w:rsid w:val="3EDC080D"/>
    <w:rsid w:val="3EDE27D7"/>
    <w:rsid w:val="3EE3269C"/>
    <w:rsid w:val="3EE43DBA"/>
    <w:rsid w:val="3EE75890"/>
    <w:rsid w:val="3EF47905"/>
    <w:rsid w:val="3EF603D9"/>
    <w:rsid w:val="3EF76BEA"/>
    <w:rsid w:val="3EF94F1B"/>
    <w:rsid w:val="3EFC2C5D"/>
    <w:rsid w:val="3F000411"/>
    <w:rsid w:val="3F034248"/>
    <w:rsid w:val="3F05474B"/>
    <w:rsid w:val="3F055FB6"/>
    <w:rsid w:val="3F0C1354"/>
    <w:rsid w:val="3F0D4E6A"/>
    <w:rsid w:val="3F134431"/>
    <w:rsid w:val="3F147FA7"/>
    <w:rsid w:val="3F154D9E"/>
    <w:rsid w:val="3F1D32FF"/>
    <w:rsid w:val="3F1F7353"/>
    <w:rsid w:val="3F203C49"/>
    <w:rsid w:val="3F29681A"/>
    <w:rsid w:val="3F2D1138"/>
    <w:rsid w:val="3F2F0201"/>
    <w:rsid w:val="3F2F3617"/>
    <w:rsid w:val="3F300D14"/>
    <w:rsid w:val="3F337FF6"/>
    <w:rsid w:val="3F3F2C7B"/>
    <w:rsid w:val="3F42102A"/>
    <w:rsid w:val="3F422D66"/>
    <w:rsid w:val="3F446ADE"/>
    <w:rsid w:val="3F474725"/>
    <w:rsid w:val="3F484CFB"/>
    <w:rsid w:val="3F48643C"/>
    <w:rsid w:val="3F4E170B"/>
    <w:rsid w:val="3F4F4175"/>
    <w:rsid w:val="3F544847"/>
    <w:rsid w:val="3F591E5E"/>
    <w:rsid w:val="3F5A541D"/>
    <w:rsid w:val="3F5B3E28"/>
    <w:rsid w:val="3F5C78B4"/>
    <w:rsid w:val="3F6031EC"/>
    <w:rsid w:val="3F696545"/>
    <w:rsid w:val="3F6A406B"/>
    <w:rsid w:val="3F6F1681"/>
    <w:rsid w:val="3F724CCD"/>
    <w:rsid w:val="3F781EDA"/>
    <w:rsid w:val="3F7A3FE3"/>
    <w:rsid w:val="3F7E3C67"/>
    <w:rsid w:val="3F7E540A"/>
    <w:rsid w:val="3F7F2B3A"/>
    <w:rsid w:val="3F874C1D"/>
    <w:rsid w:val="3F890995"/>
    <w:rsid w:val="3F8C5D8F"/>
    <w:rsid w:val="3F8E5FAB"/>
    <w:rsid w:val="3F977363"/>
    <w:rsid w:val="3F9966FE"/>
    <w:rsid w:val="3F9F485F"/>
    <w:rsid w:val="3FA41967"/>
    <w:rsid w:val="3FA76215"/>
    <w:rsid w:val="3FA94B93"/>
    <w:rsid w:val="3FB660DB"/>
    <w:rsid w:val="3FB725F9"/>
    <w:rsid w:val="3FC4377B"/>
    <w:rsid w:val="3FC90D91"/>
    <w:rsid w:val="3FD00372"/>
    <w:rsid w:val="3FD24498"/>
    <w:rsid w:val="3FD55988"/>
    <w:rsid w:val="3FDB0AC5"/>
    <w:rsid w:val="3FDC3088"/>
    <w:rsid w:val="3FDD38DB"/>
    <w:rsid w:val="3FE06299"/>
    <w:rsid w:val="3FE71217"/>
    <w:rsid w:val="3FE74813"/>
    <w:rsid w:val="3FED72D4"/>
    <w:rsid w:val="3FEF3BDF"/>
    <w:rsid w:val="3FF12096"/>
    <w:rsid w:val="3FF43934"/>
    <w:rsid w:val="3FFD6C8D"/>
    <w:rsid w:val="3FFF2A05"/>
    <w:rsid w:val="4001677D"/>
    <w:rsid w:val="40063D93"/>
    <w:rsid w:val="40070A53"/>
    <w:rsid w:val="4009749B"/>
    <w:rsid w:val="400A3D6D"/>
    <w:rsid w:val="400B3158"/>
    <w:rsid w:val="400C6ED0"/>
    <w:rsid w:val="4013200C"/>
    <w:rsid w:val="40167D4F"/>
    <w:rsid w:val="40183AC7"/>
    <w:rsid w:val="402C1320"/>
    <w:rsid w:val="40300E10"/>
    <w:rsid w:val="403A06BC"/>
    <w:rsid w:val="403C5A07"/>
    <w:rsid w:val="40415103"/>
    <w:rsid w:val="404E74E8"/>
    <w:rsid w:val="405014B2"/>
    <w:rsid w:val="40534AFF"/>
    <w:rsid w:val="40572841"/>
    <w:rsid w:val="405C7E57"/>
    <w:rsid w:val="406571D2"/>
    <w:rsid w:val="406B009A"/>
    <w:rsid w:val="40764075"/>
    <w:rsid w:val="40774C91"/>
    <w:rsid w:val="40850A58"/>
    <w:rsid w:val="40864ED4"/>
    <w:rsid w:val="40953369"/>
    <w:rsid w:val="409A6E6B"/>
    <w:rsid w:val="40AD066C"/>
    <w:rsid w:val="40AD17DF"/>
    <w:rsid w:val="40B13BE2"/>
    <w:rsid w:val="40B25CC9"/>
    <w:rsid w:val="40B52091"/>
    <w:rsid w:val="40B90E06"/>
    <w:rsid w:val="40C003E6"/>
    <w:rsid w:val="40C41559"/>
    <w:rsid w:val="40C63091"/>
    <w:rsid w:val="40C81049"/>
    <w:rsid w:val="40C96B6F"/>
    <w:rsid w:val="40CB0B39"/>
    <w:rsid w:val="40D11C79"/>
    <w:rsid w:val="40D61148"/>
    <w:rsid w:val="40DE086C"/>
    <w:rsid w:val="40EB2F89"/>
    <w:rsid w:val="40F3190F"/>
    <w:rsid w:val="40FC2715"/>
    <w:rsid w:val="41067DC3"/>
    <w:rsid w:val="410F0A26"/>
    <w:rsid w:val="41101765"/>
    <w:rsid w:val="411446D5"/>
    <w:rsid w:val="411627BA"/>
    <w:rsid w:val="411A73CB"/>
    <w:rsid w:val="41200E85"/>
    <w:rsid w:val="412169AB"/>
    <w:rsid w:val="412179FD"/>
    <w:rsid w:val="41285F8B"/>
    <w:rsid w:val="412C31AD"/>
    <w:rsid w:val="41336048"/>
    <w:rsid w:val="41380917"/>
    <w:rsid w:val="413B5BDF"/>
    <w:rsid w:val="414508EB"/>
    <w:rsid w:val="414C1C7A"/>
    <w:rsid w:val="41594397"/>
    <w:rsid w:val="41596145"/>
    <w:rsid w:val="416A65A4"/>
    <w:rsid w:val="416D1BF0"/>
    <w:rsid w:val="417031BB"/>
    <w:rsid w:val="41703F20"/>
    <w:rsid w:val="41723063"/>
    <w:rsid w:val="41735459"/>
    <w:rsid w:val="41775519"/>
    <w:rsid w:val="41790595"/>
    <w:rsid w:val="417D0085"/>
    <w:rsid w:val="41847666"/>
    <w:rsid w:val="41850CE8"/>
    <w:rsid w:val="4185518C"/>
    <w:rsid w:val="41872CB2"/>
    <w:rsid w:val="41886A2A"/>
    <w:rsid w:val="418A27A2"/>
    <w:rsid w:val="41913B31"/>
    <w:rsid w:val="41934C85"/>
    <w:rsid w:val="41982F81"/>
    <w:rsid w:val="41986C6D"/>
    <w:rsid w:val="41A35612"/>
    <w:rsid w:val="41A53138"/>
    <w:rsid w:val="41AC44C7"/>
    <w:rsid w:val="41B016FB"/>
    <w:rsid w:val="41B31CF9"/>
    <w:rsid w:val="41B35246"/>
    <w:rsid w:val="41B8516E"/>
    <w:rsid w:val="41BD4926"/>
    <w:rsid w:val="41BE244C"/>
    <w:rsid w:val="41C23CEA"/>
    <w:rsid w:val="41C31810"/>
    <w:rsid w:val="41C37A62"/>
    <w:rsid w:val="41CA2B9F"/>
    <w:rsid w:val="41D5005A"/>
    <w:rsid w:val="41D91034"/>
    <w:rsid w:val="41DE44D4"/>
    <w:rsid w:val="41DE664A"/>
    <w:rsid w:val="41DF2AEE"/>
    <w:rsid w:val="41DF59E2"/>
    <w:rsid w:val="41E27AF9"/>
    <w:rsid w:val="41E32216"/>
    <w:rsid w:val="41F64CF2"/>
    <w:rsid w:val="41F8458D"/>
    <w:rsid w:val="41FB50BB"/>
    <w:rsid w:val="41FC2C2C"/>
    <w:rsid w:val="41FC634B"/>
    <w:rsid w:val="41FD2F74"/>
    <w:rsid w:val="42007A9E"/>
    <w:rsid w:val="420A5691"/>
    <w:rsid w:val="420F4A55"/>
    <w:rsid w:val="42100EF9"/>
    <w:rsid w:val="421738EF"/>
    <w:rsid w:val="42176292"/>
    <w:rsid w:val="42273BA6"/>
    <w:rsid w:val="42283269"/>
    <w:rsid w:val="423050F8"/>
    <w:rsid w:val="42315676"/>
    <w:rsid w:val="423931A7"/>
    <w:rsid w:val="424C5BA2"/>
    <w:rsid w:val="424C7F73"/>
    <w:rsid w:val="42523E82"/>
    <w:rsid w:val="425828A0"/>
    <w:rsid w:val="425F3C2F"/>
    <w:rsid w:val="426254CD"/>
    <w:rsid w:val="426D00FA"/>
    <w:rsid w:val="42731271"/>
    <w:rsid w:val="427A2817"/>
    <w:rsid w:val="427A45C5"/>
    <w:rsid w:val="42814E9C"/>
    <w:rsid w:val="428B4190"/>
    <w:rsid w:val="42927B60"/>
    <w:rsid w:val="42935686"/>
    <w:rsid w:val="429A4C67"/>
    <w:rsid w:val="429D62D0"/>
    <w:rsid w:val="429F0E23"/>
    <w:rsid w:val="42A163B6"/>
    <w:rsid w:val="42A31F5B"/>
    <w:rsid w:val="42A81FE7"/>
    <w:rsid w:val="42A95947"/>
    <w:rsid w:val="42B21F0C"/>
    <w:rsid w:val="42B37AD7"/>
    <w:rsid w:val="42B51AA1"/>
    <w:rsid w:val="42B535F9"/>
    <w:rsid w:val="42B7058F"/>
    <w:rsid w:val="42B77F6E"/>
    <w:rsid w:val="42BC433C"/>
    <w:rsid w:val="42BC530C"/>
    <w:rsid w:val="42BE0565"/>
    <w:rsid w:val="42BF46CD"/>
    <w:rsid w:val="42C85330"/>
    <w:rsid w:val="42C90EFE"/>
    <w:rsid w:val="42C910A8"/>
    <w:rsid w:val="42CE66BF"/>
    <w:rsid w:val="42D068DB"/>
    <w:rsid w:val="42D2381C"/>
    <w:rsid w:val="42D27D5B"/>
    <w:rsid w:val="42D446B7"/>
    <w:rsid w:val="42D64FF5"/>
    <w:rsid w:val="42D737C5"/>
    <w:rsid w:val="42D83684"/>
    <w:rsid w:val="42DB5A7D"/>
    <w:rsid w:val="42E3702F"/>
    <w:rsid w:val="42E87780"/>
    <w:rsid w:val="42EC7EBE"/>
    <w:rsid w:val="42F36125"/>
    <w:rsid w:val="42F652E3"/>
    <w:rsid w:val="42FB72C1"/>
    <w:rsid w:val="43014CE6"/>
    <w:rsid w:val="430343A0"/>
    <w:rsid w:val="430815C5"/>
    <w:rsid w:val="43082452"/>
    <w:rsid w:val="430B292C"/>
    <w:rsid w:val="43171E14"/>
    <w:rsid w:val="431C1B20"/>
    <w:rsid w:val="4331708F"/>
    <w:rsid w:val="43332FB2"/>
    <w:rsid w:val="433B2089"/>
    <w:rsid w:val="433C187A"/>
    <w:rsid w:val="433E55F2"/>
    <w:rsid w:val="4340580E"/>
    <w:rsid w:val="43420014"/>
    <w:rsid w:val="43435E4D"/>
    <w:rsid w:val="43486471"/>
    <w:rsid w:val="434A21E9"/>
    <w:rsid w:val="434D1CD9"/>
    <w:rsid w:val="434D7F2B"/>
    <w:rsid w:val="435C1F1C"/>
    <w:rsid w:val="436239D7"/>
    <w:rsid w:val="436C6603"/>
    <w:rsid w:val="436D53B2"/>
    <w:rsid w:val="4372513F"/>
    <w:rsid w:val="43762FDE"/>
    <w:rsid w:val="437C71DF"/>
    <w:rsid w:val="437D60FB"/>
    <w:rsid w:val="438201C7"/>
    <w:rsid w:val="4383394D"/>
    <w:rsid w:val="438C2802"/>
    <w:rsid w:val="438C3388"/>
    <w:rsid w:val="438C45B0"/>
    <w:rsid w:val="438D0328"/>
    <w:rsid w:val="438E5948"/>
    <w:rsid w:val="439A528D"/>
    <w:rsid w:val="439C1000"/>
    <w:rsid w:val="43A538C3"/>
    <w:rsid w:val="43AA712C"/>
    <w:rsid w:val="43AC4C52"/>
    <w:rsid w:val="43AC6A00"/>
    <w:rsid w:val="43AD2778"/>
    <w:rsid w:val="43AF029E"/>
    <w:rsid w:val="43B27D8E"/>
    <w:rsid w:val="43B461B6"/>
    <w:rsid w:val="43BC0257"/>
    <w:rsid w:val="43BC4AF1"/>
    <w:rsid w:val="43C04259"/>
    <w:rsid w:val="43C30252"/>
    <w:rsid w:val="43C81360"/>
    <w:rsid w:val="43CB76FE"/>
    <w:rsid w:val="43CE1B59"/>
    <w:rsid w:val="43CF0940"/>
    <w:rsid w:val="43D30430"/>
    <w:rsid w:val="43D9356D"/>
    <w:rsid w:val="43D97563"/>
    <w:rsid w:val="43DB1093"/>
    <w:rsid w:val="43DE0B83"/>
    <w:rsid w:val="43E22422"/>
    <w:rsid w:val="43FF7ADD"/>
    <w:rsid w:val="44000AFA"/>
    <w:rsid w:val="440E3217"/>
    <w:rsid w:val="4412168D"/>
    <w:rsid w:val="44136A7F"/>
    <w:rsid w:val="4416656F"/>
    <w:rsid w:val="441822E7"/>
    <w:rsid w:val="441B1AE4"/>
    <w:rsid w:val="441D5B50"/>
    <w:rsid w:val="44261A23"/>
    <w:rsid w:val="442A5A15"/>
    <w:rsid w:val="442E1B0B"/>
    <w:rsid w:val="44316F05"/>
    <w:rsid w:val="44333F20"/>
    <w:rsid w:val="443864E5"/>
    <w:rsid w:val="443A4914"/>
    <w:rsid w:val="444255B6"/>
    <w:rsid w:val="44466E54"/>
    <w:rsid w:val="44494618"/>
    <w:rsid w:val="444F0682"/>
    <w:rsid w:val="445076C8"/>
    <w:rsid w:val="44511355"/>
    <w:rsid w:val="445350CD"/>
    <w:rsid w:val="44564BBE"/>
    <w:rsid w:val="44567908"/>
    <w:rsid w:val="445873A3"/>
    <w:rsid w:val="44626C63"/>
    <w:rsid w:val="446472DA"/>
    <w:rsid w:val="446612A5"/>
    <w:rsid w:val="44680760"/>
    <w:rsid w:val="4469669F"/>
    <w:rsid w:val="447137A5"/>
    <w:rsid w:val="44825FC8"/>
    <w:rsid w:val="44832A4B"/>
    <w:rsid w:val="44885A8F"/>
    <w:rsid w:val="448C05DF"/>
    <w:rsid w:val="448E25A9"/>
    <w:rsid w:val="44963C42"/>
    <w:rsid w:val="449A57D7"/>
    <w:rsid w:val="449F0313"/>
    <w:rsid w:val="44A1052F"/>
    <w:rsid w:val="44A26F06"/>
    <w:rsid w:val="44A27E03"/>
    <w:rsid w:val="44A703AC"/>
    <w:rsid w:val="44AE49FA"/>
    <w:rsid w:val="44B5312E"/>
    <w:rsid w:val="44C61D43"/>
    <w:rsid w:val="44C67F95"/>
    <w:rsid w:val="44CE0BF8"/>
    <w:rsid w:val="44CF01F3"/>
    <w:rsid w:val="44CF1A45"/>
    <w:rsid w:val="44D02976"/>
    <w:rsid w:val="44D0671E"/>
    <w:rsid w:val="44D07B86"/>
    <w:rsid w:val="44D34C9C"/>
    <w:rsid w:val="44D83825"/>
    <w:rsid w:val="44DE52DF"/>
    <w:rsid w:val="44E4666D"/>
    <w:rsid w:val="44EA2395"/>
    <w:rsid w:val="44EB3558"/>
    <w:rsid w:val="44EE129A"/>
    <w:rsid w:val="44F763A1"/>
    <w:rsid w:val="44FE16D9"/>
    <w:rsid w:val="450A1D60"/>
    <w:rsid w:val="45120AE5"/>
    <w:rsid w:val="451231DA"/>
    <w:rsid w:val="45154A79"/>
    <w:rsid w:val="451B6B9E"/>
    <w:rsid w:val="451F76A5"/>
    <w:rsid w:val="452369CF"/>
    <w:rsid w:val="4526261A"/>
    <w:rsid w:val="452627E2"/>
    <w:rsid w:val="45264590"/>
    <w:rsid w:val="452F5B59"/>
    <w:rsid w:val="45350C77"/>
    <w:rsid w:val="45361337"/>
    <w:rsid w:val="4537679D"/>
    <w:rsid w:val="453A003B"/>
    <w:rsid w:val="453C2C0A"/>
    <w:rsid w:val="453E2322"/>
    <w:rsid w:val="4541761C"/>
    <w:rsid w:val="454C4817"/>
    <w:rsid w:val="455250F0"/>
    <w:rsid w:val="4554273F"/>
    <w:rsid w:val="45542D4C"/>
    <w:rsid w:val="455A0335"/>
    <w:rsid w:val="455A6FF1"/>
    <w:rsid w:val="45601A23"/>
    <w:rsid w:val="4568155D"/>
    <w:rsid w:val="45684BA8"/>
    <w:rsid w:val="456F7686"/>
    <w:rsid w:val="457004A6"/>
    <w:rsid w:val="45717C1A"/>
    <w:rsid w:val="458E4EC9"/>
    <w:rsid w:val="459C0CF6"/>
    <w:rsid w:val="45A5342F"/>
    <w:rsid w:val="45AA1B8E"/>
    <w:rsid w:val="45B71E2A"/>
    <w:rsid w:val="45C1250B"/>
    <w:rsid w:val="45CE2522"/>
    <w:rsid w:val="45D11370"/>
    <w:rsid w:val="45E435E2"/>
    <w:rsid w:val="45E5444B"/>
    <w:rsid w:val="45F27B9E"/>
    <w:rsid w:val="45F76DD6"/>
    <w:rsid w:val="45FD4CB1"/>
    <w:rsid w:val="46004DE1"/>
    <w:rsid w:val="46026DAB"/>
    <w:rsid w:val="46125ABF"/>
    <w:rsid w:val="46141181"/>
    <w:rsid w:val="46144D30"/>
    <w:rsid w:val="461D3BE5"/>
    <w:rsid w:val="461F5BAF"/>
    <w:rsid w:val="462326F9"/>
    <w:rsid w:val="462E5798"/>
    <w:rsid w:val="462E5DF2"/>
    <w:rsid w:val="463B050F"/>
    <w:rsid w:val="463D7C0A"/>
    <w:rsid w:val="4646138E"/>
    <w:rsid w:val="46494E1C"/>
    <w:rsid w:val="464B7748"/>
    <w:rsid w:val="46515DF0"/>
    <w:rsid w:val="46537607"/>
    <w:rsid w:val="46582E6F"/>
    <w:rsid w:val="465C35C1"/>
    <w:rsid w:val="465F5FAB"/>
    <w:rsid w:val="46607F75"/>
    <w:rsid w:val="46647A66"/>
    <w:rsid w:val="466510E8"/>
    <w:rsid w:val="46651743"/>
    <w:rsid w:val="4669507C"/>
    <w:rsid w:val="466B2BA2"/>
    <w:rsid w:val="46745A9B"/>
    <w:rsid w:val="46752AE1"/>
    <w:rsid w:val="46761547"/>
    <w:rsid w:val="4676691E"/>
    <w:rsid w:val="46782E00"/>
    <w:rsid w:val="467841DE"/>
    <w:rsid w:val="467A2DE5"/>
    <w:rsid w:val="467C4729"/>
    <w:rsid w:val="467E5BB9"/>
    <w:rsid w:val="46802041"/>
    <w:rsid w:val="4682613E"/>
    <w:rsid w:val="468679DC"/>
    <w:rsid w:val="468772B0"/>
    <w:rsid w:val="46946618"/>
    <w:rsid w:val="46965745"/>
    <w:rsid w:val="469814BD"/>
    <w:rsid w:val="469A3487"/>
    <w:rsid w:val="469A5235"/>
    <w:rsid w:val="46A71700"/>
    <w:rsid w:val="46AD48B7"/>
    <w:rsid w:val="46AE05A3"/>
    <w:rsid w:val="46B04A59"/>
    <w:rsid w:val="46B45C83"/>
    <w:rsid w:val="46B74041"/>
    <w:rsid w:val="46C96777"/>
    <w:rsid w:val="46CA5BDD"/>
    <w:rsid w:val="46CB4EBE"/>
    <w:rsid w:val="46D104EB"/>
    <w:rsid w:val="46D47CC9"/>
    <w:rsid w:val="46D63D94"/>
    <w:rsid w:val="46DA3F91"/>
    <w:rsid w:val="46DB2F1F"/>
    <w:rsid w:val="46DF0E9A"/>
    <w:rsid w:val="46E04202"/>
    <w:rsid w:val="46E666CD"/>
    <w:rsid w:val="46E95A67"/>
    <w:rsid w:val="46EE10DD"/>
    <w:rsid w:val="46EE732F"/>
    <w:rsid w:val="46F74D8F"/>
    <w:rsid w:val="46F9001F"/>
    <w:rsid w:val="46FA1179"/>
    <w:rsid w:val="46FC1A4C"/>
    <w:rsid w:val="46FF18A4"/>
    <w:rsid w:val="47046B53"/>
    <w:rsid w:val="4705339B"/>
    <w:rsid w:val="47094169"/>
    <w:rsid w:val="470D0F13"/>
    <w:rsid w:val="47136D96"/>
    <w:rsid w:val="471548BC"/>
    <w:rsid w:val="471A1ED2"/>
    <w:rsid w:val="471D6BBF"/>
    <w:rsid w:val="47264D1B"/>
    <w:rsid w:val="47266AC9"/>
    <w:rsid w:val="47272598"/>
    <w:rsid w:val="4729480B"/>
    <w:rsid w:val="472B2331"/>
    <w:rsid w:val="472F1E22"/>
    <w:rsid w:val="4735602C"/>
    <w:rsid w:val="47370CD6"/>
    <w:rsid w:val="473C3637"/>
    <w:rsid w:val="473F5DDD"/>
    <w:rsid w:val="47460F19"/>
    <w:rsid w:val="4746716B"/>
    <w:rsid w:val="474A22AA"/>
    <w:rsid w:val="475058C1"/>
    <w:rsid w:val="47507FEA"/>
    <w:rsid w:val="475950F1"/>
    <w:rsid w:val="475C698F"/>
    <w:rsid w:val="47613FA5"/>
    <w:rsid w:val="47617B01"/>
    <w:rsid w:val="47661A9B"/>
    <w:rsid w:val="4766336A"/>
    <w:rsid w:val="47687B7B"/>
    <w:rsid w:val="4770243A"/>
    <w:rsid w:val="4773181A"/>
    <w:rsid w:val="477535AD"/>
    <w:rsid w:val="47797541"/>
    <w:rsid w:val="477E6905"/>
    <w:rsid w:val="478040C9"/>
    <w:rsid w:val="47833F1C"/>
    <w:rsid w:val="47835CCA"/>
    <w:rsid w:val="47864EC1"/>
    <w:rsid w:val="478869F4"/>
    <w:rsid w:val="478A34FC"/>
    <w:rsid w:val="478A706C"/>
    <w:rsid w:val="478D4D9A"/>
    <w:rsid w:val="478F466E"/>
    <w:rsid w:val="478F5094"/>
    <w:rsid w:val="47906875"/>
    <w:rsid w:val="47941C85"/>
    <w:rsid w:val="47981849"/>
    <w:rsid w:val="479A57AA"/>
    <w:rsid w:val="47A3011A"/>
    <w:rsid w:val="47A3636C"/>
    <w:rsid w:val="47A45C40"/>
    <w:rsid w:val="47A60765"/>
    <w:rsid w:val="47AA14A8"/>
    <w:rsid w:val="47AD71EA"/>
    <w:rsid w:val="47C562E2"/>
    <w:rsid w:val="47C81167"/>
    <w:rsid w:val="47CC6664"/>
    <w:rsid w:val="47CD6BD8"/>
    <w:rsid w:val="47D21405"/>
    <w:rsid w:val="47D227AD"/>
    <w:rsid w:val="47D40B4C"/>
    <w:rsid w:val="47D41223"/>
    <w:rsid w:val="47D85EC8"/>
    <w:rsid w:val="47DC529C"/>
    <w:rsid w:val="47DE1152"/>
    <w:rsid w:val="47E0136E"/>
    <w:rsid w:val="47E03F69"/>
    <w:rsid w:val="47F224EB"/>
    <w:rsid w:val="47F53213"/>
    <w:rsid w:val="47F941DE"/>
    <w:rsid w:val="47F95F8C"/>
    <w:rsid w:val="47FC782A"/>
    <w:rsid w:val="48077DC1"/>
    <w:rsid w:val="480C3F44"/>
    <w:rsid w:val="480F57AF"/>
    <w:rsid w:val="48174664"/>
    <w:rsid w:val="48217291"/>
    <w:rsid w:val="48224FDC"/>
    <w:rsid w:val="4823125B"/>
    <w:rsid w:val="48266FB7"/>
    <w:rsid w:val="482A083B"/>
    <w:rsid w:val="48335AC8"/>
    <w:rsid w:val="48345216"/>
    <w:rsid w:val="4847426C"/>
    <w:rsid w:val="484746CA"/>
    <w:rsid w:val="484C6A03"/>
    <w:rsid w:val="484E277B"/>
    <w:rsid w:val="48594C7C"/>
    <w:rsid w:val="48662CAB"/>
    <w:rsid w:val="486C49B0"/>
    <w:rsid w:val="486E697A"/>
    <w:rsid w:val="487321E2"/>
    <w:rsid w:val="487675DC"/>
    <w:rsid w:val="487F0B87"/>
    <w:rsid w:val="48846D6F"/>
    <w:rsid w:val="48873598"/>
    <w:rsid w:val="48874767"/>
    <w:rsid w:val="488841DB"/>
    <w:rsid w:val="488F0FA9"/>
    <w:rsid w:val="489363E0"/>
    <w:rsid w:val="48941574"/>
    <w:rsid w:val="489B15BC"/>
    <w:rsid w:val="489E7916"/>
    <w:rsid w:val="48A24875"/>
    <w:rsid w:val="48A250BA"/>
    <w:rsid w:val="48A524E3"/>
    <w:rsid w:val="48A56114"/>
    <w:rsid w:val="48AB372A"/>
    <w:rsid w:val="48AB646F"/>
    <w:rsid w:val="48B07DAC"/>
    <w:rsid w:val="48BC5937"/>
    <w:rsid w:val="48C22822"/>
    <w:rsid w:val="48C7608A"/>
    <w:rsid w:val="48CA7928"/>
    <w:rsid w:val="48CE11C6"/>
    <w:rsid w:val="48D013E2"/>
    <w:rsid w:val="48D936A8"/>
    <w:rsid w:val="48DC7D87"/>
    <w:rsid w:val="48E42798"/>
    <w:rsid w:val="48E924A4"/>
    <w:rsid w:val="48E96000"/>
    <w:rsid w:val="48FC1291"/>
    <w:rsid w:val="48FD5F50"/>
    <w:rsid w:val="4901159C"/>
    <w:rsid w:val="4901555D"/>
    <w:rsid w:val="490715C7"/>
    <w:rsid w:val="490C4A65"/>
    <w:rsid w:val="492B6619"/>
    <w:rsid w:val="492E7EB7"/>
    <w:rsid w:val="49301E81"/>
    <w:rsid w:val="49353AF4"/>
    <w:rsid w:val="4938278A"/>
    <w:rsid w:val="493F20C4"/>
    <w:rsid w:val="49460182"/>
    <w:rsid w:val="49496F92"/>
    <w:rsid w:val="4950607F"/>
    <w:rsid w:val="49543DC1"/>
    <w:rsid w:val="49545C39"/>
    <w:rsid w:val="4960537E"/>
    <w:rsid w:val="49627B61"/>
    <w:rsid w:val="49690EEF"/>
    <w:rsid w:val="496D6C31"/>
    <w:rsid w:val="497004D0"/>
    <w:rsid w:val="49777AB0"/>
    <w:rsid w:val="497875CB"/>
    <w:rsid w:val="497D499A"/>
    <w:rsid w:val="497E0E3E"/>
    <w:rsid w:val="497F6965"/>
    <w:rsid w:val="49836455"/>
    <w:rsid w:val="49860758"/>
    <w:rsid w:val="498B5309"/>
    <w:rsid w:val="498F4DFA"/>
    <w:rsid w:val="499248EA"/>
    <w:rsid w:val="49942410"/>
    <w:rsid w:val="49956188"/>
    <w:rsid w:val="49973CAE"/>
    <w:rsid w:val="499A360F"/>
    <w:rsid w:val="499E3928"/>
    <w:rsid w:val="499E503D"/>
    <w:rsid w:val="49A24972"/>
    <w:rsid w:val="49A3420A"/>
    <w:rsid w:val="49A40179"/>
    <w:rsid w:val="49AF359F"/>
    <w:rsid w:val="49B22896"/>
    <w:rsid w:val="49B27143"/>
    <w:rsid w:val="49B7342A"/>
    <w:rsid w:val="49B760FE"/>
    <w:rsid w:val="49B77726"/>
    <w:rsid w:val="49BE123B"/>
    <w:rsid w:val="49BE56DF"/>
    <w:rsid w:val="49BE65F2"/>
    <w:rsid w:val="49BE6F8E"/>
    <w:rsid w:val="49C37385"/>
    <w:rsid w:val="49D15412"/>
    <w:rsid w:val="49D22F38"/>
    <w:rsid w:val="49D57404"/>
    <w:rsid w:val="49D97CFA"/>
    <w:rsid w:val="49EB7B56"/>
    <w:rsid w:val="49ED7D72"/>
    <w:rsid w:val="49EF3AEA"/>
    <w:rsid w:val="49F27137"/>
    <w:rsid w:val="49F44C5D"/>
    <w:rsid w:val="49F96717"/>
    <w:rsid w:val="49FC181A"/>
    <w:rsid w:val="49FE5ADB"/>
    <w:rsid w:val="4A02381D"/>
    <w:rsid w:val="4A062BE2"/>
    <w:rsid w:val="4A0A4A38"/>
    <w:rsid w:val="4A17420A"/>
    <w:rsid w:val="4A1A5F48"/>
    <w:rsid w:val="4A1B48DF"/>
    <w:rsid w:val="4A1E617D"/>
    <w:rsid w:val="4A1F7EB0"/>
    <w:rsid w:val="4A235B57"/>
    <w:rsid w:val="4A2808DB"/>
    <w:rsid w:val="4A2D63C1"/>
    <w:rsid w:val="4A2F70DA"/>
    <w:rsid w:val="4A3414FD"/>
    <w:rsid w:val="4A37282C"/>
    <w:rsid w:val="4A3D0F9E"/>
    <w:rsid w:val="4A4200BE"/>
    <w:rsid w:val="4A45510E"/>
    <w:rsid w:val="4A4554B8"/>
    <w:rsid w:val="4A466EBA"/>
    <w:rsid w:val="4A481C2E"/>
    <w:rsid w:val="4A4A7727"/>
    <w:rsid w:val="4A4E23DD"/>
    <w:rsid w:val="4A4F4589"/>
    <w:rsid w:val="4A510301"/>
    <w:rsid w:val="4A592BCC"/>
    <w:rsid w:val="4A6218ED"/>
    <w:rsid w:val="4A646A83"/>
    <w:rsid w:val="4A6718D3"/>
    <w:rsid w:val="4A6A13C3"/>
    <w:rsid w:val="4A6A1C50"/>
    <w:rsid w:val="4A6E0EB3"/>
    <w:rsid w:val="4A6F4C2B"/>
    <w:rsid w:val="4A8050E2"/>
    <w:rsid w:val="4A851FE2"/>
    <w:rsid w:val="4A865BEA"/>
    <w:rsid w:val="4A8D1509"/>
    <w:rsid w:val="4A8F0E29"/>
    <w:rsid w:val="4A930919"/>
    <w:rsid w:val="4A9A1CA8"/>
    <w:rsid w:val="4A9A1F57"/>
    <w:rsid w:val="4A9D28FF"/>
    <w:rsid w:val="4AA523FB"/>
    <w:rsid w:val="4AA8171D"/>
    <w:rsid w:val="4AB12376"/>
    <w:rsid w:val="4AB32D6A"/>
    <w:rsid w:val="4AB97C24"/>
    <w:rsid w:val="4ABA6E77"/>
    <w:rsid w:val="4AC62A9D"/>
    <w:rsid w:val="4AC72371"/>
    <w:rsid w:val="4AC90F7E"/>
    <w:rsid w:val="4ACC2853"/>
    <w:rsid w:val="4ACE1952"/>
    <w:rsid w:val="4AD337D1"/>
    <w:rsid w:val="4AD74508"/>
    <w:rsid w:val="4ADB4F09"/>
    <w:rsid w:val="4AEF5AB0"/>
    <w:rsid w:val="4AF34F14"/>
    <w:rsid w:val="4AF429FF"/>
    <w:rsid w:val="4AF62C56"/>
    <w:rsid w:val="4AF64A04"/>
    <w:rsid w:val="4B013AD5"/>
    <w:rsid w:val="4B090BDC"/>
    <w:rsid w:val="4B0B6702"/>
    <w:rsid w:val="4B0C61BF"/>
    <w:rsid w:val="4B124AD8"/>
    <w:rsid w:val="4B166E55"/>
    <w:rsid w:val="4B21533E"/>
    <w:rsid w:val="4B26353C"/>
    <w:rsid w:val="4B337A07"/>
    <w:rsid w:val="4B3A6FE7"/>
    <w:rsid w:val="4B3C2D5F"/>
    <w:rsid w:val="4B44463C"/>
    <w:rsid w:val="4B4B1487"/>
    <w:rsid w:val="4B4E2A92"/>
    <w:rsid w:val="4B517E8D"/>
    <w:rsid w:val="4B524331"/>
    <w:rsid w:val="4B5819E1"/>
    <w:rsid w:val="4B62209A"/>
    <w:rsid w:val="4B6E4EE3"/>
    <w:rsid w:val="4B756271"/>
    <w:rsid w:val="4B7572FC"/>
    <w:rsid w:val="4B7C13AE"/>
    <w:rsid w:val="4B80578B"/>
    <w:rsid w:val="4B83018C"/>
    <w:rsid w:val="4B846D55"/>
    <w:rsid w:val="4B9529B9"/>
    <w:rsid w:val="4B9761E7"/>
    <w:rsid w:val="4B9E5058"/>
    <w:rsid w:val="4BA872F9"/>
    <w:rsid w:val="4BAA13AB"/>
    <w:rsid w:val="4BB072A9"/>
    <w:rsid w:val="4BB07716"/>
    <w:rsid w:val="4BB328F5"/>
    <w:rsid w:val="4BBA4D0E"/>
    <w:rsid w:val="4BBB2597"/>
    <w:rsid w:val="4BC13264"/>
    <w:rsid w:val="4BC52D55"/>
    <w:rsid w:val="4BC845F3"/>
    <w:rsid w:val="4BC92119"/>
    <w:rsid w:val="4BCB1699"/>
    <w:rsid w:val="4BD23890"/>
    <w:rsid w:val="4BD32D36"/>
    <w:rsid w:val="4BD5286C"/>
    <w:rsid w:val="4BDB2578"/>
    <w:rsid w:val="4BE9309F"/>
    <w:rsid w:val="4BEB211D"/>
    <w:rsid w:val="4BEC21F1"/>
    <w:rsid w:val="4BEE392E"/>
    <w:rsid w:val="4BFA22D2"/>
    <w:rsid w:val="4C023FB2"/>
    <w:rsid w:val="4C0E61E2"/>
    <w:rsid w:val="4C147838"/>
    <w:rsid w:val="4C176BF2"/>
    <w:rsid w:val="4C182F5B"/>
    <w:rsid w:val="4C1C049B"/>
    <w:rsid w:val="4C1E2848"/>
    <w:rsid w:val="4C2630C7"/>
    <w:rsid w:val="4C2B6930"/>
    <w:rsid w:val="4C2C4B82"/>
    <w:rsid w:val="4C2D2C2B"/>
    <w:rsid w:val="4C31516A"/>
    <w:rsid w:val="4C3752D5"/>
    <w:rsid w:val="4C39104D"/>
    <w:rsid w:val="4C434964"/>
    <w:rsid w:val="4C475409"/>
    <w:rsid w:val="4C4920B9"/>
    <w:rsid w:val="4C4A2D2B"/>
    <w:rsid w:val="4C4B5EA3"/>
    <w:rsid w:val="4C4D6AA3"/>
    <w:rsid w:val="4C4F1FEA"/>
    <w:rsid w:val="4C5365B2"/>
    <w:rsid w:val="4C577725"/>
    <w:rsid w:val="4C597954"/>
    <w:rsid w:val="4C60222C"/>
    <w:rsid w:val="4C6065D9"/>
    <w:rsid w:val="4C633D3F"/>
    <w:rsid w:val="4C6B4F7E"/>
    <w:rsid w:val="4C6C1422"/>
    <w:rsid w:val="4C752357"/>
    <w:rsid w:val="4C757967"/>
    <w:rsid w:val="4C765DFD"/>
    <w:rsid w:val="4C7B4571"/>
    <w:rsid w:val="4C7D362F"/>
    <w:rsid w:val="4C7E1155"/>
    <w:rsid w:val="4C804ECE"/>
    <w:rsid w:val="4C871DB8"/>
    <w:rsid w:val="4C8C2D10"/>
    <w:rsid w:val="4C8D179C"/>
    <w:rsid w:val="4C910E89"/>
    <w:rsid w:val="4C9149E5"/>
    <w:rsid w:val="4C9269AF"/>
    <w:rsid w:val="4C9444D5"/>
    <w:rsid w:val="4C9561C5"/>
    <w:rsid w:val="4C9D528B"/>
    <w:rsid w:val="4CA74208"/>
    <w:rsid w:val="4CA961D2"/>
    <w:rsid w:val="4CB4423F"/>
    <w:rsid w:val="4CB5085F"/>
    <w:rsid w:val="4CB5158B"/>
    <w:rsid w:val="4CBB7CB4"/>
    <w:rsid w:val="4CBD1C7E"/>
    <w:rsid w:val="4CBD7ED0"/>
    <w:rsid w:val="4CBE1552"/>
    <w:rsid w:val="4CC02C8E"/>
    <w:rsid w:val="4CC34BDC"/>
    <w:rsid w:val="4CC622FE"/>
    <w:rsid w:val="4CD314A1"/>
    <w:rsid w:val="4CD34D9C"/>
    <w:rsid w:val="4CD36B70"/>
    <w:rsid w:val="4CDD6BFA"/>
    <w:rsid w:val="4CDF6854"/>
    <w:rsid w:val="4CE74F4D"/>
    <w:rsid w:val="4CE82407"/>
    <w:rsid w:val="4CE90CC5"/>
    <w:rsid w:val="4CE94821"/>
    <w:rsid w:val="4CEF795D"/>
    <w:rsid w:val="4CFF2296"/>
    <w:rsid w:val="4D0B0C3B"/>
    <w:rsid w:val="4D0E4287"/>
    <w:rsid w:val="4D111FCA"/>
    <w:rsid w:val="4D135D42"/>
    <w:rsid w:val="4D151ABA"/>
    <w:rsid w:val="4D155616"/>
    <w:rsid w:val="4D1A0E7E"/>
    <w:rsid w:val="4D1B4BF6"/>
    <w:rsid w:val="4D1D44CA"/>
    <w:rsid w:val="4D1F46E6"/>
    <w:rsid w:val="4D245859"/>
    <w:rsid w:val="4D2E492A"/>
    <w:rsid w:val="4D3116FB"/>
    <w:rsid w:val="4D344A7D"/>
    <w:rsid w:val="4D405120"/>
    <w:rsid w:val="4D40640B"/>
    <w:rsid w:val="4D43424C"/>
    <w:rsid w:val="4D471A63"/>
    <w:rsid w:val="4D480659"/>
    <w:rsid w:val="4D5D6FBD"/>
    <w:rsid w:val="4D64620A"/>
    <w:rsid w:val="4D682880"/>
    <w:rsid w:val="4D6B4997"/>
    <w:rsid w:val="4D6E34CC"/>
    <w:rsid w:val="4D7020FE"/>
    <w:rsid w:val="4D7C5695"/>
    <w:rsid w:val="4D7D4568"/>
    <w:rsid w:val="4D7E1024"/>
    <w:rsid w:val="4D821820"/>
    <w:rsid w:val="4D8C1650"/>
    <w:rsid w:val="4D9549A9"/>
    <w:rsid w:val="4DA2520B"/>
    <w:rsid w:val="4DA60964"/>
    <w:rsid w:val="4DA644C0"/>
    <w:rsid w:val="4DA93FB0"/>
    <w:rsid w:val="4DAD3AA0"/>
    <w:rsid w:val="4DAF7402"/>
    <w:rsid w:val="4DB01DC4"/>
    <w:rsid w:val="4DB210B7"/>
    <w:rsid w:val="4DB24E9F"/>
    <w:rsid w:val="4DB6260C"/>
    <w:rsid w:val="4DBA5BF8"/>
    <w:rsid w:val="4DBC2F09"/>
    <w:rsid w:val="4DC21F09"/>
    <w:rsid w:val="4DC70A17"/>
    <w:rsid w:val="4DC95567"/>
    <w:rsid w:val="4DCD4142"/>
    <w:rsid w:val="4DCD5EF0"/>
    <w:rsid w:val="4DD21759"/>
    <w:rsid w:val="4DD454D1"/>
    <w:rsid w:val="4DD54DA5"/>
    <w:rsid w:val="4DE3533E"/>
    <w:rsid w:val="4DE60D60"/>
    <w:rsid w:val="4DE65204"/>
    <w:rsid w:val="4DE66FB2"/>
    <w:rsid w:val="4DEA5A8F"/>
    <w:rsid w:val="4DEB281B"/>
    <w:rsid w:val="4DED20EF"/>
    <w:rsid w:val="4DF0715D"/>
    <w:rsid w:val="4DF416CF"/>
    <w:rsid w:val="4DF645F1"/>
    <w:rsid w:val="4DF711BF"/>
    <w:rsid w:val="4DF72106"/>
    <w:rsid w:val="4DFE60AA"/>
    <w:rsid w:val="4E013DEC"/>
    <w:rsid w:val="4E07653F"/>
    <w:rsid w:val="4E0B4C6B"/>
    <w:rsid w:val="4E157897"/>
    <w:rsid w:val="4E1A4EAE"/>
    <w:rsid w:val="4E1E674C"/>
    <w:rsid w:val="4E1F6916"/>
    <w:rsid w:val="4E253663"/>
    <w:rsid w:val="4E340D9C"/>
    <w:rsid w:val="4E361CE8"/>
    <w:rsid w:val="4E376A4E"/>
    <w:rsid w:val="4E3C20CD"/>
    <w:rsid w:val="4E3E066C"/>
    <w:rsid w:val="4E4837C9"/>
    <w:rsid w:val="4E4A7541"/>
    <w:rsid w:val="4E4B32B9"/>
    <w:rsid w:val="4E50411F"/>
    <w:rsid w:val="4E5208A3"/>
    <w:rsid w:val="4E52289A"/>
    <w:rsid w:val="4E5D69B5"/>
    <w:rsid w:val="4E606D65"/>
    <w:rsid w:val="4E6A7BE3"/>
    <w:rsid w:val="4E6D25DD"/>
    <w:rsid w:val="4E766588"/>
    <w:rsid w:val="4E793282"/>
    <w:rsid w:val="4E7B014C"/>
    <w:rsid w:val="4E7C3473"/>
    <w:rsid w:val="4E807407"/>
    <w:rsid w:val="4E870795"/>
    <w:rsid w:val="4E887DDB"/>
    <w:rsid w:val="4E8F31A6"/>
    <w:rsid w:val="4E992277"/>
    <w:rsid w:val="4E9C58C3"/>
    <w:rsid w:val="4E9F50B2"/>
    <w:rsid w:val="4EA2112B"/>
    <w:rsid w:val="4EAB722A"/>
    <w:rsid w:val="4EAC258C"/>
    <w:rsid w:val="4EAD5D22"/>
    <w:rsid w:val="4EB06665"/>
    <w:rsid w:val="4EB62E28"/>
    <w:rsid w:val="4EB90223"/>
    <w:rsid w:val="4EC56BC8"/>
    <w:rsid w:val="4EDB288F"/>
    <w:rsid w:val="4EDE412D"/>
    <w:rsid w:val="4EDF237F"/>
    <w:rsid w:val="4EE334F2"/>
    <w:rsid w:val="4EE53F2B"/>
    <w:rsid w:val="4EEA2AD2"/>
    <w:rsid w:val="4EF61477"/>
    <w:rsid w:val="4EFC5CCA"/>
    <w:rsid w:val="4F07768F"/>
    <w:rsid w:val="4F0911AA"/>
    <w:rsid w:val="4F0B62D4"/>
    <w:rsid w:val="4F0C47F7"/>
    <w:rsid w:val="4F0F7522"/>
    <w:rsid w:val="4F1B24A1"/>
    <w:rsid w:val="4F1C4B63"/>
    <w:rsid w:val="4F2852AB"/>
    <w:rsid w:val="4F2953A8"/>
    <w:rsid w:val="4F295F32"/>
    <w:rsid w:val="4F2A522D"/>
    <w:rsid w:val="4F2A7373"/>
    <w:rsid w:val="4F33733F"/>
    <w:rsid w:val="4F3678D3"/>
    <w:rsid w:val="4F416B96"/>
    <w:rsid w:val="4F4420B0"/>
    <w:rsid w:val="4F4451E9"/>
    <w:rsid w:val="4F477F24"/>
    <w:rsid w:val="4F4C6922"/>
    <w:rsid w:val="4F4E12B3"/>
    <w:rsid w:val="4F5159D7"/>
    <w:rsid w:val="4F5440CA"/>
    <w:rsid w:val="4F550B46"/>
    <w:rsid w:val="4F583EE0"/>
    <w:rsid w:val="4F58775A"/>
    <w:rsid w:val="4F59348C"/>
    <w:rsid w:val="4F5C39D0"/>
    <w:rsid w:val="4F5D77FE"/>
    <w:rsid w:val="4F610BB9"/>
    <w:rsid w:val="4F6771D1"/>
    <w:rsid w:val="4F6E3703"/>
    <w:rsid w:val="4F702FD7"/>
    <w:rsid w:val="4F7D3946"/>
    <w:rsid w:val="4F8024CB"/>
    <w:rsid w:val="4F840831"/>
    <w:rsid w:val="4F8847C5"/>
    <w:rsid w:val="4F893F63"/>
    <w:rsid w:val="4F8E345D"/>
    <w:rsid w:val="4F9111A0"/>
    <w:rsid w:val="4F92218D"/>
    <w:rsid w:val="4F927A47"/>
    <w:rsid w:val="4F952A3E"/>
    <w:rsid w:val="4F956755"/>
    <w:rsid w:val="4F961F9E"/>
    <w:rsid w:val="4F9A0054"/>
    <w:rsid w:val="4F9D2544"/>
    <w:rsid w:val="4F9F566B"/>
    <w:rsid w:val="4FA42C81"/>
    <w:rsid w:val="4FA47125"/>
    <w:rsid w:val="4FA9473B"/>
    <w:rsid w:val="4FAE1D52"/>
    <w:rsid w:val="4FB235F0"/>
    <w:rsid w:val="4FBA3D69"/>
    <w:rsid w:val="4FBA4253"/>
    <w:rsid w:val="4FC11A85"/>
    <w:rsid w:val="4FCC4B13"/>
    <w:rsid w:val="4FDB475D"/>
    <w:rsid w:val="4FE319FB"/>
    <w:rsid w:val="4FE35D07"/>
    <w:rsid w:val="4FE61D11"/>
    <w:rsid w:val="4FE62341"/>
    <w:rsid w:val="4FE678A4"/>
    <w:rsid w:val="4FE90FDC"/>
    <w:rsid w:val="4FE92D8A"/>
    <w:rsid w:val="4FEE78C2"/>
    <w:rsid w:val="4FF04118"/>
    <w:rsid w:val="4FF43C08"/>
    <w:rsid w:val="4FF534DD"/>
    <w:rsid w:val="4FF57980"/>
    <w:rsid w:val="4FFA0AF3"/>
    <w:rsid w:val="4FFD1F52"/>
    <w:rsid w:val="4FFE1AB8"/>
    <w:rsid w:val="500D7F27"/>
    <w:rsid w:val="500E459E"/>
    <w:rsid w:val="50102255"/>
    <w:rsid w:val="501E6ED7"/>
    <w:rsid w:val="501F67AB"/>
    <w:rsid w:val="50210776"/>
    <w:rsid w:val="5023629C"/>
    <w:rsid w:val="50242014"/>
    <w:rsid w:val="50273554"/>
    <w:rsid w:val="502B33A2"/>
    <w:rsid w:val="502C0172"/>
    <w:rsid w:val="502E69EF"/>
    <w:rsid w:val="50373AF5"/>
    <w:rsid w:val="503A35E5"/>
    <w:rsid w:val="503C110B"/>
    <w:rsid w:val="50403E60"/>
    <w:rsid w:val="504306EC"/>
    <w:rsid w:val="5043693E"/>
    <w:rsid w:val="504A34D3"/>
    <w:rsid w:val="50555C92"/>
    <w:rsid w:val="5058366F"/>
    <w:rsid w:val="50630D8E"/>
    <w:rsid w:val="50650662"/>
    <w:rsid w:val="506B2389"/>
    <w:rsid w:val="506F7733"/>
    <w:rsid w:val="50706B6E"/>
    <w:rsid w:val="50723E43"/>
    <w:rsid w:val="50746AF7"/>
    <w:rsid w:val="507630D5"/>
    <w:rsid w:val="508A1E77"/>
    <w:rsid w:val="508D5E0B"/>
    <w:rsid w:val="508F3931"/>
    <w:rsid w:val="50903129"/>
    <w:rsid w:val="50947199"/>
    <w:rsid w:val="50964CC0"/>
    <w:rsid w:val="509B4084"/>
    <w:rsid w:val="509C7DFC"/>
    <w:rsid w:val="50AB2E92"/>
    <w:rsid w:val="50B02196"/>
    <w:rsid w:val="50B138A7"/>
    <w:rsid w:val="50BE68C4"/>
    <w:rsid w:val="50BF61EE"/>
    <w:rsid w:val="50C51101"/>
    <w:rsid w:val="50CB0986"/>
    <w:rsid w:val="50D72809"/>
    <w:rsid w:val="50D91050"/>
    <w:rsid w:val="50DB410A"/>
    <w:rsid w:val="50DE180B"/>
    <w:rsid w:val="50DE2E0E"/>
    <w:rsid w:val="50E25461"/>
    <w:rsid w:val="50EA52AF"/>
    <w:rsid w:val="50EB46B7"/>
    <w:rsid w:val="50EF2622"/>
    <w:rsid w:val="50F10148"/>
    <w:rsid w:val="510A1C5F"/>
    <w:rsid w:val="510A5E78"/>
    <w:rsid w:val="51112598"/>
    <w:rsid w:val="51165E00"/>
    <w:rsid w:val="5116753A"/>
    <w:rsid w:val="51183927"/>
    <w:rsid w:val="511B3417"/>
    <w:rsid w:val="511D2CEB"/>
    <w:rsid w:val="512322CB"/>
    <w:rsid w:val="513149E8"/>
    <w:rsid w:val="51315AFB"/>
    <w:rsid w:val="51346287"/>
    <w:rsid w:val="513C64C2"/>
    <w:rsid w:val="513D338D"/>
    <w:rsid w:val="51407A55"/>
    <w:rsid w:val="51426147"/>
    <w:rsid w:val="5148618F"/>
    <w:rsid w:val="515372C2"/>
    <w:rsid w:val="515626A1"/>
    <w:rsid w:val="515A514D"/>
    <w:rsid w:val="515E379B"/>
    <w:rsid w:val="51610292"/>
    <w:rsid w:val="51620E39"/>
    <w:rsid w:val="51663655"/>
    <w:rsid w:val="5176064D"/>
    <w:rsid w:val="517A1818"/>
    <w:rsid w:val="5180327A"/>
    <w:rsid w:val="518B5EFD"/>
    <w:rsid w:val="518C7E71"/>
    <w:rsid w:val="51905BB3"/>
    <w:rsid w:val="51935577"/>
    <w:rsid w:val="51984A67"/>
    <w:rsid w:val="519A07DF"/>
    <w:rsid w:val="519A0C31"/>
    <w:rsid w:val="519A258E"/>
    <w:rsid w:val="519F7BA4"/>
    <w:rsid w:val="51A11B6E"/>
    <w:rsid w:val="51BB60F8"/>
    <w:rsid w:val="51BD44CE"/>
    <w:rsid w:val="51C27D36"/>
    <w:rsid w:val="51C60943"/>
    <w:rsid w:val="51C64B15"/>
    <w:rsid w:val="51CB7DF7"/>
    <w:rsid w:val="51D04201"/>
    <w:rsid w:val="51D57A6A"/>
    <w:rsid w:val="51D610EC"/>
    <w:rsid w:val="51DE5488"/>
    <w:rsid w:val="51E14DAF"/>
    <w:rsid w:val="51E22514"/>
    <w:rsid w:val="51E3380D"/>
    <w:rsid w:val="51E43809"/>
    <w:rsid w:val="51E47CAD"/>
    <w:rsid w:val="51E92EB1"/>
    <w:rsid w:val="51EB2DE9"/>
    <w:rsid w:val="51EC090F"/>
    <w:rsid w:val="51F120D7"/>
    <w:rsid w:val="51F25BDA"/>
    <w:rsid w:val="51F36142"/>
    <w:rsid w:val="51F417B0"/>
    <w:rsid w:val="51FF6894"/>
    <w:rsid w:val="52036385"/>
    <w:rsid w:val="520B1EEC"/>
    <w:rsid w:val="520D3CAC"/>
    <w:rsid w:val="52112EE8"/>
    <w:rsid w:val="52171E30"/>
    <w:rsid w:val="521A6D80"/>
    <w:rsid w:val="521C2FA3"/>
    <w:rsid w:val="522400A9"/>
    <w:rsid w:val="5224647B"/>
    <w:rsid w:val="522E5EFF"/>
    <w:rsid w:val="5233567B"/>
    <w:rsid w:val="523429E2"/>
    <w:rsid w:val="52344790"/>
    <w:rsid w:val="52383B54"/>
    <w:rsid w:val="52384C20"/>
    <w:rsid w:val="523A167B"/>
    <w:rsid w:val="523A5B1F"/>
    <w:rsid w:val="52412A09"/>
    <w:rsid w:val="52481FEA"/>
    <w:rsid w:val="525B57D5"/>
    <w:rsid w:val="52643374"/>
    <w:rsid w:val="526B7A65"/>
    <w:rsid w:val="526E1544"/>
    <w:rsid w:val="527032EE"/>
    <w:rsid w:val="52733F35"/>
    <w:rsid w:val="52741030"/>
    <w:rsid w:val="527F0F58"/>
    <w:rsid w:val="52802336"/>
    <w:rsid w:val="52846D9A"/>
    <w:rsid w:val="528A0854"/>
    <w:rsid w:val="52902C3D"/>
    <w:rsid w:val="52962054"/>
    <w:rsid w:val="52993FA0"/>
    <w:rsid w:val="529A65BD"/>
    <w:rsid w:val="52A770BC"/>
    <w:rsid w:val="52B256B5"/>
    <w:rsid w:val="52B2697B"/>
    <w:rsid w:val="52B83749"/>
    <w:rsid w:val="52B94C95"/>
    <w:rsid w:val="52C14F7B"/>
    <w:rsid w:val="52C54AD3"/>
    <w:rsid w:val="52CA29FF"/>
    <w:rsid w:val="52CB6777"/>
    <w:rsid w:val="52D03D8D"/>
    <w:rsid w:val="52D7336D"/>
    <w:rsid w:val="52DB4C0C"/>
    <w:rsid w:val="52E32DFB"/>
    <w:rsid w:val="52E33AC0"/>
    <w:rsid w:val="52E76D06"/>
    <w:rsid w:val="52E820E0"/>
    <w:rsid w:val="52EB1529"/>
    <w:rsid w:val="52EC506B"/>
    <w:rsid w:val="52F60FC2"/>
    <w:rsid w:val="52FB07CD"/>
    <w:rsid w:val="52FB4C31"/>
    <w:rsid w:val="53000C99"/>
    <w:rsid w:val="530028C4"/>
    <w:rsid w:val="53052D5D"/>
    <w:rsid w:val="53053B16"/>
    <w:rsid w:val="5305612D"/>
    <w:rsid w:val="53060867"/>
    <w:rsid w:val="530E2C43"/>
    <w:rsid w:val="53193986"/>
    <w:rsid w:val="532221EC"/>
    <w:rsid w:val="532C190B"/>
    <w:rsid w:val="532C5467"/>
    <w:rsid w:val="532E7C5C"/>
    <w:rsid w:val="53317D37"/>
    <w:rsid w:val="53331309"/>
    <w:rsid w:val="533662E6"/>
    <w:rsid w:val="53395DD6"/>
    <w:rsid w:val="533F163E"/>
    <w:rsid w:val="534327B1"/>
    <w:rsid w:val="534F5434"/>
    <w:rsid w:val="53511372"/>
    <w:rsid w:val="53520DC7"/>
    <w:rsid w:val="535D1AC5"/>
    <w:rsid w:val="535E583D"/>
    <w:rsid w:val="5362532D"/>
    <w:rsid w:val="53642E53"/>
    <w:rsid w:val="536522FF"/>
    <w:rsid w:val="536E3DA0"/>
    <w:rsid w:val="536F483D"/>
    <w:rsid w:val="537155BE"/>
    <w:rsid w:val="53753C3F"/>
    <w:rsid w:val="537A08C9"/>
    <w:rsid w:val="537B63EF"/>
    <w:rsid w:val="53835884"/>
    <w:rsid w:val="538873A9"/>
    <w:rsid w:val="53887714"/>
    <w:rsid w:val="538B66AA"/>
    <w:rsid w:val="538D64AE"/>
    <w:rsid w:val="538E6122"/>
    <w:rsid w:val="53915C12"/>
    <w:rsid w:val="53933738"/>
    <w:rsid w:val="53966D85"/>
    <w:rsid w:val="539A1CC6"/>
    <w:rsid w:val="539B1FEC"/>
    <w:rsid w:val="53AB0A82"/>
    <w:rsid w:val="53B86CFB"/>
    <w:rsid w:val="53BF359C"/>
    <w:rsid w:val="53BF452D"/>
    <w:rsid w:val="53BF62DB"/>
    <w:rsid w:val="53C51035"/>
    <w:rsid w:val="53CF46F1"/>
    <w:rsid w:val="53D23A17"/>
    <w:rsid w:val="53D33B35"/>
    <w:rsid w:val="53D61AC2"/>
    <w:rsid w:val="53E05237"/>
    <w:rsid w:val="53E61ABA"/>
    <w:rsid w:val="53E977FC"/>
    <w:rsid w:val="53EB70D0"/>
    <w:rsid w:val="53EC109A"/>
    <w:rsid w:val="53EC1340"/>
    <w:rsid w:val="53EE4E13"/>
    <w:rsid w:val="53EF5335"/>
    <w:rsid w:val="53F266B1"/>
    <w:rsid w:val="53FD1061"/>
    <w:rsid w:val="53FE2C5D"/>
    <w:rsid w:val="54036E8C"/>
    <w:rsid w:val="540B1521"/>
    <w:rsid w:val="540B45EB"/>
    <w:rsid w:val="540C7DCC"/>
    <w:rsid w:val="54100745"/>
    <w:rsid w:val="541303D5"/>
    <w:rsid w:val="541859EC"/>
    <w:rsid w:val="541C1980"/>
    <w:rsid w:val="54265D9C"/>
    <w:rsid w:val="542919A7"/>
    <w:rsid w:val="542B05EA"/>
    <w:rsid w:val="542D593B"/>
    <w:rsid w:val="5435659E"/>
    <w:rsid w:val="54363D83"/>
    <w:rsid w:val="543642A3"/>
    <w:rsid w:val="54370568"/>
    <w:rsid w:val="5438608E"/>
    <w:rsid w:val="544266F6"/>
    <w:rsid w:val="54440F8A"/>
    <w:rsid w:val="54462559"/>
    <w:rsid w:val="5447393E"/>
    <w:rsid w:val="544762D1"/>
    <w:rsid w:val="544E58B1"/>
    <w:rsid w:val="544E765F"/>
    <w:rsid w:val="54505185"/>
    <w:rsid w:val="54516F77"/>
    <w:rsid w:val="5452714F"/>
    <w:rsid w:val="545455E7"/>
    <w:rsid w:val="545804DE"/>
    <w:rsid w:val="546155E5"/>
    <w:rsid w:val="54662BFB"/>
    <w:rsid w:val="5468773F"/>
    <w:rsid w:val="546B0211"/>
    <w:rsid w:val="546B77E4"/>
    <w:rsid w:val="54790B80"/>
    <w:rsid w:val="547E7DFE"/>
    <w:rsid w:val="547E7F44"/>
    <w:rsid w:val="547F6E9B"/>
    <w:rsid w:val="548449EA"/>
    <w:rsid w:val="548D1D4F"/>
    <w:rsid w:val="54930E84"/>
    <w:rsid w:val="549A0AF6"/>
    <w:rsid w:val="54A376D8"/>
    <w:rsid w:val="54A656ED"/>
    <w:rsid w:val="54B576DE"/>
    <w:rsid w:val="54BA0063"/>
    <w:rsid w:val="54BA4CF5"/>
    <w:rsid w:val="54BC0A6D"/>
    <w:rsid w:val="54BF0B57"/>
    <w:rsid w:val="54BF3BF4"/>
    <w:rsid w:val="54C0055D"/>
    <w:rsid w:val="54C1058A"/>
    <w:rsid w:val="54C14F0D"/>
    <w:rsid w:val="54C4716B"/>
    <w:rsid w:val="54C618EB"/>
    <w:rsid w:val="54C87412"/>
    <w:rsid w:val="54CA318A"/>
    <w:rsid w:val="54CC4A06"/>
    <w:rsid w:val="54D062C6"/>
    <w:rsid w:val="54D222B5"/>
    <w:rsid w:val="54D651D3"/>
    <w:rsid w:val="54D933CD"/>
    <w:rsid w:val="54DA4AA4"/>
    <w:rsid w:val="54DB5397"/>
    <w:rsid w:val="54DE09E3"/>
    <w:rsid w:val="54E65AEA"/>
    <w:rsid w:val="54E9056E"/>
    <w:rsid w:val="54E91662"/>
    <w:rsid w:val="54ED0C26"/>
    <w:rsid w:val="54F241C6"/>
    <w:rsid w:val="54F41FB5"/>
    <w:rsid w:val="54FF095A"/>
    <w:rsid w:val="55007D25"/>
    <w:rsid w:val="55026D58"/>
    <w:rsid w:val="55032DA2"/>
    <w:rsid w:val="55033852"/>
    <w:rsid w:val="55083CB2"/>
    <w:rsid w:val="551B39E5"/>
    <w:rsid w:val="55202DAA"/>
    <w:rsid w:val="55266AFD"/>
    <w:rsid w:val="552B2900"/>
    <w:rsid w:val="552F7491"/>
    <w:rsid w:val="55342CF9"/>
    <w:rsid w:val="55345803"/>
    <w:rsid w:val="553774BF"/>
    <w:rsid w:val="553E76D4"/>
    <w:rsid w:val="55472A2C"/>
    <w:rsid w:val="554C3B9F"/>
    <w:rsid w:val="554D5A93"/>
    <w:rsid w:val="555344AC"/>
    <w:rsid w:val="555B416B"/>
    <w:rsid w:val="555D3FFE"/>
    <w:rsid w:val="555D5DAC"/>
    <w:rsid w:val="55651104"/>
    <w:rsid w:val="55652449"/>
    <w:rsid w:val="55676C2B"/>
    <w:rsid w:val="556D2820"/>
    <w:rsid w:val="556E620B"/>
    <w:rsid w:val="557A4846"/>
    <w:rsid w:val="557E3078"/>
    <w:rsid w:val="55801A9A"/>
    <w:rsid w:val="55803C7C"/>
    <w:rsid w:val="55817E97"/>
    <w:rsid w:val="558477DD"/>
    <w:rsid w:val="55884D97"/>
    <w:rsid w:val="558D0D0C"/>
    <w:rsid w:val="558E065B"/>
    <w:rsid w:val="55943798"/>
    <w:rsid w:val="55986DE4"/>
    <w:rsid w:val="559B2B61"/>
    <w:rsid w:val="55A27C63"/>
    <w:rsid w:val="55A313F0"/>
    <w:rsid w:val="55A35789"/>
    <w:rsid w:val="55AC0AE1"/>
    <w:rsid w:val="55B0022C"/>
    <w:rsid w:val="55B13C89"/>
    <w:rsid w:val="55B47996"/>
    <w:rsid w:val="55B55BE8"/>
    <w:rsid w:val="55B856D8"/>
    <w:rsid w:val="55BD2CEE"/>
    <w:rsid w:val="55BF0815"/>
    <w:rsid w:val="55C220B3"/>
    <w:rsid w:val="55C446F2"/>
    <w:rsid w:val="55CC6FE2"/>
    <w:rsid w:val="55CF657E"/>
    <w:rsid w:val="55D32512"/>
    <w:rsid w:val="55D53CA2"/>
    <w:rsid w:val="55DA564E"/>
    <w:rsid w:val="55E069DD"/>
    <w:rsid w:val="55E07080"/>
    <w:rsid w:val="55E55DA1"/>
    <w:rsid w:val="55E77187"/>
    <w:rsid w:val="55EA4E82"/>
    <w:rsid w:val="55EA540F"/>
    <w:rsid w:val="55F3226C"/>
    <w:rsid w:val="55F40AF9"/>
    <w:rsid w:val="55F86103"/>
    <w:rsid w:val="55FA184D"/>
    <w:rsid w:val="55FA4843"/>
    <w:rsid w:val="56004989"/>
    <w:rsid w:val="56013A34"/>
    <w:rsid w:val="56075D18"/>
    <w:rsid w:val="56076719"/>
    <w:rsid w:val="56093B80"/>
    <w:rsid w:val="560A5808"/>
    <w:rsid w:val="560F10BE"/>
    <w:rsid w:val="56101070"/>
    <w:rsid w:val="561346BC"/>
    <w:rsid w:val="561A1EEF"/>
    <w:rsid w:val="561D1AA7"/>
    <w:rsid w:val="56262642"/>
    <w:rsid w:val="562B40FC"/>
    <w:rsid w:val="562C4BF8"/>
    <w:rsid w:val="562D5032"/>
    <w:rsid w:val="562E7748"/>
    <w:rsid w:val="56321E8D"/>
    <w:rsid w:val="56334D5F"/>
    <w:rsid w:val="563715A5"/>
    <w:rsid w:val="563B3C13"/>
    <w:rsid w:val="563B55FC"/>
    <w:rsid w:val="5641747C"/>
    <w:rsid w:val="56497633"/>
    <w:rsid w:val="56554CD5"/>
    <w:rsid w:val="565624EC"/>
    <w:rsid w:val="565E0EBF"/>
    <w:rsid w:val="565E46E5"/>
    <w:rsid w:val="566C7AB9"/>
    <w:rsid w:val="566D46EA"/>
    <w:rsid w:val="567333AD"/>
    <w:rsid w:val="56755377"/>
    <w:rsid w:val="567809C3"/>
    <w:rsid w:val="567A298E"/>
    <w:rsid w:val="567F61F6"/>
    <w:rsid w:val="56801DAF"/>
    <w:rsid w:val="56814E3E"/>
    <w:rsid w:val="568630E0"/>
    <w:rsid w:val="568C1C4C"/>
    <w:rsid w:val="568D446F"/>
    <w:rsid w:val="569A3030"/>
    <w:rsid w:val="569F0646"/>
    <w:rsid w:val="56A3515A"/>
    <w:rsid w:val="56A63783"/>
    <w:rsid w:val="56A812A9"/>
    <w:rsid w:val="56A87492"/>
    <w:rsid w:val="56AB0D99"/>
    <w:rsid w:val="56B04864"/>
    <w:rsid w:val="56B155BA"/>
    <w:rsid w:val="56B24336"/>
    <w:rsid w:val="56B26484"/>
    <w:rsid w:val="56B37C4E"/>
    <w:rsid w:val="56B714EC"/>
    <w:rsid w:val="56B91708"/>
    <w:rsid w:val="56C47577"/>
    <w:rsid w:val="56CB31E9"/>
    <w:rsid w:val="56CB4F97"/>
    <w:rsid w:val="56D007FF"/>
    <w:rsid w:val="56D05B1A"/>
    <w:rsid w:val="56D24578"/>
    <w:rsid w:val="56D46542"/>
    <w:rsid w:val="56D73355"/>
    <w:rsid w:val="56DC71A4"/>
    <w:rsid w:val="56DC7584"/>
    <w:rsid w:val="56E147BB"/>
    <w:rsid w:val="56E2065A"/>
    <w:rsid w:val="56E44B68"/>
    <w:rsid w:val="56E86734"/>
    <w:rsid w:val="56F05266"/>
    <w:rsid w:val="56F05B65"/>
    <w:rsid w:val="56F73FDE"/>
    <w:rsid w:val="56F95FA8"/>
    <w:rsid w:val="56FC33A3"/>
    <w:rsid w:val="56FE5CEA"/>
    <w:rsid w:val="56FF2E93"/>
    <w:rsid w:val="57044CE4"/>
    <w:rsid w:val="570D55B0"/>
    <w:rsid w:val="571132F2"/>
    <w:rsid w:val="5711443D"/>
    <w:rsid w:val="571C2419"/>
    <w:rsid w:val="5721105B"/>
    <w:rsid w:val="572556CD"/>
    <w:rsid w:val="57266671"/>
    <w:rsid w:val="572C6AC1"/>
    <w:rsid w:val="572F5526"/>
    <w:rsid w:val="57325016"/>
    <w:rsid w:val="57342B3C"/>
    <w:rsid w:val="574006D8"/>
    <w:rsid w:val="574216FD"/>
    <w:rsid w:val="574436DA"/>
    <w:rsid w:val="574D1E50"/>
    <w:rsid w:val="574D3BFE"/>
    <w:rsid w:val="576511D6"/>
    <w:rsid w:val="576E4F6A"/>
    <w:rsid w:val="577251EF"/>
    <w:rsid w:val="57811AFA"/>
    <w:rsid w:val="57877110"/>
    <w:rsid w:val="57884570"/>
    <w:rsid w:val="578F1B87"/>
    <w:rsid w:val="57923D07"/>
    <w:rsid w:val="57993DB8"/>
    <w:rsid w:val="579D4B86"/>
    <w:rsid w:val="579E26AC"/>
    <w:rsid w:val="579F66F9"/>
    <w:rsid w:val="57A053C8"/>
    <w:rsid w:val="57A06424"/>
    <w:rsid w:val="57A17F6F"/>
    <w:rsid w:val="57A9177C"/>
    <w:rsid w:val="57AC4DC9"/>
    <w:rsid w:val="57B3519B"/>
    <w:rsid w:val="57B91294"/>
    <w:rsid w:val="57C230F2"/>
    <w:rsid w:val="57C522C8"/>
    <w:rsid w:val="57CE11E3"/>
    <w:rsid w:val="57D04F5B"/>
    <w:rsid w:val="57DA1DD8"/>
    <w:rsid w:val="57DF519E"/>
    <w:rsid w:val="57E5652D"/>
    <w:rsid w:val="57E6073C"/>
    <w:rsid w:val="57E667C2"/>
    <w:rsid w:val="57EC78BB"/>
    <w:rsid w:val="57EE10A0"/>
    <w:rsid w:val="57EF2F07"/>
    <w:rsid w:val="57F137DF"/>
    <w:rsid w:val="57F363AE"/>
    <w:rsid w:val="57F549C2"/>
    <w:rsid w:val="57F616F8"/>
    <w:rsid w:val="57FA25B2"/>
    <w:rsid w:val="57FB7AFE"/>
    <w:rsid w:val="57FF592C"/>
    <w:rsid w:val="58030761"/>
    <w:rsid w:val="580A7D41"/>
    <w:rsid w:val="580C5867"/>
    <w:rsid w:val="5813167F"/>
    <w:rsid w:val="5814471C"/>
    <w:rsid w:val="581A5993"/>
    <w:rsid w:val="581B1E8F"/>
    <w:rsid w:val="581D5CC6"/>
    <w:rsid w:val="582146E8"/>
    <w:rsid w:val="58240BB0"/>
    <w:rsid w:val="58276B45"/>
    <w:rsid w:val="582C5F09"/>
    <w:rsid w:val="58367D02"/>
    <w:rsid w:val="5838610A"/>
    <w:rsid w:val="583B7EFB"/>
    <w:rsid w:val="58450D79"/>
    <w:rsid w:val="584741BA"/>
    <w:rsid w:val="584A6390"/>
    <w:rsid w:val="584A7878"/>
    <w:rsid w:val="585119A0"/>
    <w:rsid w:val="58555460"/>
    <w:rsid w:val="5858416E"/>
    <w:rsid w:val="585B22AC"/>
    <w:rsid w:val="585E737D"/>
    <w:rsid w:val="586438F5"/>
    <w:rsid w:val="58655279"/>
    <w:rsid w:val="586A008D"/>
    <w:rsid w:val="586A5482"/>
    <w:rsid w:val="586C58ED"/>
    <w:rsid w:val="58711416"/>
    <w:rsid w:val="58782BD5"/>
    <w:rsid w:val="58782F40"/>
    <w:rsid w:val="587F2E2E"/>
    <w:rsid w:val="587F6039"/>
    <w:rsid w:val="58847AF3"/>
    <w:rsid w:val="588E44CE"/>
    <w:rsid w:val="588E7F0C"/>
    <w:rsid w:val="58937D37"/>
    <w:rsid w:val="58943C72"/>
    <w:rsid w:val="58975328"/>
    <w:rsid w:val="589870FB"/>
    <w:rsid w:val="589A2E73"/>
    <w:rsid w:val="58A91308"/>
    <w:rsid w:val="58A91703"/>
    <w:rsid w:val="58A9755A"/>
    <w:rsid w:val="58AF4966"/>
    <w:rsid w:val="58B008E9"/>
    <w:rsid w:val="58B23F52"/>
    <w:rsid w:val="58B2640F"/>
    <w:rsid w:val="58BD6B62"/>
    <w:rsid w:val="58C22DB6"/>
    <w:rsid w:val="58C93758"/>
    <w:rsid w:val="58CC3AE5"/>
    <w:rsid w:val="58CC445F"/>
    <w:rsid w:val="58CF10C2"/>
    <w:rsid w:val="58CF4B19"/>
    <w:rsid w:val="58D2085F"/>
    <w:rsid w:val="58D66C97"/>
    <w:rsid w:val="58D85297"/>
    <w:rsid w:val="58DF3A45"/>
    <w:rsid w:val="58E060AC"/>
    <w:rsid w:val="58E20B05"/>
    <w:rsid w:val="58E90679"/>
    <w:rsid w:val="58E91760"/>
    <w:rsid w:val="58EA3B78"/>
    <w:rsid w:val="58F3077A"/>
    <w:rsid w:val="58F76517"/>
    <w:rsid w:val="58F846B0"/>
    <w:rsid w:val="58FA791D"/>
    <w:rsid w:val="58FA7DB6"/>
    <w:rsid w:val="58FF53CC"/>
    <w:rsid w:val="590B5B1F"/>
    <w:rsid w:val="59101387"/>
    <w:rsid w:val="59117099"/>
    <w:rsid w:val="59140E77"/>
    <w:rsid w:val="591730EE"/>
    <w:rsid w:val="591C1ADA"/>
    <w:rsid w:val="592117E6"/>
    <w:rsid w:val="592728D0"/>
    <w:rsid w:val="592866D1"/>
    <w:rsid w:val="592F5CB1"/>
    <w:rsid w:val="59307500"/>
    <w:rsid w:val="593376EE"/>
    <w:rsid w:val="593405B4"/>
    <w:rsid w:val="59345076"/>
    <w:rsid w:val="59411541"/>
    <w:rsid w:val="59450924"/>
    <w:rsid w:val="594F0101"/>
    <w:rsid w:val="5952374E"/>
    <w:rsid w:val="5954396A"/>
    <w:rsid w:val="59562AC9"/>
    <w:rsid w:val="59570D64"/>
    <w:rsid w:val="595841BC"/>
    <w:rsid w:val="59591F99"/>
    <w:rsid w:val="595F34BE"/>
    <w:rsid w:val="596800DE"/>
    <w:rsid w:val="596A0A97"/>
    <w:rsid w:val="596C2A61"/>
    <w:rsid w:val="596D4A2C"/>
    <w:rsid w:val="59722042"/>
    <w:rsid w:val="59741916"/>
    <w:rsid w:val="59796F2C"/>
    <w:rsid w:val="598002BB"/>
    <w:rsid w:val="59853183"/>
    <w:rsid w:val="598A2EE8"/>
    <w:rsid w:val="598D0B5D"/>
    <w:rsid w:val="598F04FE"/>
    <w:rsid w:val="5991500E"/>
    <w:rsid w:val="59993B83"/>
    <w:rsid w:val="599A6850"/>
    <w:rsid w:val="599D0CE2"/>
    <w:rsid w:val="599D71ED"/>
    <w:rsid w:val="59A246D5"/>
    <w:rsid w:val="59AA3524"/>
    <w:rsid w:val="59AB01F8"/>
    <w:rsid w:val="59B241EC"/>
    <w:rsid w:val="59B61F2F"/>
    <w:rsid w:val="59BE0DE3"/>
    <w:rsid w:val="59C02DAD"/>
    <w:rsid w:val="59C13501"/>
    <w:rsid w:val="59C81C62"/>
    <w:rsid w:val="59CA59DA"/>
    <w:rsid w:val="59CA7788"/>
    <w:rsid w:val="59CC3500"/>
    <w:rsid w:val="59D46859"/>
    <w:rsid w:val="59DE5F7A"/>
    <w:rsid w:val="59E009DF"/>
    <w:rsid w:val="59E545C2"/>
    <w:rsid w:val="59EA607C"/>
    <w:rsid w:val="59EC5950"/>
    <w:rsid w:val="59EE16C8"/>
    <w:rsid w:val="59FE1569"/>
    <w:rsid w:val="5A010301"/>
    <w:rsid w:val="5A025209"/>
    <w:rsid w:val="5A026F22"/>
    <w:rsid w:val="5A04713E"/>
    <w:rsid w:val="5A0F4038"/>
    <w:rsid w:val="5A0F5801"/>
    <w:rsid w:val="5A107ABE"/>
    <w:rsid w:val="5A13112F"/>
    <w:rsid w:val="5A1874CA"/>
    <w:rsid w:val="5A19731B"/>
    <w:rsid w:val="5A1F3552"/>
    <w:rsid w:val="5A206A87"/>
    <w:rsid w:val="5A307F33"/>
    <w:rsid w:val="5A3D61AC"/>
    <w:rsid w:val="5A40464D"/>
    <w:rsid w:val="5A490FF5"/>
    <w:rsid w:val="5A4D28A3"/>
    <w:rsid w:val="5A5804C2"/>
    <w:rsid w:val="5A5906B0"/>
    <w:rsid w:val="5A5A759F"/>
    <w:rsid w:val="5A5B2AD6"/>
    <w:rsid w:val="5A5D05FC"/>
    <w:rsid w:val="5A6000EC"/>
    <w:rsid w:val="5A626832"/>
    <w:rsid w:val="5A634414"/>
    <w:rsid w:val="5A694668"/>
    <w:rsid w:val="5A6951F3"/>
    <w:rsid w:val="5A6C62B6"/>
    <w:rsid w:val="5A736072"/>
    <w:rsid w:val="5A737E20"/>
    <w:rsid w:val="5A7871E4"/>
    <w:rsid w:val="5A797AC8"/>
    <w:rsid w:val="5A7B52FD"/>
    <w:rsid w:val="5A843DDB"/>
    <w:rsid w:val="5A846733"/>
    <w:rsid w:val="5A851901"/>
    <w:rsid w:val="5A8873FA"/>
    <w:rsid w:val="5A8B5169"/>
    <w:rsid w:val="5A8E0F8A"/>
    <w:rsid w:val="5A8E2EAB"/>
    <w:rsid w:val="5A957D96"/>
    <w:rsid w:val="5A971D60"/>
    <w:rsid w:val="5A9A35FE"/>
    <w:rsid w:val="5A9C7376"/>
    <w:rsid w:val="5AA41CEA"/>
    <w:rsid w:val="5AAB4CAC"/>
    <w:rsid w:val="5AAC50E0"/>
    <w:rsid w:val="5AB521E6"/>
    <w:rsid w:val="5AB84CD0"/>
    <w:rsid w:val="5ABC4C97"/>
    <w:rsid w:val="5AD308BE"/>
    <w:rsid w:val="5AD71A0E"/>
    <w:rsid w:val="5AE96B71"/>
    <w:rsid w:val="5AF4295F"/>
    <w:rsid w:val="5AFE1E47"/>
    <w:rsid w:val="5B0311A3"/>
    <w:rsid w:val="5B0D4C47"/>
    <w:rsid w:val="5B0F5D9A"/>
    <w:rsid w:val="5B1213E7"/>
    <w:rsid w:val="5B185030"/>
    <w:rsid w:val="5B197287"/>
    <w:rsid w:val="5B1A4923"/>
    <w:rsid w:val="5B1C0BF1"/>
    <w:rsid w:val="5B1F1A1A"/>
    <w:rsid w:val="5B215ACE"/>
    <w:rsid w:val="5B297AED"/>
    <w:rsid w:val="5B2A2BD4"/>
    <w:rsid w:val="5B2F01EA"/>
    <w:rsid w:val="5B31562C"/>
    <w:rsid w:val="5B317840"/>
    <w:rsid w:val="5B323837"/>
    <w:rsid w:val="5B353327"/>
    <w:rsid w:val="5B372BFB"/>
    <w:rsid w:val="5B3C46B5"/>
    <w:rsid w:val="5B4377F2"/>
    <w:rsid w:val="5B461090"/>
    <w:rsid w:val="5B490B80"/>
    <w:rsid w:val="5B4D241F"/>
    <w:rsid w:val="5B503CBD"/>
    <w:rsid w:val="5B5E287E"/>
    <w:rsid w:val="5B603121"/>
    <w:rsid w:val="5B653C0C"/>
    <w:rsid w:val="5B661732"/>
    <w:rsid w:val="5B687259"/>
    <w:rsid w:val="5B6D2AC1"/>
    <w:rsid w:val="5B6E5289"/>
    <w:rsid w:val="5B6F6839"/>
    <w:rsid w:val="5B745BFD"/>
    <w:rsid w:val="5B7756EE"/>
    <w:rsid w:val="5B793214"/>
    <w:rsid w:val="5B834000"/>
    <w:rsid w:val="5B834092"/>
    <w:rsid w:val="5B8B17A8"/>
    <w:rsid w:val="5B9242D5"/>
    <w:rsid w:val="5B9718EC"/>
    <w:rsid w:val="5B9A5144"/>
    <w:rsid w:val="5BA24019"/>
    <w:rsid w:val="5BA455C9"/>
    <w:rsid w:val="5BA7102D"/>
    <w:rsid w:val="5BA760CF"/>
    <w:rsid w:val="5BAD110F"/>
    <w:rsid w:val="5BB04C19"/>
    <w:rsid w:val="5BB75007"/>
    <w:rsid w:val="5BB93C0A"/>
    <w:rsid w:val="5BBC1352"/>
    <w:rsid w:val="5BBE331C"/>
    <w:rsid w:val="5BBF0F6C"/>
    <w:rsid w:val="5BC2352E"/>
    <w:rsid w:val="5BC40D19"/>
    <w:rsid w:val="5BD40D92"/>
    <w:rsid w:val="5BD82D8B"/>
    <w:rsid w:val="5BDB5C7C"/>
    <w:rsid w:val="5BDC5041"/>
    <w:rsid w:val="5BDD5BE0"/>
    <w:rsid w:val="5BDF0C1F"/>
    <w:rsid w:val="5BE07737"/>
    <w:rsid w:val="5BE54D4D"/>
    <w:rsid w:val="5BE75664"/>
    <w:rsid w:val="5BEC60DC"/>
    <w:rsid w:val="5BF07808"/>
    <w:rsid w:val="5BFB631F"/>
    <w:rsid w:val="5C006922"/>
    <w:rsid w:val="5C043425"/>
    <w:rsid w:val="5C052CF9"/>
    <w:rsid w:val="5C0827EA"/>
    <w:rsid w:val="5C25291D"/>
    <w:rsid w:val="5C2E04A2"/>
    <w:rsid w:val="5C3242F4"/>
    <w:rsid w:val="5C356411"/>
    <w:rsid w:val="5C3C0A7C"/>
    <w:rsid w:val="5C4750C0"/>
    <w:rsid w:val="5C4F0418"/>
    <w:rsid w:val="5C553C81"/>
    <w:rsid w:val="5C5B07B6"/>
    <w:rsid w:val="5C5D6E1A"/>
    <w:rsid w:val="5C62639E"/>
    <w:rsid w:val="5C6331CF"/>
    <w:rsid w:val="5C6429DB"/>
    <w:rsid w:val="5C65130B"/>
    <w:rsid w:val="5C661155"/>
    <w:rsid w:val="5C6A3CA3"/>
    <w:rsid w:val="5C7051AA"/>
    <w:rsid w:val="5C7252D6"/>
    <w:rsid w:val="5C76637A"/>
    <w:rsid w:val="5C8408F0"/>
    <w:rsid w:val="5C890EC5"/>
    <w:rsid w:val="5C8E0F41"/>
    <w:rsid w:val="5C910A31"/>
    <w:rsid w:val="5C915E6B"/>
    <w:rsid w:val="5C983B6D"/>
    <w:rsid w:val="5C9D6E9D"/>
    <w:rsid w:val="5CA02A22"/>
    <w:rsid w:val="5CA16EC6"/>
    <w:rsid w:val="5CA6628A"/>
    <w:rsid w:val="5CA70254"/>
    <w:rsid w:val="5CAA564F"/>
    <w:rsid w:val="5CAD7A90"/>
    <w:rsid w:val="5CB87D6C"/>
    <w:rsid w:val="5CBD1826"/>
    <w:rsid w:val="5CBD35D4"/>
    <w:rsid w:val="5CC6692D"/>
    <w:rsid w:val="5CC826A5"/>
    <w:rsid w:val="5CC95398"/>
    <w:rsid w:val="5CCA2861"/>
    <w:rsid w:val="5CCB3F43"/>
    <w:rsid w:val="5CCC30BE"/>
    <w:rsid w:val="5CD5091E"/>
    <w:rsid w:val="5CD64696"/>
    <w:rsid w:val="5CD942BD"/>
    <w:rsid w:val="5CDB2B0E"/>
    <w:rsid w:val="5CDD77D2"/>
    <w:rsid w:val="5CE60412"/>
    <w:rsid w:val="5CE71579"/>
    <w:rsid w:val="5CE96177"/>
    <w:rsid w:val="5CF27722"/>
    <w:rsid w:val="5CF3349A"/>
    <w:rsid w:val="5CF36FF6"/>
    <w:rsid w:val="5CF66C45"/>
    <w:rsid w:val="5CF75F03"/>
    <w:rsid w:val="5D017965"/>
    <w:rsid w:val="5D021747"/>
    <w:rsid w:val="5D032978"/>
    <w:rsid w:val="5D072AA1"/>
    <w:rsid w:val="5D096819"/>
    <w:rsid w:val="5D0B07E3"/>
    <w:rsid w:val="5D0B2591"/>
    <w:rsid w:val="5D1268DC"/>
    <w:rsid w:val="5D160D00"/>
    <w:rsid w:val="5D170F36"/>
    <w:rsid w:val="5D186A5C"/>
    <w:rsid w:val="5D211DB5"/>
    <w:rsid w:val="5D271C04"/>
    <w:rsid w:val="5D283143"/>
    <w:rsid w:val="5D296EBB"/>
    <w:rsid w:val="5D2B2C34"/>
    <w:rsid w:val="5D373386"/>
    <w:rsid w:val="5D3A2CBD"/>
    <w:rsid w:val="5D3A4C25"/>
    <w:rsid w:val="5D3B4B36"/>
    <w:rsid w:val="5D3E3525"/>
    <w:rsid w:val="5D4055D5"/>
    <w:rsid w:val="5D437F7D"/>
    <w:rsid w:val="5D47329A"/>
    <w:rsid w:val="5D487342"/>
    <w:rsid w:val="5D4D68D3"/>
    <w:rsid w:val="5D500721"/>
    <w:rsid w:val="5D5932FD"/>
    <w:rsid w:val="5D5C103F"/>
    <w:rsid w:val="5D602572"/>
    <w:rsid w:val="5D641CA2"/>
    <w:rsid w:val="5D643286"/>
    <w:rsid w:val="5D683540"/>
    <w:rsid w:val="5D6952E9"/>
    <w:rsid w:val="5D6A41D1"/>
    <w:rsid w:val="5D6B7618"/>
    <w:rsid w:val="5D752101"/>
    <w:rsid w:val="5D796643"/>
    <w:rsid w:val="5D7C348F"/>
    <w:rsid w:val="5D850596"/>
    <w:rsid w:val="5D8808CC"/>
    <w:rsid w:val="5D88469E"/>
    <w:rsid w:val="5D9253EA"/>
    <w:rsid w:val="5D932533"/>
    <w:rsid w:val="5D944335"/>
    <w:rsid w:val="5D9541F5"/>
    <w:rsid w:val="5D9654FD"/>
    <w:rsid w:val="5D9A45CF"/>
    <w:rsid w:val="5D9A56C3"/>
    <w:rsid w:val="5D9E1E23"/>
    <w:rsid w:val="5DA12EF6"/>
    <w:rsid w:val="5DA15CA9"/>
    <w:rsid w:val="5DAC2B03"/>
    <w:rsid w:val="5DB91FED"/>
    <w:rsid w:val="5DBE6B2B"/>
    <w:rsid w:val="5DC45A64"/>
    <w:rsid w:val="5DC65CED"/>
    <w:rsid w:val="5DC974FF"/>
    <w:rsid w:val="5DCA7D57"/>
    <w:rsid w:val="5DCF5727"/>
    <w:rsid w:val="5DD15589"/>
    <w:rsid w:val="5DD72473"/>
    <w:rsid w:val="5DDE4A00"/>
    <w:rsid w:val="5DEC14F9"/>
    <w:rsid w:val="5DF24A59"/>
    <w:rsid w:val="5DF50B4C"/>
    <w:rsid w:val="5DF71957"/>
    <w:rsid w:val="5DFB44CF"/>
    <w:rsid w:val="5DFC1EDA"/>
    <w:rsid w:val="5E0027C9"/>
    <w:rsid w:val="5E005E6E"/>
    <w:rsid w:val="5E053485"/>
    <w:rsid w:val="5E057F21"/>
    <w:rsid w:val="5E0C419E"/>
    <w:rsid w:val="5E0D40E7"/>
    <w:rsid w:val="5E167440"/>
    <w:rsid w:val="5E18068B"/>
    <w:rsid w:val="5E182D61"/>
    <w:rsid w:val="5E1A091A"/>
    <w:rsid w:val="5E1B6804"/>
    <w:rsid w:val="5E1D07CE"/>
    <w:rsid w:val="5E1E62F4"/>
    <w:rsid w:val="5E1E6518"/>
    <w:rsid w:val="5E227B93"/>
    <w:rsid w:val="5E231B5D"/>
    <w:rsid w:val="5E2733FB"/>
    <w:rsid w:val="5E2F22B0"/>
    <w:rsid w:val="5E31427A"/>
    <w:rsid w:val="5E393B47"/>
    <w:rsid w:val="5E3D2C1E"/>
    <w:rsid w:val="5E421FE3"/>
    <w:rsid w:val="5E437B09"/>
    <w:rsid w:val="5E4B74CC"/>
    <w:rsid w:val="5E512226"/>
    <w:rsid w:val="5E632320"/>
    <w:rsid w:val="5E637B28"/>
    <w:rsid w:val="5E6E102A"/>
    <w:rsid w:val="5E7062EB"/>
    <w:rsid w:val="5E7423B8"/>
    <w:rsid w:val="5E7864D5"/>
    <w:rsid w:val="5E79352B"/>
    <w:rsid w:val="5E7E040C"/>
    <w:rsid w:val="5E82104B"/>
    <w:rsid w:val="5E824AD5"/>
    <w:rsid w:val="5E8425FB"/>
    <w:rsid w:val="5E8545C5"/>
    <w:rsid w:val="5E8B0390"/>
    <w:rsid w:val="5E9268B6"/>
    <w:rsid w:val="5E965D3E"/>
    <w:rsid w:val="5E9A35A4"/>
    <w:rsid w:val="5E9C496B"/>
    <w:rsid w:val="5EA0677E"/>
    <w:rsid w:val="5EAF5C0D"/>
    <w:rsid w:val="5EB15DCF"/>
    <w:rsid w:val="5EBF1885"/>
    <w:rsid w:val="5EC023C8"/>
    <w:rsid w:val="5EC549C2"/>
    <w:rsid w:val="5ED370DF"/>
    <w:rsid w:val="5ED56729"/>
    <w:rsid w:val="5ED846F5"/>
    <w:rsid w:val="5ED97AB4"/>
    <w:rsid w:val="5EDB5F93"/>
    <w:rsid w:val="5EE017FC"/>
    <w:rsid w:val="5EE33737"/>
    <w:rsid w:val="5EE4309A"/>
    <w:rsid w:val="5EE66E12"/>
    <w:rsid w:val="5EE72B8A"/>
    <w:rsid w:val="5EF05EE3"/>
    <w:rsid w:val="5EFF6126"/>
    <w:rsid w:val="5F011E9E"/>
    <w:rsid w:val="5F0320CC"/>
    <w:rsid w:val="5F045E54"/>
    <w:rsid w:val="5F096992"/>
    <w:rsid w:val="5F0F0333"/>
    <w:rsid w:val="5F11699A"/>
    <w:rsid w:val="5F1216B0"/>
    <w:rsid w:val="5F152189"/>
    <w:rsid w:val="5F2E11E0"/>
    <w:rsid w:val="5F2E6A0B"/>
    <w:rsid w:val="5F39195F"/>
    <w:rsid w:val="5F4955F3"/>
    <w:rsid w:val="5F4F4822"/>
    <w:rsid w:val="5F555D46"/>
    <w:rsid w:val="5F56374D"/>
    <w:rsid w:val="5F5875E4"/>
    <w:rsid w:val="5F592AFE"/>
    <w:rsid w:val="5F5F0972"/>
    <w:rsid w:val="5F603116"/>
    <w:rsid w:val="5F61293D"/>
    <w:rsid w:val="5F675F94"/>
    <w:rsid w:val="5F6956F4"/>
    <w:rsid w:val="5F6B7317"/>
    <w:rsid w:val="5F7206A6"/>
    <w:rsid w:val="5F74227E"/>
    <w:rsid w:val="5F7563E8"/>
    <w:rsid w:val="5F781A34"/>
    <w:rsid w:val="5F7A39FE"/>
    <w:rsid w:val="5F7F7267"/>
    <w:rsid w:val="5F83500A"/>
    <w:rsid w:val="5F851089"/>
    <w:rsid w:val="5F8605F5"/>
    <w:rsid w:val="5F887EC9"/>
    <w:rsid w:val="5F8D1984"/>
    <w:rsid w:val="5F8D2302"/>
    <w:rsid w:val="5F8D3732"/>
    <w:rsid w:val="5F8D54E0"/>
    <w:rsid w:val="5F9A19AB"/>
    <w:rsid w:val="5FAB54BD"/>
    <w:rsid w:val="5FAF21C4"/>
    <w:rsid w:val="5FB54A36"/>
    <w:rsid w:val="5FB96E19"/>
    <w:rsid w:val="5FBB34A5"/>
    <w:rsid w:val="5FBF6F73"/>
    <w:rsid w:val="5FC37153"/>
    <w:rsid w:val="5FD40C2B"/>
    <w:rsid w:val="5FD90725"/>
    <w:rsid w:val="5FDA76B5"/>
    <w:rsid w:val="5FDB1B0B"/>
    <w:rsid w:val="5FDE5D3B"/>
    <w:rsid w:val="5FEA46E0"/>
    <w:rsid w:val="5FEB66AA"/>
    <w:rsid w:val="5FEC13E2"/>
    <w:rsid w:val="5FED2422"/>
    <w:rsid w:val="5FF46D9D"/>
    <w:rsid w:val="5FF66356"/>
    <w:rsid w:val="5FF925BA"/>
    <w:rsid w:val="5FFB4B3F"/>
    <w:rsid w:val="5FFE1F39"/>
    <w:rsid w:val="6001133A"/>
    <w:rsid w:val="60011A2A"/>
    <w:rsid w:val="600339F4"/>
    <w:rsid w:val="60065292"/>
    <w:rsid w:val="60082DB8"/>
    <w:rsid w:val="600B4656"/>
    <w:rsid w:val="60123C37"/>
    <w:rsid w:val="60151855"/>
    <w:rsid w:val="6017749F"/>
    <w:rsid w:val="601A3622"/>
    <w:rsid w:val="60200102"/>
    <w:rsid w:val="602045A6"/>
    <w:rsid w:val="602C1457"/>
    <w:rsid w:val="60335F84"/>
    <w:rsid w:val="603C5210"/>
    <w:rsid w:val="603F12DC"/>
    <w:rsid w:val="60427B6A"/>
    <w:rsid w:val="604A797B"/>
    <w:rsid w:val="604F067B"/>
    <w:rsid w:val="604F641A"/>
    <w:rsid w:val="60535CFF"/>
    <w:rsid w:val="60566219"/>
    <w:rsid w:val="60581E83"/>
    <w:rsid w:val="605D3104"/>
    <w:rsid w:val="605E6E7C"/>
    <w:rsid w:val="60602BF4"/>
    <w:rsid w:val="606326E4"/>
    <w:rsid w:val="60780B91"/>
    <w:rsid w:val="60856987"/>
    <w:rsid w:val="608F34D9"/>
    <w:rsid w:val="608F6063"/>
    <w:rsid w:val="608F6263"/>
    <w:rsid w:val="60956D42"/>
    <w:rsid w:val="6098238E"/>
    <w:rsid w:val="609868E2"/>
    <w:rsid w:val="609B59DA"/>
    <w:rsid w:val="60A70F0A"/>
    <w:rsid w:val="60A97045"/>
    <w:rsid w:val="60AA20C1"/>
    <w:rsid w:val="60AF76D8"/>
    <w:rsid w:val="60B71EB3"/>
    <w:rsid w:val="60B761EE"/>
    <w:rsid w:val="60BB36EA"/>
    <w:rsid w:val="60BC4873"/>
    <w:rsid w:val="60BD0047"/>
    <w:rsid w:val="60BF5B6D"/>
    <w:rsid w:val="60C74A21"/>
    <w:rsid w:val="60D30F0E"/>
    <w:rsid w:val="60D3721E"/>
    <w:rsid w:val="60D44B41"/>
    <w:rsid w:val="60D91DC2"/>
    <w:rsid w:val="60DB04CD"/>
    <w:rsid w:val="60DB227B"/>
    <w:rsid w:val="60DF22ED"/>
    <w:rsid w:val="60E05AE3"/>
    <w:rsid w:val="60E225D7"/>
    <w:rsid w:val="60EB5C13"/>
    <w:rsid w:val="60ED547E"/>
    <w:rsid w:val="60FD7940"/>
    <w:rsid w:val="61025A59"/>
    <w:rsid w:val="61041715"/>
    <w:rsid w:val="610572F8"/>
    <w:rsid w:val="610619ED"/>
    <w:rsid w:val="610A2B60"/>
    <w:rsid w:val="610C1A1E"/>
    <w:rsid w:val="610C68D8"/>
    <w:rsid w:val="61144D6A"/>
    <w:rsid w:val="611561A7"/>
    <w:rsid w:val="61190304"/>
    <w:rsid w:val="611A0CDF"/>
    <w:rsid w:val="611C2FBF"/>
    <w:rsid w:val="61251748"/>
    <w:rsid w:val="612702BF"/>
    <w:rsid w:val="613D23D3"/>
    <w:rsid w:val="61474B03"/>
    <w:rsid w:val="61487A75"/>
    <w:rsid w:val="61497B2C"/>
    <w:rsid w:val="614E689C"/>
    <w:rsid w:val="6151253D"/>
    <w:rsid w:val="61534507"/>
    <w:rsid w:val="61557E10"/>
    <w:rsid w:val="61563D8A"/>
    <w:rsid w:val="61613CF6"/>
    <w:rsid w:val="617641C0"/>
    <w:rsid w:val="61766D25"/>
    <w:rsid w:val="617821BF"/>
    <w:rsid w:val="61794F77"/>
    <w:rsid w:val="617F2D1C"/>
    <w:rsid w:val="6180738D"/>
    <w:rsid w:val="6183303E"/>
    <w:rsid w:val="61870689"/>
    <w:rsid w:val="618B5A4F"/>
    <w:rsid w:val="61905EB4"/>
    <w:rsid w:val="61911D64"/>
    <w:rsid w:val="61925A34"/>
    <w:rsid w:val="619A2136"/>
    <w:rsid w:val="619F298C"/>
    <w:rsid w:val="61A47ECC"/>
    <w:rsid w:val="61A66D2D"/>
    <w:rsid w:val="61A70CC0"/>
    <w:rsid w:val="61A92379"/>
    <w:rsid w:val="61AD00BB"/>
    <w:rsid w:val="61AD1CEC"/>
    <w:rsid w:val="61AD5C27"/>
    <w:rsid w:val="61B63755"/>
    <w:rsid w:val="61BA4586"/>
    <w:rsid w:val="61BC4533"/>
    <w:rsid w:val="61BE4076"/>
    <w:rsid w:val="61C40F61"/>
    <w:rsid w:val="61C6707F"/>
    <w:rsid w:val="61C91196"/>
    <w:rsid w:val="61D07906"/>
    <w:rsid w:val="61D27B22"/>
    <w:rsid w:val="61D75138"/>
    <w:rsid w:val="61DA24CA"/>
    <w:rsid w:val="61DC44FC"/>
    <w:rsid w:val="61E17D65"/>
    <w:rsid w:val="61E433B1"/>
    <w:rsid w:val="61E909C7"/>
    <w:rsid w:val="61EA4E6B"/>
    <w:rsid w:val="61EE5FDE"/>
    <w:rsid w:val="61F3430D"/>
    <w:rsid w:val="61F45CEA"/>
    <w:rsid w:val="61F734FF"/>
    <w:rsid w:val="61F93300"/>
    <w:rsid w:val="61FE0917"/>
    <w:rsid w:val="620121B5"/>
    <w:rsid w:val="62013F63"/>
    <w:rsid w:val="62015D11"/>
    <w:rsid w:val="62045801"/>
    <w:rsid w:val="620F6680"/>
    <w:rsid w:val="62137E26"/>
    <w:rsid w:val="62143C96"/>
    <w:rsid w:val="62195750"/>
    <w:rsid w:val="621C6FEF"/>
    <w:rsid w:val="6220263B"/>
    <w:rsid w:val="62206ADF"/>
    <w:rsid w:val="622D70E2"/>
    <w:rsid w:val="623279DB"/>
    <w:rsid w:val="623A1223"/>
    <w:rsid w:val="623F6839"/>
    <w:rsid w:val="62483940"/>
    <w:rsid w:val="624C4158"/>
    <w:rsid w:val="624D53FA"/>
    <w:rsid w:val="624F23FA"/>
    <w:rsid w:val="625247BE"/>
    <w:rsid w:val="62540537"/>
    <w:rsid w:val="62557F59"/>
    <w:rsid w:val="625642AF"/>
    <w:rsid w:val="62593D9F"/>
    <w:rsid w:val="625C563D"/>
    <w:rsid w:val="625F79DD"/>
    <w:rsid w:val="62614A02"/>
    <w:rsid w:val="6267026A"/>
    <w:rsid w:val="626941D1"/>
    <w:rsid w:val="626B3B80"/>
    <w:rsid w:val="627C183B"/>
    <w:rsid w:val="627E55B4"/>
    <w:rsid w:val="6280132C"/>
    <w:rsid w:val="6283706E"/>
    <w:rsid w:val="628C1A7E"/>
    <w:rsid w:val="628C5F22"/>
    <w:rsid w:val="628D11A7"/>
    <w:rsid w:val="628F32BF"/>
    <w:rsid w:val="62976475"/>
    <w:rsid w:val="629848C7"/>
    <w:rsid w:val="6299631A"/>
    <w:rsid w:val="629F6B67"/>
    <w:rsid w:val="62A72D5C"/>
    <w:rsid w:val="62AF39BF"/>
    <w:rsid w:val="62B611F1"/>
    <w:rsid w:val="62B72874"/>
    <w:rsid w:val="62B81178"/>
    <w:rsid w:val="62B9215C"/>
    <w:rsid w:val="62BD2580"/>
    <w:rsid w:val="62C456BC"/>
    <w:rsid w:val="62D17487"/>
    <w:rsid w:val="62D306F0"/>
    <w:rsid w:val="62D653F0"/>
    <w:rsid w:val="62DA4858"/>
    <w:rsid w:val="62DE37BD"/>
    <w:rsid w:val="62E138EE"/>
    <w:rsid w:val="62EA6483"/>
    <w:rsid w:val="62EE0313"/>
    <w:rsid w:val="62EF43CA"/>
    <w:rsid w:val="62FF1182"/>
    <w:rsid w:val="630606D2"/>
    <w:rsid w:val="63077799"/>
    <w:rsid w:val="630C2BBF"/>
    <w:rsid w:val="630F26B0"/>
    <w:rsid w:val="63161C90"/>
    <w:rsid w:val="63181564"/>
    <w:rsid w:val="631B1054"/>
    <w:rsid w:val="631B72A6"/>
    <w:rsid w:val="6320666B"/>
    <w:rsid w:val="632111F7"/>
    <w:rsid w:val="63304B00"/>
    <w:rsid w:val="633D546F"/>
    <w:rsid w:val="633F2F95"/>
    <w:rsid w:val="63424833"/>
    <w:rsid w:val="63426E07"/>
    <w:rsid w:val="63440AF9"/>
    <w:rsid w:val="63462575"/>
    <w:rsid w:val="63520F1A"/>
    <w:rsid w:val="63583DC3"/>
    <w:rsid w:val="635D341B"/>
    <w:rsid w:val="63661917"/>
    <w:rsid w:val="636724EC"/>
    <w:rsid w:val="636D5D54"/>
    <w:rsid w:val="637349EC"/>
    <w:rsid w:val="63755EBC"/>
    <w:rsid w:val="637602D5"/>
    <w:rsid w:val="637644DD"/>
    <w:rsid w:val="637C46C5"/>
    <w:rsid w:val="637D5D25"/>
    <w:rsid w:val="637F327F"/>
    <w:rsid w:val="637F3CAB"/>
    <w:rsid w:val="63847915"/>
    <w:rsid w:val="63892462"/>
    <w:rsid w:val="638C75A0"/>
    <w:rsid w:val="638E7A78"/>
    <w:rsid w:val="639A01CB"/>
    <w:rsid w:val="639A7632"/>
    <w:rsid w:val="639C08FA"/>
    <w:rsid w:val="639F57E1"/>
    <w:rsid w:val="63A04400"/>
    <w:rsid w:val="63A74063"/>
    <w:rsid w:val="63B23B01"/>
    <w:rsid w:val="63B35731"/>
    <w:rsid w:val="63B82D47"/>
    <w:rsid w:val="63BA086D"/>
    <w:rsid w:val="63BC45E5"/>
    <w:rsid w:val="63BD728D"/>
    <w:rsid w:val="63C118F1"/>
    <w:rsid w:val="63C4349A"/>
    <w:rsid w:val="63C76D84"/>
    <w:rsid w:val="63CD05A1"/>
    <w:rsid w:val="63CE60C7"/>
    <w:rsid w:val="63D25BB7"/>
    <w:rsid w:val="63DA45E7"/>
    <w:rsid w:val="63EF49BB"/>
    <w:rsid w:val="63F30424"/>
    <w:rsid w:val="63F41FD1"/>
    <w:rsid w:val="64032214"/>
    <w:rsid w:val="64037204"/>
    <w:rsid w:val="64063AB3"/>
    <w:rsid w:val="640A35A3"/>
    <w:rsid w:val="6410335F"/>
    <w:rsid w:val="641036CB"/>
    <w:rsid w:val="6417181C"/>
    <w:rsid w:val="6421269A"/>
    <w:rsid w:val="64254456"/>
    <w:rsid w:val="64260827"/>
    <w:rsid w:val="64263DDA"/>
    <w:rsid w:val="6428379A"/>
    <w:rsid w:val="642A59F3"/>
    <w:rsid w:val="642D103F"/>
    <w:rsid w:val="642D6652"/>
    <w:rsid w:val="643C4695"/>
    <w:rsid w:val="64410F8F"/>
    <w:rsid w:val="645371E5"/>
    <w:rsid w:val="64550596"/>
    <w:rsid w:val="645667E8"/>
    <w:rsid w:val="645C0E1F"/>
    <w:rsid w:val="64601415"/>
    <w:rsid w:val="64652B1D"/>
    <w:rsid w:val="64671F23"/>
    <w:rsid w:val="647469BD"/>
    <w:rsid w:val="64750536"/>
    <w:rsid w:val="647B4B09"/>
    <w:rsid w:val="647C5B23"/>
    <w:rsid w:val="64850E7B"/>
    <w:rsid w:val="648A781E"/>
    <w:rsid w:val="649D4417"/>
    <w:rsid w:val="649E1F3D"/>
    <w:rsid w:val="64A130EA"/>
    <w:rsid w:val="64A21A2D"/>
    <w:rsid w:val="64A44A23"/>
    <w:rsid w:val="64A62BA0"/>
    <w:rsid w:val="64A82DBC"/>
    <w:rsid w:val="64A97036"/>
    <w:rsid w:val="64B006C0"/>
    <w:rsid w:val="64B772AC"/>
    <w:rsid w:val="64C23E7D"/>
    <w:rsid w:val="64C74ED6"/>
    <w:rsid w:val="64CB79C8"/>
    <w:rsid w:val="64D46DD5"/>
    <w:rsid w:val="64D63485"/>
    <w:rsid w:val="64D678D3"/>
    <w:rsid w:val="64D67929"/>
    <w:rsid w:val="64DA58EB"/>
    <w:rsid w:val="64DB6CED"/>
    <w:rsid w:val="64E0359B"/>
    <w:rsid w:val="64E115FC"/>
    <w:rsid w:val="64EA6F30"/>
    <w:rsid w:val="64EF09EB"/>
    <w:rsid w:val="64FC400C"/>
    <w:rsid w:val="64FD4EB5"/>
    <w:rsid w:val="65000502"/>
    <w:rsid w:val="6500451D"/>
    <w:rsid w:val="65023CBF"/>
    <w:rsid w:val="6509385A"/>
    <w:rsid w:val="650959E3"/>
    <w:rsid w:val="651421FF"/>
    <w:rsid w:val="651641C9"/>
    <w:rsid w:val="65164F59"/>
    <w:rsid w:val="651673BB"/>
    <w:rsid w:val="652607CD"/>
    <w:rsid w:val="652E506F"/>
    <w:rsid w:val="653522F2"/>
    <w:rsid w:val="653D3504"/>
    <w:rsid w:val="654A79CF"/>
    <w:rsid w:val="654C05CD"/>
    <w:rsid w:val="654F4FE5"/>
    <w:rsid w:val="65522FC6"/>
    <w:rsid w:val="655F791E"/>
    <w:rsid w:val="656049EB"/>
    <w:rsid w:val="65654809"/>
    <w:rsid w:val="656767D3"/>
    <w:rsid w:val="658031BA"/>
    <w:rsid w:val="658A6517"/>
    <w:rsid w:val="658B7EEA"/>
    <w:rsid w:val="65A92D87"/>
    <w:rsid w:val="65A972F8"/>
    <w:rsid w:val="65B129E8"/>
    <w:rsid w:val="65BC6B1F"/>
    <w:rsid w:val="65CD1605"/>
    <w:rsid w:val="65D273D1"/>
    <w:rsid w:val="65D379C4"/>
    <w:rsid w:val="65D75478"/>
    <w:rsid w:val="65DC4ACB"/>
    <w:rsid w:val="65DD6A95"/>
    <w:rsid w:val="65DE4CE7"/>
    <w:rsid w:val="65E33F65"/>
    <w:rsid w:val="65EA1853"/>
    <w:rsid w:val="65ED4F2A"/>
    <w:rsid w:val="65EE1F0B"/>
    <w:rsid w:val="65F00688"/>
    <w:rsid w:val="65F53DDF"/>
    <w:rsid w:val="65F77B57"/>
    <w:rsid w:val="65F91B21"/>
    <w:rsid w:val="66042274"/>
    <w:rsid w:val="660B0C9F"/>
    <w:rsid w:val="660C5ECE"/>
    <w:rsid w:val="660D1128"/>
    <w:rsid w:val="660D514E"/>
    <w:rsid w:val="660E4375"/>
    <w:rsid w:val="661B7593"/>
    <w:rsid w:val="661C6A78"/>
    <w:rsid w:val="661E1587"/>
    <w:rsid w:val="66216982"/>
    <w:rsid w:val="6623094C"/>
    <w:rsid w:val="662577C3"/>
    <w:rsid w:val="662624B9"/>
    <w:rsid w:val="662D5327"/>
    <w:rsid w:val="664856F2"/>
    <w:rsid w:val="665054B9"/>
    <w:rsid w:val="665217E0"/>
    <w:rsid w:val="66552ACF"/>
    <w:rsid w:val="665D7597"/>
    <w:rsid w:val="66600EB3"/>
    <w:rsid w:val="666625A2"/>
    <w:rsid w:val="66680A54"/>
    <w:rsid w:val="666D1BC7"/>
    <w:rsid w:val="66756CCD"/>
    <w:rsid w:val="667C005C"/>
    <w:rsid w:val="66815672"/>
    <w:rsid w:val="66860EDB"/>
    <w:rsid w:val="66882EA5"/>
    <w:rsid w:val="668A0B91"/>
    <w:rsid w:val="668F4233"/>
    <w:rsid w:val="66910B76"/>
    <w:rsid w:val="669B6F19"/>
    <w:rsid w:val="66A82BFF"/>
    <w:rsid w:val="66A9586C"/>
    <w:rsid w:val="66A9783B"/>
    <w:rsid w:val="66AA3469"/>
    <w:rsid w:val="66AB26EF"/>
    <w:rsid w:val="66C832A1"/>
    <w:rsid w:val="66CF2882"/>
    <w:rsid w:val="66D86595"/>
    <w:rsid w:val="66D957E8"/>
    <w:rsid w:val="66DC6D4D"/>
    <w:rsid w:val="66E0683D"/>
    <w:rsid w:val="66E5373F"/>
    <w:rsid w:val="66E7432C"/>
    <w:rsid w:val="66E87218"/>
    <w:rsid w:val="66E977A5"/>
    <w:rsid w:val="66EB1537"/>
    <w:rsid w:val="66EF082E"/>
    <w:rsid w:val="66F02859"/>
    <w:rsid w:val="66F127F8"/>
    <w:rsid w:val="66F6088F"/>
    <w:rsid w:val="6703077D"/>
    <w:rsid w:val="67037C30"/>
    <w:rsid w:val="67073DC9"/>
    <w:rsid w:val="6707730C"/>
    <w:rsid w:val="6709230A"/>
    <w:rsid w:val="670E1A3D"/>
    <w:rsid w:val="6712723B"/>
    <w:rsid w:val="6719387F"/>
    <w:rsid w:val="671B7875"/>
    <w:rsid w:val="671D183F"/>
    <w:rsid w:val="672422F9"/>
    <w:rsid w:val="67255FA9"/>
    <w:rsid w:val="672B60FE"/>
    <w:rsid w:val="672E19F4"/>
    <w:rsid w:val="672F1572"/>
    <w:rsid w:val="672F3E8A"/>
    <w:rsid w:val="67335249"/>
    <w:rsid w:val="67347B66"/>
    <w:rsid w:val="673530FF"/>
    <w:rsid w:val="673B1CC5"/>
    <w:rsid w:val="673B3A73"/>
    <w:rsid w:val="673E5F91"/>
    <w:rsid w:val="674C7A2E"/>
    <w:rsid w:val="675B5EC3"/>
    <w:rsid w:val="675D7103"/>
    <w:rsid w:val="6760172C"/>
    <w:rsid w:val="676175B2"/>
    <w:rsid w:val="67640637"/>
    <w:rsid w:val="676B07FC"/>
    <w:rsid w:val="676F196F"/>
    <w:rsid w:val="67787E6E"/>
    <w:rsid w:val="677A064E"/>
    <w:rsid w:val="677B1DC1"/>
    <w:rsid w:val="678B49FB"/>
    <w:rsid w:val="678E44EB"/>
    <w:rsid w:val="67920946"/>
    <w:rsid w:val="67946BB9"/>
    <w:rsid w:val="67950A2E"/>
    <w:rsid w:val="67957627"/>
    <w:rsid w:val="679D326A"/>
    <w:rsid w:val="67A930D3"/>
    <w:rsid w:val="67A96C2F"/>
    <w:rsid w:val="67B010BC"/>
    <w:rsid w:val="67B35CFF"/>
    <w:rsid w:val="67B47729"/>
    <w:rsid w:val="67B519A4"/>
    <w:rsid w:val="67B63E1E"/>
    <w:rsid w:val="67B64986"/>
    <w:rsid w:val="67B657F0"/>
    <w:rsid w:val="67BC7A26"/>
    <w:rsid w:val="67BD6B7E"/>
    <w:rsid w:val="67C27CF0"/>
    <w:rsid w:val="67C5088E"/>
    <w:rsid w:val="67C73559"/>
    <w:rsid w:val="67D143D7"/>
    <w:rsid w:val="67DC3E47"/>
    <w:rsid w:val="67DE7902"/>
    <w:rsid w:val="67E7327D"/>
    <w:rsid w:val="67E759A9"/>
    <w:rsid w:val="67F02AB0"/>
    <w:rsid w:val="67F24A7A"/>
    <w:rsid w:val="67F3434E"/>
    <w:rsid w:val="67F65BEC"/>
    <w:rsid w:val="6803671F"/>
    <w:rsid w:val="68077DF9"/>
    <w:rsid w:val="680A6312"/>
    <w:rsid w:val="6811574B"/>
    <w:rsid w:val="68197D1D"/>
    <w:rsid w:val="681A7B2C"/>
    <w:rsid w:val="681B4608"/>
    <w:rsid w:val="681C5653"/>
    <w:rsid w:val="681F15E7"/>
    <w:rsid w:val="6823620F"/>
    <w:rsid w:val="682409AB"/>
    <w:rsid w:val="68297D70"/>
    <w:rsid w:val="682D7860"/>
    <w:rsid w:val="68390640"/>
    <w:rsid w:val="683A3D2B"/>
    <w:rsid w:val="6842381F"/>
    <w:rsid w:val="6844104D"/>
    <w:rsid w:val="68451E71"/>
    <w:rsid w:val="684A297C"/>
    <w:rsid w:val="684B5F38"/>
    <w:rsid w:val="68522A3E"/>
    <w:rsid w:val="685433EE"/>
    <w:rsid w:val="68570D81"/>
    <w:rsid w:val="68582403"/>
    <w:rsid w:val="685A30A3"/>
    <w:rsid w:val="685A68BE"/>
    <w:rsid w:val="6861498F"/>
    <w:rsid w:val="68807719"/>
    <w:rsid w:val="68834BBC"/>
    <w:rsid w:val="68850646"/>
    <w:rsid w:val="688C4126"/>
    <w:rsid w:val="68905759"/>
    <w:rsid w:val="68911028"/>
    <w:rsid w:val="68953657"/>
    <w:rsid w:val="68955405"/>
    <w:rsid w:val="68994EF5"/>
    <w:rsid w:val="689A2A1B"/>
    <w:rsid w:val="689D7F6A"/>
    <w:rsid w:val="68A06763"/>
    <w:rsid w:val="68B03FED"/>
    <w:rsid w:val="68B334E0"/>
    <w:rsid w:val="68B63CF9"/>
    <w:rsid w:val="68C36416"/>
    <w:rsid w:val="68CA0D5A"/>
    <w:rsid w:val="68D63D13"/>
    <w:rsid w:val="68DC3034"/>
    <w:rsid w:val="68DF23A7"/>
    <w:rsid w:val="68E87C2B"/>
    <w:rsid w:val="68EF0FB9"/>
    <w:rsid w:val="68F4217F"/>
    <w:rsid w:val="68F42274"/>
    <w:rsid w:val="68F640F6"/>
    <w:rsid w:val="68FB5BB0"/>
    <w:rsid w:val="69074555"/>
    <w:rsid w:val="6907486C"/>
    <w:rsid w:val="690A194F"/>
    <w:rsid w:val="690C0CC9"/>
    <w:rsid w:val="690E58E3"/>
    <w:rsid w:val="69114EC5"/>
    <w:rsid w:val="691B5BA6"/>
    <w:rsid w:val="69255090"/>
    <w:rsid w:val="69280027"/>
    <w:rsid w:val="69296D2D"/>
    <w:rsid w:val="6931512E"/>
    <w:rsid w:val="6939281C"/>
    <w:rsid w:val="693A32EC"/>
    <w:rsid w:val="693C0671"/>
    <w:rsid w:val="693D596E"/>
    <w:rsid w:val="693E3CEF"/>
    <w:rsid w:val="69412435"/>
    <w:rsid w:val="69424C47"/>
    <w:rsid w:val="69434E61"/>
    <w:rsid w:val="6954706E"/>
    <w:rsid w:val="69557999"/>
    <w:rsid w:val="69584116"/>
    <w:rsid w:val="69593369"/>
    <w:rsid w:val="695D4726"/>
    <w:rsid w:val="695F0E25"/>
    <w:rsid w:val="695F683E"/>
    <w:rsid w:val="69652C31"/>
    <w:rsid w:val="69685626"/>
    <w:rsid w:val="69693ECC"/>
    <w:rsid w:val="696B4107"/>
    <w:rsid w:val="696E17E8"/>
    <w:rsid w:val="696F3EA8"/>
    <w:rsid w:val="69713A6A"/>
    <w:rsid w:val="697274F4"/>
    <w:rsid w:val="69731BEA"/>
    <w:rsid w:val="69735746"/>
    <w:rsid w:val="69765236"/>
    <w:rsid w:val="697678E2"/>
    <w:rsid w:val="69782D5D"/>
    <w:rsid w:val="697A5884"/>
    <w:rsid w:val="69851F0A"/>
    <w:rsid w:val="698A2A90"/>
    <w:rsid w:val="698B6E18"/>
    <w:rsid w:val="698F190A"/>
    <w:rsid w:val="6992608B"/>
    <w:rsid w:val="69931944"/>
    <w:rsid w:val="69955386"/>
    <w:rsid w:val="699E3C6D"/>
    <w:rsid w:val="69A35F61"/>
    <w:rsid w:val="69A41DA4"/>
    <w:rsid w:val="69A43B52"/>
    <w:rsid w:val="69A73642"/>
    <w:rsid w:val="69AF0748"/>
    <w:rsid w:val="69B471CE"/>
    <w:rsid w:val="69B83AA1"/>
    <w:rsid w:val="69BB533F"/>
    <w:rsid w:val="69BC5E0F"/>
    <w:rsid w:val="69BD4C13"/>
    <w:rsid w:val="69BE48BF"/>
    <w:rsid w:val="69BF098B"/>
    <w:rsid w:val="69CA11C6"/>
    <w:rsid w:val="69CB63AC"/>
    <w:rsid w:val="69CC68E5"/>
    <w:rsid w:val="69CD613A"/>
    <w:rsid w:val="69CF4947"/>
    <w:rsid w:val="69D32689"/>
    <w:rsid w:val="69DD7064"/>
    <w:rsid w:val="69DF4B8A"/>
    <w:rsid w:val="69E06B54"/>
    <w:rsid w:val="69E14DA6"/>
    <w:rsid w:val="69E32466"/>
    <w:rsid w:val="69E32631"/>
    <w:rsid w:val="69E5416A"/>
    <w:rsid w:val="69E943C2"/>
    <w:rsid w:val="69F0323B"/>
    <w:rsid w:val="69F36887"/>
    <w:rsid w:val="69FA3D78"/>
    <w:rsid w:val="69FB6AF5"/>
    <w:rsid w:val="6A023294"/>
    <w:rsid w:val="6A06041A"/>
    <w:rsid w:val="6A0E1913"/>
    <w:rsid w:val="6A2121A4"/>
    <w:rsid w:val="6A260884"/>
    <w:rsid w:val="6A274783"/>
    <w:rsid w:val="6A2932A6"/>
    <w:rsid w:val="6A2D5561"/>
    <w:rsid w:val="6A385572"/>
    <w:rsid w:val="6A3A2708"/>
    <w:rsid w:val="6A3B3D8A"/>
    <w:rsid w:val="6A3C6480"/>
    <w:rsid w:val="6A41394F"/>
    <w:rsid w:val="6A470981"/>
    <w:rsid w:val="6A527A52"/>
    <w:rsid w:val="6A615EE7"/>
    <w:rsid w:val="6A6E5F0E"/>
    <w:rsid w:val="6A70612A"/>
    <w:rsid w:val="6A744025"/>
    <w:rsid w:val="6A786D8C"/>
    <w:rsid w:val="6A7A6FA8"/>
    <w:rsid w:val="6A7F011B"/>
    <w:rsid w:val="6A843983"/>
    <w:rsid w:val="6A933262"/>
    <w:rsid w:val="6A941E18"/>
    <w:rsid w:val="6A995680"/>
    <w:rsid w:val="6A9A6D03"/>
    <w:rsid w:val="6AAA5341"/>
    <w:rsid w:val="6AB4471D"/>
    <w:rsid w:val="6ABD58E5"/>
    <w:rsid w:val="6AC63F9C"/>
    <w:rsid w:val="6AC645F4"/>
    <w:rsid w:val="6AC647BD"/>
    <w:rsid w:val="6AD00976"/>
    <w:rsid w:val="6ADC731B"/>
    <w:rsid w:val="6AE461D0"/>
    <w:rsid w:val="6AE52674"/>
    <w:rsid w:val="6AED1528"/>
    <w:rsid w:val="6AED32D6"/>
    <w:rsid w:val="6AF428B7"/>
    <w:rsid w:val="6AF44665"/>
    <w:rsid w:val="6AF47B86"/>
    <w:rsid w:val="6AF705F9"/>
    <w:rsid w:val="6AFB1E97"/>
    <w:rsid w:val="6AFC6742"/>
    <w:rsid w:val="6B005B27"/>
    <w:rsid w:val="6B032AFA"/>
    <w:rsid w:val="6B0A3AD2"/>
    <w:rsid w:val="6B1251A6"/>
    <w:rsid w:val="6B144C15"/>
    <w:rsid w:val="6B19231D"/>
    <w:rsid w:val="6B1B42E7"/>
    <w:rsid w:val="6B1B7E43"/>
    <w:rsid w:val="6B217424"/>
    <w:rsid w:val="6B235DBA"/>
    <w:rsid w:val="6B2B52BE"/>
    <w:rsid w:val="6B2C02A3"/>
    <w:rsid w:val="6B2C3CD4"/>
    <w:rsid w:val="6B2D401B"/>
    <w:rsid w:val="6B2D7B77"/>
    <w:rsid w:val="6B3709F5"/>
    <w:rsid w:val="6B390327"/>
    <w:rsid w:val="6B480E55"/>
    <w:rsid w:val="6B4B024C"/>
    <w:rsid w:val="6B4C7566"/>
    <w:rsid w:val="6B6A4927"/>
    <w:rsid w:val="6B6F018F"/>
    <w:rsid w:val="6B6F63E1"/>
    <w:rsid w:val="6B731B99"/>
    <w:rsid w:val="6B777044"/>
    <w:rsid w:val="6B7A3154"/>
    <w:rsid w:val="6B7B3B2E"/>
    <w:rsid w:val="6B7C465A"/>
    <w:rsid w:val="6B7E03D2"/>
    <w:rsid w:val="6B8E2D0B"/>
    <w:rsid w:val="6B947495"/>
    <w:rsid w:val="6B9C26ED"/>
    <w:rsid w:val="6B9D4CFC"/>
    <w:rsid w:val="6BA73DCD"/>
    <w:rsid w:val="6BA77061"/>
    <w:rsid w:val="6BAA11C7"/>
    <w:rsid w:val="6BAA7044"/>
    <w:rsid w:val="6BAB4210"/>
    <w:rsid w:val="6BB12556"/>
    <w:rsid w:val="6BB362CE"/>
    <w:rsid w:val="6BB64010"/>
    <w:rsid w:val="6BBF7B07"/>
    <w:rsid w:val="6BC24763"/>
    <w:rsid w:val="6BC820D9"/>
    <w:rsid w:val="6BCD02EE"/>
    <w:rsid w:val="6BCD0E53"/>
    <w:rsid w:val="6BD44496"/>
    <w:rsid w:val="6BD61E2E"/>
    <w:rsid w:val="6BD61FBC"/>
    <w:rsid w:val="6BD66460"/>
    <w:rsid w:val="6BD74A8A"/>
    <w:rsid w:val="6BD83F86"/>
    <w:rsid w:val="6BDA7CFF"/>
    <w:rsid w:val="6BEE7306"/>
    <w:rsid w:val="6BEF0C80"/>
    <w:rsid w:val="6BF23772"/>
    <w:rsid w:val="6BFD1C3F"/>
    <w:rsid w:val="6C046B2A"/>
    <w:rsid w:val="6C1A3795"/>
    <w:rsid w:val="6C1A64BD"/>
    <w:rsid w:val="6C1E7194"/>
    <w:rsid w:val="6C212112"/>
    <w:rsid w:val="6C2373DC"/>
    <w:rsid w:val="6C262F44"/>
    <w:rsid w:val="6C3368C9"/>
    <w:rsid w:val="6C3D64DF"/>
    <w:rsid w:val="6C3F1900"/>
    <w:rsid w:val="6C4C5660"/>
    <w:rsid w:val="6C4C59CB"/>
    <w:rsid w:val="6C4D4A68"/>
    <w:rsid w:val="6C5555D7"/>
    <w:rsid w:val="6C5B4564"/>
    <w:rsid w:val="6C5D56EC"/>
    <w:rsid w:val="6C6603BE"/>
    <w:rsid w:val="6C663340"/>
    <w:rsid w:val="6C6846ED"/>
    <w:rsid w:val="6C700663"/>
    <w:rsid w:val="6C711CE5"/>
    <w:rsid w:val="6C735A5D"/>
    <w:rsid w:val="6C7A3290"/>
    <w:rsid w:val="6C7F2654"/>
    <w:rsid w:val="6C86570C"/>
    <w:rsid w:val="6C88141A"/>
    <w:rsid w:val="6C8E6023"/>
    <w:rsid w:val="6C9600A2"/>
    <w:rsid w:val="6C96452E"/>
    <w:rsid w:val="6C9C3206"/>
    <w:rsid w:val="6CA34594"/>
    <w:rsid w:val="6CA60EDB"/>
    <w:rsid w:val="6CA9147F"/>
    <w:rsid w:val="6CAB51F7"/>
    <w:rsid w:val="6CAC32FA"/>
    <w:rsid w:val="6CB67F1D"/>
    <w:rsid w:val="6CB93DB8"/>
    <w:rsid w:val="6CBE6221"/>
    <w:rsid w:val="6CBF673E"/>
    <w:rsid w:val="6CC2747B"/>
    <w:rsid w:val="6CC30793"/>
    <w:rsid w:val="6CD022DA"/>
    <w:rsid w:val="6CD13F54"/>
    <w:rsid w:val="6CD7423E"/>
    <w:rsid w:val="6CD94FB2"/>
    <w:rsid w:val="6CDF124D"/>
    <w:rsid w:val="6CED57E2"/>
    <w:rsid w:val="6CF52916"/>
    <w:rsid w:val="6CF94568"/>
    <w:rsid w:val="6D045B43"/>
    <w:rsid w:val="6D050DAB"/>
    <w:rsid w:val="6D070077"/>
    <w:rsid w:val="6D08089B"/>
    <w:rsid w:val="6D0B183A"/>
    <w:rsid w:val="6D0D3798"/>
    <w:rsid w:val="6D0E00F3"/>
    <w:rsid w:val="6D1E1E6D"/>
    <w:rsid w:val="6D2356D5"/>
    <w:rsid w:val="6D266F73"/>
    <w:rsid w:val="6D284A9A"/>
    <w:rsid w:val="6D297940"/>
    <w:rsid w:val="6D2B2D2D"/>
    <w:rsid w:val="6D3677AE"/>
    <w:rsid w:val="6D3D275F"/>
    <w:rsid w:val="6D4873A6"/>
    <w:rsid w:val="6D4F2026"/>
    <w:rsid w:val="6D4F64CA"/>
    <w:rsid w:val="6D5B1FD9"/>
    <w:rsid w:val="6D5C4743"/>
    <w:rsid w:val="6D5F3712"/>
    <w:rsid w:val="6D600BB2"/>
    <w:rsid w:val="6D675F16"/>
    <w:rsid w:val="6D7E504C"/>
    <w:rsid w:val="6D8B6DD7"/>
    <w:rsid w:val="6D9360F3"/>
    <w:rsid w:val="6D94212F"/>
    <w:rsid w:val="6D981752"/>
    <w:rsid w:val="6D99695E"/>
    <w:rsid w:val="6D9A2BFD"/>
    <w:rsid w:val="6D9A4072"/>
    <w:rsid w:val="6D9B34BE"/>
    <w:rsid w:val="6DA2127C"/>
    <w:rsid w:val="6DA22A9E"/>
    <w:rsid w:val="6DA93E2C"/>
    <w:rsid w:val="6DAF6F69"/>
    <w:rsid w:val="6DB05CD8"/>
    <w:rsid w:val="6DB70237"/>
    <w:rsid w:val="6DB85607"/>
    <w:rsid w:val="6DBA561D"/>
    <w:rsid w:val="6DBE4C07"/>
    <w:rsid w:val="6DC23D06"/>
    <w:rsid w:val="6DC27C5B"/>
    <w:rsid w:val="6DC31E30"/>
    <w:rsid w:val="6DD16D11"/>
    <w:rsid w:val="6DD95D94"/>
    <w:rsid w:val="6DDF784E"/>
    <w:rsid w:val="6DE05374"/>
    <w:rsid w:val="6DE34280"/>
    <w:rsid w:val="6DE44E65"/>
    <w:rsid w:val="6DE76703"/>
    <w:rsid w:val="6DE971E5"/>
    <w:rsid w:val="6DEC1F6B"/>
    <w:rsid w:val="6DEF39DB"/>
    <w:rsid w:val="6DF00B16"/>
    <w:rsid w:val="6DF467E4"/>
    <w:rsid w:val="6DF64B98"/>
    <w:rsid w:val="6DFB0400"/>
    <w:rsid w:val="6DFF1C9E"/>
    <w:rsid w:val="6E0077C5"/>
    <w:rsid w:val="6E01724F"/>
    <w:rsid w:val="6E02132C"/>
    <w:rsid w:val="6E02353D"/>
    <w:rsid w:val="6E027099"/>
    <w:rsid w:val="6E100AD3"/>
    <w:rsid w:val="6E114777"/>
    <w:rsid w:val="6E11552E"/>
    <w:rsid w:val="6E154CC9"/>
    <w:rsid w:val="6E193EB1"/>
    <w:rsid w:val="6E1B16E6"/>
    <w:rsid w:val="6E1B63AC"/>
    <w:rsid w:val="6E2434B3"/>
    <w:rsid w:val="6E251EBD"/>
    <w:rsid w:val="6E2617B0"/>
    <w:rsid w:val="6E292877"/>
    <w:rsid w:val="6E2C05BA"/>
    <w:rsid w:val="6E313E22"/>
    <w:rsid w:val="6E4174F0"/>
    <w:rsid w:val="6E447EB8"/>
    <w:rsid w:val="6E4A5A7E"/>
    <w:rsid w:val="6E4F7FF6"/>
    <w:rsid w:val="6E531FEA"/>
    <w:rsid w:val="6E565963"/>
    <w:rsid w:val="6E585FED"/>
    <w:rsid w:val="6E586939"/>
    <w:rsid w:val="6E5A6DD8"/>
    <w:rsid w:val="6E5C19CE"/>
    <w:rsid w:val="6E5D2F46"/>
    <w:rsid w:val="6E5F273D"/>
    <w:rsid w:val="6E5F4919"/>
    <w:rsid w:val="6E645FA5"/>
    <w:rsid w:val="6E663ACB"/>
    <w:rsid w:val="6E6E75D4"/>
    <w:rsid w:val="6E7B05D2"/>
    <w:rsid w:val="6E7D2BC3"/>
    <w:rsid w:val="6E82642B"/>
    <w:rsid w:val="6E86192D"/>
    <w:rsid w:val="6E867CCA"/>
    <w:rsid w:val="6E8729AA"/>
    <w:rsid w:val="6E8757F0"/>
    <w:rsid w:val="6E881C94"/>
    <w:rsid w:val="6E895A0C"/>
    <w:rsid w:val="6E8B52E0"/>
    <w:rsid w:val="6E91666F"/>
    <w:rsid w:val="6E971ED7"/>
    <w:rsid w:val="6E9879FD"/>
    <w:rsid w:val="6EA157E9"/>
    <w:rsid w:val="6EA7061C"/>
    <w:rsid w:val="6EA86C30"/>
    <w:rsid w:val="6EAB4D9D"/>
    <w:rsid w:val="6EAE0FCF"/>
    <w:rsid w:val="6EAE7221"/>
    <w:rsid w:val="6EAF32B0"/>
    <w:rsid w:val="6EB02521"/>
    <w:rsid w:val="6EB1286D"/>
    <w:rsid w:val="6EB26D11"/>
    <w:rsid w:val="6EB41B3F"/>
    <w:rsid w:val="6EB44A35"/>
    <w:rsid w:val="6EB74222"/>
    <w:rsid w:val="6EB83BFB"/>
    <w:rsid w:val="6EBC193D"/>
    <w:rsid w:val="6EC10BDA"/>
    <w:rsid w:val="6ECD3B4B"/>
    <w:rsid w:val="6ECE1671"/>
    <w:rsid w:val="6ECF7E2D"/>
    <w:rsid w:val="6ED01B7A"/>
    <w:rsid w:val="6ED638ED"/>
    <w:rsid w:val="6ED96FE9"/>
    <w:rsid w:val="6EDA0016"/>
    <w:rsid w:val="6EDC3D8E"/>
    <w:rsid w:val="6EE3336E"/>
    <w:rsid w:val="6EE8021C"/>
    <w:rsid w:val="6EEE75C8"/>
    <w:rsid w:val="6EF55169"/>
    <w:rsid w:val="6EF56BFD"/>
    <w:rsid w:val="6EF7427F"/>
    <w:rsid w:val="6EFA06B8"/>
    <w:rsid w:val="6EFA4214"/>
    <w:rsid w:val="6EFA655B"/>
    <w:rsid w:val="6EFE1F56"/>
    <w:rsid w:val="6F0350B8"/>
    <w:rsid w:val="6F0C77AB"/>
    <w:rsid w:val="6F12155D"/>
    <w:rsid w:val="6F1379EB"/>
    <w:rsid w:val="6F1F53E4"/>
    <w:rsid w:val="6F1F65C5"/>
    <w:rsid w:val="6F2179F2"/>
    <w:rsid w:val="6F2313FB"/>
    <w:rsid w:val="6F231BEF"/>
    <w:rsid w:val="6F24076C"/>
    <w:rsid w:val="6F257D2A"/>
    <w:rsid w:val="6F26325B"/>
    <w:rsid w:val="6F2953DB"/>
    <w:rsid w:val="6F3040D9"/>
    <w:rsid w:val="6F3239AE"/>
    <w:rsid w:val="6F394F51"/>
    <w:rsid w:val="6F4809BF"/>
    <w:rsid w:val="6F487CDD"/>
    <w:rsid w:val="6F4B2CC1"/>
    <w:rsid w:val="6F524050"/>
    <w:rsid w:val="6F564D30"/>
    <w:rsid w:val="6F5E0C47"/>
    <w:rsid w:val="6F5E47A3"/>
    <w:rsid w:val="6F60676D"/>
    <w:rsid w:val="6F631DB9"/>
    <w:rsid w:val="6F6618A9"/>
    <w:rsid w:val="6F6C3EED"/>
    <w:rsid w:val="6F6C543C"/>
    <w:rsid w:val="6F6D49E6"/>
    <w:rsid w:val="6F7B4CFB"/>
    <w:rsid w:val="6F7E4E45"/>
    <w:rsid w:val="6F85477F"/>
    <w:rsid w:val="6F863CF9"/>
    <w:rsid w:val="6F8F0E00"/>
    <w:rsid w:val="6F9208F0"/>
    <w:rsid w:val="6F991C7F"/>
    <w:rsid w:val="6F9B1637"/>
    <w:rsid w:val="6F9B59F7"/>
    <w:rsid w:val="6FA0300D"/>
    <w:rsid w:val="6FA4272F"/>
    <w:rsid w:val="6FAF4FFE"/>
    <w:rsid w:val="6FB31E0D"/>
    <w:rsid w:val="6FB370C3"/>
    <w:rsid w:val="6FBC771B"/>
    <w:rsid w:val="6FBD3BBF"/>
    <w:rsid w:val="6FBE16E5"/>
    <w:rsid w:val="6FC104BF"/>
    <w:rsid w:val="6FC21A38"/>
    <w:rsid w:val="6FC565D0"/>
    <w:rsid w:val="6FC82758"/>
    <w:rsid w:val="6FD06991"/>
    <w:rsid w:val="6FD902CD"/>
    <w:rsid w:val="6FDE2F51"/>
    <w:rsid w:val="6FE4739E"/>
    <w:rsid w:val="6FE81711"/>
    <w:rsid w:val="6FF1516B"/>
    <w:rsid w:val="6FF3138F"/>
    <w:rsid w:val="6FF356A3"/>
    <w:rsid w:val="6FF70753"/>
    <w:rsid w:val="6FFD4A92"/>
    <w:rsid w:val="700428F6"/>
    <w:rsid w:val="7007308C"/>
    <w:rsid w:val="700C06A3"/>
    <w:rsid w:val="70103B31"/>
    <w:rsid w:val="70202F02"/>
    <w:rsid w:val="702521A2"/>
    <w:rsid w:val="702E23C7"/>
    <w:rsid w:val="70357BF9"/>
    <w:rsid w:val="7036127C"/>
    <w:rsid w:val="70460281"/>
    <w:rsid w:val="70480FAF"/>
    <w:rsid w:val="704F058F"/>
    <w:rsid w:val="7056191E"/>
    <w:rsid w:val="705826B9"/>
    <w:rsid w:val="705931BC"/>
    <w:rsid w:val="705B0CE2"/>
    <w:rsid w:val="70657DB3"/>
    <w:rsid w:val="706711F9"/>
    <w:rsid w:val="70780034"/>
    <w:rsid w:val="707830DE"/>
    <w:rsid w:val="70810653"/>
    <w:rsid w:val="70822713"/>
    <w:rsid w:val="70871AD7"/>
    <w:rsid w:val="708B529E"/>
    <w:rsid w:val="708B5A6B"/>
    <w:rsid w:val="708E1B55"/>
    <w:rsid w:val="709661BE"/>
    <w:rsid w:val="70981F36"/>
    <w:rsid w:val="709A3F00"/>
    <w:rsid w:val="70A97C9F"/>
    <w:rsid w:val="70AB7EBB"/>
    <w:rsid w:val="70AC13C1"/>
    <w:rsid w:val="70B462F1"/>
    <w:rsid w:val="70BA1EAD"/>
    <w:rsid w:val="70BA245B"/>
    <w:rsid w:val="70BB0F08"/>
    <w:rsid w:val="70BC119A"/>
    <w:rsid w:val="70C11DCC"/>
    <w:rsid w:val="70C366B0"/>
    <w:rsid w:val="70C62B5F"/>
    <w:rsid w:val="70C745CA"/>
    <w:rsid w:val="70C96594"/>
    <w:rsid w:val="70CD1CC2"/>
    <w:rsid w:val="70CE6331"/>
    <w:rsid w:val="70D07922"/>
    <w:rsid w:val="70D10A62"/>
    <w:rsid w:val="70D171F6"/>
    <w:rsid w:val="70D32F6E"/>
    <w:rsid w:val="70D80B24"/>
    <w:rsid w:val="70D972DC"/>
    <w:rsid w:val="70DC1E23"/>
    <w:rsid w:val="70E31834"/>
    <w:rsid w:val="70EB13F1"/>
    <w:rsid w:val="70ED169D"/>
    <w:rsid w:val="70F133F4"/>
    <w:rsid w:val="70FE448F"/>
    <w:rsid w:val="71007D30"/>
    <w:rsid w:val="71014508"/>
    <w:rsid w:val="7104581E"/>
    <w:rsid w:val="710B2708"/>
    <w:rsid w:val="710B4E43"/>
    <w:rsid w:val="710B6BAC"/>
    <w:rsid w:val="71153587"/>
    <w:rsid w:val="711B0155"/>
    <w:rsid w:val="711C4915"/>
    <w:rsid w:val="711E68DF"/>
    <w:rsid w:val="711E70EC"/>
    <w:rsid w:val="71234978"/>
    <w:rsid w:val="712612F0"/>
    <w:rsid w:val="71346F45"/>
    <w:rsid w:val="71353C29"/>
    <w:rsid w:val="713855A1"/>
    <w:rsid w:val="71397275"/>
    <w:rsid w:val="713F5EAF"/>
    <w:rsid w:val="7141612A"/>
    <w:rsid w:val="71416999"/>
    <w:rsid w:val="71453595"/>
    <w:rsid w:val="714C1284"/>
    <w:rsid w:val="715B62AC"/>
    <w:rsid w:val="71614A1E"/>
    <w:rsid w:val="716E7983"/>
    <w:rsid w:val="716F713B"/>
    <w:rsid w:val="71752972"/>
    <w:rsid w:val="717A163C"/>
    <w:rsid w:val="718304F0"/>
    <w:rsid w:val="71867FE1"/>
    <w:rsid w:val="718C1A9B"/>
    <w:rsid w:val="719170B1"/>
    <w:rsid w:val="71943C73"/>
    <w:rsid w:val="71973F9C"/>
    <w:rsid w:val="719942C8"/>
    <w:rsid w:val="719E17CE"/>
    <w:rsid w:val="71A010A2"/>
    <w:rsid w:val="71A37770"/>
    <w:rsid w:val="71AA1F21"/>
    <w:rsid w:val="71B72890"/>
    <w:rsid w:val="71B903B6"/>
    <w:rsid w:val="71BC6597"/>
    <w:rsid w:val="71C137C8"/>
    <w:rsid w:val="71C51FC9"/>
    <w:rsid w:val="71C64881"/>
    <w:rsid w:val="71CF5FA5"/>
    <w:rsid w:val="71D76A8E"/>
    <w:rsid w:val="71DD0C79"/>
    <w:rsid w:val="71E14691"/>
    <w:rsid w:val="71E35433"/>
    <w:rsid w:val="71EA0570"/>
    <w:rsid w:val="71ED1E0E"/>
    <w:rsid w:val="71F039A4"/>
    <w:rsid w:val="71FC02A3"/>
    <w:rsid w:val="71FF3AD4"/>
    <w:rsid w:val="71FF465A"/>
    <w:rsid w:val="72035AD5"/>
    <w:rsid w:val="72053532"/>
    <w:rsid w:val="72077373"/>
    <w:rsid w:val="720B6055"/>
    <w:rsid w:val="720D24B0"/>
    <w:rsid w:val="721101F2"/>
    <w:rsid w:val="72121874"/>
    <w:rsid w:val="72155215"/>
    <w:rsid w:val="721750DD"/>
    <w:rsid w:val="721970A7"/>
    <w:rsid w:val="721B28D1"/>
    <w:rsid w:val="72225F5B"/>
    <w:rsid w:val="722515A8"/>
    <w:rsid w:val="72281C28"/>
    <w:rsid w:val="72295B7C"/>
    <w:rsid w:val="722A4EEC"/>
    <w:rsid w:val="722E2B52"/>
    <w:rsid w:val="723563E3"/>
    <w:rsid w:val="72356B79"/>
    <w:rsid w:val="723700F2"/>
    <w:rsid w:val="72384979"/>
    <w:rsid w:val="72385B92"/>
    <w:rsid w:val="72431297"/>
    <w:rsid w:val="72477770"/>
    <w:rsid w:val="72521C52"/>
    <w:rsid w:val="72536115"/>
    <w:rsid w:val="7254098D"/>
    <w:rsid w:val="72563E57"/>
    <w:rsid w:val="725812D2"/>
    <w:rsid w:val="725974A3"/>
    <w:rsid w:val="725D3437"/>
    <w:rsid w:val="72606A84"/>
    <w:rsid w:val="72641A80"/>
    <w:rsid w:val="72641B0B"/>
    <w:rsid w:val="726825DA"/>
    <w:rsid w:val="72707240"/>
    <w:rsid w:val="7275647C"/>
    <w:rsid w:val="72790C00"/>
    <w:rsid w:val="727A5D97"/>
    <w:rsid w:val="72806FDD"/>
    <w:rsid w:val="72807126"/>
    <w:rsid w:val="728259F1"/>
    <w:rsid w:val="728C4A86"/>
    <w:rsid w:val="729130E1"/>
    <w:rsid w:val="729333CF"/>
    <w:rsid w:val="729624A5"/>
    <w:rsid w:val="729B1591"/>
    <w:rsid w:val="729C2D68"/>
    <w:rsid w:val="729F57FE"/>
    <w:rsid w:val="72A44BC2"/>
    <w:rsid w:val="72A526E9"/>
    <w:rsid w:val="72A746B3"/>
    <w:rsid w:val="72AD290B"/>
    <w:rsid w:val="72B92879"/>
    <w:rsid w:val="72BB015E"/>
    <w:rsid w:val="72C74D55"/>
    <w:rsid w:val="72D354A8"/>
    <w:rsid w:val="72D5009F"/>
    <w:rsid w:val="72D6671B"/>
    <w:rsid w:val="72DB610A"/>
    <w:rsid w:val="72DD00D4"/>
    <w:rsid w:val="72E43211"/>
    <w:rsid w:val="72EF1CB0"/>
    <w:rsid w:val="72F07E08"/>
    <w:rsid w:val="72FC1840"/>
    <w:rsid w:val="72FD2105"/>
    <w:rsid w:val="73010267"/>
    <w:rsid w:val="73060A7C"/>
    <w:rsid w:val="73075151"/>
    <w:rsid w:val="7315786E"/>
    <w:rsid w:val="73165394"/>
    <w:rsid w:val="73173736"/>
    <w:rsid w:val="73206BD9"/>
    <w:rsid w:val="73230D5D"/>
    <w:rsid w:val="732A3D34"/>
    <w:rsid w:val="732D52DF"/>
    <w:rsid w:val="73305A82"/>
    <w:rsid w:val="733221CE"/>
    <w:rsid w:val="73334198"/>
    <w:rsid w:val="73375A36"/>
    <w:rsid w:val="733F6699"/>
    <w:rsid w:val="73410663"/>
    <w:rsid w:val="73441CC9"/>
    <w:rsid w:val="73463ECB"/>
    <w:rsid w:val="73471D8B"/>
    <w:rsid w:val="73493046"/>
    <w:rsid w:val="7353536B"/>
    <w:rsid w:val="735417BE"/>
    <w:rsid w:val="7355410F"/>
    <w:rsid w:val="73577E87"/>
    <w:rsid w:val="73634DF7"/>
    <w:rsid w:val="73644352"/>
    <w:rsid w:val="736856FA"/>
    <w:rsid w:val="736B1B84"/>
    <w:rsid w:val="73724CC1"/>
    <w:rsid w:val="737603F7"/>
    <w:rsid w:val="737C5B3F"/>
    <w:rsid w:val="73802BD6"/>
    <w:rsid w:val="738A200A"/>
    <w:rsid w:val="738B18DE"/>
    <w:rsid w:val="738B7B30"/>
    <w:rsid w:val="73903399"/>
    <w:rsid w:val="739509AF"/>
    <w:rsid w:val="739F538A"/>
    <w:rsid w:val="73A00E5C"/>
    <w:rsid w:val="73A11102"/>
    <w:rsid w:val="73A34E7A"/>
    <w:rsid w:val="73AA445A"/>
    <w:rsid w:val="73AB1F81"/>
    <w:rsid w:val="73AD7AA7"/>
    <w:rsid w:val="73B61051"/>
    <w:rsid w:val="73B64557"/>
    <w:rsid w:val="73B726D3"/>
    <w:rsid w:val="73B928EF"/>
    <w:rsid w:val="73BC23E0"/>
    <w:rsid w:val="73BC418E"/>
    <w:rsid w:val="73BC62A7"/>
    <w:rsid w:val="73C05A2C"/>
    <w:rsid w:val="73C61ADF"/>
    <w:rsid w:val="73C90737"/>
    <w:rsid w:val="73CB617F"/>
    <w:rsid w:val="73CD5743"/>
    <w:rsid w:val="73D217C3"/>
    <w:rsid w:val="73D72D76"/>
    <w:rsid w:val="73D9089C"/>
    <w:rsid w:val="73D97F55"/>
    <w:rsid w:val="73DA394F"/>
    <w:rsid w:val="73DD69F8"/>
    <w:rsid w:val="73DE5EB2"/>
    <w:rsid w:val="73E3796C"/>
    <w:rsid w:val="73EB05CF"/>
    <w:rsid w:val="73EB6821"/>
    <w:rsid w:val="73F41B79"/>
    <w:rsid w:val="73F76E28"/>
    <w:rsid w:val="74005850"/>
    <w:rsid w:val="740117C0"/>
    <w:rsid w:val="74031DBD"/>
    <w:rsid w:val="740718AD"/>
    <w:rsid w:val="740875C8"/>
    <w:rsid w:val="740D71D6"/>
    <w:rsid w:val="740F42BD"/>
    <w:rsid w:val="74161AF0"/>
    <w:rsid w:val="74177616"/>
    <w:rsid w:val="741B2C62"/>
    <w:rsid w:val="741C4C2C"/>
    <w:rsid w:val="741F1F0A"/>
    <w:rsid w:val="74244DD1"/>
    <w:rsid w:val="742A7C83"/>
    <w:rsid w:val="742C326F"/>
    <w:rsid w:val="743369B7"/>
    <w:rsid w:val="74341F76"/>
    <w:rsid w:val="7434641A"/>
    <w:rsid w:val="74373814"/>
    <w:rsid w:val="743B2D1A"/>
    <w:rsid w:val="743B3304"/>
    <w:rsid w:val="743E1047"/>
    <w:rsid w:val="74406B6D"/>
    <w:rsid w:val="74416441"/>
    <w:rsid w:val="7443665D"/>
    <w:rsid w:val="74483A33"/>
    <w:rsid w:val="744E3DFC"/>
    <w:rsid w:val="74575C64"/>
    <w:rsid w:val="74586BB4"/>
    <w:rsid w:val="745E6FF3"/>
    <w:rsid w:val="74623C98"/>
    <w:rsid w:val="7463285B"/>
    <w:rsid w:val="74654825"/>
    <w:rsid w:val="7467234B"/>
    <w:rsid w:val="746C7962"/>
    <w:rsid w:val="746D7236"/>
    <w:rsid w:val="746D76BA"/>
    <w:rsid w:val="746E5488"/>
    <w:rsid w:val="746F2FAE"/>
    <w:rsid w:val="74836A59"/>
    <w:rsid w:val="749869A9"/>
    <w:rsid w:val="749874CC"/>
    <w:rsid w:val="749B3DA3"/>
    <w:rsid w:val="74A52E74"/>
    <w:rsid w:val="74A62F76"/>
    <w:rsid w:val="74A80670"/>
    <w:rsid w:val="74AB65E8"/>
    <w:rsid w:val="74AC7D5E"/>
    <w:rsid w:val="74AE3502"/>
    <w:rsid w:val="74B336B1"/>
    <w:rsid w:val="74B66E2F"/>
    <w:rsid w:val="74BB1F12"/>
    <w:rsid w:val="74BB61F3"/>
    <w:rsid w:val="74C019EA"/>
    <w:rsid w:val="74C07CAE"/>
    <w:rsid w:val="74C74B98"/>
    <w:rsid w:val="74CB28DA"/>
    <w:rsid w:val="74CC6652"/>
    <w:rsid w:val="74CF113A"/>
    <w:rsid w:val="74D379E1"/>
    <w:rsid w:val="74D472B5"/>
    <w:rsid w:val="74D774D1"/>
    <w:rsid w:val="74DA512E"/>
    <w:rsid w:val="74EC0A46"/>
    <w:rsid w:val="74EC0AA3"/>
    <w:rsid w:val="74F00593"/>
    <w:rsid w:val="74F3504C"/>
    <w:rsid w:val="74FF663C"/>
    <w:rsid w:val="75013215"/>
    <w:rsid w:val="75047B9A"/>
    <w:rsid w:val="750B40A1"/>
    <w:rsid w:val="7516167C"/>
    <w:rsid w:val="751D6EAE"/>
    <w:rsid w:val="75241FEA"/>
    <w:rsid w:val="752477A4"/>
    <w:rsid w:val="75297601"/>
    <w:rsid w:val="752B3379"/>
    <w:rsid w:val="752C40FF"/>
    <w:rsid w:val="752E2E69"/>
    <w:rsid w:val="752E4D9D"/>
    <w:rsid w:val="753541F8"/>
    <w:rsid w:val="75357D54"/>
    <w:rsid w:val="753816C8"/>
    <w:rsid w:val="753C5952"/>
    <w:rsid w:val="753D2178"/>
    <w:rsid w:val="75470E99"/>
    <w:rsid w:val="75472BD8"/>
    <w:rsid w:val="7553467E"/>
    <w:rsid w:val="755F3023"/>
    <w:rsid w:val="75610B49"/>
    <w:rsid w:val="75640639"/>
    <w:rsid w:val="756410A7"/>
    <w:rsid w:val="7564688B"/>
    <w:rsid w:val="756F711B"/>
    <w:rsid w:val="75706CE2"/>
    <w:rsid w:val="75746EB1"/>
    <w:rsid w:val="75792336"/>
    <w:rsid w:val="7581743D"/>
    <w:rsid w:val="75845F37"/>
    <w:rsid w:val="758B02BC"/>
    <w:rsid w:val="758F3128"/>
    <w:rsid w:val="75970A0E"/>
    <w:rsid w:val="759727BC"/>
    <w:rsid w:val="75973F1C"/>
    <w:rsid w:val="759E017F"/>
    <w:rsid w:val="759E3B4B"/>
    <w:rsid w:val="75A60C51"/>
    <w:rsid w:val="75A7498C"/>
    <w:rsid w:val="75AB6FD4"/>
    <w:rsid w:val="75B570E6"/>
    <w:rsid w:val="75B65C63"/>
    <w:rsid w:val="75BA64AB"/>
    <w:rsid w:val="75C73565"/>
    <w:rsid w:val="75C87993"/>
    <w:rsid w:val="75CB3D87"/>
    <w:rsid w:val="75D02172"/>
    <w:rsid w:val="75D17C6B"/>
    <w:rsid w:val="75D21089"/>
    <w:rsid w:val="75D25EEA"/>
    <w:rsid w:val="75D27C98"/>
    <w:rsid w:val="75D34EDE"/>
    <w:rsid w:val="75D43A11"/>
    <w:rsid w:val="75D51537"/>
    <w:rsid w:val="75D532E5"/>
    <w:rsid w:val="75D73501"/>
    <w:rsid w:val="75DA60DA"/>
    <w:rsid w:val="75ED062E"/>
    <w:rsid w:val="75ED0A79"/>
    <w:rsid w:val="75F64D17"/>
    <w:rsid w:val="75FA49E1"/>
    <w:rsid w:val="760029C6"/>
    <w:rsid w:val="76004806"/>
    <w:rsid w:val="760175AE"/>
    <w:rsid w:val="76041503"/>
    <w:rsid w:val="76041EF5"/>
    <w:rsid w:val="76057D5E"/>
    <w:rsid w:val="7608190C"/>
    <w:rsid w:val="76116A13"/>
    <w:rsid w:val="76143E0D"/>
    <w:rsid w:val="76157E40"/>
    <w:rsid w:val="76224B19"/>
    <w:rsid w:val="7625601A"/>
    <w:rsid w:val="762F6E99"/>
    <w:rsid w:val="763D3B4D"/>
    <w:rsid w:val="763D3EB9"/>
    <w:rsid w:val="763D7808"/>
    <w:rsid w:val="763E0E8A"/>
    <w:rsid w:val="76404C02"/>
    <w:rsid w:val="7641097A"/>
    <w:rsid w:val="76443671"/>
    <w:rsid w:val="764543C6"/>
    <w:rsid w:val="76465F91"/>
    <w:rsid w:val="76481D09"/>
    <w:rsid w:val="764D1B7C"/>
    <w:rsid w:val="76561F23"/>
    <w:rsid w:val="7659531C"/>
    <w:rsid w:val="76676633"/>
    <w:rsid w:val="76691158"/>
    <w:rsid w:val="76742AFE"/>
    <w:rsid w:val="76766876"/>
    <w:rsid w:val="7677377C"/>
    <w:rsid w:val="767753EB"/>
    <w:rsid w:val="767E397C"/>
    <w:rsid w:val="768014A2"/>
    <w:rsid w:val="76805946"/>
    <w:rsid w:val="76836466"/>
    <w:rsid w:val="76840FA7"/>
    <w:rsid w:val="76894F65"/>
    <w:rsid w:val="768A6E35"/>
    <w:rsid w:val="769A690E"/>
    <w:rsid w:val="769C5348"/>
    <w:rsid w:val="76A4069C"/>
    <w:rsid w:val="76A5532D"/>
    <w:rsid w:val="76A86BFF"/>
    <w:rsid w:val="76AE24B4"/>
    <w:rsid w:val="76B178AE"/>
    <w:rsid w:val="76B33626"/>
    <w:rsid w:val="76B95977"/>
    <w:rsid w:val="76C006BA"/>
    <w:rsid w:val="76CA6BC2"/>
    <w:rsid w:val="76D01D7F"/>
    <w:rsid w:val="76D23B71"/>
    <w:rsid w:val="76D3160A"/>
    <w:rsid w:val="76D37824"/>
    <w:rsid w:val="76D40BF4"/>
    <w:rsid w:val="76DE4A7D"/>
    <w:rsid w:val="76E041E9"/>
    <w:rsid w:val="76E61C4D"/>
    <w:rsid w:val="76E71522"/>
    <w:rsid w:val="76E9753D"/>
    <w:rsid w:val="76ED64AD"/>
    <w:rsid w:val="76EE28B0"/>
    <w:rsid w:val="76FD6F97"/>
    <w:rsid w:val="77012EC9"/>
    <w:rsid w:val="770242C9"/>
    <w:rsid w:val="77071BC4"/>
    <w:rsid w:val="770C0F88"/>
    <w:rsid w:val="771147F0"/>
    <w:rsid w:val="77162DC0"/>
    <w:rsid w:val="77212C85"/>
    <w:rsid w:val="772207AC"/>
    <w:rsid w:val="772938E8"/>
    <w:rsid w:val="77300FA6"/>
    <w:rsid w:val="7731279D"/>
    <w:rsid w:val="77324E93"/>
    <w:rsid w:val="77343640"/>
    <w:rsid w:val="77366005"/>
    <w:rsid w:val="773C0961"/>
    <w:rsid w:val="77444BC6"/>
    <w:rsid w:val="7746449A"/>
    <w:rsid w:val="77493F8A"/>
    <w:rsid w:val="774A385E"/>
    <w:rsid w:val="775F730A"/>
    <w:rsid w:val="775F7F30"/>
    <w:rsid w:val="7762586D"/>
    <w:rsid w:val="7763329E"/>
    <w:rsid w:val="77640DC4"/>
    <w:rsid w:val="77705FBE"/>
    <w:rsid w:val="77737259"/>
    <w:rsid w:val="77754D7F"/>
    <w:rsid w:val="777A58F4"/>
    <w:rsid w:val="777F175A"/>
    <w:rsid w:val="77857D5E"/>
    <w:rsid w:val="778D20C9"/>
    <w:rsid w:val="778E4093"/>
    <w:rsid w:val="77AA4F8E"/>
    <w:rsid w:val="77AE3DED"/>
    <w:rsid w:val="77BA6C36"/>
    <w:rsid w:val="77BE04D4"/>
    <w:rsid w:val="77C22B7A"/>
    <w:rsid w:val="77C35AEB"/>
    <w:rsid w:val="77C47AB5"/>
    <w:rsid w:val="77C716BC"/>
    <w:rsid w:val="77CD6969"/>
    <w:rsid w:val="77D53DF8"/>
    <w:rsid w:val="77DE0B76"/>
    <w:rsid w:val="77E56067"/>
    <w:rsid w:val="77EC3D8F"/>
    <w:rsid w:val="77F04406"/>
    <w:rsid w:val="77F40FB7"/>
    <w:rsid w:val="77FE0A3B"/>
    <w:rsid w:val="77FE4D75"/>
    <w:rsid w:val="78052C44"/>
    <w:rsid w:val="78077920"/>
    <w:rsid w:val="780835EF"/>
    <w:rsid w:val="78104AA8"/>
    <w:rsid w:val="781A1483"/>
    <w:rsid w:val="781E0815"/>
    <w:rsid w:val="781F6A99"/>
    <w:rsid w:val="78252301"/>
    <w:rsid w:val="78255B83"/>
    <w:rsid w:val="78281DF2"/>
    <w:rsid w:val="78283E4B"/>
    <w:rsid w:val="782E082C"/>
    <w:rsid w:val="783154D6"/>
    <w:rsid w:val="78316439"/>
    <w:rsid w:val="78393FFF"/>
    <w:rsid w:val="783D7431"/>
    <w:rsid w:val="783E3DBF"/>
    <w:rsid w:val="78451FD3"/>
    <w:rsid w:val="78487861"/>
    <w:rsid w:val="784B788E"/>
    <w:rsid w:val="784C1F84"/>
    <w:rsid w:val="78526E6F"/>
    <w:rsid w:val="785506C7"/>
    <w:rsid w:val="78552FD0"/>
    <w:rsid w:val="785717B2"/>
    <w:rsid w:val="78590831"/>
    <w:rsid w:val="785978ED"/>
    <w:rsid w:val="785C1A9B"/>
    <w:rsid w:val="78686CA8"/>
    <w:rsid w:val="786A065C"/>
    <w:rsid w:val="786C0B7B"/>
    <w:rsid w:val="786F1A8C"/>
    <w:rsid w:val="786F7A21"/>
    <w:rsid w:val="787119EB"/>
    <w:rsid w:val="78745037"/>
    <w:rsid w:val="78762B5D"/>
    <w:rsid w:val="78764386"/>
    <w:rsid w:val="78766533"/>
    <w:rsid w:val="7876663F"/>
    <w:rsid w:val="78767001"/>
    <w:rsid w:val="787943FB"/>
    <w:rsid w:val="78886D34"/>
    <w:rsid w:val="78947487"/>
    <w:rsid w:val="78A23B1E"/>
    <w:rsid w:val="78A42BAC"/>
    <w:rsid w:val="78A51694"/>
    <w:rsid w:val="78AE7AE9"/>
    <w:rsid w:val="78AF606F"/>
    <w:rsid w:val="78BB4A14"/>
    <w:rsid w:val="78BC6AA1"/>
    <w:rsid w:val="78C26BC4"/>
    <w:rsid w:val="78C53AE4"/>
    <w:rsid w:val="78D36201"/>
    <w:rsid w:val="78DA683F"/>
    <w:rsid w:val="78DE3C09"/>
    <w:rsid w:val="78E21FA1"/>
    <w:rsid w:val="78E35D19"/>
    <w:rsid w:val="78F33792"/>
    <w:rsid w:val="79002D6F"/>
    <w:rsid w:val="79051A74"/>
    <w:rsid w:val="79074632"/>
    <w:rsid w:val="790E548B"/>
    <w:rsid w:val="790F2D94"/>
    <w:rsid w:val="79166218"/>
    <w:rsid w:val="79180E13"/>
    <w:rsid w:val="7918102B"/>
    <w:rsid w:val="79181977"/>
    <w:rsid w:val="791D122B"/>
    <w:rsid w:val="791F31F5"/>
    <w:rsid w:val="79232704"/>
    <w:rsid w:val="79256331"/>
    <w:rsid w:val="792627D5"/>
    <w:rsid w:val="79267881"/>
    <w:rsid w:val="792A3948"/>
    <w:rsid w:val="79386064"/>
    <w:rsid w:val="79394E38"/>
    <w:rsid w:val="793D7B1F"/>
    <w:rsid w:val="794B3FEA"/>
    <w:rsid w:val="794F0BCE"/>
    <w:rsid w:val="795E1D4A"/>
    <w:rsid w:val="79621333"/>
    <w:rsid w:val="796E5F2A"/>
    <w:rsid w:val="79711576"/>
    <w:rsid w:val="79725A1A"/>
    <w:rsid w:val="79766B8D"/>
    <w:rsid w:val="797B741B"/>
    <w:rsid w:val="79883562"/>
    <w:rsid w:val="79891F4B"/>
    <w:rsid w:val="79932434"/>
    <w:rsid w:val="799C2A97"/>
    <w:rsid w:val="79A17CD4"/>
    <w:rsid w:val="79AB4269"/>
    <w:rsid w:val="79AC0800"/>
    <w:rsid w:val="79B3615D"/>
    <w:rsid w:val="79C21DD2"/>
    <w:rsid w:val="79C36276"/>
    <w:rsid w:val="79C46E13"/>
    <w:rsid w:val="79C601B6"/>
    <w:rsid w:val="79C75C6C"/>
    <w:rsid w:val="79C8388C"/>
    <w:rsid w:val="79CD2C51"/>
    <w:rsid w:val="79D35D8D"/>
    <w:rsid w:val="79D833A4"/>
    <w:rsid w:val="79DC7338"/>
    <w:rsid w:val="79E7016D"/>
    <w:rsid w:val="79ED6E4F"/>
    <w:rsid w:val="79F00D50"/>
    <w:rsid w:val="79F42064"/>
    <w:rsid w:val="79F54A66"/>
    <w:rsid w:val="79F77CCE"/>
    <w:rsid w:val="79F93A46"/>
    <w:rsid w:val="79FA77BE"/>
    <w:rsid w:val="79FF3026"/>
    <w:rsid w:val="7A010B4C"/>
    <w:rsid w:val="7A035B2D"/>
    <w:rsid w:val="7A0423EA"/>
    <w:rsid w:val="7A081EDB"/>
    <w:rsid w:val="7A0A5C53"/>
    <w:rsid w:val="7A0B19CB"/>
    <w:rsid w:val="7A0D5743"/>
    <w:rsid w:val="7A151A54"/>
    <w:rsid w:val="7A1845EE"/>
    <w:rsid w:val="7A1A196B"/>
    <w:rsid w:val="7A1A1C0E"/>
    <w:rsid w:val="7A1C7734"/>
    <w:rsid w:val="7A1C7E11"/>
    <w:rsid w:val="7A1E525A"/>
    <w:rsid w:val="7A226B24"/>
    <w:rsid w:val="7A236943"/>
    <w:rsid w:val="7A262361"/>
    <w:rsid w:val="7A287E87"/>
    <w:rsid w:val="7A293C27"/>
    <w:rsid w:val="7A2D36EF"/>
    <w:rsid w:val="7A2D6EC5"/>
    <w:rsid w:val="7A3251AA"/>
    <w:rsid w:val="7A383BCB"/>
    <w:rsid w:val="7A3A405E"/>
    <w:rsid w:val="7A3F7F97"/>
    <w:rsid w:val="7A423C4F"/>
    <w:rsid w:val="7A431A07"/>
    <w:rsid w:val="7A440A39"/>
    <w:rsid w:val="7A480258"/>
    <w:rsid w:val="7A557481"/>
    <w:rsid w:val="7A5C3FD5"/>
    <w:rsid w:val="7A5E7D4D"/>
    <w:rsid w:val="7A603AC5"/>
    <w:rsid w:val="7A61783D"/>
    <w:rsid w:val="7A634C39"/>
    <w:rsid w:val="7A6365B1"/>
    <w:rsid w:val="7A637111"/>
    <w:rsid w:val="7A6B4218"/>
    <w:rsid w:val="7A721A4A"/>
    <w:rsid w:val="7A737479"/>
    <w:rsid w:val="7A74131E"/>
    <w:rsid w:val="7A7E3F4B"/>
    <w:rsid w:val="7A917ECC"/>
    <w:rsid w:val="7A94376E"/>
    <w:rsid w:val="7A964D43"/>
    <w:rsid w:val="7A9B4AFD"/>
    <w:rsid w:val="7A9E0792"/>
    <w:rsid w:val="7A9E283F"/>
    <w:rsid w:val="7A9F5054"/>
    <w:rsid w:val="7AA11299"/>
    <w:rsid w:val="7AA61133"/>
    <w:rsid w:val="7AA716F4"/>
    <w:rsid w:val="7AAC6D0A"/>
    <w:rsid w:val="7AB23BF5"/>
    <w:rsid w:val="7ABB1198"/>
    <w:rsid w:val="7AC2422A"/>
    <w:rsid w:val="7AC953E2"/>
    <w:rsid w:val="7ACC6C5F"/>
    <w:rsid w:val="7AD63D87"/>
    <w:rsid w:val="7AD92279"/>
    <w:rsid w:val="7AEA15E0"/>
    <w:rsid w:val="7AED7587"/>
    <w:rsid w:val="7AF04140"/>
    <w:rsid w:val="7AF1471D"/>
    <w:rsid w:val="7AFB559C"/>
    <w:rsid w:val="7B060931"/>
    <w:rsid w:val="7B0D02DA"/>
    <w:rsid w:val="7B130B37"/>
    <w:rsid w:val="7B144F16"/>
    <w:rsid w:val="7B175F57"/>
    <w:rsid w:val="7B1B5C3E"/>
    <w:rsid w:val="7B1D28A1"/>
    <w:rsid w:val="7B1E2941"/>
    <w:rsid w:val="7B226FCC"/>
    <w:rsid w:val="7B320C73"/>
    <w:rsid w:val="7B3E43DF"/>
    <w:rsid w:val="7B42046A"/>
    <w:rsid w:val="7B42766E"/>
    <w:rsid w:val="7B4428FF"/>
    <w:rsid w:val="7B445194"/>
    <w:rsid w:val="7B4A57A5"/>
    <w:rsid w:val="7B4C5DF7"/>
    <w:rsid w:val="7B4D22ED"/>
    <w:rsid w:val="7B4D58CD"/>
    <w:rsid w:val="7B51340D"/>
    <w:rsid w:val="7B54152A"/>
    <w:rsid w:val="7B5573A2"/>
    <w:rsid w:val="7B562F78"/>
    <w:rsid w:val="7B5D1F2D"/>
    <w:rsid w:val="7B5E06A9"/>
    <w:rsid w:val="7B6408D0"/>
    <w:rsid w:val="7B641393"/>
    <w:rsid w:val="7B646BE5"/>
    <w:rsid w:val="7B6770D5"/>
    <w:rsid w:val="7B6A5D5B"/>
    <w:rsid w:val="7B707D38"/>
    <w:rsid w:val="7B737828"/>
    <w:rsid w:val="7B7517F2"/>
    <w:rsid w:val="7B8038EE"/>
    <w:rsid w:val="7B821819"/>
    <w:rsid w:val="7B82674A"/>
    <w:rsid w:val="7B871525"/>
    <w:rsid w:val="7B8732D3"/>
    <w:rsid w:val="7B8F52BA"/>
    <w:rsid w:val="7B915F00"/>
    <w:rsid w:val="7B926E8A"/>
    <w:rsid w:val="7BA72653"/>
    <w:rsid w:val="7BAE0860"/>
    <w:rsid w:val="7BB120FE"/>
    <w:rsid w:val="7BB223DA"/>
    <w:rsid w:val="7BB75966"/>
    <w:rsid w:val="7BBC2F7D"/>
    <w:rsid w:val="7BC2430B"/>
    <w:rsid w:val="7BC776F6"/>
    <w:rsid w:val="7BCC0CE6"/>
    <w:rsid w:val="7BCE0F02"/>
    <w:rsid w:val="7BCF7BDC"/>
    <w:rsid w:val="7BD209F2"/>
    <w:rsid w:val="7BD217F3"/>
    <w:rsid w:val="7BE26D3D"/>
    <w:rsid w:val="7BE81FC4"/>
    <w:rsid w:val="7BEB011A"/>
    <w:rsid w:val="7BF1074D"/>
    <w:rsid w:val="7BF2196F"/>
    <w:rsid w:val="7BF32717"/>
    <w:rsid w:val="7BFA5853"/>
    <w:rsid w:val="7BFE17E7"/>
    <w:rsid w:val="7C0906C4"/>
    <w:rsid w:val="7C0A7241"/>
    <w:rsid w:val="7C105077"/>
    <w:rsid w:val="7C136915"/>
    <w:rsid w:val="7C14258F"/>
    <w:rsid w:val="7C250561"/>
    <w:rsid w:val="7C266648"/>
    <w:rsid w:val="7C2700CB"/>
    <w:rsid w:val="7C281F08"/>
    <w:rsid w:val="7C286864"/>
    <w:rsid w:val="7C2A25DC"/>
    <w:rsid w:val="7C3273F1"/>
    <w:rsid w:val="7C382555"/>
    <w:rsid w:val="7C3C40BE"/>
    <w:rsid w:val="7C4579C7"/>
    <w:rsid w:val="7C4E5B9F"/>
    <w:rsid w:val="7C55517F"/>
    <w:rsid w:val="7C56768C"/>
    <w:rsid w:val="7C572CA5"/>
    <w:rsid w:val="7C63164A"/>
    <w:rsid w:val="7C647170"/>
    <w:rsid w:val="7C6D071B"/>
    <w:rsid w:val="7C6D24C9"/>
    <w:rsid w:val="7C6D36CA"/>
    <w:rsid w:val="7C725D31"/>
    <w:rsid w:val="7C776EA4"/>
    <w:rsid w:val="7C7A6994"/>
    <w:rsid w:val="7C7C6667"/>
    <w:rsid w:val="7C7E26E8"/>
    <w:rsid w:val="7C8822C7"/>
    <w:rsid w:val="7C8E41ED"/>
    <w:rsid w:val="7C8E56FB"/>
    <w:rsid w:val="7C916173"/>
    <w:rsid w:val="7C920181"/>
    <w:rsid w:val="7C961A20"/>
    <w:rsid w:val="7C9B5288"/>
    <w:rsid w:val="7C9D6A4C"/>
    <w:rsid w:val="7CA07E3D"/>
    <w:rsid w:val="7CA57EB5"/>
    <w:rsid w:val="7CA659DB"/>
    <w:rsid w:val="7CAD4FBB"/>
    <w:rsid w:val="7CB012F5"/>
    <w:rsid w:val="7CB2612E"/>
    <w:rsid w:val="7CB41EA6"/>
    <w:rsid w:val="7CB579CC"/>
    <w:rsid w:val="7CB71D39"/>
    <w:rsid w:val="7CB9078D"/>
    <w:rsid w:val="7CB93960"/>
    <w:rsid w:val="7CBE56A6"/>
    <w:rsid w:val="7CC540B3"/>
    <w:rsid w:val="7CCC3456"/>
    <w:rsid w:val="7CCD517C"/>
    <w:rsid w:val="7CD3216D"/>
    <w:rsid w:val="7CDC2259"/>
    <w:rsid w:val="7CDF016B"/>
    <w:rsid w:val="7CE704CD"/>
    <w:rsid w:val="7CE7227B"/>
    <w:rsid w:val="7CF15B8F"/>
    <w:rsid w:val="7CF20C20"/>
    <w:rsid w:val="7CFB486B"/>
    <w:rsid w:val="7D016D33"/>
    <w:rsid w:val="7D030395"/>
    <w:rsid w:val="7D066849"/>
    <w:rsid w:val="7D0E2A31"/>
    <w:rsid w:val="7D0F1E45"/>
    <w:rsid w:val="7D11024A"/>
    <w:rsid w:val="7D114111"/>
    <w:rsid w:val="7D127424"/>
    <w:rsid w:val="7D1F3C7C"/>
    <w:rsid w:val="7D2C3B80"/>
    <w:rsid w:val="7D2D5568"/>
    <w:rsid w:val="7D33726F"/>
    <w:rsid w:val="7D344D95"/>
    <w:rsid w:val="7D3E79C1"/>
    <w:rsid w:val="7D45543A"/>
    <w:rsid w:val="7D48291D"/>
    <w:rsid w:val="7D4C3528"/>
    <w:rsid w:val="7D5471E5"/>
    <w:rsid w:val="7D576182"/>
    <w:rsid w:val="7D586CD5"/>
    <w:rsid w:val="7D5A0C9F"/>
    <w:rsid w:val="7D5B0573"/>
    <w:rsid w:val="7D5B4A17"/>
    <w:rsid w:val="7D672ACC"/>
    <w:rsid w:val="7D6774DC"/>
    <w:rsid w:val="7D6C2781"/>
    <w:rsid w:val="7D6C75DF"/>
    <w:rsid w:val="7D715FE9"/>
    <w:rsid w:val="7D723ED9"/>
    <w:rsid w:val="7D7358BD"/>
    <w:rsid w:val="7D7711F3"/>
    <w:rsid w:val="7D82074B"/>
    <w:rsid w:val="7D853842"/>
    <w:rsid w:val="7D8950E1"/>
    <w:rsid w:val="7D933016"/>
    <w:rsid w:val="7D9525D3"/>
    <w:rsid w:val="7D9A2FBF"/>
    <w:rsid w:val="7DA00FED"/>
    <w:rsid w:val="7DA10A0F"/>
    <w:rsid w:val="7DA5421F"/>
    <w:rsid w:val="7DA97531"/>
    <w:rsid w:val="7DB068EF"/>
    <w:rsid w:val="7DB14637"/>
    <w:rsid w:val="7DB20452"/>
    <w:rsid w:val="7DB52379"/>
    <w:rsid w:val="7DBD122E"/>
    <w:rsid w:val="7DBD2FDC"/>
    <w:rsid w:val="7DC10D1E"/>
    <w:rsid w:val="7DC25C60"/>
    <w:rsid w:val="7DD16A88"/>
    <w:rsid w:val="7DE20C95"/>
    <w:rsid w:val="7DF17196"/>
    <w:rsid w:val="7DF22173"/>
    <w:rsid w:val="7DF764EE"/>
    <w:rsid w:val="7E004525"/>
    <w:rsid w:val="7E022500"/>
    <w:rsid w:val="7E06209B"/>
    <w:rsid w:val="7E0B01EB"/>
    <w:rsid w:val="7E0F1BC7"/>
    <w:rsid w:val="7E105802"/>
    <w:rsid w:val="7E175672"/>
    <w:rsid w:val="7E1939E8"/>
    <w:rsid w:val="7E1C5F55"/>
    <w:rsid w:val="7E1F3C97"/>
    <w:rsid w:val="7E266DD3"/>
    <w:rsid w:val="7E286F6A"/>
    <w:rsid w:val="7E2A79ED"/>
    <w:rsid w:val="7E2B3F60"/>
    <w:rsid w:val="7E2C20A9"/>
    <w:rsid w:val="7E2C6E0C"/>
    <w:rsid w:val="7E2D569D"/>
    <w:rsid w:val="7E2E7A36"/>
    <w:rsid w:val="7E335FD0"/>
    <w:rsid w:val="7E355268"/>
    <w:rsid w:val="7E357016"/>
    <w:rsid w:val="7E3747A6"/>
    <w:rsid w:val="7E394D59"/>
    <w:rsid w:val="7E3C0BAB"/>
    <w:rsid w:val="7E3F60E7"/>
    <w:rsid w:val="7E420D47"/>
    <w:rsid w:val="7E4F632A"/>
    <w:rsid w:val="7E516E43"/>
    <w:rsid w:val="7E550EF8"/>
    <w:rsid w:val="7E566C54"/>
    <w:rsid w:val="7E584AB3"/>
    <w:rsid w:val="7E5C65A1"/>
    <w:rsid w:val="7E6D67B0"/>
    <w:rsid w:val="7E6E560C"/>
    <w:rsid w:val="7E717883"/>
    <w:rsid w:val="7E7713DD"/>
    <w:rsid w:val="7E7A4D36"/>
    <w:rsid w:val="7E7C2DC0"/>
    <w:rsid w:val="7E830FEB"/>
    <w:rsid w:val="7E880E0B"/>
    <w:rsid w:val="7E927FC5"/>
    <w:rsid w:val="7EA23D68"/>
    <w:rsid w:val="7EA85A3A"/>
    <w:rsid w:val="7EAB4E7D"/>
    <w:rsid w:val="7EAF0FC2"/>
    <w:rsid w:val="7EB37C8D"/>
    <w:rsid w:val="7EBE7D50"/>
    <w:rsid w:val="7EC00FD6"/>
    <w:rsid w:val="7EC62364"/>
    <w:rsid w:val="7EC65E37"/>
    <w:rsid w:val="7ED16E96"/>
    <w:rsid w:val="7EE527EB"/>
    <w:rsid w:val="7EE77D0C"/>
    <w:rsid w:val="7EED169F"/>
    <w:rsid w:val="7EEE27A3"/>
    <w:rsid w:val="7EF173E1"/>
    <w:rsid w:val="7EF22CFB"/>
    <w:rsid w:val="7EF742CC"/>
    <w:rsid w:val="7EF77FF1"/>
    <w:rsid w:val="7EFD27DB"/>
    <w:rsid w:val="7EFE7EA6"/>
    <w:rsid w:val="7F001796"/>
    <w:rsid w:val="7F080287"/>
    <w:rsid w:val="7F0A2146"/>
    <w:rsid w:val="7F0A2251"/>
    <w:rsid w:val="7F0B3ECA"/>
    <w:rsid w:val="7F0C595B"/>
    <w:rsid w:val="7F0D26DB"/>
    <w:rsid w:val="7F0E0B5B"/>
    <w:rsid w:val="7F111831"/>
    <w:rsid w:val="7F127358"/>
    <w:rsid w:val="7F144E7E"/>
    <w:rsid w:val="7F1564C8"/>
    <w:rsid w:val="7F17671C"/>
    <w:rsid w:val="7F1C285B"/>
    <w:rsid w:val="7F201A75"/>
    <w:rsid w:val="7F203823"/>
    <w:rsid w:val="7F2552DD"/>
    <w:rsid w:val="7F2C666B"/>
    <w:rsid w:val="7F2E0FB4"/>
    <w:rsid w:val="7F3217A8"/>
    <w:rsid w:val="7F385010"/>
    <w:rsid w:val="7F436770"/>
    <w:rsid w:val="7F4734A5"/>
    <w:rsid w:val="7F546D3F"/>
    <w:rsid w:val="7F572354"/>
    <w:rsid w:val="7F587460"/>
    <w:rsid w:val="7F5B6FB7"/>
    <w:rsid w:val="7F5D16A5"/>
    <w:rsid w:val="7F610805"/>
    <w:rsid w:val="7F625BE9"/>
    <w:rsid w:val="7F651B7D"/>
    <w:rsid w:val="7F6578FB"/>
    <w:rsid w:val="7F6776A3"/>
    <w:rsid w:val="7F6851CA"/>
    <w:rsid w:val="7F6E1CA0"/>
    <w:rsid w:val="7F6F6558"/>
    <w:rsid w:val="7F703639"/>
    <w:rsid w:val="7F71407E"/>
    <w:rsid w:val="7F7320D8"/>
    <w:rsid w:val="7F7E49ED"/>
    <w:rsid w:val="7F837419"/>
    <w:rsid w:val="7F875650"/>
    <w:rsid w:val="7F8E2BA0"/>
    <w:rsid w:val="7F983A28"/>
    <w:rsid w:val="7F9935D5"/>
    <w:rsid w:val="7FA73EAD"/>
    <w:rsid w:val="7FA75CF2"/>
    <w:rsid w:val="7FAD7F17"/>
    <w:rsid w:val="7FAF4BA7"/>
    <w:rsid w:val="7FB16B71"/>
    <w:rsid w:val="7FB65F35"/>
    <w:rsid w:val="7FB7323C"/>
    <w:rsid w:val="7FB977D3"/>
    <w:rsid w:val="7FC248DA"/>
    <w:rsid w:val="7FC86B49"/>
    <w:rsid w:val="7FCB5E84"/>
    <w:rsid w:val="7FCC6956"/>
    <w:rsid w:val="7FCF6FF7"/>
    <w:rsid w:val="7FE42AA2"/>
    <w:rsid w:val="7FE44850"/>
    <w:rsid w:val="7FEA64A6"/>
    <w:rsid w:val="7FEC7BA9"/>
    <w:rsid w:val="7FF627D5"/>
    <w:rsid w:val="7FF6458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64"/>
    <w:qFormat/>
    <w:uiPriority w:val="0"/>
    <w:pPr>
      <w:keepNext/>
      <w:keepLines/>
      <w:spacing w:before="340" w:after="330" w:line="576" w:lineRule="auto"/>
      <w:outlineLvl w:val="0"/>
    </w:pPr>
    <w:rPr>
      <w:b/>
      <w:kern w:val="44"/>
      <w:sz w:val="28"/>
    </w:rPr>
  </w:style>
  <w:style w:type="paragraph" w:styleId="3">
    <w:name w:val="heading 2"/>
    <w:basedOn w:val="1"/>
    <w:next w:val="1"/>
    <w:qFormat/>
    <w:uiPriority w:val="0"/>
    <w:pPr>
      <w:keepNext/>
      <w:keepLines/>
      <w:spacing w:before="260" w:after="260" w:line="416" w:lineRule="auto"/>
      <w:outlineLvl w:val="1"/>
    </w:pPr>
    <w:rPr>
      <w:rFonts w:ascii="Cambria" w:hAnsi="Cambria"/>
      <w:b/>
      <w:bCs/>
      <w:kern w:val="0"/>
      <w:sz w:val="28"/>
      <w:szCs w:val="28"/>
    </w:rPr>
  </w:style>
  <w:style w:type="paragraph" w:styleId="4">
    <w:name w:val="heading 3"/>
    <w:basedOn w:val="1"/>
    <w:next w:val="1"/>
    <w:qFormat/>
    <w:uiPriority w:val="0"/>
    <w:pPr>
      <w:keepNext/>
      <w:keepLines/>
      <w:spacing w:before="260" w:after="260" w:line="413" w:lineRule="auto"/>
      <w:outlineLvl w:val="2"/>
    </w:pPr>
    <w:rPr>
      <w:b/>
      <w:bCs/>
      <w:kern w:val="0"/>
      <w:sz w:val="28"/>
      <w:szCs w:val="32"/>
    </w:rPr>
  </w:style>
  <w:style w:type="paragraph" w:styleId="5">
    <w:name w:val="heading 4"/>
    <w:basedOn w:val="1"/>
    <w:next w:val="1"/>
    <w:link w:val="59"/>
    <w:qFormat/>
    <w:uiPriority w:val="0"/>
    <w:pPr>
      <w:autoSpaceDE w:val="0"/>
      <w:autoSpaceDN w:val="0"/>
      <w:spacing w:before="62"/>
      <w:ind w:left="80"/>
      <w:jc w:val="left"/>
      <w:outlineLvl w:val="3"/>
    </w:pPr>
    <w:rPr>
      <w:rFonts w:ascii="宋体" w:hAnsi="宋体" w:cs="宋体"/>
      <w:b/>
      <w:kern w:val="0"/>
      <w:sz w:val="28"/>
      <w:szCs w:val="28"/>
      <w:lang w:val="zh-CN" w:bidi="zh-CN"/>
    </w:rPr>
  </w:style>
  <w:style w:type="paragraph" w:styleId="6">
    <w:name w:val="heading 5"/>
    <w:basedOn w:val="1"/>
    <w:next w:val="1"/>
    <w:qFormat/>
    <w:uiPriority w:val="0"/>
    <w:pPr>
      <w:autoSpaceDE w:val="0"/>
      <w:autoSpaceDN w:val="0"/>
      <w:ind w:left="2051"/>
      <w:jc w:val="left"/>
      <w:outlineLvl w:val="4"/>
    </w:pPr>
    <w:rPr>
      <w:rFonts w:ascii="宋体" w:hAnsi="宋体" w:cs="宋体"/>
      <w:kern w:val="0"/>
      <w:sz w:val="28"/>
      <w:szCs w:val="28"/>
      <w:lang w:val="zh-CN" w:bidi="zh-CN"/>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7">
    <w:name w:val="Normal Indent"/>
    <w:basedOn w:val="1"/>
    <w:next w:val="5"/>
    <w:link w:val="36"/>
    <w:qFormat/>
    <w:uiPriority w:val="0"/>
    <w:pPr>
      <w:ind w:firstLine="420"/>
    </w:pPr>
    <w:rPr>
      <w:rFonts w:ascii="Times New Roman" w:hAnsi="Times New Roman" w:eastAsia="宋体" w:cs="Times New Roman"/>
      <w:szCs w:val="22"/>
    </w:rPr>
  </w:style>
  <w:style w:type="paragraph" w:styleId="8">
    <w:name w:val="Document Map"/>
    <w:basedOn w:val="1"/>
    <w:link w:val="49"/>
    <w:qFormat/>
    <w:uiPriority w:val="0"/>
    <w:rPr>
      <w:rFonts w:ascii="宋体" w:eastAsia="宋体"/>
      <w:sz w:val="18"/>
      <w:szCs w:val="18"/>
    </w:rPr>
  </w:style>
  <w:style w:type="paragraph" w:styleId="9">
    <w:name w:val="toa heading"/>
    <w:basedOn w:val="1"/>
    <w:next w:val="1"/>
    <w:qFormat/>
    <w:uiPriority w:val="0"/>
    <w:pPr>
      <w:spacing w:before="120"/>
    </w:pPr>
    <w:rPr>
      <w:rFonts w:ascii="Cambria" w:hAnsi="Cambria"/>
      <w:sz w:val="24"/>
    </w:rPr>
  </w:style>
  <w:style w:type="paragraph" w:styleId="10">
    <w:name w:val="annotation text"/>
    <w:basedOn w:val="1"/>
    <w:qFormat/>
    <w:uiPriority w:val="0"/>
    <w:pPr>
      <w:jc w:val="left"/>
    </w:pPr>
  </w:style>
  <w:style w:type="paragraph" w:styleId="11">
    <w:name w:val="Body Text"/>
    <w:basedOn w:val="1"/>
    <w:qFormat/>
    <w:uiPriority w:val="0"/>
    <w:pPr>
      <w:spacing w:line="300" w:lineRule="exact"/>
    </w:pPr>
    <w:rPr>
      <w:rFonts w:ascii="宋体" w:hAnsi="宋体"/>
      <w:sz w:val="24"/>
    </w:rPr>
  </w:style>
  <w:style w:type="paragraph" w:styleId="12">
    <w:name w:val="Body Text Indent"/>
    <w:basedOn w:val="1"/>
    <w:next w:val="13"/>
    <w:qFormat/>
    <w:uiPriority w:val="99"/>
    <w:pPr>
      <w:spacing w:line="440" w:lineRule="exact"/>
      <w:ind w:firstLine="630"/>
    </w:pPr>
    <w:rPr>
      <w:rFonts w:ascii="宋体" w:hAnsi="宋体"/>
      <w:sz w:val="28"/>
    </w:rPr>
  </w:style>
  <w:style w:type="paragraph" w:styleId="13">
    <w:name w:val="envelope return"/>
    <w:basedOn w:val="1"/>
    <w:qFormat/>
    <w:uiPriority w:val="0"/>
    <w:pPr>
      <w:snapToGrid w:val="0"/>
      <w:spacing w:line="360" w:lineRule="auto"/>
      <w:ind w:firstLine="200" w:firstLineChars="200"/>
    </w:pPr>
    <w:rPr>
      <w:rFonts w:ascii="Arial" w:hAnsi="Arial" w:cs="Arial"/>
      <w:sz w:val="24"/>
    </w:rPr>
  </w:style>
  <w:style w:type="paragraph" w:styleId="14">
    <w:name w:val="toc 3"/>
    <w:basedOn w:val="1"/>
    <w:next w:val="1"/>
    <w:qFormat/>
    <w:uiPriority w:val="39"/>
    <w:pPr>
      <w:ind w:left="840" w:leftChars="400"/>
    </w:pPr>
  </w:style>
  <w:style w:type="paragraph" w:styleId="15">
    <w:name w:val="Plain Text"/>
    <w:basedOn w:val="1"/>
    <w:link w:val="42"/>
    <w:qFormat/>
    <w:uiPriority w:val="0"/>
    <w:rPr>
      <w:rFonts w:ascii="宋体" w:hAnsi="Courier New" w:eastAsia="宋体" w:cs="Times New Roman"/>
      <w:szCs w:val="20"/>
    </w:rPr>
  </w:style>
  <w:style w:type="paragraph" w:styleId="16">
    <w:name w:val="Date"/>
    <w:basedOn w:val="1"/>
    <w:next w:val="1"/>
    <w:qFormat/>
    <w:uiPriority w:val="99"/>
    <w:pPr>
      <w:widowControl w:val="0"/>
      <w:ind w:left="100" w:leftChars="2500"/>
      <w:jc w:val="both"/>
    </w:pPr>
    <w:rPr>
      <w:rFonts w:ascii="宋体" w:hAnsi="Courier New" w:eastAsia="宋体" w:cs="Times New Roman"/>
      <w:sz w:val="21"/>
      <w:szCs w:val="21"/>
      <w:lang w:val="en-US" w:eastAsia="zh-CN" w:bidi="ar-SA"/>
    </w:rPr>
  </w:style>
  <w:style w:type="paragraph" w:styleId="17">
    <w:name w:val="Body Text Indent 2"/>
    <w:basedOn w:val="1"/>
    <w:qFormat/>
    <w:uiPriority w:val="0"/>
    <w:pPr>
      <w:spacing w:after="120" w:line="480" w:lineRule="auto"/>
      <w:ind w:left="420" w:leftChars="200"/>
    </w:pPr>
    <w:rPr>
      <w:rFonts w:ascii="等线" w:hAnsi="等线" w:eastAsia="等线" w:cs="Times New Roman"/>
      <w:szCs w:val="24"/>
    </w:rPr>
  </w:style>
  <w:style w:type="paragraph" w:styleId="18">
    <w:name w:val="Balloon Text"/>
    <w:basedOn w:val="1"/>
    <w:link w:val="40"/>
    <w:qFormat/>
    <w:uiPriority w:val="0"/>
    <w:rPr>
      <w:sz w:val="18"/>
      <w:szCs w:val="18"/>
    </w:rPr>
  </w:style>
  <w:style w:type="paragraph" w:styleId="19">
    <w:name w:val="footer"/>
    <w:basedOn w:val="1"/>
    <w:link w:val="38"/>
    <w:unhideWhenUsed/>
    <w:qFormat/>
    <w:uiPriority w:val="99"/>
    <w:pPr>
      <w:tabs>
        <w:tab w:val="center" w:pos="4153"/>
        <w:tab w:val="right" w:pos="8306"/>
      </w:tabs>
      <w:snapToGrid w:val="0"/>
    </w:pPr>
    <w:rPr>
      <w:sz w:val="18"/>
      <w:szCs w:val="18"/>
    </w:rPr>
  </w:style>
  <w:style w:type="paragraph" w:styleId="20">
    <w:name w:val="header"/>
    <w:basedOn w:val="1"/>
    <w:link w:val="3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1">
    <w:name w:val="toc 1"/>
    <w:basedOn w:val="1"/>
    <w:next w:val="1"/>
    <w:qFormat/>
    <w:uiPriority w:val="39"/>
  </w:style>
  <w:style w:type="paragraph" w:styleId="22">
    <w:name w:val="toc 2"/>
    <w:basedOn w:val="1"/>
    <w:next w:val="1"/>
    <w:qFormat/>
    <w:uiPriority w:val="39"/>
    <w:pPr>
      <w:ind w:left="420" w:leftChars="200"/>
    </w:pPr>
  </w:style>
  <w:style w:type="paragraph" w:styleId="23">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24">
    <w:name w:val="Title"/>
    <w:basedOn w:val="1"/>
    <w:next w:val="1"/>
    <w:qFormat/>
    <w:uiPriority w:val="0"/>
    <w:pPr>
      <w:spacing w:before="240" w:after="60"/>
      <w:jc w:val="center"/>
      <w:outlineLvl w:val="0"/>
    </w:pPr>
    <w:rPr>
      <w:rFonts w:ascii="Cambria" w:hAnsi="Cambria"/>
      <w:b/>
      <w:bCs/>
      <w:kern w:val="0"/>
      <w:sz w:val="44"/>
      <w:szCs w:val="32"/>
    </w:rPr>
  </w:style>
  <w:style w:type="paragraph" w:styleId="25">
    <w:name w:val="Body Text First Indent 2"/>
    <w:basedOn w:val="12"/>
    <w:next w:val="1"/>
    <w:qFormat/>
    <w:uiPriority w:val="0"/>
    <w:pPr>
      <w:ind w:firstLine="420" w:firstLineChars="200"/>
    </w:pPr>
    <w:rPr>
      <w:kern w:val="2"/>
      <w:sz w:val="21"/>
      <w:lang w:val="en-US" w:eastAsia="zh-CN"/>
    </w:rPr>
  </w:style>
  <w:style w:type="table" w:styleId="27">
    <w:name w:val="Table Grid"/>
    <w:basedOn w:val="26"/>
    <w:qFormat/>
    <w:uiPriority w:val="3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basedOn w:val="28"/>
    <w:qFormat/>
    <w:uiPriority w:val="0"/>
    <w:rPr>
      <w:color w:val="800080"/>
      <w:u w:val="none"/>
    </w:rPr>
  </w:style>
  <w:style w:type="character" w:styleId="32">
    <w:name w:val="Hyperlink"/>
    <w:basedOn w:val="28"/>
    <w:autoRedefine/>
    <w:unhideWhenUsed/>
    <w:qFormat/>
    <w:uiPriority w:val="99"/>
    <w:rPr>
      <w:color w:val="0563C1" w:themeColor="hyperlink"/>
      <w:u w:val="single"/>
    </w:rPr>
  </w:style>
  <w:style w:type="paragraph" w:customStyle="1" w:styleId="33">
    <w:name w:val="_Style 3"/>
    <w:basedOn w:val="1"/>
    <w:autoRedefine/>
    <w:qFormat/>
    <w:uiPriority w:val="0"/>
    <w:pPr>
      <w:ind w:firstLine="200" w:firstLineChars="200"/>
    </w:pPr>
  </w:style>
  <w:style w:type="character" w:customStyle="1" w:styleId="34">
    <w:name w:val="NormalCharacter"/>
    <w:autoRedefine/>
    <w:qFormat/>
    <w:uiPriority w:val="0"/>
  </w:style>
  <w:style w:type="paragraph" w:customStyle="1" w:styleId="35">
    <w:name w:val="PlainText"/>
    <w:basedOn w:val="1"/>
    <w:autoRedefine/>
    <w:qFormat/>
    <w:uiPriority w:val="0"/>
    <w:pPr>
      <w:textAlignment w:val="baseline"/>
    </w:pPr>
    <w:rPr>
      <w:rFonts w:ascii="宋体" w:hAnsi="Courier New" w:eastAsia="宋体" w:cs="Times New Roman"/>
    </w:rPr>
  </w:style>
  <w:style w:type="character" w:customStyle="1" w:styleId="36">
    <w:name w:val="正文缩进 Char"/>
    <w:link w:val="7"/>
    <w:autoRedefine/>
    <w:qFormat/>
    <w:uiPriority w:val="0"/>
    <w:rPr>
      <w:kern w:val="2"/>
      <w:sz w:val="21"/>
      <w:szCs w:val="22"/>
    </w:rPr>
  </w:style>
  <w:style w:type="character" w:customStyle="1" w:styleId="37">
    <w:name w:val="页眉 Char"/>
    <w:link w:val="20"/>
    <w:autoRedefine/>
    <w:qFormat/>
    <w:uiPriority w:val="0"/>
    <w:rPr>
      <w:rFonts w:asciiTheme="minorHAnsi" w:hAnsiTheme="minorHAnsi" w:eastAsiaTheme="minorEastAsia" w:cstheme="minorBidi"/>
      <w:kern w:val="2"/>
      <w:sz w:val="18"/>
      <w:szCs w:val="24"/>
    </w:rPr>
  </w:style>
  <w:style w:type="character" w:customStyle="1" w:styleId="38">
    <w:name w:val="页脚 Char"/>
    <w:basedOn w:val="28"/>
    <w:link w:val="19"/>
    <w:autoRedefine/>
    <w:qFormat/>
    <w:uiPriority w:val="99"/>
    <w:rPr>
      <w:rFonts w:asciiTheme="minorHAnsi" w:hAnsiTheme="minorHAnsi" w:eastAsiaTheme="minorEastAsia" w:cstheme="minorBidi"/>
      <w:kern w:val="2"/>
      <w:sz w:val="18"/>
      <w:szCs w:val="18"/>
    </w:rPr>
  </w:style>
  <w:style w:type="paragraph" w:customStyle="1" w:styleId="39">
    <w:name w:val="TOC 标题1"/>
    <w:basedOn w:val="2"/>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bCs/>
      <w:color w:val="2E75B5" w:themeColor="accent1" w:themeShade="BF"/>
      <w:kern w:val="0"/>
      <w:szCs w:val="28"/>
    </w:rPr>
  </w:style>
  <w:style w:type="character" w:customStyle="1" w:styleId="40">
    <w:name w:val="批注框文本 Char"/>
    <w:basedOn w:val="28"/>
    <w:link w:val="18"/>
    <w:autoRedefine/>
    <w:qFormat/>
    <w:uiPriority w:val="0"/>
    <w:rPr>
      <w:rFonts w:asciiTheme="minorHAnsi" w:hAnsiTheme="minorHAnsi" w:eastAsiaTheme="minorEastAsia" w:cstheme="minorBidi"/>
      <w:kern w:val="2"/>
      <w:sz w:val="18"/>
      <w:szCs w:val="18"/>
    </w:rPr>
  </w:style>
  <w:style w:type="character" w:customStyle="1" w:styleId="41">
    <w:name w:val="纯文本 Char"/>
    <w:autoRedefine/>
    <w:qFormat/>
    <w:uiPriority w:val="0"/>
    <w:rPr>
      <w:rFonts w:ascii="宋体" w:hAnsi="Courier New"/>
      <w:kern w:val="2"/>
      <w:sz w:val="21"/>
    </w:rPr>
  </w:style>
  <w:style w:type="character" w:customStyle="1" w:styleId="42">
    <w:name w:val="纯文本 Char1"/>
    <w:basedOn w:val="28"/>
    <w:link w:val="15"/>
    <w:autoRedefine/>
    <w:qFormat/>
    <w:uiPriority w:val="0"/>
    <w:rPr>
      <w:rFonts w:ascii="宋体" w:hAnsi="Courier New" w:cs="Courier New"/>
      <w:kern w:val="2"/>
      <w:sz w:val="21"/>
      <w:szCs w:val="21"/>
    </w:rPr>
  </w:style>
  <w:style w:type="paragraph" w:customStyle="1" w:styleId="43">
    <w:name w:val="列出段落5"/>
    <w:basedOn w:val="1"/>
    <w:autoRedefine/>
    <w:qFormat/>
    <w:uiPriority w:val="34"/>
    <w:pPr>
      <w:ind w:firstLine="420" w:firstLineChars="200"/>
    </w:pPr>
    <w:rPr>
      <w:rFonts w:ascii="Calibri" w:hAnsi="Calibri"/>
      <w:sz w:val="24"/>
    </w:rPr>
  </w:style>
  <w:style w:type="paragraph" w:styleId="44">
    <w:name w:val="List Paragraph"/>
    <w:basedOn w:val="1"/>
    <w:link w:val="47"/>
    <w:autoRedefine/>
    <w:qFormat/>
    <w:uiPriority w:val="34"/>
    <w:pPr>
      <w:ind w:firstLine="420" w:firstLineChars="200"/>
    </w:pPr>
    <w:rPr>
      <w:rFonts w:ascii="Calibri" w:hAnsi="Calibri"/>
      <w:sz w:val="24"/>
    </w:rPr>
  </w:style>
  <w:style w:type="paragraph" w:customStyle="1" w:styleId="45">
    <w:name w:val="列出段落51"/>
    <w:basedOn w:val="1"/>
    <w:autoRedefine/>
    <w:qFormat/>
    <w:uiPriority w:val="34"/>
    <w:pPr>
      <w:ind w:firstLine="420" w:firstLineChars="200"/>
    </w:pPr>
    <w:rPr>
      <w:rFonts w:ascii="Calibri" w:hAnsi="Calibri"/>
      <w:sz w:val="24"/>
    </w:rPr>
  </w:style>
  <w:style w:type="paragraph" w:customStyle="1" w:styleId="46">
    <w:name w:val="列出段落1"/>
    <w:basedOn w:val="1"/>
    <w:autoRedefine/>
    <w:qFormat/>
    <w:uiPriority w:val="99"/>
    <w:pPr>
      <w:ind w:firstLine="420" w:firstLineChars="200"/>
    </w:pPr>
    <w:rPr>
      <w:rFonts w:ascii="Calibri" w:hAnsi="Calibri"/>
      <w:sz w:val="24"/>
    </w:rPr>
  </w:style>
  <w:style w:type="character" w:customStyle="1" w:styleId="47">
    <w:name w:val="列出段落 Char"/>
    <w:link w:val="44"/>
    <w:autoRedefine/>
    <w:qFormat/>
    <w:locked/>
    <w:uiPriority w:val="34"/>
    <w:rPr>
      <w:rFonts w:ascii="Calibri" w:hAnsi="Calibri" w:eastAsiaTheme="minorEastAsia" w:cstheme="minorBidi"/>
      <w:kern w:val="2"/>
      <w:sz w:val="24"/>
      <w:szCs w:val="24"/>
    </w:rPr>
  </w:style>
  <w:style w:type="paragraph" w:customStyle="1" w:styleId="48">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49">
    <w:name w:val="文档结构图 Char"/>
    <w:basedOn w:val="28"/>
    <w:link w:val="8"/>
    <w:autoRedefine/>
    <w:qFormat/>
    <w:uiPriority w:val="0"/>
    <w:rPr>
      <w:rFonts w:ascii="宋体" w:hAnsiTheme="minorHAnsi" w:cstheme="minorBidi"/>
      <w:kern w:val="2"/>
      <w:sz w:val="18"/>
      <w:szCs w:val="18"/>
    </w:rPr>
  </w:style>
  <w:style w:type="character" w:customStyle="1" w:styleId="50">
    <w:name w:val="font21"/>
    <w:basedOn w:val="28"/>
    <w:autoRedefine/>
    <w:qFormat/>
    <w:uiPriority w:val="0"/>
    <w:rPr>
      <w:rFonts w:hint="eastAsia" w:ascii="宋体" w:hAnsi="宋体" w:eastAsia="宋体" w:cs="宋体"/>
      <w:color w:val="000000"/>
      <w:sz w:val="24"/>
      <w:szCs w:val="24"/>
      <w:u w:val="none"/>
    </w:rPr>
  </w:style>
  <w:style w:type="character" w:customStyle="1" w:styleId="51">
    <w:name w:val="font01"/>
    <w:basedOn w:val="28"/>
    <w:autoRedefine/>
    <w:qFormat/>
    <w:uiPriority w:val="0"/>
    <w:rPr>
      <w:rFonts w:hint="eastAsia" w:ascii="宋体" w:hAnsi="宋体" w:eastAsia="宋体" w:cs="宋体"/>
      <w:color w:val="000000"/>
      <w:sz w:val="24"/>
      <w:szCs w:val="24"/>
      <w:u w:val="none"/>
    </w:rPr>
  </w:style>
  <w:style w:type="character" w:customStyle="1" w:styleId="52">
    <w:name w:val="font61"/>
    <w:basedOn w:val="28"/>
    <w:autoRedefine/>
    <w:qFormat/>
    <w:uiPriority w:val="0"/>
    <w:rPr>
      <w:rFonts w:hint="eastAsia" w:ascii="宋体" w:hAnsi="宋体" w:eastAsia="宋体" w:cs="宋体"/>
      <w:color w:val="000000"/>
      <w:sz w:val="12"/>
      <w:szCs w:val="12"/>
      <w:u w:val="none"/>
    </w:rPr>
  </w:style>
  <w:style w:type="paragraph" w:customStyle="1" w:styleId="53">
    <w:name w:val="179"/>
    <w:basedOn w:val="1"/>
    <w:autoRedefine/>
    <w:qFormat/>
    <w:uiPriority w:val="0"/>
    <w:pPr>
      <w:spacing w:line="240" w:lineRule="auto"/>
      <w:ind w:left="2196" w:hanging="600"/>
      <w:jc w:val="both"/>
      <w:textAlignment w:val="baseline"/>
    </w:pPr>
    <w:rPr>
      <w:rFonts w:ascii="宋体" w:hAnsi="宋体" w:eastAsia="宋体"/>
      <w:kern w:val="2"/>
      <w:sz w:val="21"/>
      <w:szCs w:val="24"/>
      <w:lang w:val="zh-CN" w:eastAsia="zh-CN" w:bidi="zh-CN"/>
    </w:rPr>
  </w:style>
  <w:style w:type="paragraph" w:customStyle="1" w:styleId="54">
    <w:name w:val="Table Paragraph"/>
    <w:basedOn w:val="1"/>
    <w:autoRedefine/>
    <w:qFormat/>
    <w:uiPriority w:val="1"/>
    <w:pPr>
      <w:autoSpaceDE w:val="0"/>
      <w:autoSpaceDN w:val="0"/>
      <w:jc w:val="left"/>
    </w:pPr>
    <w:rPr>
      <w:rFonts w:ascii="宋体" w:hAnsi="宋体" w:cs="宋体"/>
      <w:kern w:val="0"/>
      <w:sz w:val="22"/>
      <w:szCs w:val="22"/>
      <w:lang w:eastAsia="en-US"/>
    </w:rPr>
  </w:style>
  <w:style w:type="paragraph" w:customStyle="1" w:styleId="55">
    <w:name w:val="WPSOffice手动目录 1"/>
    <w:autoRedefine/>
    <w:qFormat/>
    <w:uiPriority w:val="0"/>
    <w:pPr>
      <w:ind w:leftChars="0"/>
    </w:pPr>
    <w:rPr>
      <w:rFonts w:ascii="Times New Roman" w:hAnsi="Times New Roman" w:eastAsia="宋体" w:cs="Times New Roman"/>
      <w:sz w:val="20"/>
      <w:szCs w:val="20"/>
    </w:rPr>
  </w:style>
  <w:style w:type="paragraph" w:customStyle="1" w:styleId="56">
    <w:name w:val="WPSOffice手动目录 2"/>
    <w:autoRedefine/>
    <w:qFormat/>
    <w:uiPriority w:val="0"/>
    <w:pPr>
      <w:ind w:leftChars="200"/>
    </w:pPr>
    <w:rPr>
      <w:rFonts w:ascii="Times New Roman" w:hAnsi="Times New Roman" w:eastAsia="宋体" w:cs="Times New Roman"/>
      <w:sz w:val="20"/>
      <w:szCs w:val="20"/>
    </w:rPr>
  </w:style>
  <w:style w:type="paragraph" w:customStyle="1" w:styleId="57">
    <w:name w:val="WPSOffice手动目录 3"/>
    <w:autoRedefine/>
    <w:qFormat/>
    <w:uiPriority w:val="0"/>
    <w:pPr>
      <w:ind w:leftChars="400"/>
    </w:pPr>
    <w:rPr>
      <w:rFonts w:ascii="Times New Roman" w:hAnsi="Times New Roman" w:eastAsia="宋体" w:cs="Times New Roman"/>
      <w:sz w:val="20"/>
      <w:szCs w:val="20"/>
    </w:rPr>
  </w:style>
  <w:style w:type="paragraph" w:customStyle="1" w:styleId="58">
    <w:name w:val="Normal (Web)"/>
    <w:basedOn w:val="1"/>
    <w:autoRedefine/>
    <w:qFormat/>
    <w:uiPriority w:val="0"/>
    <w:pPr>
      <w:widowControl/>
      <w:spacing w:before="100" w:beforeAutospacing="1" w:after="100" w:afterAutospacing="1"/>
      <w:jc w:val="left"/>
    </w:pPr>
    <w:rPr>
      <w:rFonts w:ascii="宋体" w:hAnsi="宋体" w:cs="宋体"/>
      <w:color w:val="000000"/>
      <w:kern w:val="0"/>
      <w:sz w:val="24"/>
      <w:szCs w:val="24"/>
    </w:rPr>
  </w:style>
  <w:style w:type="character" w:customStyle="1" w:styleId="59">
    <w:name w:val="标题 4 Char"/>
    <w:basedOn w:val="28"/>
    <w:link w:val="5"/>
    <w:autoRedefine/>
    <w:qFormat/>
    <w:uiPriority w:val="0"/>
    <w:rPr>
      <w:rFonts w:ascii="宋体" w:hAnsi="宋体" w:cs="宋体"/>
      <w:b/>
      <w:kern w:val="0"/>
      <w:sz w:val="28"/>
      <w:szCs w:val="28"/>
      <w:lang w:val="zh-CN" w:bidi="zh-CN"/>
    </w:rPr>
  </w:style>
  <w:style w:type="character" w:customStyle="1" w:styleId="60">
    <w:name w:val="默认段落字体1"/>
    <w:autoRedefine/>
    <w:qFormat/>
    <w:uiPriority w:val="0"/>
  </w:style>
  <w:style w:type="character" w:customStyle="1" w:styleId="61">
    <w:name w:val="flatpickr-weekday2"/>
    <w:basedOn w:val="28"/>
    <w:qFormat/>
    <w:uiPriority w:val="0"/>
    <w:rPr>
      <w:b/>
      <w:bCs/>
      <w:sz w:val="21"/>
      <w:szCs w:val="21"/>
    </w:rPr>
  </w:style>
  <w:style w:type="character" w:customStyle="1" w:styleId="62">
    <w:name w:val="flatpickr-day2"/>
    <w:basedOn w:val="28"/>
    <w:qFormat/>
    <w:uiPriority w:val="0"/>
  </w:style>
  <w:style w:type="character" w:customStyle="1" w:styleId="63">
    <w:name w:val="flatpickr-day"/>
    <w:basedOn w:val="28"/>
    <w:qFormat/>
    <w:uiPriority w:val="0"/>
  </w:style>
  <w:style w:type="character" w:customStyle="1" w:styleId="64">
    <w:name w:val="标题 1 Char"/>
    <w:link w:val="2"/>
    <w:qFormat/>
    <w:uiPriority w:val="0"/>
    <w:rPr>
      <w:b/>
      <w:kern w:val="44"/>
      <w:sz w:val="28"/>
    </w:rPr>
  </w:style>
  <w:style w:type="character" w:customStyle="1" w:styleId="65">
    <w:name w:val="flatpickr-weekday"/>
    <w:basedOn w:val="28"/>
    <w:qFormat/>
    <w:uiPriority w:val="0"/>
    <w:rPr>
      <w:b/>
      <w:bCs/>
      <w:sz w:val="21"/>
      <w:szCs w:val="21"/>
    </w:rPr>
  </w:style>
  <w:style w:type="table" w:customStyle="1" w:styleId="66">
    <w:name w:val="Table Normal"/>
    <w:semiHidden/>
    <w:unhideWhenUsed/>
    <w:qFormat/>
    <w:uiPriority w:val="0"/>
    <w:tblPr>
      <w:tblCellMar>
        <w:top w:w="0" w:type="dxa"/>
        <w:left w:w="0" w:type="dxa"/>
        <w:bottom w:w="0" w:type="dxa"/>
        <w:right w:w="0" w:type="dxa"/>
      </w:tblCellMar>
    </w:tblPr>
  </w:style>
  <w:style w:type="paragraph" w:customStyle="1" w:styleId="67">
    <w:name w:val="!正文"/>
    <w:basedOn w:val="1"/>
    <w:qFormat/>
    <w:uiPriority w:val="0"/>
    <w:pPr>
      <w:adjustRightInd w:val="0"/>
      <w:snapToGrid w:val="0"/>
      <w:spacing w:line="500" w:lineRule="atLeast"/>
      <w:ind w:firstLine="200" w:firstLineChars="200"/>
    </w:pPr>
    <w:rPr>
      <w:rFonts w:ascii="宋体" w:hAnsi="宋体"/>
      <w:sz w:val="28"/>
    </w:rPr>
  </w:style>
  <w:style w:type="paragraph" w:customStyle="1" w:styleId="68">
    <w:name w:val="0正文"/>
    <w:unhideWhenUsed/>
    <w:qFormat/>
    <w:uiPriority w:val="0"/>
    <w:pPr>
      <w:widowControl w:val="0"/>
      <w:spacing w:line="360" w:lineRule="auto"/>
      <w:ind w:firstLine="720" w:firstLineChars="200"/>
    </w:pPr>
    <w:rPr>
      <w:rFonts w:ascii="Times New Roman" w:hAnsi="Times New Roman" w:eastAsia="宋体" w:cs="Times New Roman"/>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103"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B7A9C4-A765-4D95-8ECA-50E0607F203E}">
  <ds:schemaRefs/>
</ds:datastoreItem>
</file>

<file path=docProps/app.xml><?xml version="1.0" encoding="utf-8"?>
<Properties xmlns="http://schemas.openxmlformats.org/officeDocument/2006/extended-properties" xmlns:vt="http://schemas.openxmlformats.org/officeDocument/2006/docPropsVTypes">
  <Template>Normal.dotm</Template>
  <Company>daohangxitong.com</Company>
  <Pages>82</Pages>
  <Words>8209</Words>
  <Characters>9149</Characters>
  <Lines>123</Lines>
  <Paragraphs>34</Paragraphs>
  <TotalTime>20</TotalTime>
  <ScaleCrop>false</ScaleCrop>
  <LinksUpToDate>false</LinksUpToDate>
  <CharactersWithSpaces>9219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2022-05-26T11:38:00Z</dcterms:created>
  <dc:creator>Administrator</dc:creator>
  <cp:lastModifiedBy>懂你</cp:lastModifiedBy>
  <cp:lastPrinted>2023-03-27T01:32:00Z</cp:lastPrinted>
  <dcterms:modified xsi:type="dcterms:W3CDTF">2026-07-21T07:51:38Z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46B468534A36462381398BF049D299B4</vt:lpwstr>
  </property>
  <property fmtid="{D5CDD505-2E9C-101B-9397-08002B2CF9AE}" pid="4" name="KSOTemplateDocerSaveRecord">
    <vt:lpwstr>eyJoZGlkIjoiNzU0ZjQyNzE5ZGEzYzZjMjEwNDhmYzhhYzUyYjJiNzkiLCJ1c2VySWQiOiIyOTkzNzAxODQifQ==</vt:lpwstr>
  </property>
</Properties>
</file>