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F17ED">
      <w:pPr>
        <w:shd w:val="clear"/>
        <w:snapToGrid w:val="0"/>
        <w:jc w:val="center"/>
        <w:rPr>
          <w:rFonts w:hint="eastAsia" w:ascii="仿宋" w:hAnsi="仿宋" w:eastAsia="仿宋" w:cs="仿宋"/>
          <w:color w:val="auto"/>
          <w:kern w:val="0"/>
          <w:sz w:val="56"/>
          <w:szCs w:val="56"/>
          <w:highlight w:val="none"/>
        </w:rPr>
      </w:pPr>
    </w:p>
    <w:p w14:paraId="420A9EE1">
      <w:pPr>
        <w:shd w:val="clear"/>
        <w:snapToGrid w:val="0"/>
        <w:jc w:val="both"/>
        <w:rPr>
          <w:rFonts w:hint="eastAsia" w:ascii="仿宋" w:hAnsi="仿宋" w:eastAsia="仿宋" w:cs="仿宋"/>
          <w:color w:val="auto"/>
          <w:kern w:val="0"/>
          <w:sz w:val="56"/>
          <w:szCs w:val="56"/>
          <w:highlight w:val="none"/>
        </w:rPr>
      </w:pPr>
    </w:p>
    <w:p w14:paraId="16F868A6">
      <w:pPr>
        <w:shd w:val="clear"/>
        <w:snapToGrid w:val="0"/>
        <w:jc w:val="center"/>
        <w:rPr>
          <w:rFonts w:hint="eastAsia" w:ascii="仿宋" w:hAnsi="仿宋" w:eastAsia="仿宋" w:cs="仿宋"/>
          <w:color w:val="auto"/>
          <w:kern w:val="0"/>
          <w:sz w:val="72"/>
          <w:szCs w:val="52"/>
          <w:highlight w:val="none"/>
          <w:lang w:eastAsia="zh-CN"/>
        </w:rPr>
      </w:pPr>
      <w:r>
        <w:rPr>
          <w:rFonts w:hint="eastAsia" w:ascii="仿宋" w:hAnsi="仿宋" w:eastAsia="仿宋" w:cs="仿宋"/>
          <w:color w:val="auto"/>
          <w:kern w:val="0"/>
          <w:sz w:val="56"/>
          <w:szCs w:val="56"/>
          <w:highlight w:val="none"/>
          <w:lang w:eastAsia="zh-CN"/>
        </w:rPr>
        <w:t>威海交通场站管理有限公司</w:t>
      </w:r>
    </w:p>
    <w:p w14:paraId="24F08515">
      <w:pPr>
        <w:shd w:val="clear"/>
        <w:snapToGrid w:val="0"/>
        <w:jc w:val="center"/>
        <w:rPr>
          <w:rFonts w:hint="eastAsia" w:ascii="仿宋" w:hAnsi="仿宋" w:eastAsia="仿宋" w:cs="仿宋"/>
          <w:color w:val="auto"/>
          <w:kern w:val="0"/>
          <w:sz w:val="72"/>
          <w:szCs w:val="52"/>
          <w:highlight w:val="none"/>
        </w:rPr>
      </w:pPr>
    </w:p>
    <w:p w14:paraId="6AEDA507">
      <w:pPr>
        <w:shd w:val="clear"/>
        <w:snapToGrid w:val="0"/>
        <w:jc w:val="center"/>
        <w:rPr>
          <w:rFonts w:hint="eastAsia" w:ascii="仿宋" w:hAnsi="仿宋" w:eastAsia="仿宋" w:cs="仿宋"/>
          <w:color w:val="auto"/>
          <w:kern w:val="0"/>
          <w:sz w:val="72"/>
          <w:szCs w:val="52"/>
          <w:highlight w:val="none"/>
        </w:rPr>
      </w:pPr>
    </w:p>
    <w:p w14:paraId="30C413D7">
      <w:pPr>
        <w:shd w:val="clear"/>
        <w:snapToGrid w:val="0"/>
        <w:jc w:val="center"/>
        <w:rPr>
          <w:rFonts w:hint="eastAsia" w:ascii="仿宋" w:hAnsi="仿宋" w:eastAsia="仿宋" w:cs="仿宋"/>
          <w:color w:val="auto"/>
          <w:kern w:val="0"/>
          <w:sz w:val="72"/>
          <w:szCs w:val="52"/>
          <w:highlight w:val="none"/>
        </w:rPr>
      </w:pPr>
      <w:r>
        <w:rPr>
          <w:rFonts w:hint="eastAsia" w:ascii="仿宋" w:hAnsi="仿宋" w:eastAsia="仿宋" w:cs="仿宋"/>
          <w:color w:val="auto"/>
          <w:kern w:val="0"/>
          <w:sz w:val="72"/>
          <w:szCs w:val="72"/>
          <w:highlight w:val="none"/>
        </w:rPr>
        <w:t>公开招标文件</w:t>
      </w:r>
    </w:p>
    <w:p w14:paraId="5B70052A">
      <w:pPr>
        <w:shd w:val="clear"/>
        <w:spacing w:line="360" w:lineRule="auto"/>
        <w:ind w:firstLine="723" w:firstLineChars="201"/>
        <w:jc w:val="left"/>
        <w:rPr>
          <w:rFonts w:hint="eastAsia" w:ascii="仿宋" w:hAnsi="仿宋" w:eastAsia="仿宋" w:cs="仿宋"/>
          <w:color w:val="auto"/>
          <w:sz w:val="36"/>
          <w:szCs w:val="36"/>
          <w:highlight w:val="none"/>
        </w:rPr>
      </w:pPr>
    </w:p>
    <w:p w14:paraId="5456B4CE">
      <w:pPr>
        <w:shd w:val="clear"/>
        <w:spacing w:line="360" w:lineRule="auto"/>
        <w:jc w:val="left"/>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 xml:space="preserve">    </w:t>
      </w:r>
    </w:p>
    <w:p w14:paraId="5C4DB04C">
      <w:pPr>
        <w:pStyle w:val="10"/>
        <w:rPr>
          <w:rFonts w:hint="eastAsia" w:ascii="仿宋" w:hAnsi="仿宋" w:eastAsia="仿宋" w:cs="仿宋"/>
          <w:highlight w:val="none"/>
        </w:rPr>
      </w:pPr>
    </w:p>
    <w:p w14:paraId="62BA5B56">
      <w:pPr>
        <w:shd w:val="clear"/>
        <w:rPr>
          <w:rFonts w:hint="eastAsia" w:ascii="仿宋" w:hAnsi="仿宋" w:eastAsia="仿宋" w:cs="仿宋"/>
          <w:color w:val="auto"/>
          <w:highlight w:val="none"/>
        </w:rPr>
      </w:pPr>
    </w:p>
    <w:p w14:paraId="2F9ED6E3">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243" w:leftChars="684" w:hanging="1807" w:hangingChars="5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项目名称：</w:t>
      </w:r>
      <w:r>
        <w:rPr>
          <w:rFonts w:hint="eastAsia" w:ascii="仿宋" w:hAnsi="仿宋" w:eastAsia="仿宋" w:cs="仿宋"/>
          <w:b/>
          <w:color w:val="auto"/>
          <w:sz w:val="36"/>
          <w:szCs w:val="36"/>
          <w:highlight w:val="none"/>
          <w:lang w:eastAsia="zh-CN"/>
        </w:rPr>
        <w:t>选定客运中心（威海站、威海北站）消防维保服务单位</w:t>
      </w:r>
    </w:p>
    <w:p w14:paraId="6CDB64FC">
      <w:pPr>
        <w:keepNext w:val="0"/>
        <w:keepLines w:val="0"/>
        <w:pageBreakBefore w:val="0"/>
        <w:widowControl w:val="0"/>
        <w:shd w:val="clear"/>
        <w:kinsoku/>
        <w:wordWrap/>
        <w:overflowPunct/>
        <w:topLinePunct w:val="0"/>
        <w:autoSpaceDE/>
        <w:autoSpaceDN/>
        <w:bidi w:val="0"/>
        <w:adjustRightInd/>
        <w:snapToGrid/>
        <w:spacing w:after="156" w:afterLines="50" w:line="360" w:lineRule="auto"/>
        <w:ind w:firstLine="1446" w:firstLineChars="4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项目编号：</w:t>
      </w:r>
      <w:r>
        <w:rPr>
          <w:rFonts w:hint="eastAsia" w:ascii="仿宋" w:hAnsi="仿宋" w:eastAsia="仿宋" w:cs="仿宋"/>
          <w:b/>
          <w:color w:val="auto"/>
          <w:sz w:val="36"/>
          <w:szCs w:val="36"/>
          <w:highlight w:val="none"/>
          <w:lang w:eastAsia="zh-CN"/>
        </w:rPr>
        <w:t>WHJTCZ2026-0009</w:t>
      </w:r>
    </w:p>
    <w:p w14:paraId="1B3F51A2">
      <w:pPr>
        <w:keepNext w:val="0"/>
        <w:keepLines w:val="0"/>
        <w:pageBreakBefore w:val="0"/>
        <w:widowControl w:val="0"/>
        <w:shd w:val="clear"/>
        <w:kinsoku/>
        <w:wordWrap/>
        <w:overflowPunct/>
        <w:topLinePunct w:val="0"/>
        <w:autoSpaceDE/>
        <w:autoSpaceDN/>
        <w:bidi w:val="0"/>
        <w:adjustRightInd/>
        <w:snapToGrid/>
        <w:spacing w:after="156" w:afterLines="50" w:line="360" w:lineRule="auto"/>
        <w:ind w:firstLine="1446" w:firstLineChars="400"/>
        <w:jc w:val="left"/>
        <w:textAlignment w:val="auto"/>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采购方式：公开招标</w:t>
      </w:r>
    </w:p>
    <w:p w14:paraId="2AF38D3E">
      <w:pPr>
        <w:shd w:val="clear"/>
        <w:spacing w:line="360" w:lineRule="auto"/>
        <w:rPr>
          <w:rFonts w:hint="eastAsia" w:ascii="仿宋" w:hAnsi="仿宋" w:eastAsia="仿宋" w:cs="仿宋"/>
          <w:b/>
          <w:color w:val="auto"/>
          <w:sz w:val="16"/>
          <w:szCs w:val="36"/>
          <w:highlight w:val="none"/>
        </w:rPr>
      </w:pPr>
    </w:p>
    <w:p w14:paraId="349A9C97">
      <w:pPr>
        <w:shd w:val="clear"/>
        <w:spacing w:line="360" w:lineRule="auto"/>
        <w:ind w:firstLine="363" w:firstLineChars="201"/>
        <w:jc w:val="center"/>
        <w:rPr>
          <w:rFonts w:hint="eastAsia" w:ascii="仿宋" w:hAnsi="仿宋" w:eastAsia="仿宋" w:cs="仿宋"/>
          <w:b/>
          <w:color w:val="auto"/>
          <w:sz w:val="18"/>
          <w:szCs w:val="36"/>
          <w:highlight w:val="none"/>
        </w:rPr>
      </w:pPr>
    </w:p>
    <w:p w14:paraId="0ECE3C85">
      <w:pPr>
        <w:pStyle w:val="10"/>
        <w:shd w:val="clear"/>
        <w:rPr>
          <w:rFonts w:hint="eastAsia" w:ascii="仿宋" w:hAnsi="仿宋" w:eastAsia="仿宋" w:cs="仿宋"/>
          <w:b/>
          <w:color w:val="auto"/>
          <w:sz w:val="18"/>
          <w:szCs w:val="36"/>
          <w:highlight w:val="none"/>
        </w:rPr>
      </w:pPr>
    </w:p>
    <w:p w14:paraId="6D3CC221">
      <w:pPr>
        <w:shd w:val="clear"/>
        <w:rPr>
          <w:rFonts w:hint="eastAsia" w:ascii="仿宋" w:hAnsi="仿宋" w:eastAsia="仿宋" w:cs="仿宋"/>
          <w:color w:val="auto"/>
          <w:highlight w:val="none"/>
        </w:rPr>
      </w:pPr>
    </w:p>
    <w:p w14:paraId="4003CA3E">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b/>
          <w:bCs/>
          <w:color w:val="auto"/>
          <w:kern w:val="0"/>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山东志诚工程咨询管理有限公司</w:t>
      </w:r>
    </w:p>
    <w:p w14:paraId="5AE742F3">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color w:val="auto"/>
          <w:highlight w:val="none"/>
        </w:rPr>
      </w:pPr>
      <w:r>
        <w:rPr>
          <w:rFonts w:hint="eastAsia" w:ascii="仿宋" w:hAnsi="仿宋" w:eastAsia="仿宋" w:cs="仿宋"/>
          <w:b/>
          <w:color w:val="auto"/>
          <w:sz w:val="36"/>
          <w:szCs w:val="36"/>
          <w:highlight w:val="none"/>
        </w:rPr>
        <w:t>编制时间：</w:t>
      </w:r>
      <w:r>
        <w:rPr>
          <w:rFonts w:hint="eastAsia" w:ascii="仿宋" w:hAnsi="仿宋" w:eastAsia="仿宋" w:cs="仿宋"/>
          <w:b/>
          <w:color w:val="auto"/>
          <w:sz w:val="36"/>
          <w:szCs w:val="36"/>
          <w:highlight w:val="none"/>
          <w:lang w:val="en-US" w:eastAsia="zh-CN"/>
        </w:rPr>
        <w:t>2026年9</w:t>
      </w:r>
      <w:r>
        <w:rPr>
          <w:rFonts w:hint="eastAsia" w:ascii="仿宋" w:hAnsi="仿宋" w:eastAsia="仿宋" w:cs="仿宋"/>
          <w:b/>
          <w:color w:val="auto"/>
          <w:sz w:val="36"/>
          <w:szCs w:val="36"/>
          <w:highlight w:val="none"/>
        </w:rPr>
        <w:t>月</w:t>
      </w:r>
    </w:p>
    <w:p w14:paraId="57668D05">
      <w:pPr>
        <w:shd w:val="clear"/>
        <w:spacing w:line="360" w:lineRule="auto"/>
        <w:jc w:val="center"/>
        <w:rPr>
          <w:rFonts w:hint="eastAsia" w:ascii="仿宋" w:hAnsi="仿宋" w:eastAsia="仿宋" w:cs="仿宋"/>
          <w:color w:val="auto"/>
          <w:kern w:val="0"/>
          <w:sz w:val="52"/>
          <w:szCs w:val="52"/>
          <w:highlight w:val="none"/>
        </w:rPr>
        <w:sectPr>
          <w:headerReference r:id="rId4" w:type="first"/>
          <w:footerReference r:id="rId6" w:type="first"/>
          <w:headerReference r:id="rId3" w:type="default"/>
          <w:footerReference r:id="rId5" w:type="default"/>
          <w:pgSz w:w="11906" w:h="16838"/>
          <w:pgMar w:top="1440" w:right="1083" w:bottom="1440" w:left="1083" w:header="851" w:footer="992" w:gutter="0"/>
          <w:pgNumType w:fmt="decimal" w:start="0"/>
          <w:cols w:space="0" w:num="1"/>
          <w:rtlGutter w:val="0"/>
          <w:docGrid w:type="lines" w:linePitch="312" w:charSpace="0"/>
        </w:sectPr>
      </w:pPr>
    </w:p>
    <w:p w14:paraId="64CCA07B">
      <w:pPr>
        <w:shd w:val="clear"/>
        <w:spacing w:line="360" w:lineRule="auto"/>
        <w:jc w:val="center"/>
        <w:rPr>
          <w:rFonts w:hint="eastAsia" w:ascii="仿宋" w:hAnsi="仿宋" w:eastAsia="仿宋" w:cs="仿宋"/>
          <w:b/>
          <w:bCs/>
          <w:caps/>
          <w:color w:val="auto"/>
          <w:sz w:val="28"/>
          <w:szCs w:val="28"/>
          <w:highlight w:val="none"/>
        </w:rPr>
      </w:pPr>
      <w:r>
        <w:rPr>
          <w:rFonts w:hint="eastAsia" w:ascii="仿宋" w:hAnsi="仿宋" w:eastAsia="仿宋" w:cs="仿宋"/>
          <w:color w:val="auto"/>
          <w:kern w:val="0"/>
          <w:sz w:val="52"/>
          <w:szCs w:val="52"/>
          <w:highlight w:val="none"/>
        </w:rPr>
        <w:t>目  录</w:t>
      </w:r>
    </w:p>
    <w:p w14:paraId="2D4C3565">
      <w:pPr>
        <w:pStyle w:val="20"/>
        <w:keepNext w:val="0"/>
        <w:keepLines w:val="0"/>
        <w:pageBreakBefore w:val="0"/>
        <w:widowControl w:val="0"/>
        <w:tabs>
          <w:tab w:val="right" w:leader="dot" w:pos="9740"/>
          <w:tab w:val="clear" w:pos="8834"/>
        </w:tabs>
        <w:kinsoku/>
        <w:wordWrap/>
        <w:overflowPunct/>
        <w:topLinePunct w:val="0"/>
        <w:autoSpaceDE/>
        <w:autoSpaceDN/>
        <w:bidi w:val="0"/>
        <w:adjustRightInd/>
        <w:snapToGrid/>
        <w:spacing w:line="680" w:lineRule="exact"/>
        <w:textAlignment w:val="auto"/>
        <w:rPr>
          <w:rFonts w:hint="eastAsia" w:ascii="仿宋" w:hAnsi="仿宋" w:eastAsia="仿宋" w:cs="仿宋"/>
          <w:sz w:val="28"/>
          <w:szCs w:val="28"/>
          <w:highlight w:val="none"/>
        </w:rPr>
      </w:pPr>
      <w:r>
        <w:rPr>
          <w:rFonts w:hint="eastAsia" w:ascii="仿宋" w:hAnsi="仿宋" w:eastAsia="仿宋" w:cs="仿宋"/>
          <w:b/>
          <w:bCs/>
          <w:caps/>
          <w:color w:val="auto"/>
          <w:sz w:val="28"/>
          <w:szCs w:val="28"/>
          <w:highlight w:val="none"/>
        </w:rPr>
        <w:fldChar w:fldCharType="begin"/>
      </w:r>
      <w:r>
        <w:rPr>
          <w:rFonts w:hint="eastAsia" w:ascii="仿宋" w:hAnsi="仿宋" w:eastAsia="仿宋" w:cs="仿宋"/>
          <w:b/>
          <w:bCs/>
          <w:caps/>
          <w:color w:val="auto"/>
          <w:sz w:val="28"/>
          <w:szCs w:val="28"/>
          <w:highlight w:val="none"/>
        </w:rPr>
        <w:instrText xml:space="preserve">TOC \o "1-1" \h \u </w:instrText>
      </w:r>
      <w:r>
        <w:rPr>
          <w:rFonts w:hint="eastAsia" w:ascii="仿宋" w:hAnsi="仿宋" w:eastAsia="仿宋" w:cs="仿宋"/>
          <w:b/>
          <w:bCs/>
          <w:caps/>
          <w:color w:val="auto"/>
          <w:sz w:val="28"/>
          <w:szCs w:val="28"/>
          <w:highlight w:val="none"/>
        </w:rPr>
        <w:fldChar w:fldCharType="separate"/>
      </w:r>
      <w:r>
        <w:rPr>
          <w:rFonts w:hint="eastAsia" w:ascii="仿宋" w:hAnsi="仿宋" w:eastAsia="仿宋" w:cs="仿宋"/>
          <w:bCs/>
          <w:caps/>
          <w:color w:val="auto"/>
          <w:sz w:val="28"/>
          <w:szCs w:val="28"/>
          <w:highlight w:val="none"/>
        </w:rPr>
        <w:fldChar w:fldCharType="begin"/>
      </w:r>
      <w:r>
        <w:rPr>
          <w:rFonts w:hint="eastAsia" w:ascii="仿宋" w:hAnsi="仿宋" w:eastAsia="仿宋" w:cs="仿宋"/>
          <w:bCs/>
          <w:caps/>
          <w:sz w:val="28"/>
          <w:szCs w:val="28"/>
          <w:highlight w:val="none"/>
        </w:rPr>
        <w:instrText xml:space="preserve"> HYPERLINK \l _Toc11253 </w:instrText>
      </w:r>
      <w:r>
        <w:rPr>
          <w:rFonts w:hint="eastAsia" w:ascii="仿宋" w:hAnsi="仿宋" w:eastAsia="仿宋" w:cs="仿宋"/>
          <w:bCs/>
          <w:caps/>
          <w:sz w:val="28"/>
          <w:szCs w:val="28"/>
          <w:highlight w:val="none"/>
        </w:rPr>
        <w:fldChar w:fldCharType="separate"/>
      </w:r>
      <w:r>
        <w:rPr>
          <w:rFonts w:hint="eastAsia" w:ascii="仿宋" w:hAnsi="仿宋" w:eastAsia="仿宋" w:cs="仿宋"/>
          <w:bCs/>
          <w:kern w:val="2"/>
          <w:sz w:val="28"/>
          <w:szCs w:val="28"/>
          <w:highlight w:val="none"/>
          <w:lang w:val="en-US" w:eastAsia="zh-CN" w:bidi="ar-SA"/>
        </w:rPr>
        <w:t>第一章</w:t>
      </w:r>
      <w:r>
        <w:rPr>
          <w:rFonts w:hint="eastAsia" w:ascii="仿宋" w:hAnsi="仿宋" w:eastAsia="仿宋" w:cs="仿宋"/>
          <w:sz w:val="28"/>
          <w:szCs w:val="28"/>
          <w:highlight w:val="none"/>
        </w:rPr>
        <w:t xml:space="preserve">  招标公告</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_Toc11253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2</w:t>
      </w:r>
      <w:r>
        <w:rPr>
          <w:rFonts w:hint="eastAsia" w:ascii="仿宋" w:hAnsi="仿宋" w:eastAsia="仿宋" w:cs="仿宋"/>
          <w:sz w:val="28"/>
          <w:szCs w:val="28"/>
          <w:highlight w:val="none"/>
        </w:rPr>
        <w:fldChar w:fldCharType="end"/>
      </w:r>
      <w:r>
        <w:rPr>
          <w:rFonts w:hint="eastAsia" w:ascii="仿宋" w:hAnsi="仿宋" w:eastAsia="仿宋" w:cs="仿宋"/>
          <w:bCs/>
          <w:caps/>
          <w:color w:val="auto"/>
          <w:sz w:val="28"/>
          <w:szCs w:val="28"/>
          <w:highlight w:val="none"/>
        </w:rPr>
        <w:fldChar w:fldCharType="end"/>
      </w:r>
    </w:p>
    <w:p w14:paraId="0A1E56C4">
      <w:pPr>
        <w:pStyle w:val="20"/>
        <w:keepNext w:val="0"/>
        <w:keepLines w:val="0"/>
        <w:pageBreakBefore w:val="0"/>
        <w:widowControl w:val="0"/>
        <w:tabs>
          <w:tab w:val="right" w:leader="dot" w:pos="9740"/>
          <w:tab w:val="clear" w:pos="8834"/>
        </w:tabs>
        <w:kinsoku/>
        <w:wordWrap/>
        <w:overflowPunct/>
        <w:topLinePunct w:val="0"/>
        <w:autoSpaceDE/>
        <w:autoSpaceDN/>
        <w:bidi w:val="0"/>
        <w:adjustRightInd/>
        <w:snapToGrid/>
        <w:spacing w:line="680" w:lineRule="exact"/>
        <w:textAlignment w:val="auto"/>
        <w:rPr>
          <w:rFonts w:hint="eastAsia" w:ascii="仿宋" w:hAnsi="仿宋" w:eastAsia="仿宋" w:cs="仿宋"/>
          <w:sz w:val="28"/>
          <w:szCs w:val="28"/>
          <w:highlight w:val="none"/>
        </w:rPr>
      </w:pPr>
      <w:r>
        <w:rPr>
          <w:rFonts w:hint="eastAsia" w:ascii="仿宋" w:hAnsi="仿宋" w:eastAsia="仿宋" w:cs="仿宋"/>
          <w:bCs/>
          <w:caps/>
          <w:color w:val="auto"/>
          <w:sz w:val="28"/>
          <w:szCs w:val="28"/>
          <w:highlight w:val="none"/>
        </w:rPr>
        <w:fldChar w:fldCharType="begin"/>
      </w:r>
      <w:r>
        <w:rPr>
          <w:rFonts w:hint="eastAsia" w:ascii="仿宋" w:hAnsi="仿宋" w:eastAsia="仿宋" w:cs="仿宋"/>
          <w:bCs/>
          <w:caps/>
          <w:sz w:val="28"/>
          <w:szCs w:val="28"/>
          <w:highlight w:val="none"/>
        </w:rPr>
        <w:instrText xml:space="preserve"> HYPERLINK \l _Toc8141 </w:instrText>
      </w:r>
      <w:r>
        <w:rPr>
          <w:rFonts w:hint="eastAsia" w:ascii="仿宋" w:hAnsi="仿宋" w:eastAsia="仿宋" w:cs="仿宋"/>
          <w:bCs/>
          <w:caps/>
          <w:sz w:val="28"/>
          <w:szCs w:val="28"/>
          <w:highlight w:val="none"/>
        </w:rPr>
        <w:fldChar w:fldCharType="separate"/>
      </w:r>
      <w:r>
        <w:rPr>
          <w:rFonts w:hint="eastAsia" w:ascii="仿宋" w:hAnsi="仿宋" w:eastAsia="仿宋" w:cs="仿宋"/>
          <w:bCs/>
          <w:kern w:val="2"/>
          <w:sz w:val="28"/>
          <w:szCs w:val="28"/>
          <w:highlight w:val="none"/>
          <w:lang w:val="en-US" w:eastAsia="zh-CN" w:bidi="ar-SA"/>
        </w:rPr>
        <w:t>第二章  投标须知</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_Toc8141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6</w:t>
      </w:r>
      <w:r>
        <w:rPr>
          <w:rFonts w:hint="eastAsia" w:ascii="仿宋" w:hAnsi="仿宋" w:eastAsia="仿宋" w:cs="仿宋"/>
          <w:sz w:val="28"/>
          <w:szCs w:val="28"/>
          <w:highlight w:val="none"/>
        </w:rPr>
        <w:fldChar w:fldCharType="end"/>
      </w:r>
      <w:r>
        <w:rPr>
          <w:rFonts w:hint="eastAsia" w:ascii="仿宋" w:hAnsi="仿宋" w:eastAsia="仿宋" w:cs="仿宋"/>
          <w:bCs/>
          <w:caps/>
          <w:color w:val="auto"/>
          <w:sz w:val="28"/>
          <w:szCs w:val="28"/>
          <w:highlight w:val="none"/>
        </w:rPr>
        <w:fldChar w:fldCharType="end"/>
      </w:r>
    </w:p>
    <w:p w14:paraId="1B8F3C07">
      <w:pPr>
        <w:pStyle w:val="20"/>
        <w:keepNext w:val="0"/>
        <w:keepLines w:val="0"/>
        <w:pageBreakBefore w:val="0"/>
        <w:widowControl w:val="0"/>
        <w:tabs>
          <w:tab w:val="right" w:leader="dot" w:pos="9740"/>
          <w:tab w:val="clear" w:pos="8834"/>
        </w:tabs>
        <w:kinsoku/>
        <w:wordWrap/>
        <w:overflowPunct/>
        <w:topLinePunct w:val="0"/>
        <w:autoSpaceDE/>
        <w:autoSpaceDN/>
        <w:bidi w:val="0"/>
        <w:adjustRightInd/>
        <w:snapToGrid/>
        <w:spacing w:line="680" w:lineRule="exact"/>
        <w:textAlignment w:val="auto"/>
        <w:rPr>
          <w:rFonts w:hint="eastAsia" w:ascii="仿宋" w:hAnsi="仿宋" w:eastAsia="仿宋" w:cs="仿宋"/>
          <w:sz w:val="28"/>
          <w:szCs w:val="28"/>
          <w:highlight w:val="none"/>
        </w:rPr>
      </w:pPr>
      <w:r>
        <w:rPr>
          <w:rFonts w:hint="eastAsia" w:ascii="仿宋" w:hAnsi="仿宋" w:eastAsia="仿宋" w:cs="仿宋"/>
          <w:bCs/>
          <w:caps/>
          <w:color w:val="auto"/>
          <w:sz w:val="28"/>
          <w:szCs w:val="28"/>
          <w:highlight w:val="none"/>
        </w:rPr>
        <w:fldChar w:fldCharType="begin"/>
      </w:r>
      <w:r>
        <w:rPr>
          <w:rFonts w:hint="eastAsia" w:ascii="仿宋" w:hAnsi="仿宋" w:eastAsia="仿宋" w:cs="仿宋"/>
          <w:bCs/>
          <w:caps/>
          <w:sz w:val="28"/>
          <w:szCs w:val="28"/>
          <w:highlight w:val="none"/>
        </w:rPr>
        <w:instrText xml:space="preserve"> HYPERLINK \l _Toc2442 </w:instrText>
      </w:r>
      <w:r>
        <w:rPr>
          <w:rFonts w:hint="eastAsia" w:ascii="仿宋" w:hAnsi="仿宋" w:eastAsia="仿宋" w:cs="仿宋"/>
          <w:bCs/>
          <w:caps/>
          <w:sz w:val="28"/>
          <w:szCs w:val="28"/>
          <w:highlight w:val="none"/>
        </w:rPr>
        <w:fldChar w:fldCharType="separate"/>
      </w:r>
      <w:r>
        <w:rPr>
          <w:rFonts w:hint="eastAsia" w:ascii="仿宋" w:hAnsi="仿宋" w:eastAsia="仿宋" w:cs="仿宋"/>
          <w:bCs/>
          <w:kern w:val="2"/>
          <w:sz w:val="28"/>
          <w:szCs w:val="28"/>
          <w:highlight w:val="none"/>
          <w:lang w:val="en-US" w:eastAsia="zh-CN" w:bidi="ar-SA"/>
        </w:rPr>
        <w:t>第三章  采购内容与要求</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_Toc2442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44</w:t>
      </w:r>
      <w:r>
        <w:rPr>
          <w:rFonts w:hint="eastAsia" w:ascii="仿宋" w:hAnsi="仿宋" w:eastAsia="仿宋" w:cs="仿宋"/>
          <w:sz w:val="28"/>
          <w:szCs w:val="28"/>
          <w:highlight w:val="none"/>
        </w:rPr>
        <w:fldChar w:fldCharType="end"/>
      </w:r>
      <w:r>
        <w:rPr>
          <w:rFonts w:hint="eastAsia" w:ascii="仿宋" w:hAnsi="仿宋" w:eastAsia="仿宋" w:cs="仿宋"/>
          <w:bCs/>
          <w:caps/>
          <w:color w:val="auto"/>
          <w:sz w:val="28"/>
          <w:szCs w:val="28"/>
          <w:highlight w:val="none"/>
        </w:rPr>
        <w:fldChar w:fldCharType="end"/>
      </w:r>
    </w:p>
    <w:p w14:paraId="3D7CF3CF">
      <w:pPr>
        <w:pStyle w:val="20"/>
        <w:keepNext w:val="0"/>
        <w:keepLines w:val="0"/>
        <w:pageBreakBefore w:val="0"/>
        <w:widowControl w:val="0"/>
        <w:tabs>
          <w:tab w:val="right" w:leader="dot" w:pos="9740"/>
          <w:tab w:val="clear" w:pos="8834"/>
        </w:tabs>
        <w:kinsoku/>
        <w:wordWrap/>
        <w:overflowPunct/>
        <w:topLinePunct w:val="0"/>
        <w:autoSpaceDE/>
        <w:autoSpaceDN/>
        <w:bidi w:val="0"/>
        <w:adjustRightInd/>
        <w:snapToGrid/>
        <w:spacing w:line="680" w:lineRule="exact"/>
        <w:textAlignment w:val="auto"/>
        <w:rPr>
          <w:rFonts w:hint="eastAsia" w:ascii="仿宋" w:hAnsi="仿宋" w:eastAsia="仿宋" w:cs="仿宋"/>
          <w:sz w:val="28"/>
          <w:szCs w:val="28"/>
          <w:highlight w:val="none"/>
        </w:rPr>
      </w:pPr>
      <w:r>
        <w:rPr>
          <w:rFonts w:hint="eastAsia" w:ascii="仿宋" w:hAnsi="仿宋" w:eastAsia="仿宋" w:cs="仿宋"/>
          <w:bCs/>
          <w:caps/>
          <w:color w:val="auto"/>
          <w:sz w:val="28"/>
          <w:szCs w:val="28"/>
          <w:highlight w:val="none"/>
        </w:rPr>
        <w:fldChar w:fldCharType="begin"/>
      </w:r>
      <w:r>
        <w:rPr>
          <w:rFonts w:hint="eastAsia" w:ascii="仿宋" w:hAnsi="仿宋" w:eastAsia="仿宋" w:cs="仿宋"/>
          <w:bCs/>
          <w:caps/>
          <w:sz w:val="28"/>
          <w:szCs w:val="28"/>
          <w:highlight w:val="none"/>
        </w:rPr>
        <w:instrText xml:space="preserve"> HYPERLINK \l _Toc21243 </w:instrText>
      </w:r>
      <w:r>
        <w:rPr>
          <w:rFonts w:hint="eastAsia" w:ascii="仿宋" w:hAnsi="仿宋" w:eastAsia="仿宋" w:cs="仿宋"/>
          <w:bCs/>
          <w:caps/>
          <w:sz w:val="28"/>
          <w:szCs w:val="28"/>
          <w:highlight w:val="none"/>
        </w:rPr>
        <w:fldChar w:fldCharType="separate"/>
      </w:r>
      <w:r>
        <w:rPr>
          <w:rFonts w:hint="eastAsia" w:ascii="仿宋" w:hAnsi="仿宋" w:eastAsia="仿宋" w:cs="仿宋"/>
          <w:bCs/>
          <w:kern w:val="2"/>
          <w:sz w:val="28"/>
          <w:szCs w:val="28"/>
          <w:highlight w:val="none"/>
          <w:lang w:val="en-US" w:eastAsia="zh-CN" w:bidi="ar-SA"/>
        </w:rPr>
        <w:t>第四章  评标原则、程序与方法</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_Toc21243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55</w:t>
      </w:r>
      <w:r>
        <w:rPr>
          <w:rFonts w:hint="eastAsia" w:ascii="仿宋" w:hAnsi="仿宋" w:eastAsia="仿宋" w:cs="仿宋"/>
          <w:sz w:val="28"/>
          <w:szCs w:val="28"/>
          <w:highlight w:val="none"/>
        </w:rPr>
        <w:fldChar w:fldCharType="end"/>
      </w:r>
      <w:r>
        <w:rPr>
          <w:rFonts w:hint="eastAsia" w:ascii="仿宋" w:hAnsi="仿宋" w:eastAsia="仿宋" w:cs="仿宋"/>
          <w:bCs/>
          <w:caps/>
          <w:color w:val="auto"/>
          <w:sz w:val="28"/>
          <w:szCs w:val="28"/>
          <w:highlight w:val="none"/>
        </w:rPr>
        <w:fldChar w:fldCharType="end"/>
      </w:r>
    </w:p>
    <w:p w14:paraId="4C40BBBE">
      <w:pPr>
        <w:pStyle w:val="20"/>
        <w:keepNext w:val="0"/>
        <w:keepLines w:val="0"/>
        <w:pageBreakBefore w:val="0"/>
        <w:widowControl w:val="0"/>
        <w:tabs>
          <w:tab w:val="right" w:leader="dot" w:pos="9740"/>
          <w:tab w:val="clear" w:pos="8834"/>
        </w:tabs>
        <w:kinsoku/>
        <w:wordWrap/>
        <w:overflowPunct/>
        <w:topLinePunct w:val="0"/>
        <w:autoSpaceDE/>
        <w:autoSpaceDN/>
        <w:bidi w:val="0"/>
        <w:adjustRightInd/>
        <w:snapToGrid/>
        <w:spacing w:line="680" w:lineRule="exact"/>
        <w:textAlignment w:val="auto"/>
        <w:rPr>
          <w:rFonts w:hint="eastAsia" w:ascii="仿宋" w:hAnsi="仿宋" w:eastAsia="仿宋" w:cs="仿宋"/>
          <w:sz w:val="28"/>
          <w:szCs w:val="28"/>
          <w:highlight w:val="none"/>
        </w:rPr>
      </w:pPr>
      <w:r>
        <w:rPr>
          <w:rFonts w:hint="eastAsia" w:ascii="仿宋" w:hAnsi="仿宋" w:eastAsia="仿宋" w:cs="仿宋"/>
          <w:bCs/>
          <w:caps/>
          <w:color w:val="auto"/>
          <w:sz w:val="28"/>
          <w:szCs w:val="28"/>
          <w:highlight w:val="none"/>
        </w:rPr>
        <w:fldChar w:fldCharType="begin"/>
      </w:r>
      <w:r>
        <w:rPr>
          <w:rFonts w:hint="eastAsia" w:ascii="仿宋" w:hAnsi="仿宋" w:eastAsia="仿宋" w:cs="仿宋"/>
          <w:bCs/>
          <w:caps/>
          <w:sz w:val="28"/>
          <w:szCs w:val="28"/>
          <w:highlight w:val="none"/>
        </w:rPr>
        <w:instrText xml:space="preserve"> HYPERLINK \l _Toc8033 </w:instrText>
      </w:r>
      <w:r>
        <w:rPr>
          <w:rFonts w:hint="eastAsia" w:ascii="仿宋" w:hAnsi="仿宋" w:eastAsia="仿宋" w:cs="仿宋"/>
          <w:bCs/>
          <w:caps/>
          <w:sz w:val="28"/>
          <w:szCs w:val="28"/>
          <w:highlight w:val="none"/>
        </w:rPr>
        <w:fldChar w:fldCharType="separate"/>
      </w:r>
      <w:r>
        <w:rPr>
          <w:rFonts w:hint="eastAsia" w:ascii="仿宋" w:hAnsi="仿宋" w:eastAsia="仿宋" w:cs="仿宋"/>
          <w:bCs/>
          <w:kern w:val="2"/>
          <w:sz w:val="28"/>
          <w:szCs w:val="28"/>
          <w:highlight w:val="none"/>
          <w:lang w:val="en-US" w:eastAsia="zh-CN" w:bidi="ar-SA"/>
        </w:rPr>
        <w:t>第五章  投标文件格式</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_Toc8033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60</w:t>
      </w:r>
      <w:r>
        <w:rPr>
          <w:rFonts w:hint="eastAsia" w:ascii="仿宋" w:hAnsi="仿宋" w:eastAsia="仿宋" w:cs="仿宋"/>
          <w:sz w:val="28"/>
          <w:szCs w:val="28"/>
          <w:highlight w:val="none"/>
        </w:rPr>
        <w:fldChar w:fldCharType="end"/>
      </w:r>
      <w:r>
        <w:rPr>
          <w:rFonts w:hint="eastAsia" w:ascii="仿宋" w:hAnsi="仿宋" w:eastAsia="仿宋" w:cs="仿宋"/>
          <w:bCs/>
          <w:caps/>
          <w:color w:val="auto"/>
          <w:sz w:val="28"/>
          <w:szCs w:val="28"/>
          <w:highlight w:val="none"/>
        </w:rPr>
        <w:fldChar w:fldCharType="end"/>
      </w:r>
    </w:p>
    <w:p w14:paraId="55AF88F8">
      <w:pPr>
        <w:pStyle w:val="20"/>
        <w:keepNext w:val="0"/>
        <w:keepLines w:val="0"/>
        <w:pageBreakBefore w:val="0"/>
        <w:widowControl w:val="0"/>
        <w:tabs>
          <w:tab w:val="right" w:leader="dot" w:pos="9740"/>
          <w:tab w:val="clear" w:pos="8834"/>
        </w:tabs>
        <w:kinsoku/>
        <w:wordWrap/>
        <w:overflowPunct/>
        <w:topLinePunct w:val="0"/>
        <w:autoSpaceDE/>
        <w:autoSpaceDN/>
        <w:bidi w:val="0"/>
        <w:adjustRightInd/>
        <w:snapToGrid/>
        <w:spacing w:line="680" w:lineRule="exact"/>
        <w:textAlignment w:val="auto"/>
        <w:rPr>
          <w:rFonts w:hint="eastAsia" w:ascii="仿宋" w:hAnsi="仿宋" w:eastAsia="仿宋" w:cs="仿宋"/>
          <w:sz w:val="28"/>
          <w:szCs w:val="28"/>
          <w:highlight w:val="none"/>
        </w:rPr>
      </w:pPr>
      <w:r>
        <w:rPr>
          <w:rFonts w:hint="eastAsia" w:ascii="仿宋" w:hAnsi="仿宋" w:eastAsia="仿宋" w:cs="仿宋"/>
          <w:bCs/>
          <w:caps/>
          <w:color w:val="auto"/>
          <w:sz w:val="28"/>
          <w:szCs w:val="28"/>
          <w:highlight w:val="none"/>
        </w:rPr>
        <w:fldChar w:fldCharType="begin"/>
      </w:r>
      <w:r>
        <w:rPr>
          <w:rFonts w:hint="eastAsia" w:ascii="仿宋" w:hAnsi="仿宋" w:eastAsia="仿宋" w:cs="仿宋"/>
          <w:bCs/>
          <w:caps/>
          <w:sz w:val="28"/>
          <w:szCs w:val="28"/>
          <w:highlight w:val="none"/>
        </w:rPr>
        <w:instrText xml:space="preserve"> HYPERLINK \l _Toc18928 </w:instrText>
      </w:r>
      <w:r>
        <w:rPr>
          <w:rFonts w:hint="eastAsia" w:ascii="仿宋" w:hAnsi="仿宋" w:eastAsia="仿宋" w:cs="仿宋"/>
          <w:bCs/>
          <w:caps/>
          <w:sz w:val="28"/>
          <w:szCs w:val="28"/>
          <w:highlight w:val="none"/>
        </w:rPr>
        <w:fldChar w:fldCharType="separate"/>
      </w:r>
      <w:r>
        <w:rPr>
          <w:rFonts w:hint="eastAsia" w:ascii="仿宋" w:hAnsi="仿宋" w:eastAsia="仿宋" w:cs="仿宋"/>
          <w:bCs/>
          <w:kern w:val="2"/>
          <w:sz w:val="28"/>
          <w:szCs w:val="28"/>
          <w:highlight w:val="none"/>
          <w:lang w:val="en-US" w:eastAsia="zh-CN" w:bidi="ar-SA"/>
        </w:rPr>
        <w:t xml:space="preserve">第六章 </w:t>
      </w:r>
      <w:r>
        <w:rPr>
          <w:rFonts w:hint="eastAsia" w:ascii="仿宋" w:hAnsi="仿宋" w:eastAsia="仿宋" w:cs="仿宋"/>
          <w:bCs/>
          <w:kern w:val="2"/>
          <w:sz w:val="28"/>
          <w:szCs w:val="28"/>
          <w:highlight w:val="none"/>
          <w:lang w:val="en-US" w:eastAsia="zh-CN" w:bidi="ar-SA"/>
        </w:rPr>
        <w:t>采购合同（范本）</w:t>
      </w:r>
      <w:r>
        <w:rPr>
          <w:rFonts w:hint="eastAsia" w:ascii="仿宋" w:hAnsi="仿宋" w:eastAsia="仿宋" w:cs="仿宋"/>
          <w:sz w:val="28"/>
          <w:szCs w:val="28"/>
          <w:highlight w:val="none"/>
        </w:rPr>
        <w:tab/>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PAGEREF _Toc18928 \h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85</w:t>
      </w:r>
      <w:r>
        <w:rPr>
          <w:rFonts w:hint="eastAsia" w:ascii="仿宋" w:hAnsi="仿宋" w:eastAsia="仿宋" w:cs="仿宋"/>
          <w:sz w:val="28"/>
          <w:szCs w:val="28"/>
          <w:highlight w:val="none"/>
        </w:rPr>
        <w:fldChar w:fldCharType="end"/>
      </w:r>
      <w:r>
        <w:rPr>
          <w:rFonts w:hint="eastAsia" w:ascii="仿宋" w:hAnsi="仿宋" w:eastAsia="仿宋" w:cs="仿宋"/>
          <w:bCs/>
          <w:caps/>
          <w:color w:val="auto"/>
          <w:sz w:val="28"/>
          <w:szCs w:val="28"/>
          <w:highlight w:val="none"/>
        </w:rPr>
        <w:fldChar w:fldCharType="end"/>
      </w:r>
    </w:p>
    <w:p w14:paraId="625B62ED">
      <w:pPr>
        <w:keepNext w:val="0"/>
        <w:keepLines w:val="0"/>
        <w:pageBreakBefore w:val="0"/>
        <w:widowControl w:val="0"/>
        <w:shd w:val="clear"/>
        <w:kinsoku/>
        <w:wordWrap/>
        <w:overflowPunct/>
        <w:topLinePunct w:val="0"/>
        <w:autoSpaceDE/>
        <w:autoSpaceDN/>
        <w:bidi w:val="0"/>
        <w:adjustRightInd/>
        <w:snapToGrid/>
        <w:spacing w:line="680" w:lineRule="exact"/>
        <w:ind w:firstLine="422" w:firstLineChars="151"/>
        <w:jc w:val="left"/>
        <w:textAlignment w:val="auto"/>
        <w:rPr>
          <w:rFonts w:hint="eastAsia" w:ascii="仿宋" w:hAnsi="仿宋" w:eastAsia="仿宋" w:cs="仿宋"/>
          <w:bCs/>
          <w:caps/>
          <w:color w:val="auto"/>
          <w:szCs w:val="28"/>
          <w:highlight w:val="none"/>
        </w:rPr>
      </w:pPr>
      <w:r>
        <w:rPr>
          <w:rFonts w:hint="eastAsia" w:ascii="仿宋" w:hAnsi="仿宋" w:eastAsia="仿宋" w:cs="仿宋"/>
          <w:bCs/>
          <w:caps/>
          <w:color w:val="auto"/>
          <w:sz w:val="28"/>
          <w:szCs w:val="28"/>
          <w:highlight w:val="none"/>
        </w:rPr>
        <w:fldChar w:fldCharType="end"/>
      </w:r>
    </w:p>
    <w:p w14:paraId="78C18BDF">
      <w:pPr>
        <w:shd w:val="clear"/>
        <w:spacing w:line="560" w:lineRule="exact"/>
        <w:ind w:firstLine="317" w:firstLineChars="151"/>
        <w:jc w:val="left"/>
        <w:rPr>
          <w:rFonts w:hint="eastAsia" w:ascii="仿宋" w:hAnsi="仿宋" w:eastAsia="仿宋" w:cs="仿宋"/>
          <w:bCs/>
          <w:caps/>
          <w:color w:val="auto"/>
          <w:szCs w:val="28"/>
          <w:highlight w:val="none"/>
        </w:rPr>
      </w:pPr>
    </w:p>
    <w:p w14:paraId="5AFF27B4">
      <w:pPr>
        <w:shd w:val="clear"/>
        <w:rPr>
          <w:rFonts w:hint="eastAsia" w:ascii="仿宋" w:hAnsi="仿宋" w:eastAsia="仿宋" w:cs="仿宋"/>
          <w:color w:val="auto"/>
          <w:kern w:val="0"/>
          <w:highlight w:val="none"/>
        </w:rPr>
        <w:sectPr>
          <w:footerReference r:id="rId8" w:type="first"/>
          <w:footerReference r:id="rId7" w:type="default"/>
          <w:pgSz w:w="11906" w:h="16838"/>
          <w:pgMar w:top="1440" w:right="1083" w:bottom="1440" w:left="1083" w:header="851" w:footer="992" w:gutter="0"/>
          <w:pgNumType w:fmt="decimal" w:start="1"/>
          <w:cols w:space="0" w:num="1"/>
          <w:rtlGutter w:val="0"/>
          <w:docGrid w:type="lines" w:linePitch="312" w:charSpace="0"/>
        </w:sectPr>
      </w:pPr>
    </w:p>
    <w:p w14:paraId="41A59B78">
      <w:pPr>
        <w:pStyle w:val="26"/>
        <w:numPr>
          <w:ilvl w:val="0"/>
          <w:numId w:val="0"/>
        </w:numPr>
        <w:shd w:val="clear"/>
        <w:spacing w:before="100" w:beforeAutospacing="1" w:after="100" w:afterAutospacing="1" w:line="415" w:lineRule="auto"/>
        <w:ind w:left="1440" w:leftChars="0" w:hanging="1440" w:firstLineChars="0"/>
        <w:rPr>
          <w:rFonts w:hint="eastAsia" w:ascii="仿宋" w:hAnsi="仿宋" w:eastAsia="仿宋" w:cs="仿宋"/>
          <w:color w:val="auto"/>
          <w:highlight w:val="none"/>
        </w:rPr>
      </w:pPr>
      <w:bookmarkStart w:id="0" w:name="_Toc11253"/>
      <w:bookmarkStart w:id="1" w:name="_Toc266431116"/>
      <w:bookmarkStart w:id="2" w:name="_Toc253045125"/>
      <w:r>
        <w:rPr>
          <w:rFonts w:hint="eastAsia" w:ascii="仿宋" w:hAnsi="仿宋" w:eastAsia="仿宋" w:cs="仿宋"/>
          <w:b/>
          <w:bCs/>
          <w:color w:val="auto"/>
          <w:kern w:val="2"/>
          <w:sz w:val="44"/>
          <w:szCs w:val="44"/>
          <w:highlight w:val="none"/>
          <w:lang w:val="en-US" w:eastAsia="zh-CN" w:bidi="ar-SA"/>
        </w:rPr>
        <w:t>第一章</w:t>
      </w:r>
      <w:r>
        <w:rPr>
          <w:rFonts w:hint="eastAsia" w:ascii="仿宋" w:hAnsi="仿宋" w:eastAsia="仿宋" w:cs="仿宋"/>
          <w:color w:val="auto"/>
          <w:sz w:val="44"/>
          <w:szCs w:val="44"/>
          <w:highlight w:val="none"/>
        </w:rPr>
        <w:t xml:space="preserve">  招标公告</w:t>
      </w:r>
      <w:bookmarkEnd w:id="0"/>
    </w:p>
    <w:p w14:paraId="1E597B96">
      <w:pPr>
        <w:keepNext w:val="0"/>
        <w:keepLines w:val="0"/>
        <w:pageBreakBefore w:val="0"/>
        <w:widowControl w:val="0"/>
        <w:shd w:val="clear"/>
        <w:kinsoku/>
        <w:wordWrap/>
        <w:overflowPunct/>
        <w:topLinePunct w:val="0"/>
        <w:autoSpaceDE/>
        <w:autoSpaceDN/>
        <w:bidi w:val="0"/>
        <w:adjustRightInd/>
        <w:snapToGrid/>
        <w:spacing w:after="313" w:afterLines="100" w:line="360" w:lineRule="auto"/>
        <w:jc w:val="center"/>
        <w:textAlignment w:val="auto"/>
        <w:rPr>
          <w:rFonts w:hint="eastAsia" w:ascii="仿宋" w:hAnsi="仿宋" w:eastAsia="仿宋" w:cs="仿宋"/>
          <w:b/>
          <w:color w:val="auto"/>
          <w:sz w:val="30"/>
          <w:szCs w:val="30"/>
          <w:highlight w:val="none"/>
          <w:lang w:eastAsia="zh-CN"/>
        </w:rPr>
      </w:pPr>
      <w:bookmarkStart w:id="3" w:name="_Toc382129899"/>
      <w:bookmarkStart w:id="4" w:name="_Toc413596381"/>
      <w:r>
        <w:rPr>
          <w:rFonts w:hint="eastAsia" w:ascii="仿宋" w:hAnsi="仿宋" w:eastAsia="仿宋" w:cs="仿宋"/>
          <w:b/>
          <w:color w:val="auto"/>
          <w:sz w:val="30"/>
          <w:szCs w:val="30"/>
          <w:highlight w:val="none"/>
          <w:lang w:eastAsia="zh-CN"/>
        </w:rPr>
        <w:t>选定客运中心（威海站、威海北站）消防维保服务单位</w:t>
      </w:r>
    </w:p>
    <w:p w14:paraId="5489D330">
      <w:pPr>
        <w:keepNext w:val="0"/>
        <w:keepLines w:val="0"/>
        <w:pageBreakBefore w:val="0"/>
        <w:widowControl w:val="0"/>
        <w:shd w:val="clear"/>
        <w:kinsoku/>
        <w:wordWrap/>
        <w:overflowPunct/>
        <w:topLinePunct w:val="0"/>
        <w:autoSpaceDE/>
        <w:autoSpaceDN/>
        <w:bidi w:val="0"/>
        <w:adjustRightInd/>
        <w:snapToGrid/>
        <w:spacing w:after="313" w:afterLines="100" w:line="360" w:lineRule="auto"/>
        <w:jc w:val="center"/>
        <w:textAlignment w:val="auto"/>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公开招标公告</w:t>
      </w:r>
    </w:p>
    <w:p w14:paraId="32E5AE1A">
      <w:pPr>
        <w:pBdr>
          <w:top w:val="single" w:color="auto" w:sz="4" w:space="1"/>
          <w:left w:val="single" w:color="auto" w:sz="4" w:space="4"/>
          <w:bottom w:val="single" w:color="auto" w:sz="4" w:space="1"/>
          <w:right w:val="single" w:color="auto" w:sz="4" w:space="4"/>
        </w:pBdr>
        <w:shd w:val="clear"/>
        <w:spacing w:line="56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项目概况</w:t>
      </w:r>
    </w:p>
    <w:p w14:paraId="18BD5416">
      <w:pPr>
        <w:keepNext w:val="0"/>
        <w:keepLines w:val="0"/>
        <w:pageBreakBefore w:val="0"/>
        <w:widowControl/>
        <w:pBdr>
          <w:top w:val="single" w:color="auto" w:sz="4" w:space="1"/>
          <w:left w:val="single" w:color="auto" w:sz="4" w:space="4"/>
          <w:bottom w:val="single" w:color="auto" w:sz="4" w:space="1"/>
          <w:right w:val="single" w:color="auto" w:sz="4" w:space="4"/>
        </w:pBdr>
        <w:shd w:val="clear"/>
        <w:kinsoku/>
        <w:wordWrap/>
        <w:overflowPunct/>
        <w:topLinePunct w:val="0"/>
        <w:autoSpaceDE/>
        <w:autoSpaceDN/>
        <w:bidi w:val="0"/>
        <w:adjustRightInd w:val="0"/>
        <w:snapToGrid/>
        <w:spacing w:line="560" w:lineRule="exact"/>
        <w:ind w:firstLine="592" w:firstLineChars="20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eastAsia="zh-CN"/>
        </w:rPr>
        <w:t>选定客运中心（威海站、威海北站）消防维保服务单位</w:t>
      </w:r>
      <w:r>
        <w:rPr>
          <w:rFonts w:hint="eastAsia" w:ascii="仿宋" w:hAnsi="仿宋" w:eastAsia="仿宋" w:cs="仿宋"/>
          <w:color w:val="auto"/>
          <w:spacing w:val="8"/>
          <w:kern w:val="0"/>
          <w:sz w:val="28"/>
          <w:szCs w:val="28"/>
          <w:highlight w:val="none"/>
          <w:lang w:val="en-US" w:eastAsia="zh-CN"/>
        </w:rPr>
        <w:t>项目</w:t>
      </w:r>
      <w:r>
        <w:rPr>
          <w:rFonts w:hint="eastAsia" w:ascii="仿宋" w:hAnsi="仿宋" w:eastAsia="仿宋" w:cs="仿宋"/>
          <w:color w:val="auto"/>
          <w:spacing w:val="8"/>
          <w:kern w:val="0"/>
          <w:sz w:val="28"/>
          <w:szCs w:val="28"/>
          <w:highlight w:val="none"/>
        </w:rPr>
        <w:t>的潜在投标人应在</w:t>
      </w:r>
      <w:r>
        <w:rPr>
          <w:rFonts w:hint="eastAsia" w:ascii="仿宋" w:hAnsi="仿宋" w:eastAsia="仿宋" w:cs="仿宋"/>
          <w:color w:val="auto"/>
          <w:spacing w:val="8"/>
          <w:kern w:val="0"/>
          <w:sz w:val="28"/>
          <w:szCs w:val="28"/>
          <w:highlight w:val="none"/>
          <w:u w:val="single"/>
        </w:rPr>
        <w:t>“威海市公共资源交易网”首页右侧“交易服务一网通办-（新版）一网通办系统”进行“平台切换”，点击“国企采购”进入国企阳光采购平台</w:t>
      </w:r>
      <w:r>
        <w:rPr>
          <w:rFonts w:hint="eastAsia" w:ascii="仿宋" w:hAnsi="仿宋" w:eastAsia="仿宋" w:cs="仿宋"/>
          <w:color w:val="auto"/>
          <w:spacing w:val="8"/>
          <w:kern w:val="0"/>
          <w:sz w:val="28"/>
          <w:szCs w:val="28"/>
          <w:highlight w:val="none"/>
        </w:rPr>
        <w:t>获取招标文件</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并于</w:t>
      </w:r>
      <w:r>
        <w:rPr>
          <w:rFonts w:hint="eastAsia" w:ascii="仿宋" w:hAnsi="仿宋" w:eastAsia="仿宋" w:cs="仿宋"/>
          <w:color w:val="auto"/>
          <w:spacing w:val="8"/>
          <w:kern w:val="0"/>
          <w:sz w:val="28"/>
          <w:szCs w:val="28"/>
          <w:highlight w:val="none"/>
          <w:u w:val="single"/>
          <w:lang w:eastAsia="zh-CN"/>
        </w:rPr>
        <w:t>2026年</w:t>
      </w:r>
      <w:r>
        <w:rPr>
          <w:rFonts w:hint="eastAsia" w:ascii="仿宋" w:hAnsi="仿宋" w:eastAsia="仿宋" w:cs="仿宋"/>
          <w:color w:val="auto"/>
          <w:spacing w:val="8"/>
          <w:kern w:val="0"/>
          <w:sz w:val="28"/>
          <w:szCs w:val="28"/>
          <w:highlight w:val="none"/>
          <w:u w:val="single"/>
          <w:lang w:val="en-US" w:eastAsia="zh-CN"/>
        </w:rPr>
        <w:t>9月11日9</w:t>
      </w:r>
      <w:r>
        <w:rPr>
          <w:rFonts w:hint="eastAsia" w:ascii="仿宋" w:hAnsi="仿宋" w:eastAsia="仿宋" w:cs="仿宋"/>
          <w:color w:val="auto"/>
          <w:spacing w:val="8"/>
          <w:kern w:val="0"/>
          <w:sz w:val="28"/>
          <w:szCs w:val="28"/>
          <w:highlight w:val="none"/>
          <w:u w:val="single"/>
          <w:lang w:eastAsia="zh-CN"/>
        </w:rPr>
        <w:t>时</w:t>
      </w:r>
      <w:r>
        <w:rPr>
          <w:rFonts w:hint="eastAsia" w:ascii="仿宋" w:hAnsi="仿宋" w:eastAsia="仿宋" w:cs="仿宋"/>
          <w:color w:val="auto"/>
          <w:spacing w:val="8"/>
          <w:kern w:val="0"/>
          <w:sz w:val="28"/>
          <w:szCs w:val="28"/>
          <w:highlight w:val="none"/>
          <w:u w:val="single"/>
          <w:lang w:val="en-US" w:eastAsia="zh-CN"/>
        </w:rPr>
        <w:t>00</w:t>
      </w:r>
      <w:r>
        <w:rPr>
          <w:rFonts w:hint="eastAsia" w:ascii="仿宋" w:hAnsi="仿宋" w:eastAsia="仿宋" w:cs="仿宋"/>
          <w:color w:val="auto"/>
          <w:spacing w:val="8"/>
          <w:kern w:val="0"/>
          <w:sz w:val="28"/>
          <w:szCs w:val="28"/>
          <w:highlight w:val="none"/>
          <w:u w:val="single"/>
          <w:lang w:eastAsia="zh-CN"/>
        </w:rPr>
        <w:t>分</w:t>
      </w:r>
      <w:r>
        <w:rPr>
          <w:rFonts w:hint="eastAsia" w:ascii="仿宋" w:hAnsi="仿宋" w:eastAsia="仿宋" w:cs="仿宋"/>
          <w:color w:val="auto"/>
          <w:spacing w:val="8"/>
          <w:kern w:val="0"/>
          <w:sz w:val="28"/>
          <w:szCs w:val="28"/>
          <w:highlight w:val="none"/>
          <w:u w:val="single"/>
        </w:rPr>
        <w:t>（北京时间）</w:t>
      </w:r>
      <w:r>
        <w:rPr>
          <w:rFonts w:hint="eastAsia" w:ascii="仿宋" w:hAnsi="仿宋" w:eastAsia="仿宋" w:cs="仿宋"/>
          <w:color w:val="auto"/>
          <w:spacing w:val="8"/>
          <w:kern w:val="0"/>
          <w:sz w:val="28"/>
          <w:szCs w:val="28"/>
          <w:highlight w:val="none"/>
        </w:rPr>
        <w:t>前递交投标文件。</w:t>
      </w:r>
    </w:p>
    <w:p w14:paraId="77E279BC">
      <w:pPr>
        <w:rPr>
          <w:rFonts w:hint="eastAsia" w:ascii="仿宋" w:hAnsi="仿宋" w:eastAsia="仿宋" w:cs="仿宋"/>
          <w:highlight w:val="none"/>
        </w:rPr>
      </w:pPr>
    </w:p>
    <w:p w14:paraId="3BD12771">
      <w:pPr>
        <w:keepNext w:val="0"/>
        <w:keepLines w:val="0"/>
        <w:pageBreakBefore w:val="0"/>
        <w:widowControl w:val="0"/>
        <w:shd w:val="clea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rPr>
        <w:t>一、项目基本情况</w:t>
      </w:r>
    </w:p>
    <w:p w14:paraId="3B170DCE">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WHJTCZ2026-0009</w:t>
      </w:r>
    </w:p>
    <w:p w14:paraId="3F8C7137">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选定客运中心（威海站、威海北站）消防维保服务单位</w:t>
      </w:r>
    </w:p>
    <w:p w14:paraId="5E4C3F04">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采购项目分包情况：</w:t>
      </w:r>
    </w:p>
    <w:tbl>
      <w:tblPr>
        <w:tblStyle w:val="30"/>
        <w:tblW w:w="5000"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2504"/>
        <w:gridCol w:w="795"/>
        <w:gridCol w:w="1544"/>
        <w:gridCol w:w="1530"/>
        <w:gridCol w:w="1335"/>
        <w:gridCol w:w="1387"/>
      </w:tblGrid>
      <w:tr w14:paraId="0EDC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right"/>
        </w:trPr>
        <w:tc>
          <w:tcPr>
            <w:tcW w:w="432" w:type="pct"/>
            <w:tcBorders>
              <w:bottom w:val="single" w:color="auto" w:sz="4" w:space="0"/>
            </w:tcBorders>
            <w:noWrap w:val="0"/>
            <w:vAlign w:val="center"/>
          </w:tcPr>
          <w:p w14:paraId="2A68B574">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标包</w:t>
            </w:r>
          </w:p>
        </w:tc>
        <w:tc>
          <w:tcPr>
            <w:tcW w:w="1257" w:type="pct"/>
            <w:noWrap w:val="0"/>
            <w:vAlign w:val="center"/>
          </w:tcPr>
          <w:p w14:paraId="50ACE6C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项目名称</w:t>
            </w:r>
          </w:p>
        </w:tc>
        <w:tc>
          <w:tcPr>
            <w:tcW w:w="399" w:type="pct"/>
            <w:noWrap w:val="0"/>
            <w:vAlign w:val="center"/>
          </w:tcPr>
          <w:p w14:paraId="60D4D0F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数量</w:t>
            </w:r>
          </w:p>
        </w:tc>
        <w:tc>
          <w:tcPr>
            <w:tcW w:w="775" w:type="pct"/>
            <w:tcBorders>
              <w:right w:val="single" w:color="auto" w:sz="4" w:space="0"/>
            </w:tcBorders>
            <w:noWrap w:val="0"/>
            <w:vAlign w:val="center"/>
          </w:tcPr>
          <w:p w14:paraId="2206DFB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预算金额</w:t>
            </w:r>
          </w:p>
          <w:p w14:paraId="4C45902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768" w:type="pct"/>
            <w:tcBorders>
              <w:right w:val="single" w:color="auto" w:sz="4" w:space="0"/>
            </w:tcBorders>
            <w:noWrap w:val="0"/>
            <w:vAlign w:val="center"/>
          </w:tcPr>
          <w:p w14:paraId="536DBD6B">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最高限价</w:t>
            </w:r>
          </w:p>
          <w:p w14:paraId="4294833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670" w:type="pct"/>
            <w:tcBorders>
              <w:right w:val="single" w:color="auto" w:sz="4" w:space="0"/>
            </w:tcBorders>
            <w:noWrap w:val="0"/>
            <w:vAlign w:val="center"/>
          </w:tcPr>
          <w:p w14:paraId="26F1CF5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采购需求</w:t>
            </w:r>
          </w:p>
        </w:tc>
        <w:tc>
          <w:tcPr>
            <w:tcW w:w="696" w:type="pct"/>
            <w:tcBorders>
              <w:right w:val="single" w:color="auto" w:sz="4" w:space="0"/>
            </w:tcBorders>
            <w:noWrap w:val="0"/>
            <w:vAlign w:val="center"/>
          </w:tcPr>
          <w:p w14:paraId="3203203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合同履行期限</w:t>
            </w:r>
          </w:p>
        </w:tc>
      </w:tr>
      <w:tr w14:paraId="1AC9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right"/>
        </w:trPr>
        <w:tc>
          <w:tcPr>
            <w:tcW w:w="432" w:type="pct"/>
            <w:tcBorders>
              <w:top w:val="single" w:color="auto" w:sz="4" w:space="0"/>
              <w:bottom w:val="single" w:color="auto" w:sz="4" w:space="0"/>
            </w:tcBorders>
            <w:noWrap w:val="0"/>
            <w:vAlign w:val="center"/>
          </w:tcPr>
          <w:p w14:paraId="2E47221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001</w:t>
            </w:r>
          </w:p>
        </w:tc>
        <w:tc>
          <w:tcPr>
            <w:tcW w:w="1257" w:type="pct"/>
            <w:noWrap w:val="0"/>
            <w:vAlign w:val="center"/>
          </w:tcPr>
          <w:p w14:paraId="22FAEAB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选定客运中心（威海站、威海北站）消防维保服务单位</w:t>
            </w:r>
          </w:p>
        </w:tc>
        <w:tc>
          <w:tcPr>
            <w:tcW w:w="399" w:type="pct"/>
            <w:noWrap w:val="0"/>
            <w:vAlign w:val="center"/>
          </w:tcPr>
          <w:p w14:paraId="2542912D">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spacing w:val="8"/>
                <w:kern w:val="0"/>
                <w:sz w:val="24"/>
                <w:szCs w:val="24"/>
                <w:highlight w:val="none"/>
                <w:lang w:eastAsia="zh-CN"/>
              </w:rPr>
            </w:pPr>
            <w:r>
              <w:rPr>
                <w:rFonts w:hint="eastAsia" w:ascii="仿宋" w:hAnsi="仿宋" w:eastAsia="仿宋" w:cs="仿宋"/>
                <w:color w:val="auto"/>
                <w:spacing w:val="8"/>
                <w:kern w:val="0"/>
                <w:sz w:val="24"/>
                <w:szCs w:val="24"/>
                <w:highlight w:val="none"/>
              </w:rPr>
              <w:t>1</w:t>
            </w:r>
            <w:r>
              <w:rPr>
                <w:rFonts w:hint="eastAsia" w:ascii="仿宋" w:hAnsi="仿宋" w:eastAsia="仿宋" w:cs="仿宋"/>
                <w:color w:val="auto"/>
                <w:spacing w:val="8"/>
                <w:kern w:val="0"/>
                <w:sz w:val="24"/>
                <w:szCs w:val="24"/>
                <w:highlight w:val="none"/>
                <w:lang w:val="en-US" w:eastAsia="zh-CN"/>
              </w:rPr>
              <w:t>宗</w:t>
            </w:r>
          </w:p>
        </w:tc>
        <w:tc>
          <w:tcPr>
            <w:tcW w:w="775" w:type="pct"/>
            <w:tcBorders>
              <w:right w:val="single" w:color="auto" w:sz="4" w:space="0"/>
            </w:tcBorders>
            <w:noWrap w:val="0"/>
            <w:vAlign w:val="center"/>
          </w:tcPr>
          <w:p w14:paraId="64B2537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 567000.00</w:t>
            </w:r>
          </w:p>
        </w:tc>
        <w:tc>
          <w:tcPr>
            <w:tcW w:w="768" w:type="pct"/>
            <w:tcBorders>
              <w:right w:val="single" w:color="auto" w:sz="4" w:space="0"/>
            </w:tcBorders>
            <w:noWrap w:val="0"/>
            <w:vAlign w:val="center"/>
          </w:tcPr>
          <w:p w14:paraId="74BA337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 xml:space="preserve"> 567000.00 </w:t>
            </w:r>
          </w:p>
        </w:tc>
        <w:tc>
          <w:tcPr>
            <w:tcW w:w="670" w:type="pct"/>
            <w:tcBorders>
              <w:right w:val="single" w:color="auto" w:sz="4" w:space="0"/>
            </w:tcBorders>
            <w:noWrap w:val="0"/>
            <w:vAlign w:val="center"/>
          </w:tcPr>
          <w:p w14:paraId="0D98340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c>
          <w:tcPr>
            <w:tcW w:w="696" w:type="pct"/>
            <w:tcBorders>
              <w:right w:val="single" w:color="auto" w:sz="4" w:space="0"/>
            </w:tcBorders>
            <w:noWrap w:val="0"/>
            <w:vAlign w:val="center"/>
          </w:tcPr>
          <w:p w14:paraId="24554888">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r>
    </w:tbl>
    <w:p w14:paraId="48CE704D">
      <w:pPr>
        <w:keepNext w:val="0"/>
        <w:keepLines w:val="0"/>
        <w:pageBreakBefore w:val="0"/>
        <w:widowControl w:val="0"/>
        <w:shd w:val="clea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二、</w:t>
      </w:r>
      <w:r>
        <w:rPr>
          <w:rFonts w:hint="eastAsia" w:ascii="仿宋" w:hAnsi="仿宋" w:eastAsia="仿宋" w:cs="仿宋"/>
          <w:b/>
          <w:bCs/>
          <w:color w:val="auto"/>
          <w:kern w:val="0"/>
          <w:sz w:val="28"/>
          <w:szCs w:val="28"/>
          <w:highlight w:val="none"/>
          <w:lang w:val="en-US" w:eastAsia="zh-CN"/>
        </w:rPr>
        <w:t>投标人</w:t>
      </w:r>
      <w:r>
        <w:rPr>
          <w:rFonts w:hint="eastAsia" w:ascii="仿宋" w:hAnsi="仿宋" w:eastAsia="仿宋" w:cs="仿宋"/>
          <w:b/>
          <w:bCs/>
          <w:color w:val="auto"/>
          <w:kern w:val="0"/>
          <w:sz w:val="28"/>
          <w:szCs w:val="28"/>
          <w:highlight w:val="none"/>
        </w:rPr>
        <w:t>的资格要求</w:t>
      </w:r>
    </w:p>
    <w:p w14:paraId="35EA0C6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具有独立承担民事责任的能力</w:t>
      </w:r>
      <w:r>
        <w:rPr>
          <w:rFonts w:hint="eastAsia" w:ascii="仿宋" w:hAnsi="仿宋" w:eastAsia="仿宋" w:cs="仿宋"/>
          <w:color w:val="auto"/>
          <w:sz w:val="28"/>
          <w:szCs w:val="28"/>
          <w:highlight w:val="none"/>
        </w:rPr>
        <w:t>；</w:t>
      </w:r>
    </w:p>
    <w:p w14:paraId="4BA05E78">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2.投标人必须满足中华人民共和国应急管理部令(第7号)《社会消防技术服务管理规定》第五条“从事消防设施维护保养检测的消</w:t>
      </w:r>
      <w:bookmarkStart w:id="29" w:name="_GoBack"/>
      <w:bookmarkEnd w:id="29"/>
      <w:r>
        <w:rPr>
          <w:rFonts w:hint="eastAsia" w:ascii="仿宋" w:hAnsi="仿宋" w:eastAsia="仿宋" w:cs="仿宋"/>
          <w:color w:val="auto"/>
          <w:sz w:val="28"/>
          <w:szCs w:val="28"/>
          <w:highlight w:val="none"/>
          <w:lang w:val="en-US" w:eastAsia="zh-CN"/>
        </w:rPr>
        <w:t>防技术服务机构”的要求，并提供“社会消防技术服务信息系统”（https://shhxf.119.gov.cn/）中“服务类型”包含消防设施维护保养检测的查询截图</w:t>
      </w:r>
      <w:r>
        <w:rPr>
          <w:rFonts w:hint="eastAsia" w:ascii="仿宋" w:hAnsi="仿宋" w:eastAsia="仿宋" w:cs="仿宋"/>
          <w:color w:val="auto"/>
          <w:sz w:val="28"/>
          <w:szCs w:val="28"/>
          <w:highlight w:val="none"/>
          <w:lang w:eastAsia="zh-CN"/>
        </w:rPr>
        <w:t>；</w:t>
      </w:r>
    </w:p>
    <w:p w14:paraId="2E87D54B">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具有良好的商业信誉和财务会计制度；</w:t>
      </w:r>
    </w:p>
    <w:p w14:paraId="41E69DC3">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具有履行合同所必须设备和专业技术能力，并能提供优质的服务；</w:t>
      </w:r>
    </w:p>
    <w:p w14:paraId="494F7984">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具有依法缴纳税收和社会保障资金的良好记录；</w:t>
      </w:r>
    </w:p>
    <w:p w14:paraId="5EE576DC">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参加本次招标活动前三年内，在经营活动中没有重大违法记录；</w:t>
      </w:r>
    </w:p>
    <w:p w14:paraId="2D927ED4">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近一年在“信用中国”或“信用中国（山东）”无严重失信记录；</w:t>
      </w:r>
    </w:p>
    <w:p w14:paraId="3C93B32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及法定代表人、委托代理人未被最高法院列入失信被执行人；</w:t>
      </w:r>
    </w:p>
    <w:p w14:paraId="69CE6DA6">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本项目不接受联合体</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w:t>
      </w:r>
    </w:p>
    <w:p w14:paraId="78F1E9AA">
      <w:pPr>
        <w:keepNext w:val="0"/>
        <w:keepLines w:val="0"/>
        <w:pageBreakBefore w:val="0"/>
        <w:widowControl w:val="0"/>
        <w:shd w:val="clea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三、获取招标文件时间及地点</w:t>
      </w:r>
    </w:p>
    <w:p w14:paraId="53D07FA8">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1.获取时间：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分（北京时间）</w:t>
      </w:r>
      <w:r>
        <w:rPr>
          <w:rFonts w:hint="eastAsia" w:ascii="仿宋" w:hAnsi="仿宋" w:eastAsia="仿宋" w:cs="仿宋"/>
          <w:color w:val="auto"/>
          <w:sz w:val="28"/>
          <w:szCs w:val="28"/>
          <w:highlight w:val="none"/>
          <w:lang w:eastAsia="zh-CN"/>
        </w:rPr>
        <w:t>。</w:t>
      </w:r>
    </w:p>
    <w:p w14:paraId="260CB5D1">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获取地点：登录“威海市公共资源交易网”首页右侧“交易服务一网通办-（新版）一网通办系统”进行“平台切换”，点击“国企采购”进入国企阳光采购平台获取文件（网址：http://ggzyjy.weihai.cn/）。逾期无法从国企阳光采购平台中获取文件，未在规定时间内从系统中获取采购文件的投标人将无法提交电子投标（响应）文件。交易服务一网通办系统技术支持电话：0631-5311569（受理问题：系统登录、CA锁绑定、平台切换），一网通办技术支持QQ群：1143439694；CA锁办理咨询电话：0631-5172975；国企采购技术支持电话：17863029936，国企采购技术支持QQ群（投标人）：1046971257。</w:t>
      </w:r>
    </w:p>
    <w:p w14:paraId="2026312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未注册用户请先免费注册。登录“威海市公共资源交易网”首页右侧“交易服务一网通办-（新版）一网通办系统”进行注册登记，并办理“安全证书（CA）”和“电子签章”进行获取文件。“安全证书（CA）”和“电子签章”办理请按照“威海市公共资源交易网”首页右侧“CA办理”中“CA证书办理介绍”进行办理。</w:t>
      </w:r>
    </w:p>
    <w:p w14:paraId="7A45331C">
      <w:pPr>
        <w:keepNext w:val="0"/>
        <w:keepLines w:val="0"/>
        <w:pageBreakBefore w:val="0"/>
        <w:widowControl w:val="0"/>
        <w:shd w:val="clea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四、投标文件提交</w:t>
      </w:r>
    </w:p>
    <w:p w14:paraId="447EE8F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1.提交投标文件时间：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9月1日19</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9月11日9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19724C1F">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地点：登录“威海市公共资源交易网”首页右侧“交易服务一网通办-（新版）一网通办系统”进行“平台切换”，点击“国企采购”进入国企阳光采购平台进行提交。已在国企阳光采购平台获取文件的投标人在规定时间内提交电子投标文件。</w:t>
      </w:r>
    </w:p>
    <w:p w14:paraId="6F70794F">
      <w:pPr>
        <w:keepNext w:val="0"/>
        <w:keepLines w:val="0"/>
        <w:pageBreakBefore w:val="0"/>
        <w:widowControl w:val="0"/>
        <w:shd w:val="clea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kern w:val="0"/>
          <w:sz w:val="28"/>
          <w:szCs w:val="28"/>
          <w:highlight w:val="none"/>
          <w:lang w:val="en-US" w:eastAsia="zh-CN"/>
        </w:rPr>
      </w:pPr>
      <w:r>
        <w:rPr>
          <w:rFonts w:hint="eastAsia" w:ascii="仿宋" w:hAnsi="仿宋" w:eastAsia="仿宋" w:cs="仿宋"/>
          <w:b/>
          <w:bCs/>
          <w:color w:val="auto"/>
          <w:kern w:val="0"/>
          <w:sz w:val="28"/>
          <w:szCs w:val="28"/>
          <w:highlight w:val="none"/>
        </w:rPr>
        <w:t>五、开</w:t>
      </w:r>
      <w:r>
        <w:rPr>
          <w:rFonts w:hint="eastAsia" w:ascii="仿宋" w:hAnsi="仿宋" w:eastAsia="仿宋" w:cs="仿宋"/>
          <w:b/>
          <w:bCs/>
          <w:color w:val="auto"/>
          <w:kern w:val="0"/>
          <w:sz w:val="28"/>
          <w:szCs w:val="28"/>
          <w:highlight w:val="none"/>
          <w:lang w:val="en-US" w:eastAsia="zh-CN"/>
        </w:rPr>
        <w:t>标</w:t>
      </w:r>
    </w:p>
    <w:p w14:paraId="19108E5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9月11日9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0832065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lang w:eastAsia="zh-CN"/>
        </w:rPr>
        <w:t>交易</w:t>
      </w:r>
      <w:r>
        <w:rPr>
          <w:rFonts w:hint="eastAsia" w:ascii="仿宋" w:hAnsi="仿宋" w:eastAsia="仿宋" w:cs="仿宋"/>
          <w:color w:val="auto"/>
          <w:sz w:val="28"/>
          <w:szCs w:val="28"/>
          <w:highlight w:val="none"/>
          <w:lang w:val="en-US" w:eastAsia="zh-CN"/>
        </w:rPr>
        <w:t>十</w:t>
      </w:r>
      <w:r>
        <w:rPr>
          <w:rFonts w:hint="eastAsia" w:ascii="仿宋" w:hAnsi="仿宋" w:eastAsia="仿宋" w:cs="仿宋"/>
          <w:color w:val="auto"/>
          <w:sz w:val="28"/>
          <w:szCs w:val="28"/>
          <w:highlight w:val="none"/>
          <w:lang w:eastAsia="zh-CN"/>
        </w:rPr>
        <w:t>厅（威海市环翠区塔山中路317号威海市政务服务中心四楼）。</w:t>
      </w:r>
    </w:p>
    <w:p w14:paraId="06D42A35">
      <w:pPr>
        <w:keepNext w:val="0"/>
        <w:keepLines w:val="0"/>
        <w:pageBreakBefore w:val="0"/>
        <w:widowControl w:val="0"/>
        <w:shd w:val="clea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六、其他补充事宜</w:t>
      </w:r>
    </w:p>
    <w:p w14:paraId="1AD765B0">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投标人提前熟悉交易系统（新版威海市国有企业阳光采购服务平台</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用户手册网址：</w:t>
      </w:r>
      <w:r>
        <w:rPr>
          <w:rFonts w:hint="eastAsia" w:ascii="仿宋" w:hAnsi="仿宋" w:eastAsia="仿宋" w:cs="仿宋"/>
          <w:color w:val="auto"/>
          <w:sz w:val="28"/>
          <w:szCs w:val="28"/>
          <w:highlight w:val="none"/>
          <w:lang w:eastAsia="zh-CN"/>
        </w:rPr>
        <w:t>https://ggzyjy.weihai.cn/bszn/005005/20260109/eb4ba418-4b35-4f05-aa69-44fd7d8a7ffb.html</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通过交易系统线上参加开标活动。投标人应保持通讯畅通并提前在个人电脑上进行测试确保音频、视频功能、电子签章等功能可正常使用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否则一切后果由投标人自行承担。</w:t>
      </w:r>
    </w:p>
    <w:p w14:paraId="0FB46FF8">
      <w:pPr>
        <w:keepNext w:val="0"/>
        <w:keepLines w:val="0"/>
        <w:pageBreakBefore w:val="0"/>
        <w:widowControl w:val="0"/>
        <w:shd w:val="clea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七、对本次招标提出询问</w:t>
      </w:r>
      <w:r>
        <w:rPr>
          <w:rFonts w:hint="eastAsia" w:ascii="仿宋" w:hAnsi="仿宋" w:eastAsia="仿宋" w:cs="仿宋"/>
          <w:b/>
          <w:bCs/>
          <w:color w:val="auto"/>
          <w:kern w:val="0"/>
          <w:sz w:val="28"/>
          <w:szCs w:val="28"/>
          <w:highlight w:val="none"/>
          <w:lang w:eastAsia="zh-CN"/>
        </w:rPr>
        <w:t>，</w:t>
      </w:r>
      <w:r>
        <w:rPr>
          <w:rFonts w:hint="eastAsia" w:ascii="仿宋" w:hAnsi="仿宋" w:eastAsia="仿宋" w:cs="仿宋"/>
          <w:b/>
          <w:bCs/>
          <w:color w:val="auto"/>
          <w:kern w:val="0"/>
          <w:sz w:val="28"/>
          <w:szCs w:val="28"/>
          <w:highlight w:val="none"/>
        </w:rPr>
        <w:t>请按以下方式联系。</w:t>
      </w:r>
    </w:p>
    <w:p w14:paraId="259A9F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1.采购人信息</w:t>
      </w:r>
    </w:p>
    <w:p w14:paraId="142888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称：威海交通场站管理有限公司</w:t>
      </w:r>
    </w:p>
    <w:p w14:paraId="706FD8B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址：威海市疏站路6号威海站客运楼5楼办公室</w:t>
      </w:r>
    </w:p>
    <w:p w14:paraId="0DA4D32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联系人：曲一鸣</w:t>
      </w:r>
    </w:p>
    <w:p w14:paraId="689C67ED">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联系方式：0631-5890096</w:t>
      </w:r>
    </w:p>
    <w:p w14:paraId="3D3BB0C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2.采购代理机构信息</w:t>
      </w:r>
    </w:p>
    <w:p w14:paraId="728577F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称：山东志诚工程咨询管理有限公司</w:t>
      </w:r>
    </w:p>
    <w:p w14:paraId="68BD3E7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址：威海经济技术开发区青岛中路-77A号长峰商业广场1211室</w:t>
      </w:r>
    </w:p>
    <w:p w14:paraId="120B07D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联系方式：0631-5188996</w:t>
      </w:r>
    </w:p>
    <w:p w14:paraId="027E653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3.项目联系方式</w:t>
      </w:r>
    </w:p>
    <w:p w14:paraId="35969FA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项目联系人：毕建伟 </w:t>
      </w:r>
    </w:p>
    <w:p w14:paraId="2A334C6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电话：0631-5188996</w:t>
      </w:r>
    </w:p>
    <w:p w14:paraId="61F054AF">
      <w:pPr>
        <w:keepNext w:val="0"/>
        <w:keepLines w:val="0"/>
        <w:pageBreakBefore w:val="0"/>
        <w:widowControl w:val="0"/>
        <w:shd w:val="clea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八、发布公告的媒介</w:t>
      </w:r>
    </w:p>
    <w:p w14:paraId="7EAC995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本次公告在中国招标投标公共服务平台（www.cebpubservice.com）、威海市公共资源交易网（http://ggzyjy.weihai.cn/）同时发布，其它媒介转发无效。</w:t>
      </w:r>
    </w:p>
    <w:p w14:paraId="4CE210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p>
    <w:p w14:paraId="549FAC9B">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发布人：</w:t>
      </w:r>
      <w:r>
        <w:rPr>
          <w:rFonts w:hint="eastAsia" w:ascii="仿宋" w:hAnsi="仿宋" w:eastAsia="仿宋" w:cs="仿宋"/>
          <w:color w:val="auto"/>
          <w:sz w:val="28"/>
          <w:szCs w:val="28"/>
          <w:highlight w:val="none"/>
          <w:lang w:eastAsia="zh-CN"/>
        </w:rPr>
        <w:t>山东志诚工程咨询管理有限公司</w:t>
      </w:r>
    </w:p>
    <w:p w14:paraId="6974ACAC">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9月1日</w:t>
      </w:r>
    </w:p>
    <w:p w14:paraId="670ADD4F">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sectPr>
          <w:footerReference r:id="rId9" w:type="default"/>
          <w:pgSz w:w="11906" w:h="16838"/>
          <w:pgMar w:top="1440" w:right="1083" w:bottom="1440" w:left="1083" w:header="851" w:footer="992" w:gutter="0"/>
          <w:pgNumType w:fmt="decimal"/>
          <w:cols w:space="0" w:num="1"/>
          <w:rtlGutter w:val="0"/>
          <w:docGrid w:type="lines" w:linePitch="312" w:charSpace="0"/>
        </w:sectPr>
      </w:pPr>
    </w:p>
    <w:p w14:paraId="6EACF88F">
      <w:pPr>
        <w:pStyle w:val="26"/>
        <w:numPr>
          <w:ilvl w:val="0"/>
          <w:numId w:val="0"/>
        </w:numPr>
        <w:shd w:val="clear"/>
        <w:spacing w:before="100" w:beforeAutospacing="1" w:after="100" w:afterAutospacing="1" w:line="415" w:lineRule="auto"/>
        <w:ind w:left="1440" w:leftChars="0" w:hanging="1440" w:firstLineChars="0"/>
        <w:rPr>
          <w:rFonts w:hint="eastAsia" w:ascii="仿宋" w:hAnsi="仿宋" w:eastAsia="仿宋" w:cs="仿宋"/>
          <w:b/>
          <w:bCs/>
          <w:color w:val="auto"/>
          <w:kern w:val="2"/>
          <w:sz w:val="44"/>
          <w:szCs w:val="44"/>
          <w:highlight w:val="none"/>
          <w:lang w:val="en-US" w:eastAsia="zh-CN" w:bidi="ar-SA"/>
        </w:rPr>
      </w:pPr>
      <w:bookmarkStart w:id="5" w:name="_Toc8141"/>
      <w:r>
        <w:rPr>
          <w:rFonts w:hint="eastAsia" w:ascii="仿宋" w:hAnsi="仿宋" w:eastAsia="仿宋" w:cs="仿宋"/>
          <w:b/>
          <w:bCs/>
          <w:color w:val="auto"/>
          <w:kern w:val="2"/>
          <w:sz w:val="44"/>
          <w:szCs w:val="44"/>
          <w:highlight w:val="none"/>
          <w:lang w:val="en-US" w:eastAsia="zh-CN" w:bidi="ar-SA"/>
        </w:rPr>
        <w:t>第二章  投标须知</w:t>
      </w:r>
      <w:bookmarkEnd w:id="5"/>
    </w:p>
    <w:p w14:paraId="6429C4EC">
      <w:pPr>
        <w:tabs>
          <w:tab w:val="left" w:pos="1038"/>
        </w:tabs>
        <w:bidi w:val="0"/>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投标须知前附表</w:t>
      </w:r>
    </w:p>
    <w:tbl>
      <w:tblPr>
        <w:tblStyle w:val="30"/>
        <w:tblW w:w="971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4"/>
        <w:gridCol w:w="2098"/>
        <w:gridCol w:w="6825"/>
      </w:tblGrid>
      <w:tr w14:paraId="75DF4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794" w:type="dxa"/>
            <w:tcBorders>
              <w:top w:val="single" w:color="auto" w:sz="4" w:space="0"/>
              <w:bottom w:val="single" w:color="auto" w:sz="4" w:space="0"/>
              <w:right w:val="single" w:color="auto" w:sz="4" w:space="0"/>
            </w:tcBorders>
            <w:noWrap w:val="0"/>
            <w:vAlign w:val="center"/>
          </w:tcPr>
          <w:p w14:paraId="606C2E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0331E44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6825" w:type="dxa"/>
            <w:tcBorders>
              <w:top w:val="single" w:color="auto" w:sz="4" w:space="0"/>
              <w:left w:val="single" w:color="auto" w:sz="4" w:space="0"/>
              <w:bottom w:val="single" w:color="auto" w:sz="4" w:space="0"/>
            </w:tcBorders>
            <w:noWrap w:val="0"/>
            <w:vAlign w:val="center"/>
          </w:tcPr>
          <w:p w14:paraId="733BED1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41A3D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794" w:type="dxa"/>
            <w:tcBorders>
              <w:top w:val="single" w:color="auto" w:sz="4" w:space="0"/>
              <w:bottom w:val="single" w:color="auto" w:sz="4" w:space="0"/>
              <w:right w:val="single" w:color="auto" w:sz="4" w:space="0"/>
            </w:tcBorders>
            <w:noWrap w:val="0"/>
            <w:vAlign w:val="center"/>
          </w:tcPr>
          <w:p w14:paraId="4CEC06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1DE24C8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825" w:type="dxa"/>
            <w:tcBorders>
              <w:top w:val="single" w:color="auto" w:sz="4" w:space="0"/>
              <w:left w:val="single" w:color="auto" w:sz="4" w:space="0"/>
              <w:bottom w:val="single" w:color="auto" w:sz="4" w:space="0"/>
            </w:tcBorders>
            <w:noWrap w:val="0"/>
            <w:vAlign w:val="center"/>
          </w:tcPr>
          <w:p w14:paraId="357E62B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选定客运中心（威海站、威海北站）消防维保服务单位</w:t>
            </w:r>
          </w:p>
        </w:tc>
      </w:tr>
      <w:tr w14:paraId="68B5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94" w:type="dxa"/>
            <w:tcBorders>
              <w:top w:val="single" w:color="auto" w:sz="4" w:space="0"/>
              <w:bottom w:val="single" w:color="auto" w:sz="4" w:space="0"/>
              <w:right w:val="single" w:color="auto" w:sz="4" w:space="0"/>
            </w:tcBorders>
            <w:noWrap w:val="0"/>
            <w:vAlign w:val="center"/>
          </w:tcPr>
          <w:p w14:paraId="17CEFED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7F84E43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6825" w:type="dxa"/>
            <w:tcBorders>
              <w:top w:val="single" w:color="auto" w:sz="4" w:space="0"/>
              <w:left w:val="single" w:color="auto" w:sz="4" w:space="0"/>
              <w:bottom w:val="single" w:color="auto" w:sz="4" w:space="0"/>
            </w:tcBorders>
            <w:noWrap w:val="0"/>
            <w:vAlign w:val="center"/>
          </w:tcPr>
          <w:p w14:paraId="748FE8E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WHJTCZ2026-0009</w:t>
            </w:r>
          </w:p>
        </w:tc>
      </w:tr>
      <w:tr w14:paraId="35DAA9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794" w:type="dxa"/>
            <w:tcBorders>
              <w:top w:val="single" w:color="auto" w:sz="4" w:space="0"/>
              <w:bottom w:val="single" w:color="auto" w:sz="4" w:space="0"/>
              <w:right w:val="single" w:color="auto" w:sz="4" w:space="0"/>
            </w:tcBorders>
            <w:noWrap w:val="0"/>
            <w:vAlign w:val="center"/>
          </w:tcPr>
          <w:p w14:paraId="471756F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3C1C31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采购人</w:t>
            </w:r>
          </w:p>
        </w:tc>
        <w:tc>
          <w:tcPr>
            <w:tcW w:w="6825" w:type="dxa"/>
            <w:tcBorders>
              <w:top w:val="single" w:color="auto" w:sz="4" w:space="0"/>
              <w:left w:val="single" w:color="auto" w:sz="4" w:space="0"/>
              <w:bottom w:val="single" w:color="auto" w:sz="4" w:space="0"/>
            </w:tcBorders>
            <w:noWrap w:val="0"/>
            <w:vAlign w:val="center"/>
          </w:tcPr>
          <w:p w14:paraId="0DBCC78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威海交通场站管理有限公司</w:t>
            </w:r>
          </w:p>
          <w:p w14:paraId="0D2332C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单位地址：威海市疏站路6号威海站客运楼5楼办公室</w:t>
            </w:r>
          </w:p>
          <w:p w14:paraId="5DB71B1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val="en-US" w:eastAsia="zh-CN"/>
              </w:rPr>
              <w:t>曲一鸣</w:t>
            </w:r>
          </w:p>
          <w:p w14:paraId="63EB19A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w:t>
            </w:r>
            <w:r>
              <w:rPr>
                <w:rFonts w:hint="eastAsia" w:ascii="仿宋" w:hAnsi="仿宋" w:eastAsia="仿宋" w:cs="仿宋"/>
                <w:color w:val="auto"/>
                <w:sz w:val="28"/>
                <w:szCs w:val="28"/>
                <w:highlight w:val="none"/>
                <w:lang w:val="en-US" w:eastAsia="zh-CN"/>
              </w:rPr>
              <w:t>电话</w:t>
            </w:r>
            <w:r>
              <w:rPr>
                <w:rFonts w:hint="eastAsia" w:ascii="仿宋" w:hAnsi="仿宋" w:eastAsia="仿宋" w:cs="仿宋"/>
                <w:color w:val="auto"/>
                <w:sz w:val="28"/>
                <w:szCs w:val="28"/>
                <w:highlight w:val="none"/>
              </w:rPr>
              <w:t>：0631-5890096</w:t>
            </w:r>
          </w:p>
        </w:tc>
      </w:tr>
      <w:tr w14:paraId="0937C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794" w:type="dxa"/>
            <w:tcBorders>
              <w:top w:val="single" w:color="auto" w:sz="4" w:space="0"/>
              <w:bottom w:val="single" w:color="auto" w:sz="4" w:space="0"/>
              <w:right w:val="single" w:color="auto" w:sz="4" w:space="0"/>
            </w:tcBorders>
            <w:noWrap w:val="0"/>
            <w:vAlign w:val="center"/>
          </w:tcPr>
          <w:p w14:paraId="676550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7DBC69F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采购代理机构</w:t>
            </w:r>
          </w:p>
        </w:tc>
        <w:tc>
          <w:tcPr>
            <w:tcW w:w="6825" w:type="dxa"/>
            <w:tcBorders>
              <w:top w:val="single" w:color="auto" w:sz="4" w:space="0"/>
              <w:left w:val="single" w:color="auto" w:sz="4" w:space="0"/>
              <w:bottom w:val="single" w:color="auto" w:sz="4" w:space="0"/>
            </w:tcBorders>
            <w:noWrap w:val="0"/>
            <w:vAlign w:val="center"/>
          </w:tcPr>
          <w:p w14:paraId="1E4AE17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山东志诚工程咨询管理有限公司</w:t>
            </w:r>
          </w:p>
          <w:p w14:paraId="48C4D8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pacing w:val="8"/>
                <w:kern w:val="0"/>
                <w:sz w:val="28"/>
                <w:szCs w:val="28"/>
                <w:highlight w:val="none"/>
                <w:lang w:eastAsia="zh-CN"/>
              </w:rPr>
              <w:t>威海经济技术开发区青岛中路-77A号长峰商业广场1211室</w:t>
            </w:r>
          </w:p>
          <w:p w14:paraId="1C93A59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毕建伟</w:t>
            </w:r>
          </w:p>
          <w:p w14:paraId="52C47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5CF008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4" w:hRule="atLeast"/>
          <w:jc w:val="center"/>
        </w:trPr>
        <w:tc>
          <w:tcPr>
            <w:tcW w:w="794" w:type="dxa"/>
            <w:tcBorders>
              <w:top w:val="single" w:color="auto" w:sz="4" w:space="0"/>
              <w:bottom w:val="single" w:color="auto" w:sz="4" w:space="0"/>
              <w:right w:val="single" w:color="auto" w:sz="4" w:space="0"/>
            </w:tcBorders>
            <w:noWrap w:val="0"/>
            <w:vAlign w:val="center"/>
          </w:tcPr>
          <w:p w14:paraId="748FDC3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1A2E2F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资金来源及比例</w:t>
            </w:r>
          </w:p>
        </w:tc>
        <w:tc>
          <w:tcPr>
            <w:tcW w:w="6825" w:type="dxa"/>
            <w:tcBorders>
              <w:top w:val="single" w:color="auto" w:sz="4" w:space="0"/>
              <w:left w:val="single" w:color="auto" w:sz="4" w:space="0"/>
              <w:bottom w:val="single" w:color="auto" w:sz="4" w:space="0"/>
            </w:tcBorders>
            <w:noWrap w:val="0"/>
            <w:vAlign w:val="center"/>
          </w:tcPr>
          <w:p w14:paraId="07B1895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100%自筹资金</w:t>
            </w:r>
          </w:p>
        </w:tc>
      </w:tr>
      <w:tr w14:paraId="67552F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4" w:hRule="atLeast"/>
          <w:jc w:val="center"/>
        </w:trPr>
        <w:tc>
          <w:tcPr>
            <w:tcW w:w="794" w:type="dxa"/>
            <w:tcBorders>
              <w:top w:val="single" w:color="auto" w:sz="4" w:space="0"/>
              <w:bottom w:val="single" w:color="auto" w:sz="4" w:space="0"/>
              <w:right w:val="single" w:color="auto" w:sz="4" w:space="0"/>
            </w:tcBorders>
            <w:noWrap w:val="0"/>
            <w:vAlign w:val="center"/>
          </w:tcPr>
          <w:p w14:paraId="219A068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34D05C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资金落实情况</w:t>
            </w:r>
          </w:p>
        </w:tc>
        <w:tc>
          <w:tcPr>
            <w:tcW w:w="6825" w:type="dxa"/>
            <w:tcBorders>
              <w:top w:val="single" w:color="auto" w:sz="4" w:space="0"/>
              <w:left w:val="single" w:color="auto" w:sz="4" w:space="0"/>
              <w:bottom w:val="single" w:color="auto" w:sz="4" w:space="0"/>
            </w:tcBorders>
            <w:noWrap w:val="0"/>
            <w:vAlign w:val="center"/>
          </w:tcPr>
          <w:p w14:paraId="3F3DA1E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已落实</w:t>
            </w:r>
          </w:p>
        </w:tc>
      </w:tr>
      <w:tr w14:paraId="7B94A9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794" w:type="dxa"/>
            <w:tcBorders>
              <w:top w:val="single" w:color="auto" w:sz="4" w:space="0"/>
              <w:bottom w:val="single" w:color="auto" w:sz="4" w:space="0"/>
              <w:right w:val="single" w:color="auto" w:sz="4" w:space="0"/>
            </w:tcBorders>
            <w:noWrap w:val="0"/>
            <w:vAlign w:val="center"/>
          </w:tcPr>
          <w:p w14:paraId="6CDB37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7</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24F823B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电子投标特别提示</w:t>
            </w:r>
          </w:p>
        </w:tc>
        <w:tc>
          <w:tcPr>
            <w:tcW w:w="6825" w:type="dxa"/>
            <w:tcBorders>
              <w:top w:val="single" w:color="auto" w:sz="4" w:space="0"/>
              <w:left w:val="single" w:color="auto" w:sz="4" w:space="0"/>
              <w:bottom w:val="single" w:color="auto" w:sz="4" w:space="0"/>
            </w:tcBorders>
            <w:noWrap w:val="0"/>
            <w:vAlign w:val="center"/>
          </w:tcPr>
          <w:p w14:paraId="58C0D04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首页右侧“交易服务一网通办-（新版）一网通办系统”进行注册，取得用户名和密码（已经完成注册无须重复注册）；首次注册投标人应及时办理安全证书（CA锁）及电子签章。本项目必须网上递交投标文件，参与本项目投标人应利用办理好的CA锁登录国企阳光采购平台进行招标文件的获取、文件下载和网上递交投标文件，且安全证书（CA锁）在有效期内。</w:t>
            </w:r>
          </w:p>
          <w:p w14:paraId="5BC19C1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登录“威海市公共资源交易网”首页右侧“交易服务一网通办-（新版）一网通办系统”进行“平台切换”，点击“国企采购”进入国企阳光采购平台，如跳转国企阳光采购平台时，提示用户不存在，可拨打技术支持电话（17863029936）咨询。</w:t>
            </w:r>
          </w:p>
          <w:p w14:paraId="164DFC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3.电子投标文件制作及递交等有关操作见本文件及威海市公共资源交易网-办事指南栏目-国企采购专区-《新版威海市国有企业阳光采购服务平台操作演示视频（</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）》，网址: https://ggzyjy.weihai.cn/bszn/005005/20260109/315a049e-0d75-4f85-8634-00d90a843936.html。投标文件制作及系统使用咨询电话：17863029936；QQ服务群：1046971257。</w:t>
            </w:r>
          </w:p>
          <w:p w14:paraId="6BC4CBD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w:t>
            </w:r>
            <w:r>
              <w:rPr>
                <w:rFonts w:hint="eastAsia" w:ascii="仿宋" w:hAnsi="仿宋" w:eastAsia="仿宋" w:cs="仿宋"/>
                <w:color w:val="auto"/>
                <w:sz w:val="28"/>
                <w:szCs w:val="28"/>
                <w:highlight w:val="none"/>
                <w:lang w:val="en-US" w:eastAsia="zh-CN"/>
              </w:rPr>
              <w:t>供应商</w:t>
            </w:r>
            <w:r>
              <w:rPr>
                <w:rFonts w:hint="eastAsia" w:ascii="仿宋" w:hAnsi="仿宋" w:eastAsia="仿宋" w:cs="仿宋"/>
                <w:color w:val="auto"/>
                <w:sz w:val="28"/>
                <w:szCs w:val="28"/>
                <w:highlight w:val="none"/>
              </w:rPr>
              <w:t>用户手册https://ggzyjy.weihai.cn/bszn/005005/20260109/eb4ba418-4b35-4f05-aa69-44fd7d8a7ffb.html）。</w:t>
            </w:r>
          </w:p>
          <w:p w14:paraId="6D1BED1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FAEB91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w:t>
            </w:r>
            <w:r>
              <w:rPr>
                <w:rFonts w:hint="eastAsia" w:ascii="仿宋" w:hAnsi="仿宋" w:eastAsia="仿宋" w:cs="仿宋"/>
                <w:color w:val="auto"/>
                <w:sz w:val="28"/>
                <w:szCs w:val="28"/>
                <w:highlight w:val="none"/>
                <w:lang w:val="en-US" w:eastAsia="zh-CN"/>
              </w:rPr>
              <w:t>必须</w:t>
            </w:r>
            <w:r>
              <w:rPr>
                <w:rFonts w:hint="eastAsia" w:ascii="仿宋" w:hAnsi="仿宋" w:eastAsia="仿宋" w:cs="仿宋"/>
                <w:color w:val="auto"/>
                <w:sz w:val="28"/>
                <w:szCs w:val="28"/>
                <w:highlight w:val="none"/>
              </w:rPr>
              <w:t>有电子签章方为合法的投标文件，未对电子投标文件进行电子签章的，将作为无效投标处理。电子投标文件的电子签章要求：在生成电子投标文件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格式时，都必须对电子投标文件进行电子签章；签章时需要将电子签章签署到相应的位置中。</w:t>
            </w:r>
          </w:p>
          <w:p w14:paraId="7A9931D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74D1EA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8.除网上递交电子投标文件外，如有要求递交相关资质证明文件原件的，还须按其要求独立密封递交（被授权人身份证原件除外）。</w:t>
            </w:r>
          </w:p>
          <w:p w14:paraId="55BD6FB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9.投标人应充分考虑到网上递交投标文件会发生的故障和风险。对发生的任何故障和风险造成投标人报价内容不一致或利益受损或投标失败的，采购人及采购代理机构不承担任何责任。</w:t>
            </w:r>
          </w:p>
        </w:tc>
      </w:tr>
      <w:tr w14:paraId="786F2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794" w:type="dxa"/>
            <w:tcBorders>
              <w:top w:val="single" w:color="auto" w:sz="4" w:space="0"/>
              <w:bottom w:val="single" w:color="auto" w:sz="4" w:space="0"/>
              <w:right w:val="single" w:color="auto" w:sz="4" w:space="0"/>
            </w:tcBorders>
            <w:noWrap w:val="0"/>
            <w:vAlign w:val="center"/>
          </w:tcPr>
          <w:p w14:paraId="4DBE95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8</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3ED38B0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资质证明文件原件</w:t>
            </w:r>
          </w:p>
        </w:tc>
        <w:tc>
          <w:tcPr>
            <w:tcW w:w="6825" w:type="dxa"/>
            <w:tcBorders>
              <w:top w:val="single" w:color="auto" w:sz="4" w:space="0"/>
              <w:left w:val="single" w:color="auto" w:sz="4" w:space="0"/>
              <w:bottom w:val="single" w:color="auto" w:sz="4" w:space="0"/>
            </w:tcBorders>
            <w:noWrap w:val="0"/>
            <w:vAlign w:val="center"/>
          </w:tcPr>
          <w:p w14:paraId="5F69F51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762893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794" w:type="dxa"/>
            <w:tcBorders>
              <w:top w:val="single" w:color="auto" w:sz="4" w:space="0"/>
              <w:bottom w:val="single" w:color="auto" w:sz="4" w:space="0"/>
              <w:right w:val="single" w:color="auto" w:sz="4" w:space="0"/>
            </w:tcBorders>
            <w:noWrap w:val="0"/>
            <w:vAlign w:val="center"/>
          </w:tcPr>
          <w:p w14:paraId="64D4C5B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9</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34A5809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825" w:type="dxa"/>
            <w:tcBorders>
              <w:top w:val="single" w:color="auto" w:sz="4" w:space="0"/>
              <w:left w:val="single" w:color="auto" w:sz="4" w:space="0"/>
              <w:bottom w:val="single" w:color="auto" w:sz="4" w:space="0"/>
            </w:tcBorders>
            <w:noWrap w:val="0"/>
            <w:vAlign w:val="center"/>
          </w:tcPr>
          <w:p w14:paraId="6F82FD43">
            <w:pPr>
              <w:keepNext w:val="0"/>
              <w:keepLines w:val="0"/>
              <w:pageBreakBefore w:val="0"/>
              <w:widowControl w:val="0"/>
              <w:shd w:val="clear"/>
              <w:kinsoku/>
              <w:wordWrap/>
              <w:overflowPunct/>
              <w:topLinePunct w:val="0"/>
              <w:autoSpaceDE/>
              <w:autoSpaceDN/>
              <w:bidi w:val="0"/>
              <w:adjustRightInd/>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网上按时递交电子投标文件1份以及纸质投标文件</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份</w:t>
            </w:r>
          </w:p>
        </w:tc>
      </w:tr>
      <w:tr w14:paraId="1AB5B6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794" w:type="dxa"/>
            <w:tcBorders>
              <w:top w:val="single" w:color="auto" w:sz="4" w:space="0"/>
              <w:bottom w:val="single" w:color="auto" w:sz="4" w:space="0"/>
              <w:right w:val="single" w:color="auto" w:sz="4" w:space="0"/>
            </w:tcBorders>
            <w:noWrap w:val="0"/>
            <w:vAlign w:val="center"/>
          </w:tcPr>
          <w:p w14:paraId="130749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08A7ED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825" w:type="dxa"/>
            <w:tcBorders>
              <w:top w:val="single" w:color="auto" w:sz="4" w:space="0"/>
              <w:left w:val="single" w:color="auto" w:sz="4" w:space="0"/>
              <w:bottom w:val="single" w:color="auto" w:sz="4" w:space="0"/>
            </w:tcBorders>
            <w:noWrap w:val="0"/>
            <w:vAlign w:val="center"/>
          </w:tcPr>
          <w:p w14:paraId="786FC09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67E928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794" w:type="dxa"/>
            <w:tcBorders>
              <w:top w:val="single" w:color="auto" w:sz="4" w:space="0"/>
              <w:bottom w:val="single" w:color="auto" w:sz="4" w:space="0"/>
              <w:right w:val="single" w:color="auto" w:sz="4" w:space="0"/>
            </w:tcBorders>
            <w:noWrap w:val="0"/>
            <w:vAlign w:val="center"/>
          </w:tcPr>
          <w:p w14:paraId="7E722D4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0B0E2E3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825" w:type="dxa"/>
            <w:tcBorders>
              <w:top w:val="single" w:color="auto" w:sz="4" w:space="0"/>
              <w:left w:val="single" w:color="auto" w:sz="4" w:space="0"/>
              <w:bottom w:val="single" w:color="auto" w:sz="4" w:space="0"/>
            </w:tcBorders>
            <w:noWrap w:val="0"/>
            <w:vAlign w:val="center"/>
          </w:tcPr>
          <w:p w14:paraId="373AAD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不组织</w:t>
            </w:r>
          </w:p>
        </w:tc>
      </w:tr>
      <w:tr w14:paraId="4A4D4B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794" w:type="dxa"/>
            <w:tcBorders>
              <w:top w:val="single" w:color="auto" w:sz="4" w:space="0"/>
              <w:bottom w:val="single" w:color="auto" w:sz="4" w:space="0"/>
              <w:right w:val="single" w:color="auto" w:sz="4" w:space="0"/>
            </w:tcBorders>
            <w:noWrap w:val="0"/>
            <w:vAlign w:val="center"/>
          </w:tcPr>
          <w:p w14:paraId="50EE9DE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6FC2329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6825" w:type="dxa"/>
            <w:tcBorders>
              <w:top w:val="single" w:color="auto" w:sz="4" w:space="0"/>
              <w:left w:val="single" w:color="auto" w:sz="4" w:space="0"/>
              <w:bottom w:val="single" w:color="auto" w:sz="4" w:space="0"/>
            </w:tcBorders>
            <w:noWrap w:val="0"/>
            <w:vAlign w:val="center"/>
          </w:tcPr>
          <w:p w14:paraId="4E0C37E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6640E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794" w:type="dxa"/>
            <w:tcBorders>
              <w:top w:val="single" w:color="auto" w:sz="4" w:space="0"/>
              <w:bottom w:val="single" w:color="auto" w:sz="4" w:space="0"/>
              <w:right w:val="single" w:color="auto" w:sz="4" w:space="0"/>
            </w:tcBorders>
            <w:noWrap w:val="0"/>
            <w:vAlign w:val="center"/>
          </w:tcPr>
          <w:p w14:paraId="71C69EE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13</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2824C6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825" w:type="dxa"/>
            <w:tcBorders>
              <w:top w:val="single" w:color="auto" w:sz="4" w:space="0"/>
              <w:left w:val="single" w:color="auto" w:sz="4" w:space="0"/>
              <w:bottom w:val="single" w:color="auto" w:sz="4" w:space="0"/>
            </w:tcBorders>
            <w:noWrap w:val="0"/>
            <w:vAlign w:val="center"/>
          </w:tcPr>
          <w:p w14:paraId="0E0912C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开标之日起90日</w:t>
            </w:r>
          </w:p>
        </w:tc>
      </w:tr>
      <w:tr w14:paraId="6C180D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94" w:type="dxa"/>
            <w:tcBorders>
              <w:top w:val="single" w:color="auto" w:sz="4" w:space="0"/>
              <w:bottom w:val="single" w:color="auto" w:sz="4" w:space="0"/>
              <w:right w:val="single" w:color="auto" w:sz="4" w:space="0"/>
            </w:tcBorders>
            <w:noWrap w:val="0"/>
            <w:vAlign w:val="center"/>
          </w:tcPr>
          <w:p w14:paraId="2B5C8B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7900C8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6825" w:type="dxa"/>
            <w:tcBorders>
              <w:top w:val="single" w:color="auto" w:sz="4" w:space="0"/>
              <w:left w:val="single" w:color="auto" w:sz="4" w:space="0"/>
              <w:bottom w:val="single" w:color="auto" w:sz="4" w:space="0"/>
            </w:tcBorders>
            <w:noWrap w:val="0"/>
            <w:vAlign w:val="center"/>
          </w:tcPr>
          <w:p w14:paraId="70802FF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电子投标文件递交时间：</w:t>
            </w:r>
            <w:r>
              <w:rPr>
                <w:rFonts w:hint="eastAsia" w:ascii="仿宋" w:hAnsi="仿宋" w:eastAsia="仿宋" w:cs="仿宋"/>
                <w:color w:val="auto"/>
                <w:spacing w:val="8"/>
                <w:kern w:val="0"/>
                <w:sz w:val="28"/>
                <w:szCs w:val="28"/>
                <w:highlight w:val="none"/>
                <w:lang w:val="en-US" w:eastAsia="zh-CN"/>
              </w:rPr>
              <w:t>详见招标公告</w:t>
            </w:r>
            <w:r>
              <w:rPr>
                <w:rFonts w:hint="eastAsia" w:ascii="仿宋" w:hAnsi="仿宋" w:eastAsia="仿宋" w:cs="仿宋"/>
                <w:color w:val="auto"/>
                <w:sz w:val="28"/>
                <w:szCs w:val="28"/>
                <w:highlight w:val="none"/>
                <w:lang w:eastAsia="zh-CN"/>
              </w:rPr>
              <w:t>。</w:t>
            </w:r>
          </w:p>
          <w:p w14:paraId="5309DC5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纸质投标文件递交：</w:t>
            </w:r>
          </w:p>
          <w:p w14:paraId="4C9D0C7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2.1投标人以邮寄的方式进行递交（收件人：</w:t>
            </w:r>
            <w:r>
              <w:rPr>
                <w:rFonts w:hint="eastAsia" w:ascii="仿宋" w:hAnsi="仿宋" w:eastAsia="仿宋" w:cs="仿宋"/>
                <w:color w:val="auto"/>
                <w:sz w:val="28"/>
                <w:szCs w:val="28"/>
                <w:highlight w:val="none"/>
                <w:lang w:eastAsia="zh-CN"/>
              </w:rPr>
              <w:t>毕建伟，</w:t>
            </w: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0631-5188996，</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威海经济技术开发区青岛中路-77A号长峰商业广场1211室，山东志诚工程咨询管理有限公司</w:t>
            </w:r>
            <w:r>
              <w:rPr>
                <w:rFonts w:hint="eastAsia" w:ascii="仿宋" w:hAnsi="仿宋" w:eastAsia="仿宋" w:cs="仿宋"/>
                <w:color w:val="auto"/>
                <w:sz w:val="28"/>
                <w:szCs w:val="28"/>
                <w:highlight w:val="none"/>
              </w:rPr>
              <w:t>）。基于项目资料归档的要求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最迟邮寄到达时间为开标后三个工作日内。</w:t>
            </w:r>
          </w:p>
          <w:p w14:paraId="5C0EC75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2.2纸质投标文件（第一册、第二册</w:t>
            </w:r>
            <w:r>
              <w:rPr>
                <w:rFonts w:hint="eastAsia" w:ascii="仿宋" w:hAnsi="仿宋" w:eastAsia="仿宋" w:cs="仿宋"/>
                <w:color w:val="auto"/>
                <w:sz w:val="28"/>
                <w:szCs w:val="28"/>
                <w:highlight w:val="none"/>
                <w:lang w:val="en-US" w:eastAsia="zh-CN"/>
              </w:rPr>
              <w:t>装订</w:t>
            </w:r>
            <w:r>
              <w:rPr>
                <w:rFonts w:hint="eastAsia" w:ascii="仿宋" w:hAnsi="仿宋" w:eastAsia="仿宋" w:cs="仿宋"/>
                <w:color w:val="auto"/>
                <w:sz w:val="28"/>
                <w:szCs w:val="28"/>
                <w:highlight w:val="none"/>
              </w:rPr>
              <w:t>成一册）共</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将纸质投标文件密封在密封袋中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并在封口处粘贴封条。</w:t>
            </w:r>
          </w:p>
          <w:p w14:paraId="03FB9B8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2.3封套内容：</w:t>
            </w:r>
          </w:p>
          <w:p w14:paraId="0340287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山东志诚工程咨询管理有限公司</w:t>
            </w:r>
          </w:p>
          <w:p w14:paraId="23BB71D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选定客运中心（威海站、威海北站）消防维保服务单位</w:t>
            </w:r>
          </w:p>
          <w:p w14:paraId="1B5DF70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WHJTCZ2026-0009</w:t>
            </w:r>
          </w:p>
          <w:p w14:paraId="225CF22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投标单位：XXXXXX</w:t>
            </w:r>
          </w:p>
          <w:p w14:paraId="7FF69D9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注明“开标时才能启封”字样。</w:t>
            </w:r>
          </w:p>
        </w:tc>
      </w:tr>
      <w:tr w14:paraId="336F8B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94" w:type="dxa"/>
            <w:tcBorders>
              <w:top w:val="single" w:color="auto" w:sz="4" w:space="0"/>
              <w:bottom w:val="single" w:color="auto" w:sz="4" w:space="0"/>
              <w:right w:val="single" w:color="auto" w:sz="4" w:space="0"/>
            </w:tcBorders>
            <w:noWrap w:val="0"/>
            <w:vAlign w:val="center"/>
          </w:tcPr>
          <w:p w14:paraId="3F834EA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15</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59EFD6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825" w:type="dxa"/>
            <w:tcBorders>
              <w:top w:val="single" w:color="auto" w:sz="4" w:space="0"/>
              <w:left w:val="single" w:color="auto" w:sz="4" w:space="0"/>
              <w:bottom w:val="single" w:color="auto" w:sz="4" w:space="0"/>
            </w:tcBorders>
            <w:noWrap w:val="0"/>
            <w:vAlign w:val="center"/>
          </w:tcPr>
          <w:p w14:paraId="28634EB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pacing w:val="8"/>
                <w:kern w:val="0"/>
                <w:sz w:val="28"/>
                <w:szCs w:val="28"/>
                <w:highlight w:val="none"/>
                <w:lang w:val="en-US" w:eastAsia="zh-CN"/>
              </w:rPr>
              <w:t>详见招标公告</w:t>
            </w:r>
          </w:p>
        </w:tc>
      </w:tr>
      <w:tr w14:paraId="6BAD0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794" w:type="dxa"/>
            <w:tcBorders>
              <w:top w:val="single" w:color="auto" w:sz="4" w:space="0"/>
              <w:bottom w:val="single" w:color="auto" w:sz="4" w:space="0"/>
              <w:right w:val="single" w:color="auto" w:sz="4" w:space="0"/>
            </w:tcBorders>
            <w:noWrap w:val="0"/>
            <w:vAlign w:val="center"/>
          </w:tcPr>
          <w:p w14:paraId="3292705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16</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3B057DF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825" w:type="dxa"/>
            <w:tcBorders>
              <w:top w:val="single" w:color="auto" w:sz="4" w:space="0"/>
              <w:left w:val="single" w:color="auto" w:sz="4" w:space="0"/>
              <w:bottom w:val="single" w:color="auto" w:sz="4" w:space="0"/>
            </w:tcBorders>
            <w:noWrap w:val="0"/>
            <w:vAlign w:val="center"/>
          </w:tcPr>
          <w:p w14:paraId="14BEC0F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详见招标公告</w:t>
            </w:r>
          </w:p>
        </w:tc>
      </w:tr>
      <w:tr w14:paraId="132E8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794" w:type="dxa"/>
            <w:tcBorders>
              <w:top w:val="single" w:color="auto" w:sz="4" w:space="0"/>
              <w:bottom w:val="single" w:color="auto" w:sz="4" w:space="0"/>
              <w:right w:val="single" w:color="auto" w:sz="4" w:space="0"/>
            </w:tcBorders>
            <w:noWrap w:val="0"/>
            <w:vAlign w:val="center"/>
          </w:tcPr>
          <w:p w14:paraId="5DECD1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17</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4495DF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825" w:type="dxa"/>
            <w:tcBorders>
              <w:top w:val="single" w:color="auto" w:sz="4" w:space="0"/>
              <w:left w:val="single" w:color="auto" w:sz="4" w:space="0"/>
              <w:bottom w:val="single" w:color="auto" w:sz="4" w:space="0"/>
            </w:tcBorders>
            <w:noWrap w:val="0"/>
            <w:vAlign w:val="center"/>
          </w:tcPr>
          <w:p w14:paraId="5875E8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通过交易系统线上参加开标活动。开评标期间需实时关注交易系统相关通知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且被授权人的联络方式应保持畅通。</w:t>
            </w:r>
          </w:p>
        </w:tc>
      </w:tr>
      <w:tr w14:paraId="4453E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794" w:type="dxa"/>
            <w:tcBorders>
              <w:top w:val="single" w:color="auto" w:sz="4" w:space="0"/>
              <w:bottom w:val="single" w:color="auto" w:sz="4" w:space="0"/>
              <w:right w:val="single" w:color="auto" w:sz="4" w:space="0"/>
            </w:tcBorders>
            <w:noWrap w:val="0"/>
            <w:vAlign w:val="center"/>
          </w:tcPr>
          <w:p w14:paraId="4FA466C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18</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508F29F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825" w:type="dxa"/>
            <w:tcBorders>
              <w:top w:val="single" w:color="auto" w:sz="4" w:space="0"/>
              <w:left w:val="single" w:color="auto" w:sz="4" w:space="0"/>
              <w:bottom w:val="single" w:color="auto" w:sz="4" w:space="0"/>
            </w:tcBorders>
            <w:noWrap w:val="0"/>
            <w:vAlign w:val="center"/>
          </w:tcPr>
          <w:p w14:paraId="4AC1A37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签到时间：开标时间前完成</w:t>
            </w:r>
          </w:p>
          <w:p w14:paraId="3D98A9F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48F264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794" w:type="dxa"/>
            <w:tcBorders>
              <w:top w:val="single" w:color="auto" w:sz="4" w:space="0"/>
              <w:bottom w:val="single" w:color="auto" w:sz="4" w:space="0"/>
              <w:right w:val="single" w:color="auto" w:sz="4" w:space="0"/>
            </w:tcBorders>
            <w:noWrap w:val="0"/>
            <w:vAlign w:val="center"/>
          </w:tcPr>
          <w:p w14:paraId="4F6A412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19</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5241FF9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825" w:type="dxa"/>
            <w:tcBorders>
              <w:top w:val="single" w:color="auto" w:sz="4" w:space="0"/>
              <w:left w:val="single" w:color="auto" w:sz="4" w:space="0"/>
              <w:bottom w:val="single" w:color="auto" w:sz="4" w:space="0"/>
            </w:tcBorders>
            <w:noWrap w:val="0"/>
            <w:vAlign w:val="center"/>
          </w:tcPr>
          <w:p w14:paraId="491942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70C656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794" w:type="dxa"/>
            <w:tcBorders>
              <w:top w:val="single" w:color="auto" w:sz="4" w:space="0"/>
              <w:bottom w:val="single" w:color="auto" w:sz="4" w:space="0"/>
              <w:right w:val="single" w:color="auto" w:sz="4" w:space="0"/>
            </w:tcBorders>
            <w:noWrap w:val="0"/>
            <w:vAlign w:val="center"/>
          </w:tcPr>
          <w:p w14:paraId="4CA2C4D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501519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6825" w:type="dxa"/>
            <w:tcBorders>
              <w:top w:val="single" w:color="auto" w:sz="4" w:space="0"/>
              <w:left w:val="single" w:color="auto" w:sz="4" w:space="0"/>
              <w:bottom w:val="single" w:color="auto" w:sz="4" w:space="0"/>
            </w:tcBorders>
            <w:noWrap w:val="0"/>
            <w:vAlign w:val="center"/>
          </w:tcPr>
          <w:p w14:paraId="0A6365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688918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794" w:type="dxa"/>
            <w:tcBorders>
              <w:top w:val="single" w:color="auto" w:sz="4" w:space="0"/>
              <w:bottom w:val="single" w:color="auto" w:sz="4" w:space="0"/>
              <w:right w:val="single" w:color="auto" w:sz="4" w:space="0"/>
            </w:tcBorders>
            <w:noWrap w:val="0"/>
            <w:vAlign w:val="center"/>
          </w:tcPr>
          <w:p w14:paraId="48C71B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21</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49A453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6825" w:type="dxa"/>
            <w:tcBorders>
              <w:top w:val="single" w:color="auto" w:sz="4" w:space="0"/>
              <w:left w:val="single" w:color="auto" w:sz="4" w:space="0"/>
              <w:bottom w:val="single" w:color="auto" w:sz="4" w:space="0"/>
            </w:tcBorders>
            <w:noWrap w:val="0"/>
            <w:vAlign w:val="center"/>
          </w:tcPr>
          <w:p w14:paraId="40C8E44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235D75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794" w:type="dxa"/>
            <w:tcBorders>
              <w:top w:val="single" w:color="auto" w:sz="4" w:space="0"/>
              <w:bottom w:val="single" w:color="auto" w:sz="4" w:space="0"/>
              <w:right w:val="single" w:color="auto" w:sz="4" w:space="0"/>
            </w:tcBorders>
            <w:noWrap w:val="0"/>
            <w:vAlign w:val="center"/>
          </w:tcPr>
          <w:p w14:paraId="61A42D0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22</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041AC0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825" w:type="dxa"/>
            <w:tcBorders>
              <w:top w:val="single" w:color="auto" w:sz="4" w:space="0"/>
              <w:left w:val="single" w:color="auto" w:sz="4" w:space="0"/>
              <w:bottom w:val="single" w:color="auto" w:sz="4" w:space="0"/>
            </w:tcBorders>
            <w:noWrap w:val="0"/>
            <w:vAlign w:val="center"/>
          </w:tcPr>
          <w:p w14:paraId="20A7351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bookmarkStart w:id="6" w:name="_Hlk58068062"/>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本项目投标保证金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人民币</w:t>
            </w:r>
            <w:r>
              <w:rPr>
                <w:rFonts w:hint="eastAsia" w:ascii="仿宋" w:hAnsi="仿宋" w:eastAsia="仿宋" w:cs="仿宋"/>
                <w:color w:val="auto"/>
                <w:sz w:val="28"/>
                <w:szCs w:val="28"/>
                <w:highlight w:val="none"/>
                <w:lang w:val="en-US" w:eastAsia="zh-CN"/>
              </w:rPr>
              <w:t>5000</w:t>
            </w:r>
            <w:r>
              <w:rPr>
                <w:rFonts w:hint="eastAsia" w:ascii="仿宋" w:hAnsi="仿宋" w:eastAsia="仿宋" w:cs="仿宋"/>
                <w:color w:val="auto"/>
                <w:sz w:val="28"/>
                <w:szCs w:val="28"/>
                <w:highlight w:val="none"/>
              </w:rPr>
              <w:t>.00元</w:t>
            </w:r>
            <w:r>
              <w:rPr>
                <w:rFonts w:hint="eastAsia" w:ascii="仿宋" w:hAnsi="仿宋" w:eastAsia="仿宋" w:cs="仿宋"/>
                <w:color w:val="auto"/>
                <w:sz w:val="28"/>
                <w:szCs w:val="28"/>
                <w:highlight w:val="none"/>
                <w:lang w:eastAsia="zh-CN"/>
              </w:rPr>
              <w:t>。</w:t>
            </w:r>
          </w:p>
          <w:p w14:paraId="5434B33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.交纳</w:t>
            </w:r>
            <w:r>
              <w:rPr>
                <w:rFonts w:hint="eastAsia" w:ascii="仿宋" w:hAnsi="仿宋" w:eastAsia="仿宋" w:cs="仿宋"/>
                <w:color w:val="auto"/>
                <w:sz w:val="28"/>
                <w:szCs w:val="28"/>
                <w:highlight w:val="none"/>
              </w:rPr>
              <w:t>截止时间：</w:t>
            </w:r>
            <w:r>
              <w:rPr>
                <w:rFonts w:hint="eastAsia" w:ascii="仿宋" w:hAnsi="仿宋" w:eastAsia="仿宋" w:cs="仿宋"/>
                <w:color w:val="auto"/>
                <w:sz w:val="28"/>
                <w:szCs w:val="28"/>
                <w:highlight w:val="none"/>
                <w:lang w:val="en-US" w:eastAsia="zh-CN"/>
              </w:rPr>
              <w:t>同电子</w:t>
            </w:r>
            <w:r>
              <w:rPr>
                <w:rFonts w:hint="eastAsia" w:ascii="仿宋" w:hAnsi="仿宋" w:eastAsia="仿宋" w:cs="仿宋"/>
                <w:color w:val="auto"/>
                <w:sz w:val="28"/>
                <w:szCs w:val="28"/>
                <w:highlight w:val="none"/>
              </w:rPr>
              <w:t>投标文件</w:t>
            </w:r>
            <w:r>
              <w:rPr>
                <w:rFonts w:hint="eastAsia" w:ascii="仿宋" w:hAnsi="仿宋" w:eastAsia="仿宋" w:cs="仿宋"/>
                <w:color w:val="auto"/>
                <w:sz w:val="28"/>
                <w:szCs w:val="28"/>
                <w:highlight w:val="none"/>
                <w:lang w:val="en-US" w:eastAsia="zh-CN"/>
              </w:rPr>
              <w:t>提交</w:t>
            </w:r>
            <w:r>
              <w:rPr>
                <w:rFonts w:hint="eastAsia" w:ascii="仿宋" w:hAnsi="仿宋" w:eastAsia="仿宋" w:cs="仿宋"/>
                <w:color w:val="auto"/>
                <w:sz w:val="28"/>
                <w:szCs w:val="28"/>
                <w:highlight w:val="none"/>
              </w:rPr>
              <w:t>截止时间。</w:t>
            </w:r>
          </w:p>
          <w:bookmarkEnd w:id="6"/>
          <w:p w14:paraId="1D65B82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投标保证金的交纳单位必须与投标人名称一致，投标保证金须从其基本账户转出，否则其投标无效。</w:t>
            </w:r>
          </w:p>
          <w:p w14:paraId="4705463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本项目的投标保证金必须通过国企阳光采购平台交纳，使用说明参见威海市公共资源交易网（http://ggzyjy.weihai.cn）的 “办事指南—国企采购专区”中《威海市国有企业阳光采购电子化服务平台线上投标保证金操作手册》。</w:t>
            </w:r>
          </w:p>
          <w:p w14:paraId="2EE7D1A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为确保投标工作有序进行，投标保证金应当在递交投标文件截止时间前（以到账时间为准）到达收款帐户，收款账户名称以投标单位在系统中获取到的虚拟子账号信息为准，以网银、电汇等方式一次性足额交纳保证金，不接受支付宝等第三方平台转账。禁止第三方代交。投标保证金交纳单位应与递交投标文件的投标人名称一致。（注：请投标单位务必注意以系统生成的交纳账号信息为准，进行保证金的交纳，并及时通过平台查询确认保证金到账情况，因操作不当造成投标保证金递交失败的，由投标单位自行承担相应责任）</w:t>
            </w:r>
            <w:r>
              <w:rPr>
                <w:rFonts w:hint="eastAsia" w:ascii="仿宋" w:hAnsi="仿宋" w:eastAsia="仿宋" w:cs="仿宋"/>
                <w:color w:val="auto"/>
                <w:sz w:val="28"/>
                <w:szCs w:val="28"/>
                <w:highlight w:val="none"/>
                <w:lang w:eastAsia="zh-CN"/>
              </w:rPr>
              <w:t>。</w:t>
            </w:r>
          </w:p>
          <w:p w14:paraId="52E526A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为确保投标人投标保证金及时足额到账，请尽量提前交纳保证金，由于银行系统原因，请至少在递交投标文件截止时间前12 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p w14:paraId="295D3E7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退还保证金：目前系统采用自动退还保证金操作，分为未中标人退还和中标人退还。代理公司向中标人发送中标通知书后，系统自动退还未中标人保证金；招标人和中标人签署完合同后，系统自动退还中标人保证金。</w:t>
            </w:r>
          </w:p>
        </w:tc>
      </w:tr>
      <w:tr w14:paraId="5A032E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794" w:type="dxa"/>
            <w:tcBorders>
              <w:top w:val="single" w:color="auto" w:sz="4" w:space="0"/>
              <w:bottom w:val="single" w:color="auto" w:sz="4" w:space="0"/>
              <w:right w:val="single" w:color="auto" w:sz="4" w:space="0"/>
            </w:tcBorders>
            <w:noWrap w:val="0"/>
            <w:vAlign w:val="center"/>
          </w:tcPr>
          <w:p w14:paraId="7129926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23</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320F4EC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825" w:type="dxa"/>
            <w:tcBorders>
              <w:top w:val="single" w:color="auto" w:sz="4" w:space="0"/>
              <w:left w:val="single" w:color="auto" w:sz="4" w:space="0"/>
              <w:bottom w:val="single" w:color="auto" w:sz="4" w:space="0"/>
            </w:tcBorders>
            <w:noWrap w:val="0"/>
            <w:vAlign w:val="center"/>
          </w:tcPr>
          <w:p w14:paraId="33CCAD3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无</w:t>
            </w:r>
          </w:p>
        </w:tc>
      </w:tr>
      <w:tr w14:paraId="3E6BA4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94" w:type="dxa"/>
            <w:tcBorders>
              <w:top w:val="single" w:color="auto" w:sz="4" w:space="0"/>
              <w:bottom w:val="single" w:color="auto" w:sz="4" w:space="0"/>
              <w:right w:val="single" w:color="auto" w:sz="4" w:space="0"/>
            </w:tcBorders>
            <w:noWrap w:val="0"/>
            <w:vAlign w:val="center"/>
          </w:tcPr>
          <w:p w14:paraId="54A787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24</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7650DE0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825" w:type="dxa"/>
            <w:tcBorders>
              <w:top w:val="single" w:color="auto" w:sz="4" w:space="0"/>
              <w:left w:val="single" w:color="auto" w:sz="4" w:space="0"/>
              <w:bottom w:val="single" w:color="auto" w:sz="4" w:space="0"/>
            </w:tcBorders>
            <w:noWrap w:val="0"/>
            <w:vAlign w:val="center"/>
          </w:tcPr>
          <w:p w14:paraId="4BCF42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见合同范本</w:t>
            </w:r>
          </w:p>
        </w:tc>
      </w:tr>
      <w:tr w14:paraId="19E27A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794" w:type="dxa"/>
            <w:tcBorders>
              <w:top w:val="single" w:color="auto" w:sz="4" w:space="0"/>
              <w:bottom w:val="single" w:color="auto" w:sz="4" w:space="0"/>
              <w:right w:val="single" w:color="auto" w:sz="4" w:space="0"/>
            </w:tcBorders>
            <w:noWrap w:val="0"/>
            <w:vAlign w:val="center"/>
          </w:tcPr>
          <w:p w14:paraId="2756D2E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25</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3A8F0E3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val="en-US" w:eastAsia="zh-CN"/>
              </w:rPr>
              <w:t>代理服务费</w:t>
            </w:r>
          </w:p>
        </w:tc>
        <w:tc>
          <w:tcPr>
            <w:tcW w:w="6825" w:type="dxa"/>
            <w:tcBorders>
              <w:top w:val="single" w:color="auto" w:sz="4" w:space="0"/>
              <w:left w:val="single" w:color="auto" w:sz="4" w:space="0"/>
              <w:bottom w:val="single" w:color="auto" w:sz="4" w:space="0"/>
            </w:tcBorders>
            <w:noWrap w:val="0"/>
            <w:vAlign w:val="center"/>
          </w:tcPr>
          <w:p w14:paraId="0E765D3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招标代理服务费全部由中标单位支付，此费用包含在投标报价中，招标人不再另行考虑。代理服务费参照执行计价格〔2002〕1980 号文件及发改价格〔2011〕534 号文件收费标准的80%计取。（不足</w:t>
            </w:r>
            <w:r>
              <w:rPr>
                <w:rFonts w:hint="eastAsia" w:ascii="仿宋" w:hAnsi="仿宋" w:eastAsia="仿宋" w:cs="仿宋"/>
                <w:color w:val="auto"/>
                <w:sz w:val="28"/>
                <w:szCs w:val="28"/>
                <w:highlight w:val="none"/>
                <w:lang w:val="en-US" w:eastAsia="zh-CN"/>
              </w:rPr>
              <w:t>2000</w:t>
            </w:r>
            <w:r>
              <w:rPr>
                <w:rFonts w:hint="eastAsia" w:ascii="仿宋" w:hAnsi="仿宋" w:eastAsia="仿宋" w:cs="仿宋"/>
                <w:color w:val="auto"/>
                <w:sz w:val="28"/>
                <w:szCs w:val="28"/>
                <w:highlight w:val="none"/>
              </w:rPr>
              <w:t>元按</w:t>
            </w:r>
            <w:r>
              <w:rPr>
                <w:rFonts w:hint="eastAsia" w:ascii="仿宋" w:hAnsi="仿宋" w:eastAsia="仿宋" w:cs="仿宋"/>
                <w:color w:val="auto"/>
                <w:sz w:val="28"/>
                <w:szCs w:val="28"/>
                <w:highlight w:val="none"/>
                <w:lang w:val="en-US" w:eastAsia="zh-CN"/>
              </w:rPr>
              <w:t>固定价2000收取</w:t>
            </w:r>
            <w:r>
              <w:rPr>
                <w:rFonts w:hint="eastAsia" w:ascii="仿宋" w:hAnsi="仿宋" w:eastAsia="仿宋" w:cs="仿宋"/>
                <w:color w:val="auto"/>
                <w:sz w:val="28"/>
                <w:szCs w:val="28"/>
                <w:highlight w:val="none"/>
              </w:rPr>
              <w:t>）。</w:t>
            </w:r>
          </w:p>
          <w:p w14:paraId="77283F2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交费时间及交费方式：</w:t>
            </w:r>
            <w:r>
              <w:rPr>
                <w:rFonts w:hint="eastAsia" w:ascii="仿宋" w:hAnsi="仿宋" w:eastAsia="仿宋" w:cs="仿宋"/>
                <w:color w:val="auto"/>
                <w:sz w:val="28"/>
                <w:szCs w:val="28"/>
                <w:highlight w:val="none"/>
                <w:lang w:eastAsia="zh-CN"/>
              </w:rPr>
              <w:t>中标人</w:t>
            </w:r>
            <w:r>
              <w:rPr>
                <w:rFonts w:hint="eastAsia" w:ascii="仿宋" w:hAnsi="仿宋" w:eastAsia="仿宋" w:cs="仿宋"/>
                <w:color w:val="auto"/>
                <w:sz w:val="28"/>
                <w:szCs w:val="28"/>
                <w:highlight w:val="none"/>
              </w:rPr>
              <w:t>在收到中标通知书</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rPr>
              <w:t>以电汇或现金形式缴纳。</w:t>
            </w:r>
          </w:p>
          <w:p w14:paraId="2A7D252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开户名称：山东志诚工程咨询管理有限公司威海分公司</w:t>
            </w:r>
          </w:p>
          <w:p w14:paraId="7EEE355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开户银行：中国建设银行荣成支行</w:t>
            </w:r>
          </w:p>
          <w:p w14:paraId="1E2A4C2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银行账号：37001706608050154211</w:t>
            </w:r>
          </w:p>
          <w:p w14:paraId="33A9F7A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（备注：项目编号+服务费）</w:t>
            </w:r>
          </w:p>
          <w:p w14:paraId="1ACFF49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601647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794" w:type="dxa"/>
            <w:tcBorders>
              <w:top w:val="single" w:color="auto" w:sz="4" w:space="0"/>
              <w:bottom w:val="single" w:color="auto" w:sz="4" w:space="0"/>
              <w:right w:val="single" w:color="auto" w:sz="4" w:space="0"/>
            </w:tcBorders>
            <w:noWrap w:val="0"/>
            <w:vAlign w:val="center"/>
          </w:tcPr>
          <w:p w14:paraId="408E57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26</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062BAC9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专家评审费</w:t>
            </w:r>
          </w:p>
        </w:tc>
        <w:tc>
          <w:tcPr>
            <w:tcW w:w="6825" w:type="dxa"/>
            <w:tcBorders>
              <w:top w:val="single" w:color="auto" w:sz="4" w:space="0"/>
              <w:left w:val="single" w:color="auto" w:sz="4" w:space="0"/>
              <w:bottom w:val="single" w:color="auto" w:sz="4" w:space="0"/>
            </w:tcBorders>
            <w:noWrap w:val="0"/>
            <w:vAlign w:val="center"/>
          </w:tcPr>
          <w:p w14:paraId="3366FC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专家评审费由中标单位缴纳，按实收取。</w:t>
            </w:r>
          </w:p>
        </w:tc>
      </w:tr>
      <w:tr w14:paraId="15221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794" w:type="dxa"/>
            <w:tcBorders>
              <w:top w:val="single" w:color="auto" w:sz="4" w:space="0"/>
              <w:bottom w:val="single" w:color="auto" w:sz="4" w:space="0"/>
              <w:right w:val="single" w:color="auto" w:sz="4" w:space="0"/>
            </w:tcBorders>
            <w:noWrap w:val="0"/>
            <w:vAlign w:val="center"/>
          </w:tcPr>
          <w:p w14:paraId="7B9C65D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27</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38B67C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825" w:type="dxa"/>
            <w:tcBorders>
              <w:top w:val="single" w:color="auto" w:sz="4" w:space="0"/>
              <w:left w:val="single" w:color="auto" w:sz="4" w:space="0"/>
              <w:bottom w:val="single" w:color="auto" w:sz="4" w:space="0"/>
            </w:tcBorders>
            <w:noWrap w:val="0"/>
            <w:vAlign w:val="center"/>
          </w:tcPr>
          <w:p w14:paraId="2387A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否</w:t>
            </w:r>
          </w:p>
        </w:tc>
      </w:tr>
      <w:tr w14:paraId="19A1B7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794" w:type="dxa"/>
            <w:tcBorders>
              <w:top w:val="single" w:color="auto" w:sz="4" w:space="0"/>
              <w:bottom w:val="single" w:color="auto" w:sz="4" w:space="0"/>
              <w:right w:val="single" w:color="auto" w:sz="4" w:space="0"/>
            </w:tcBorders>
            <w:noWrap w:val="0"/>
            <w:vAlign w:val="center"/>
          </w:tcPr>
          <w:p w14:paraId="63C4669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8</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562CC2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825" w:type="dxa"/>
            <w:tcBorders>
              <w:top w:val="single" w:color="auto" w:sz="4" w:space="0"/>
              <w:left w:val="single" w:color="auto" w:sz="4" w:space="0"/>
              <w:bottom w:val="single" w:color="auto" w:sz="4" w:space="0"/>
            </w:tcBorders>
            <w:noWrap w:val="0"/>
            <w:vAlign w:val="center"/>
          </w:tcPr>
          <w:p w14:paraId="68809D6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1.本项目</w:t>
            </w:r>
            <w:r>
              <w:rPr>
                <w:rFonts w:hint="eastAsia" w:ascii="仿宋" w:hAnsi="仿宋" w:eastAsia="仿宋" w:cs="仿宋"/>
                <w:color w:val="auto"/>
                <w:sz w:val="28"/>
                <w:szCs w:val="28"/>
                <w:highlight w:val="none"/>
                <w:lang w:val="en-US" w:eastAsia="zh-CN"/>
              </w:rPr>
              <w:t>按服务类</w:t>
            </w:r>
            <w:r>
              <w:rPr>
                <w:rFonts w:hint="eastAsia" w:ascii="仿宋" w:hAnsi="仿宋" w:eastAsia="仿宋" w:cs="仿宋"/>
                <w:color w:val="auto"/>
                <w:sz w:val="28"/>
                <w:szCs w:val="28"/>
                <w:highlight w:val="none"/>
              </w:rPr>
              <w:t>以公开招标方式实施采购。</w:t>
            </w:r>
          </w:p>
          <w:p w14:paraId="5694AC7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2.如投标单位在本次项目中弄虚作假成为中标人的,后期一经发现将取消其已中标资格，且今后不再录用，给招标人造成损失的，招标人有权索要赔偿。</w:t>
            </w:r>
          </w:p>
          <w:p w14:paraId="2562867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1B8DA3B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4.投标人不得对本项目进行分包或转包。如投标人在中标后出现上述情况，一经招标人发现立即取消其中标资格。</w:t>
            </w:r>
          </w:p>
        </w:tc>
      </w:tr>
      <w:tr w14:paraId="4A84A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794" w:type="dxa"/>
            <w:tcBorders>
              <w:top w:val="single" w:color="auto" w:sz="4" w:space="0"/>
              <w:bottom w:val="single" w:color="auto" w:sz="4" w:space="0"/>
              <w:right w:val="single" w:color="auto" w:sz="4" w:space="0"/>
            </w:tcBorders>
            <w:noWrap w:val="0"/>
            <w:vAlign w:val="center"/>
          </w:tcPr>
          <w:p w14:paraId="52E178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29</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541008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失信被执行人查询路径</w:t>
            </w:r>
          </w:p>
        </w:tc>
        <w:tc>
          <w:tcPr>
            <w:tcW w:w="6825" w:type="dxa"/>
            <w:tcBorders>
              <w:top w:val="single" w:color="auto" w:sz="4" w:space="0"/>
              <w:left w:val="single" w:color="auto" w:sz="4" w:space="0"/>
              <w:bottom w:val="single" w:color="auto" w:sz="4" w:space="0"/>
            </w:tcBorders>
            <w:noWrap w:val="0"/>
            <w:vAlign w:val="center"/>
          </w:tcPr>
          <w:p w14:paraId="5AE3704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1.全国法院失信被执行人名单信息公布与查询平台（https://zxgk.court.gov.cn/shixin/）：进入页面→查询条件输入被执行人姓名/名称、身份证号码/组织机构代码（选填）等信息，省份选择全部→点击查询→有反馈结果后，保存。</w:t>
            </w:r>
          </w:p>
          <w:p w14:paraId="1F7EE07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中国执行信息公开网（https://zxgk.court.gov.cn/）：进入页面→点击左侧“失信被执行人”进入全国法院失信被执行人名单信息公布与查询平台（https://zxgk.court.gov.cn/shixin/）→查询条件输入被执行人姓名/名称、身份证号码/组织机构代码（选填）等信息，省份选择全部→点击查询→有反馈结果后，保存。</w:t>
            </w:r>
          </w:p>
          <w:p w14:paraId="7B18F7A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注：以上2个查询路径任选其一即可。</w:t>
            </w:r>
          </w:p>
        </w:tc>
      </w:tr>
      <w:tr w14:paraId="178D1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794" w:type="dxa"/>
            <w:tcBorders>
              <w:top w:val="single" w:color="auto" w:sz="4" w:space="0"/>
              <w:bottom w:val="single" w:color="auto" w:sz="4" w:space="0"/>
              <w:right w:val="single" w:color="auto" w:sz="4" w:space="0"/>
            </w:tcBorders>
            <w:noWrap w:val="0"/>
            <w:vAlign w:val="center"/>
          </w:tcPr>
          <w:p w14:paraId="59F794B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30</w:t>
            </w:r>
          </w:p>
        </w:tc>
        <w:tc>
          <w:tcPr>
            <w:tcW w:w="2098" w:type="dxa"/>
            <w:tcBorders>
              <w:top w:val="single" w:color="auto" w:sz="4" w:space="0"/>
              <w:left w:val="single" w:color="auto" w:sz="4" w:space="0"/>
              <w:bottom w:val="single" w:color="auto" w:sz="4" w:space="0"/>
              <w:right w:val="single" w:color="auto" w:sz="4" w:space="0"/>
            </w:tcBorders>
            <w:noWrap w:val="0"/>
            <w:vAlign w:val="center"/>
          </w:tcPr>
          <w:p w14:paraId="5010BF7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信用报告查询路径</w:t>
            </w:r>
          </w:p>
        </w:tc>
        <w:tc>
          <w:tcPr>
            <w:tcW w:w="6825" w:type="dxa"/>
            <w:tcBorders>
              <w:top w:val="single" w:color="auto" w:sz="4" w:space="0"/>
              <w:left w:val="single" w:color="auto" w:sz="4" w:space="0"/>
              <w:bottom w:val="single" w:color="auto" w:sz="4" w:space="0"/>
            </w:tcBorders>
            <w:noWrap w:val="0"/>
            <w:vAlign w:val="center"/>
          </w:tcPr>
          <w:p w14:paraId="436DD4B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1.信用中国（www.creditchina.gov.cn）：进入信用中国首页→右上方“信用信息”查询框内输入企业名称/统一社会信用代码等信息搜索→点击要查询的企业→下载信用信息报告。</w:t>
            </w:r>
          </w:p>
          <w:p w14:paraId="7C3A0DB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2.信用中国（山东）（credit.shandong.gov.cn）：进入信用中国（山东）首页→上方“信用中国信息查询”查询框内输入企业名称/统一社会信用代码等信息查询→点击要查询的企业→下载信用信息报告。</w:t>
            </w:r>
          </w:p>
          <w:p w14:paraId="7453EFA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lang w:val="en-US" w:eastAsia="zh-CN"/>
              </w:rPr>
              <w:t>注：以上2个查询路径任选其一即可。</w:t>
            </w:r>
          </w:p>
        </w:tc>
      </w:tr>
    </w:tbl>
    <w:p w14:paraId="172F3724">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《实质性条款一览表》</w:t>
      </w:r>
    </w:p>
    <w:p w14:paraId="5A483F2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否则投标将被否决。</w:t>
      </w:r>
    </w:p>
    <w:tbl>
      <w:tblPr>
        <w:tblStyle w:val="30"/>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8"/>
        <w:gridCol w:w="2156"/>
        <w:gridCol w:w="6888"/>
      </w:tblGrid>
      <w:tr w14:paraId="4C02DB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1F67595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0839CB76">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3459" w:type="pct"/>
            <w:tcBorders>
              <w:top w:val="single" w:color="auto" w:sz="4" w:space="0"/>
              <w:left w:val="single" w:color="auto" w:sz="4" w:space="0"/>
              <w:bottom w:val="single" w:color="auto" w:sz="4" w:space="0"/>
            </w:tcBorders>
            <w:noWrap w:val="0"/>
            <w:vAlign w:val="center"/>
          </w:tcPr>
          <w:p w14:paraId="296FA27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3859F6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44F271A7">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37B7BF9">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3459" w:type="pct"/>
            <w:tcBorders>
              <w:top w:val="single" w:color="auto" w:sz="4" w:space="0"/>
              <w:left w:val="single" w:color="auto" w:sz="4" w:space="0"/>
              <w:bottom w:val="single" w:color="auto" w:sz="4" w:space="0"/>
            </w:tcBorders>
            <w:noWrap w:val="0"/>
            <w:vAlign w:val="center"/>
          </w:tcPr>
          <w:p w14:paraId="52AAF5BF">
            <w:pPr>
              <w:keepNext w:val="0"/>
              <w:keepLines w:val="0"/>
              <w:pageBreakBefore w:val="0"/>
              <w:widowControl/>
              <w:numPr>
                <w:ilvl w:val="0"/>
                <w:numId w:val="1"/>
              </w:numPr>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有效的营业执照扫描件或其他能证明具有独立承担民事责任的能力的证明材料扫描件；</w:t>
            </w:r>
          </w:p>
          <w:p w14:paraId="0CC9771B">
            <w:pPr>
              <w:keepNext w:val="0"/>
              <w:keepLines w:val="0"/>
              <w:pageBreakBefore w:val="0"/>
              <w:widowControl/>
              <w:numPr>
                <w:ilvl w:val="0"/>
                <w:numId w:val="1"/>
              </w:numPr>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z w:val="28"/>
                <w:szCs w:val="28"/>
                <w:highlight w:val="none"/>
                <w:lang w:val="en-US" w:eastAsia="zh-CN"/>
              </w:rPr>
              <w:t>投标人必须满足中华人民共和国应急管理部令(第7号)《社会消防技术服务管理规定》第五条“从事消防设施维护保养检测的消防技术服务机构”的要求，并提供“社会消防技术服务信息系统”（https://shhxf.119.gov.cn/）中“服务类型”包含消防设施维护保养检测的查询截图；</w:t>
            </w:r>
          </w:p>
          <w:p w14:paraId="3203FEF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3.法</w:t>
            </w:r>
            <w:r>
              <w:rPr>
                <w:rFonts w:hint="eastAsia" w:ascii="仿宋" w:hAnsi="仿宋" w:eastAsia="仿宋" w:cs="仿宋"/>
                <w:color w:val="auto"/>
                <w:spacing w:val="8"/>
                <w:kern w:val="0"/>
                <w:sz w:val="28"/>
                <w:szCs w:val="28"/>
                <w:highlight w:val="none"/>
              </w:rPr>
              <w:t>定代表人/单位负责人</w:t>
            </w:r>
            <w:r>
              <w:rPr>
                <w:rFonts w:hint="eastAsia" w:ascii="仿宋" w:hAnsi="仿宋" w:eastAsia="仿宋" w:cs="仿宋"/>
                <w:color w:val="auto"/>
                <w:spacing w:val="8"/>
                <w:kern w:val="0"/>
                <w:sz w:val="28"/>
                <w:szCs w:val="28"/>
                <w:highlight w:val="none"/>
                <w:lang w:val="en-US" w:eastAsia="zh-CN"/>
              </w:rPr>
              <w:t>身份证明书（固定格式）；</w:t>
            </w:r>
          </w:p>
          <w:p w14:paraId="3D35963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4.法人授权委托书（固定格式）、被授权人身份证扫描件及社保证明扫描件（社保证明指开标前二个月中任意一个月，不含开标当月（若为退休人员可提供退休及返聘证明材料））</w:t>
            </w:r>
            <w:r>
              <w:rPr>
                <w:rFonts w:hint="eastAsia" w:ascii="仿宋" w:hAnsi="仿宋" w:eastAsia="仿宋" w:cs="仿宋"/>
                <w:color w:val="auto"/>
                <w:spacing w:val="8"/>
                <w:kern w:val="0"/>
                <w:sz w:val="28"/>
                <w:szCs w:val="28"/>
                <w:highlight w:val="none"/>
              </w:rPr>
              <w:t>；若投标单位代表为企业法定代表人/单位负责人的</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则只需提供企业法定代表人/单位负责人身份证扫描件</w:t>
            </w:r>
            <w:r>
              <w:rPr>
                <w:rFonts w:hint="eastAsia" w:ascii="仿宋" w:hAnsi="仿宋" w:eastAsia="仿宋" w:cs="仿宋"/>
                <w:color w:val="auto"/>
                <w:spacing w:val="8"/>
                <w:kern w:val="0"/>
                <w:sz w:val="28"/>
                <w:szCs w:val="28"/>
                <w:highlight w:val="none"/>
                <w:lang w:eastAsia="zh-CN"/>
              </w:rPr>
              <w:t>（加盖投标单位公章）</w:t>
            </w:r>
            <w:r>
              <w:rPr>
                <w:rFonts w:hint="eastAsia" w:ascii="仿宋" w:hAnsi="仿宋" w:eastAsia="仿宋" w:cs="仿宋"/>
                <w:color w:val="auto"/>
                <w:spacing w:val="8"/>
                <w:kern w:val="0"/>
                <w:sz w:val="28"/>
                <w:szCs w:val="28"/>
                <w:highlight w:val="none"/>
              </w:rPr>
              <w:t>；</w:t>
            </w:r>
          </w:p>
          <w:p w14:paraId="2110F9A7">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.投标人具有良好的商业信誉和财务会计制度</w:t>
            </w:r>
            <w:r>
              <w:rPr>
                <w:rFonts w:hint="eastAsia" w:ascii="仿宋" w:hAnsi="仿宋" w:eastAsia="仿宋" w:cs="仿宋"/>
                <w:color w:val="auto"/>
                <w:spacing w:val="8"/>
                <w:kern w:val="0"/>
                <w:sz w:val="28"/>
                <w:szCs w:val="28"/>
                <w:highlight w:val="none"/>
                <w:lang w:val="en-US" w:eastAsia="zh-CN"/>
              </w:rPr>
              <w:t>声明（固定格式）；</w:t>
            </w:r>
          </w:p>
          <w:p w14:paraId="4AEC168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6.投标人具有履行合同所必须设备和专业技术能力，并能提供优质的服务声明（固定格式）；</w:t>
            </w:r>
          </w:p>
          <w:p w14:paraId="1991561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7.投标人具有依法缴纳税收和社会保障资金的良好记录</w:t>
            </w:r>
            <w:r>
              <w:rPr>
                <w:rFonts w:hint="eastAsia" w:ascii="仿宋" w:hAnsi="仿宋" w:eastAsia="仿宋" w:cs="仿宋"/>
                <w:color w:val="auto"/>
                <w:spacing w:val="8"/>
                <w:kern w:val="0"/>
                <w:sz w:val="28"/>
                <w:szCs w:val="28"/>
                <w:highlight w:val="none"/>
              </w:rPr>
              <w:t>声明（固定格式）</w:t>
            </w:r>
            <w:r>
              <w:rPr>
                <w:rFonts w:hint="eastAsia" w:ascii="仿宋" w:hAnsi="仿宋" w:eastAsia="仿宋" w:cs="仿宋"/>
                <w:color w:val="auto"/>
                <w:spacing w:val="8"/>
                <w:kern w:val="0"/>
                <w:sz w:val="28"/>
                <w:szCs w:val="28"/>
                <w:highlight w:val="none"/>
                <w:lang w:eastAsia="zh-CN"/>
              </w:rPr>
              <w:t>；</w:t>
            </w:r>
          </w:p>
          <w:p w14:paraId="4170E51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.投标人无重大违法记录声明</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w:t>
            </w:r>
          </w:p>
          <w:p w14:paraId="6E6ECD30">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z w:val="28"/>
                <w:szCs w:val="28"/>
                <w:highlight w:val="none"/>
              </w:rPr>
              <w:t>投标人及其法定代表人/单位负责人、被授权人未被最高人民法院列为失信被执行人网站查询结果截图</w:t>
            </w:r>
            <w:r>
              <w:rPr>
                <w:rFonts w:hint="eastAsia" w:ascii="仿宋" w:hAnsi="仿宋" w:eastAsia="仿宋" w:cs="仿宋"/>
                <w:color w:val="auto"/>
                <w:sz w:val="28"/>
                <w:szCs w:val="28"/>
                <w:highlight w:val="none"/>
                <w:lang w:eastAsia="zh-CN"/>
              </w:rPr>
              <w:t>（查询路径</w:t>
            </w:r>
            <w:r>
              <w:rPr>
                <w:rFonts w:hint="eastAsia" w:ascii="仿宋" w:hAnsi="仿宋" w:eastAsia="仿宋" w:cs="仿宋"/>
                <w:color w:val="auto"/>
                <w:sz w:val="28"/>
                <w:szCs w:val="28"/>
                <w:highlight w:val="none"/>
                <w:lang w:val="en-US" w:eastAsia="zh-CN"/>
              </w:rPr>
              <w:t>见投标须知前附表）</w:t>
            </w:r>
            <w:r>
              <w:rPr>
                <w:rFonts w:hint="eastAsia" w:ascii="仿宋" w:hAnsi="仿宋" w:eastAsia="仿宋" w:cs="仿宋"/>
                <w:color w:val="auto"/>
                <w:spacing w:val="8"/>
                <w:kern w:val="0"/>
                <w:sz w:val="28"/>
                <w:szCs w:val="28"/>
                <w:highlight w:val="none"/>
              </w:rPr>
              <w:t>；</w:t>
            </w:r>
          </w:p>
          <w:p w14:paraId="22BD6AC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.投标人近一年在“信用中国”或“信用中国（山东）”无严重失信记录</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lang w:val="en-US" w:eastAsia="zh-CN"/>
              </w:rPr>
              <w:t>附通过网站查询的信用报告（查询路径见投标须知前附表）</w:t>
            </w:r>
            <w:r>
              <w:rPr>
                <w:rFonts w:hint="eastAsia" w:ascii="仿宋" w:hAnsi="仿宋" w:eastAsia="仿宋" w:cs="仿宋"/>
                <w:color w:val="auto"/>
                <w:spacing w:val="8"/>
                <w:kern w:val="0"/>
                <w:sz w:val="28"/>
                <w:szCs w:val="28"/>
                <w:highlight w:val="none"/>
              </w:rPr>
              <w:t>；</w:t>
            </w:r>
          </w:p>
          <w:p w14:paraId="5ED70FE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11</w:t>
            </w:r>
            <w:r>
              <w:rPr>
                <w:rFonts w:hint="eastAsia" w:ascii="仿宋" w:hAnsi="仿宋" w:eastAsia="仿宋" w:cs="仿宋"/>
                <w:color w:val="auto"/>
                <w:spacing w:val="8"/>
                <w:kern w:val="0"/>
                <w:sz w:val="28"/>
                <w:szCs w:val="28"/>
                <w:highlight w:val="none"/>
              </w:rPr>
              <w:t>.本项目不接受联合体投标；</w:t>
            </w:r>
          </w:p>
          <w:p w14:paraId="5BBEA82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2</w:t>
            </w:r>
            <w:r>
              <w:rPr>
                <w:rFonts w:hint="eastAsia" w:ascii="仿宋" w:hAnsi="仿宋" w:eastAsia="仿宋" w:cs="仿宋"/>
                <w:color w:val="auto"/>
                <w:spacing w:val="8"/>
                <w:kern w:val="0"/>
                <w:sz w:val="28"/>
                <w:szCs w:val="28"/>
                <w:highlight w:val="none"/>
              </w:rPr>
              <w:t>.不存在招标文件24.1条规定的资格审查不通过的情形。</w:t>
            </w:r>
          </w:p>
        </w:tc>
      </w:tr>
      <w:tr w14:paraId="2684C8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456" w:type="pct"/>
            <w:tcBorders>
              <w:top w:val="single" w:color="auto" w:sz="4" w:space="0"/>
              <w:bottom w:val="single" w:color="auto" w:sz="4" w:space="0"/>
              <w:right w:val="single" w:color="auto" w:sz="4" w:space="0"/>
            </w:tcBorders>
            <w:noWrap w:val="0"/>
            <w:vAlign w:val="center"/>
          </w:tcPr>
          <w:p w14:paraId="0971CF04">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530DB6D0">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3459" w:type="pct"/>
            <w:tcBorders>
              <w:top w:val="single" w:color="auto" w:sz="4" w:space="0"/>
              <w:left w:val="single" w:color="auto" w:sz="4" w:space="0"/>
              <w:bottom w:val="single" w:color="auto" w:sz="4" w:space="0"/>
            </w:tcBorders>
            <w:noWrap w:val="0"/>
            <w:vAlign w:val="center"/>
          </w:tcPr>
          <w:p w14:paraId="50B84DEF">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1.投标文件按规定签署及盖章；</w:t>
            </w:r>
          </w:p>
          <w:p w14:paraId="356F0AD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2.投标报价</w:t>
            </w:r>
            <w:r>
              <w:rPr>
                <w:rFonts w:hint="eastAsia" w:ascii="仿宋" w:hAnsi="仿宋" w:eastAsia="仿宋" w:cs="仿宋"/>
                <w:color w:val="auto"/>
                <w:spacing w:val="8"/>
                <w:kern w:val="0"/>
                <w:sz w:val="28"/>
                <w:szCs w:val="28"/>
                <w:highlight w:val="none"/>
                <w:lang w:val="en-US" w:eastAsia="zh-CN"/>
              </w:rPr>
              <w:t>不超过最高限价</w:t>
            </w:r>
            <w:r>
              <w:rPr>
                <w:rFonts w:hint="eastAsia" w:ascii="仿宋" w:hAnsi="仿宋" w:eastAsia="仿宋" w:cs="仿宋"/>
                <w:color w:val="auto"/>
                <w:spacing w:val="8"/>
                <w:kern w:val="0"/>
                <w:sz w:val="28"/>
                <w:szCs w:val="28"/>
                <w:highlight w:val="none"/>
              </w:rPr>
              <w:t>；</w:t>
            </w:r>
          </w:p>
          <w:p w14:paraId="3CE9AD7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3.维护保养期限满足招标文件要求；</w:t>
            </w:r>
          </w:p>
          <w:p w14:paraId="1EBBD18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4.</w:t>
            </w:r>
            <w:r>
              <w:rPr>
                <w:rFonts w:hint="eastAsia" w:ascii="仿宋" w:hAnsi="仿宋" w:eastAsia="仿宋" w:cs="仿宋"/>
                <w:color w:val="auto"/>
                <w:spacing w:val="8"/>
                <w:kern w:val="0"/>
                <w:sz w:val="28"/>
                <w:szCs w:val="28"/>
                <w:highlight w:val="none"/>
                <w:lang w:val="en-US" w:eastAsia="zh-CN"/>
              </w:rPr>
              <w:t>不</w:t>
            </w:r>
            <w:r>
              <w:rPr>
                <w:rFonts w:hint="eastAsia" w:ascii="仿宋" w:hAnsi="仿宋" w:eastAsia="仿宋" w:cs="仿宋"/>
                <w:color w:val="auto"/>
                <w:spacing w:val="8"/>
                <w:kern w:val="0"/>
                <w:sz w:val="28"/>
                <w:szCs w:val="28"/>
                <w:highlight w:val="none"/>
              </w:rPr>
              <w:t>存在招标文件24.3条的关于投标人串通投标的情形及其他投标无效的情形</w:t>
            </w:r>
            <w:r>
              <w:rPr>
                <w:rFonts w:hint="eastAsia" w:ascii="仿宋" w:hAnsi="仿宋" w:eastAsia="仿宋" w:cs="仿宋"/>
                <w:color w:val="auto"/>
                <w:spacing w:val="8"/>
                <w:kern w:val="0"/>
                <w:sz w:val="28"/>
                <w:szCs w:val="28"/>
                <w:highlight w:val="none"/>
                <w:lang w:eastAsia="zh-CN"/>
              </w:rPr>
              <w:t>；</w:t>
            </w:r>
          </w:p>
          <w:p w14:paraId="42E71A9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.评标委员会认为</w:t>
            </w:r>
            <w:r>
              <w:rPr>
                <w:rFonts w:hint="eastAsia" w:ascii="仿宋" w:hAnsi="仿宋" w:eastAsia="仿宋" w:cs="仿宋"/>
                <w:color w:val="auto"/>
                <w:spacing w:val="8"/>
                <w:kern w:val="0"/>
                <w:sz w:val="28"/>
                <w:szCs w:val="28"/>
                <w:highlight w:val="none"/>
                <w:lang w:val="en-US" w:eastAsia="zh-CN"/>
              </w:rPr>
              <w:t>不存在违反</w:t>
            </w:r>
            <w:r>
              <w:rPr>
                <w:rFonts w:hint="eastAsia" w:ascii="仿宋" w:hAnsi="仿宋" w:eastAsia="仿宋" w:cs="仿宋"/>
                <w:color w:val="auto"/>
                <w:spacing w:val="8"/>
                <w:kern w:val="0"/>
                <w:sz w:val="28"/>
                <w:szCs w:val="28"/>
                <w:highlight w:val="none"/>
              </w:rPr>
              <w:t>招标文件其他实质性要求或法律法规规定的其他情形</w:t>
            </w:r>
            <w:r>
              <w:rPr>
                <w:rFonts w:hint="eastAsia" w:ascii="仿宋" w:hAnsi="仿宋" w:eastAsia="仿宋" w:cs="仿宋"/>
                <w:color w:val="auto"/>
                <w:spacing w:val="8"/>
                <w:kern w:val="0"/>
                <w:sz w:val="28"/>
                <w:szCs w:val="28"/>
                <w:highlight w:val="none"/>
                <w:lang w:eastAsia="zh-CN"/>
              </w:rPr>
              <w:t>。</w:t>
            </w:r>
          </w:p>
        </w:tc>
      </w:tr>
    </w:tbl>
    <w:p w14:paraId="5925C93C">
      <w:pPr>
        <w:widowControl/>
        <w:shd w:val="clear"/>
        <w:spacing w:line="360" w:lineRule="auto"/>
        <w:rPr>
          <w:rFonts w:hint="eastAsia" w:ascii="仿宋" w:hAnsi="仿宋" w:eastAsia="仿宋" w:cs="仿宋"/>
          <w:color w:val="auto"/>
          <w:sz w:val="24"/>
          <w:szCs w:val="21"/>
          <w:highlight w:val="none"/>
        </w:rPr>
        <w:sectPr>
          <w:pgSz w:w="11906" w:h="16838"/>
          <w:pgMar w:top="1440" w:right="1083" w:bottom="1440" w:left="1083" w:header="851" w:footer="992" w:gutter="0"/>
          <w:pgNumType w:fmt="decimal"/>
          <w:cols w:space="0" w:num="1"/>
          <w:rtlGutter w:val="0"/>
          <w:docGrid w:type="lines" w:linePitch="312" w:charSpace="0"/>
        </w:sectPr>
      </w:pPr>
    </w:p>
    <w:bookmarkEnd w:id="1"/>
    <w:bookmarkEnd w:id="2"/>
    <w:bookmarkEnd w:id="3"/>
    <w:bookmarkEnd w:id="4"/>
    <w:p w14:paraId="253E08E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一、说明</w:t>
      </w:r>
    </w:p>
    <w:p w14:paraId="3A7B9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本文件依据《中华人民共和国招标投标法》《山东省省属企业阳光采购监督暂行办法》等法律法规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参照《国有企业采购操作规范》《国有企业采购管理规范》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结合《威海市市属国有企业阳光采购监督管理暂行办法》及国家和山东省有关法律、法规、规章制度编制。参加本项目投标人应接受本招标文件关于电子招投标各项规定。</w:t>
      </w:r>
    </w:p>
    <w:p w14:paraId="193B805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2C1631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15C858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1.2本招标文件的解释权属于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以书面解释为准。</w:t>
      </w:r>
    </w:p>
    <w:p w14:paraId="520CA06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1.3招标文件未做须知明示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而又有相关法律、法规规定的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从其规定。</w:t>
      </w:r>
    </w:p>
    <w:p w14:paraId="657ABB7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1843DF4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2.1投标人应承担所有与准备和参加投标有关的费用。不论投标结果如何</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均无义务和责任承担这些费用。</w:t>
      </w:r>
    </w:p>
    <w:p w14:paraId="776E04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2.2本项目若涉及采购货物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则合格的货物及相应服务应满足以下要求：</w:t>
      </w:r>
    </w:p>
    <w:p w14:paraId="0264867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2.2.1必须是全新、未使用过的原装合格正品（包括零部件）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如安装或配置了软件的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须为正版软件。</w:t>
      </w:r>
    </w:p>
    <w:p w14:paraId="3242A0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2.2.2国产货物及其有关服务必须符合中华人民共和国的设计和制造生产标准或行业标准。招标公告有其他要求的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05A374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2.2.3进口货物及其有关服务必须符合原产地和/或中华人民共和国的设计和制造生产标准或行业标准。进口的货物必须具有合法的进口手续和途径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并通过中华人民共和国商检部门检验。采购公告有其他要求的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4534CD9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2.2.4投标人应保证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其所提供的货物在提供给采购单位前具有完全的所有权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采购单位在中华人民共和国使用该货物或货物的任何一部分时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不会产生因第三方提出的包括但不限于侵犯其专利权、商标权、工业设计权等知识产权和侵犯其所有权、抵押权等物权及其他权利而引发的纠纷。如有纠纷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投标人应承担全部责任。</w:t>
      </w:r>
    </w:p>
    <w:p w14:paraId="5C7F0E9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2.3投标人应登录“威海市公共资源交易网”首页右侧“交易服务一网通办-（新版）一网通办系统”进行“平台切换”，点击“国企采购”进入国企阳光采购平台获取招标文件，并通过国企阳光采购平台网上上传电子投标文件，未通过国企阳光采购平台上传电子投标文件的，为无效投标。</w:t>
      </w:r>
    </w:p>
    <w:p w14:paraId="32824FE1">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二、招标文件</w:t>
      </w:r>
    </w:p>
    <w:p w14:paraId="5311A3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699788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采用压缩包电子版文件格式提供。</w:t>
      </w:r>
    </w:p>
    <w:p w14:paraId="5C7B16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 本文件（word格式）由下列文件组成：</w:t>
      </w:r>
    </w:p>
    <w:p w14:paraId="7439BF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09F7E7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1E458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2A9F9E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48D8F00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投标文件格式</w:t>
      </w:r>
    </w:p>
    <w:p w14:paraId="5AB930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04157F8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发出的修正和补充文件等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w:t>
      </w:r>
    </w:p>
    <w:p w14:paraId="5423CB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格式）由下列文件组成：</w:t>
      </w:r>
    </w:p>
    <w:p w14:paraId="52B0C0B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5D44F7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2FEDA9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77F56E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B1382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8DBA5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如果投标人没有按照招标文件要求提交全部资料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或者投标人没有对招标文件在各方面都做出实质性响应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其风险应由投标人自行承担并根据有关政策和条款规定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其投标有可能被拒绝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或者被认定为无效投标。</w:t>
      </w:r>
    </w:p>
    <w:p w14:paraId="7835AAB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184C0F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4.1投标人在收到招标文件后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对招标文件若有任何疑问或要求澄清招标文件的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应在投标截止前2日内按“投标须知前附表”第四项向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提出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将协助</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组织所有</w:t>
      </w:r>
      <w:r>
        <w:rPr>
          <w:rFonts w:hint="eastAsia" w:ascii="仿宋" w:hAnsi="仿宋" w:eastAsia="仿宋" w:cs="仿宋"/>
          <w:color w:val="auto"/>
          <w:sz w:val="28"/>
          <w:szCs w:val="28"/>
          <w:highlight w:val="none"/>
          <w:lang w:val="en-US" w:eastAsia="zh-CN"/>
        </w:rPr>
        <w:t>获取</w:t>
      </w:r>
      <w:r>
        <w:rPr>
          <w:rFonts w:hint="eastAsia" w:ascii="仿宋" w:hAnsi="仿宋" w:eastAsia="仿宋" w:cs="仿宋"/>
          <w:color w:val="auto"/>
          <w:sz w:val="28"/>
          <w:szCs w:val="28"/>
          <w:highlight w:val="none"/>
        </w:rPr>
        <w:t>招标文件的潜在投标人举行答疑会</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根据需要主动对招标文件进行必要的澄清或根据投标人的要求对招标文件做出澄清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都将以原网站公开发布形式（包括电子交易系统推送）答复或发送给所有投标人。澄清文件作为招标文件的组成部分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对投标人起约束作用。</w:t>
      </w:r>
    </w:p>
    <w:p w14:paraId="746929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w:t>
      </w:r>
      <w:r>
        <w:rPr>
          <w:rFonts w:hint="eastAsia" w:ascii="仿宋" w:hAnsi="仿宋" w:eastAsia="仿宋" w:cs="仿宋"/>
          <w:color w:val="auto"/>
          <w:sz w:val="28"/>
          <w:szCs w:val="28"/>
          <w:highlight w:val="none"/>
          <w:lang w:val="en-US" w:eastAsia="zh-CN"/>
        </w:rPr>
        <w:t>要求</w:t>
      </w:r>
      <w:r>
        <w:rPr>
          <w:rFonts w:hint="eastAsia" w:ascii="仿宋" w:hAnsi="仿宋" w:eastAsia="仿宋" w:cs="仿宋"/>
          <w:color w:val="auto"/>
          <w:sz w:val="28"/>
          <w:szCs w:val="28"/>
          <w:highlight w:val="none"/>
        </w:rPr>
        <w:t>澄清或提出疑问的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将视其为接受招标文件的所有条款</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对招标文件没有异议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此后也不再受理对招标文件的相关质疑。</w:t>
      </w:r>
    </w:p>
    <w:p w14:paraId="40BA43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6D68E94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无论出于何种原因</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可主动或在解答投标人提出的疑问时对招标文件进行修改。</w:t>
      </w:r>
    </w:p>
    <w:p w14:paraId="29EB51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将会通过原发布媒介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以更正公告形式（电子交易系统发送更正提醒通知）一并告知所有潜在投标人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并对潜在投标人具有约束力。潜在投标人在收到上述通知后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应立即以书面形式向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如在24小时内无书面回函则视为同意修改内容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并有义务履行相应的义务。</w:t>
      </w:r>
    </w:p>
    <w:p w14:paraId="1EBBA7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将在投标截止时间2日前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通过原发布媒介发布公告的形式（电子交易系统内发送更正提醒通知）通知所有获取招标文件的潜在投标人（招标文件变更的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投标人必须从电子交易系统中重新下载招标文件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并在新下载文件的基础上编制投标文件）；不足2日的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将顺延提交投标文件的截止时间。</w:t>
      </w:r>
    </w:p>
    <w:p w14:paraId="4A956F63">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三、投标文件的编制</w:t>
      </w:r>
    </w:p>
    <w:p w14:paraId="7B7E6A9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68C063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投标人应将其译成中文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如未翻译该文件为无效文件。</w:t>
      </w:r>
    </w:p>
    <w:p w14:paraId="7C3CEF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5FF2831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并接受</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对其中任何资料进一步核实的要求。如果因为投标文件填报的内容不详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或没有提供招标文件中所要求的全部资料及数据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或提供虚假文件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由此造成的后果由投标人自负。</w:t>
      </w:r>
    </w:p>
    <w:p w14:paraId="48673E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6.4投标人应按招标文件中提供的投标文件格式（详见第五章 </w:t>
      </w:r>
      <w:r>
        <w:rPr>
          <w:rFonts w:hint="eastAsia" w:ascii="仿宋" w:hAnsi="仿宋" w:eastAsia="仿宋" w:cs="仿宋"/>
          <w:color w:val="auto"/>
          <w:sz w:val="28"/>
          <w:szCs w:val="28"/>
          <w:highlight w:val="none"/>
          <w:lang w:eastAsia="zh-CN"/>
        </w:rPr>
        <w:t>投标文件格式</w:t>
      </w:r>
      <w:r>
        <w:rPr>
          <w:rFonts w:hint="eastAsia" w:ascii="仿宋" w:hAnsi="仿宋" w:eastAsia="仿宋" w:cs="仿宋"/>
          <w:color w:val="auto"/>
          <w:sz w:val="28"/>
          <w:szCs w:val="28"/>
          <w:highlight w:val="none"/>
        </w:rPr>
        <w:t>）按包段编写投标文件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并使用A4规格编制。投标文件应编写目录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具有结构清晰的文档结构图（打开word视图中的“文档结构图”后能看到详细章节）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页码连续。</w:t>
      </w:r>
    </w:p>
    <w:p w14:paraId="7D0400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经扫描后粘贴到投标文件的相关页上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确保清晰度可辨认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评审时由于无法辨认所产生的后果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8900AF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6.6投标人应自行确保本文件的内容已充分覆盖了数据文件中《评审对照表》和《评分对照表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》中的各项要求</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并准确将对应的起止页码填写到数据文件《评审对照表》《评分对照表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》表格中每项后的起始页码和终止页码栏位上。对于不涉及或无法填写的评审项（评分项）（例如：报价）</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可在页码索引处填写1。</w:t>
      </w:r>
    </w:p>
    <w:p w14:paraId="71A5115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系统对所投递的电子文件有大小的限制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投标人应尽可能降低本文件的大小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小尺寸投标文件将使递交更快捷、减少差错发生几率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避免投标截止时间前未能完整上传文件。</w:t>
      </w:r>
    </w:p>
    <w:p w14:paraId="4B0704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任何人的口头协议不影响投标文件的任何条款和内容。</w:t>
      </w:r>
    </w:p>
    <w:p w14:paraId="4E0EFB8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均无义务向投标人解释其中标或未中标的原因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且无论投标人是否中标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投标人所递交的投标文件均不予退还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不提供副本拷贝。</w:t>
      </w:r>
    </w:p>
    <w:p w14:paraId="45E7DFB2">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41AB46F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必须在原文件上严格按照其中要求填写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其内部已约定好固定格式和相关内容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且带有特定的唯一性数字指纹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对采用非该文件基础上编制或对该文件进行任何工作表、表格行、表格列的增减、对工作表先后顺序的变动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以及对锁定区域内的数据进行更改、</w:t>
      </w:r>
      <w:r>
        <w:rPr>
          <w:rFonts w:hint="eastAsia" w:ascii="仿宋" w:hAnsi="仿宋" w:eastAsia="仿宋" w:cs="仿宋"/>
          <w:b/>
          <w:bCs/>
          <w:color w:val="auto"/>
          <w:sz w:val="28"/>
          <w:szCs w:val="28"/>
          <w:highlight w:val="none"/>
        </w:rPr>
        <w:t>文件另存到其他文件</w:t>
      </w:r>
      <w:r>
        <w:rPr>
          <w:rFonts w:hint="eastAsia" w:ascii="仿宋" w:hAnsi="仿宋" w:eastAsia="仿宋" w:cs="仿宋"/>
          <w:color w:val="auto"/>
          <w:sz w:val="28"/>
          <w:szCs w:val="28"/>
          <w:highlight w:val="none"/>
        </w:rPr>
        <w:t>等违规性操作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都会破坏本文件中的数字指纹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3D0FCFA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完整、准确地填写《封面》《投标报价表（含明细）》《需求响应表（如有）》《评审对照表》《评分对照表（如有）》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任何的漏表、漏项及信息不完整、填写数据不规范或不正确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都将导致电子交易平台无法接收该文件使其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2673517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应按照上述2项的要求进行认真检查、确认。因投标人自身原因所导致其投标失败的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须自行承担相关责任。</w:t>
      </w:r>
    </w:p>
    <w:p w14:paraId="5F3FE57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42984CD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每个包段的投标文件分两册必须包括：投标文件（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以上内容缺一不可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130EBB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格式）（第一册）应包括但不少于下列内容：</w:t>
      </w:r>
    </w:p>
    <w:p w14:paraId="33D14A2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属于固定格式的须按招标公司提供的格式填写，详见第五</w:t>
      </w:r>
      <w:r>
        <w:rPr>
          <w:rFonts w:hint="eastAsia" w:ascii="仿宋" w:hAnsi="仿宋" w:eastAsia="仿宋" w:cs="仿宋"/>
          <w:color w:val="auto"/>
          <w:sz w:val="28"/>
          <w:szCs w:val="28"/>
          <w:highlight w:val="none"/>
          <w:lang w:val="en-US" w:eastAsia="zh-CN"/>
        </w:rPr>
        <w:t>章</w:t>
      </w:r>
      <w:r>
        <w:rPr>
          <w:rFonts w:hint="eastAsia" w:ascii="仿宋" w:hAnsi="仿宋" w:eastAsia="仿宋" w:cs="仿宋"/>
          <w:color w:val="auto"/>
          <w:sz w:val="28"/>
          <w:szCs w:val="28"/>
          <w:highlight w:val="none"/>
          <w:lang w:eastAsia="zh-CN"/>
        </w:rPr>
        <w:t xml:space="preserve"> 投标文件（格式）。</w:t>
      </w:r>
    </w:p>
    <w:p w14:paraId="6EA45F8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p>
    <w:p w14:paraId="7E05D7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并严格按照要求填写。填写完成后在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中上传该数据文件（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系统将自动转换为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再加盖投标人电子印章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未按要求填写或盖章为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格式）包含下列内容：</w:t>
      </w:r>
    </w:p>
    <w:p w14:paraId="6BDBB2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1B74C9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4884124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2A425A7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47DC6A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4AFB68B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185AB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9.1投标人均以人民币报价，精确到小数点后两位。</w:t>
      </w:r>
    </w:p>
    <w:p w14:paraId="646ED3B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w:t>
      </w:r>
    </w:p>
    <w:p w14:paraId="27F4E8D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并加盖电子公章。</w:t>
      </w:r>
    </w:p>
    <w:p w14:paraId="12EB8D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33B247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r>
        <w:rPr>
          <w:rFonts w:hint="eastAsia" w:ascii="仿宋" w:hAnsi="仿宋" w:eastAsia="仿宋" w:cs="仿宋"/>
          <w:color w:val="auto"/>
          <w:sz w:val="28"/>
          <w:szCs w:val="28"/>
          <w:highlight w:val="none"/>
          <w:lang w:eastAsia="zh-CN"/>
        </w:rPr>
        <w:t>。</w:t>
      </w:r>
    </w:p>
    <w:p w14:paraId="3CDF6D0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（2）投标人应对本次招标的全部或部分内容以包为单位进行报价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包内缺项报价投标无效。如因投标人自身的原因报价失误而造成的损失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EFCC25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（3）投标人须严格按照报价明细表说明进行填写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报价明细表中“*”是必填项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任何必填项为空时都可能导致本次投标无效。</w:t>
      </w:r>
    </w:p>
    <w:p w14:paraId="74B34B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（4）《投标报价表（含明细）》中“报价产品的型号”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型号填写的一般规则为：品牌+产品型号。</w:t>
      </w:r>
    </w:p>
    <w:p w14:paraId="38DA56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无需手工录入。</w:t>
      </w:r>
    </w:p>
    <w:p w14:paraId="29BBC5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5E8ECA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有“*”的列是必输项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任何必输项为空都可能导致您的本次投标无效；</w:t>
      </w:r>
    </w:p>
    <w:p w14:paraId="720AD5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应采用选择性粘贴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只粘贴文本</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否则单元格填写无效或被锁死；</w:t>
      </w:r>
    </w:p>
    <w:p w14:paraId="266E1E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请点击编辑栏进行查看；</w:t>
      </w:r>
    </w:p>
    <w:p w14:paraId="5BB47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的招标需求的逐一说明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如实填写。“响应需求”中需详细列明所报产品（服务）的明细；若与投标文件中提供的产品检测报告（如有）、生产厂家出具的产品彩页等证明材料的实质性响应情况不一致（如有）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由投标人自行承担不利后果，包括但不限于投标无效，相应评审因素对应的分值为0分。</w:t>
      </w:r>
    </w:p>
    <w:p w14:paraId="5E01B54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211FB7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必须在原表上填写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填写完毕后只可保存不可另存。删除该表、增加该表、增加行列、删除行列、对固定格式的任何改动均会导致</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3FFD9D3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288AC9E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7784D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两个以上的自然人、法人或者其他组织可以组成一个联合体，以一个投标人的身份共同参加采购活动。</w:t>
      </w:r>
    </w:p>
    <w:p w14:paraId="12344A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采购活动的，参加联合体的投标人均应当满足采购公告及采购文件的资质要求，并应当向采购人提交联合体协议，载明联合体各方承担的工作和义务。联合体各方应当共同与采购人签订采购合同，就采购合同约定的事项对采购人承担连带责任。</w:t>
      </w:r>
    </w:p>
    <w:p w14:paraId="127C87C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4454692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10.3联合体的各方应当共同推荐一名联合体投标授权代表方，由联合体各方提交一份授权书，证明其有资格代表联合体各方签署投标文件，该授权书作为投标文件的组成部分一并提交给采购代理机构。</w:t>
      </w:r>
    </w:p>
    <w:p w14:paraId="000B60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67194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本项目是否接受联合体投标详见《投标须知前附表》。</w:t>
      </w:r>
    </w:p>
    <w:p w14:paraId="776113A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17A5D3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6AA72BD6">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3066BC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将组织投标人对项目现场及周围环境进行踏勘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以便投标人获取有关编制投标文件和签署合同所需的所有资料。踏勘现场所发生的费用由投标人自己承担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投标人应按投标须知前附表所约定的时间、地点踏勘现场。</w:t>
      </w:r>
    </w:p>
    <w:p w14:paraId="6D0E153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的允许</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可以踏勘目的进入采购单位的项目现场。若本项目招标文件要求投标人于统一时间地点踏勘现场的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投标人应当按时前往。</w:t>
      </w:r>
    </w:p>
    <w:p w14:paraId="51369F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的原因外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投标人自行负责在踏勘现场中所发生的人员伤亡和财产损失。</w:t>
      </w:r>
    </w:p>
    <w:p w14:paraId="6B695F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5C4C62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本项目是否组织现场踏勘详见《投标须知前附表》。</w:t>
      </w:r>
    </w:p>
    <w:p w14:paraId="1B8628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0F2745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投标有效期为90天。投标有效期短于90天的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其投标为无效投标。</w:t>
      </w:r>
    </w:p>
    <w:p w14:paraId="0D069F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在投标有效期满之前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可以要求投标人延长投标有效期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投标人可以书面形式拒绝或接受上述要求。同意延长投标有效期的投标人不得修改投标文件的实质性内容。</w:t>
      </w:r>
    </w:p>
    <w:p w14:paraId="367E6730">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0544EFC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14.1.本项目投标保证金要求：详见投标须知前附表。</w:t>
      </w:r>
    </w:p>
    <w:p w14:paraId="5031CF8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14.2.缴纳截止时间：同电子</w:t>
      </w:r>
      <w:r>
        <w:rPr>
          <w:rFonts w:hint="eastAsia" w:ascii="仿宋" w:hAnsi="仿宋" w:eastAsia="仿宋" w:cs="仿宋"/>
          <w:color w:val="auto"/>
          <w:sz w:val="28"/>
          <w:szCs w:val="28"/>
          <w:highlight w:val="none"/>
        </w:rPr>
        <w:t>投标文件</w:t>
      </w:r>
      <w:r>
        <w:rPr>
          <w:rFonts w:hint="eastAsia" w:ascii="仿宋" w:hAnsi="仿宋" w:eastAsia="仿宋" w:cs="仿宋"/>
          <w:color w:val="auto"/>
          <w:sz w:val="28"/>
          <w:szCs w:val="28"/>
          <w:highlight w:val="none"/>
          <w:lang w:val="en-US" w:eastAsia="zh-CN"/>
        </w:rPr>
        <w:t>提交</w:t>
      </w:r>
      <w:r>
        <w:rPr>
          <w:rFonts w:hint="eastAsia" w:ascii="仿宋" w:hAnsi="仿宋" w:eastAsia="仿宋" w:cs="仿宋"/>
          <w:color w:val="auto"/>
          <w:sz w:val="28"/>
          <w:szCs w:val="28"/>
          <w:highlight w:val="none"/>
        </w:rPr>
        <w:t>截止时间</w:t>
      </w:r>
      <w:r>
        <w:rPr>
          <w:rFonts w:hint="eastAsia" w:ascii="仿宋" w:hAnsi="仿宋" w:eastAsia="仿宋" w:cs="仿宋"/>
          <w:color w:val="auto"/>
          <w:sz w:val="28"/>
          <w:szCs w:val="28"/>
          <w:highlight w:val="none"/>
          <w:lang w:val="en-US" w:eastAsia="zh-CN"/>
        </w:rPr>
        <w:t>。</w:t>
      </w:r>
    </w:p>
    <w:p w14:paraId="482B0E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14.3.投标保证金的交纳单位必须与投标人名称一致，投标保证金须从其基本账户转出，否则其投标无效；</w:t>
      </w:r>
    </w:p>
    <w:p w14:paraId="7896249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14.4本项目的投标保证金必须通过国企阳光采购平台交纳，使用说明参见威海市公共资源交易网（http://ggzyjy.weihai.cn）的 “办事指南—国企采购专区”中《威海市国有企业阳光采购电子化服务平台线上投标保证金操作手册》。</w:t>
      </w:r>
    </w:p>
    <w:p w14:paraId="2E71F60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14.5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投标文件的投标人名称一致。</w:t>
      </w:r>
    </w:p>
    <w:p w14:paraId="420BB36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14.6为确保投标人投标保证金及时足额到账，请尽量提前交纳保证金，由于银行系统原因，请至少在递交投标文件截止时间前12 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p>
    <w:p w14:paraId="345E079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14.7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151338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14.8有下列情况之一的，投标保证金不予返还。</w:t>
      </w:r>
    </w:p>
    <w:p w14:paraId="46CB23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(1)投标人提供不真实资格、资质证明文件的；</w:t>
      </w:r>
    </w:p>
    <w:p w14:paraId="439DFD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(2)在投标有效期内撤回投标的；</w:t>
      </w:r>
    </w:p>
    <w:p w14:paraId="631F6DC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(3)除因不可抗力或招标文件认可的情形以外，中标人不与招标人签订合同的；</w:t>
      </w:r>
    </w:p>
    <w:p w14:paraId="0D8D98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(4)投标人与招标人、其他投标人或者招标代理机构恶意串通的；</w:t>
      </w:r>
    </w:p>
    <w:p w14:paraId="666A37F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(5)评标委员会认定的其他事项。</w:t>
      </w:r>
    </w:p>
    <w:p w14:paraId="48B8F9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对以提供虚假材料或恶意串通或采取不正当竞争手段谋取中标的投标人，一经发现将依法取消其投标人资格，投标保证金不予返还，列入平台黑名单。</w:t>
      </w:r>
    </w:p>
    <w:p w14:paraId="3DAAEB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本项目投标保证金收取情况见《投标须知前附表》。</w:t>
      </w:r>
    </w:p>
    <w:p w14:paraId="6A7E782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52789B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本项目履约保证金收取情况见《投标须知前附表》。</w:t>
      </w:r>
    </w:p>
    <w:p w14:paraId="2024297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7E2DEC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格式）（第一册）1份</w:t>
      </w:r>
    </w:p>
    <w:p w14:paraId="4FC9DD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电子人名章）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电子印章与实物印章具有同等法律效力。</w:t>
      </w:r>
    </w:p>
    <w:p w14:paraId="5A097D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最后通过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格式（或者其他</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转换工具）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之后通过签章功能在</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文件上逐页加盖电子印章并保存到本地计算机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加盖了电子印章的</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文件即为最终的投标文件。</w:t>
      </w:r>
    </w:p>
    <w:p w14:paraId="155112C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16.1.3文件中要求法定代表人/单位负责人签字或签章的须加盖法定代表人/单位负责人电子人名章。</w:t>
      </w:r>
    </w:p>
    <w:p w14:paraId="39EA3C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被授权人又无电子章的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在word编制时可将被授权人手写签字扫描后的图片粘贴到投标文件中对应位置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并加盖单位电子公章。</w:t>
      </w:r>
    </w:p>
    <w:p w14:paraId="52D1FEF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581303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0EB241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16.2数据文件（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格式）（第二册）1份</w:t>
      </w:r>
    </w:p>
    <w:p w14:paraId="667AAA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加盖电子印章后保存到本地计算机。加盖了电子印章的文件即为最终的数据文件（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格式）用于投标。</w:t>
      </w:r>
    </w:p>
    <w:p w14:paraId="28B2DA4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16.2.2文件中要求法定代表人/单位负责人签字或签章的须加盖法定代表人/单位负责人电子人名章。</w:t>
      </w:r>
    </w:p>
    <w:p w14:paraId="660A5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BE3F5C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四、投标文件的递交</w:t>
      </w:r>
    </w:p>
    <w:p w14:paraId="6575E43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3FEED31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3E5A73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格式）须在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进行提交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提交前系统会自动在本地进行加密和数字签名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加密和电子签章后的文件除了会上传到系统中之外还会同步保存到本地计算机。</w:t>
      </w:r>
    </w:p>
    <w:p w14:paraId="282EBCA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05653F2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投标人应使用密封袋将资质证明文件原件密封（身份证原件除外）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加盖公章并标明投标人（单位）名称、项目名称、项目编号、所投包号以及“资质证明文件原件”字样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粘贴密封条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每一密封条注明“于*年*月*日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*之前不准启封”（</w:t>
      </w:r>
      <w:r>
        <w:rPr>
          <w:rFonts w:hint="eastAsia" w:ascii="仿宋" w:hAnsi="仿宋" w:eastAsia="仿宋" w:cs="仿宋"/>
          <w:b/>
          <w:bCs/>
          <w:color w:val="auto"/>
          <w:sz w:val="28"/>
          <w:szCs w:val="28"/>
          <w:highlight w:val="none"/>
        </w:rPr>
        <w:t>开标时间</w:t>
      </w:r>
      <w:r>
        <w:rPr>
          <w:rFonts w:hint="eastAsia" w:ascii="仿宋" w:hAnsi="仿宋" w:eastAsia="仿宋" w:cs="仿宋"/>
          <w:color w:val="auto"/>
          <w:sz w:val="28"/>
          <w:szCs w:val="28"/>
          <w:highlight w:val="none"/>
        </w:rPr>
        <w:t>）的字样。</w:t>
      </w:r>
    </w:p>
    <w:p w14:paraId="31EE43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按照招标文件的要求送达指定地点。</w:t>
      </w:r>
    </w:p>
    <w:p w14:paraId="50EF1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对误投或提前启封概不负责。</w:t>
      </w:r>
    </w:p>
    <w:p w14:paraId="7A07B3A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62990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17.3.1</w:t>
      </w:r>
      <w:r>
        <w:rPr>
          <w:rFonts w:hint="eastAsia" w:ascii="仿宋" w:hAnsi="仿宋" w:eastAsia="仿宋" w:cs="仿宋"/>
          <w:color w:val="auto"/>
          <w:sz w:val="28"/>
          <w:szCs w:val="28"/>
          <w:highlight w:val="none"/>
        </w:rPr>
        <w:t>投标人应在投标须知前附表规定的时间前在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上递交电子投标文件和数据文件。投标人应充分评估集中投标带来的网络影响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尽量避开投标高峰时间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错峰进行电子投标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系统以收到投标人发出的递交指令的时间作为其投标时间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如该时间超过投标截止时间</w:t>
      </w:r>
      <w:r>
        <w:rPr>
          <w:rFonts w:hint="eastAsia" w:ascii="仿宋" w:hAnsi="仿宋" w:eastAsia="仿宋" w:cs="仿宋"/>
          <w:color w:val="auto"/>
          <w:sz w:val="28"/>
          <w:szCs w:val="28"/>
          <w:highlight w:val="none"/>
          <w:lang w:eastAsia="zh-CN"/>
        </w:rPr>
        <w:t>，</w:t>
      </w:r>
      <w:r>
        <w:rPr>
          <w:rFonts w:hint="eastAsia" w:ascii="仿宋" w:hAnsi="仿宋" w:eastAsia="仿宋" w:cs="仿宋"/>
          <w:b/>
          <w:bCs/>
          <w:color w:val="auto"/>
          <w:sz w:val="28"/>
          <w:szCs w:val="28"/>
          <w:highlight w:val="none"/>
        </w:rPr>
        <w:t>其投标将会被判定为无效</w:t>
      </w:r>
      <w:r>
        <w:rPr>
          <w:rFonts w:hint="eastAsia" w:ascii="仿宋" w:hAnsi="仿宋" w:eastAsia="仿宋" w:cs="仿宋"/>
          <w:color w:val="auto"/>
          <w:sz w:val="28"/>
          <w:szCs w:val="28"/>
          <w:highlight w:val="none"/>
        </w:rPr>
        <w:t>。</w:t>
      </w:r>
    </w:p>
    <w:p w14:paraId="101251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17.3.2投标人须牢记投标加密密码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该密码将用于开标时解密其电子投标文件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如忘记密码或输入错误密码超过5次</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其递交的电子投标文件将无法解密</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导致无法提取数据和供他人阅读文件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致使其投标失败。</w:t>
      </w:r>
    </w:p>
    <w:p w14:paraId="46B3D1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拒绝接收纸质投标文件。</w:t>
      </w:r>
    </w:p>
    <w:p w14:paraId="47DF1C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17.3.4投标人应将网上递交的已盖章未加密的数据文件和投标文件谨慎保存以便启动应急开标程序时使用。</w:t>
      </w:r>
    </w:p>
    <w:p w14:paraId="7B0FC49C">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141150D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本次招标的投标截止期见《投标须知前附表》。</w:t>
      </w:r>
    </w:p>
    <w:p w14:paraId="703FB4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41EAE1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7" w:name="_Toc429313655"/>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无法接收投标截止期后递交的投标文件。</w:t>
      </w:r>
    </w:p>
    <w:p w14:paraId="00F31DA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7"/>
      <w:r>
        <w:rPr>
          <w:rFonts w:hint="eastAsia" w:ascii="仿宋" w:hAnsi="仿宋" w:eastAsia="仿宋" w:cs="仿宋"/>
          <w:b/>
          <w:color w:val="auto"/>
          <w:sz w:val="28"/>
          <w:szCs w:val="28"/>
          <w:highlight w:val="none"/>
        </w:rPr>
        <w:t>演示/样品递交</w:t>
      </w:r>
    </w:p>
    <w:p w14:paraId="252FD2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可以要求投标人对其提供的信息化、自动化等相关类别服务进行演示。</w:t>
      </w:r>
    </w:p>
    <w:p w14:paraId="6B5FD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20.2若项目涉及货物时</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可以要求投标人提供样品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样品作为投标文件的一部分。未中标的投标人提供的样品将于评审结束后退还。中标人的样品由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保留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作为验收的依据。</w:t>
      </w:r>
    </w:p>
    <w:p w14:paraId="7ED5FC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是否要求投标人提供演示/提交样品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详见招标文件《投标须知前附表》的有关规定。</w:t>
      </w:r>
    </w:p>
    <w:p w14:paraId="5E615B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61BEE3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在投标截止期之后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投标人不得对其投标文件做任何修改。</w:t>
      </w:r>
    </w:p>
    <w:p w14:paraId="4E60E8A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可以在投标截止期之前撤回其投标。</w:t>
      </w:r>
    </w:p>
    <w:p w14:paraId="4DBAA8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不得撤回投标文件。</w:t>
      </w:r>
    </w:p>
    <w:p w14:paraId="38418BDF">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五、开标与评审</w:t>
      </w:r>
    </w:p>
    <w:p w14:paraId="204BAFD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25476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投标人不足3家的不得开标。</w:t>
      </w:r>
    </w:p>
    <w:p w14:paraId="541D7F8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在招标公告规定的时间和地点组织开标。到现场开标的投标人须携带CA锁和笔记本电脑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以便进行开标操作。不到现场开标的投标人需提前准备已配置好环境的电脑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在规定的时间进行远程开标的各项操作。</w:t>
      </w:r>
    </w:p>
    <w:p w14:paraId="18A222C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22.3现场开标和远程开标的投标人代表应在签到表格相应位置上加盖CA锁中的法定代表人/单位负责人电子人名章</w:t>
      </w:r>
      <w:r>
        <w:rPr>
          <w:rFonts w:hint="eastAsia" w:ascii="仿宋" w:hAnsi="仿宋" w:eastAsia="仿宋" w:cs="仿宋"/>
          <w:color w:val="auto"/>
          <w:sz w:val="28"/>
          <w:szCs w:val="28"/>
          <w:highlight w:val="none"/>
          <w:lang w:val="en-US" w:eastAsia="zh-CN"/>
        </w:rPr>
        <w:t>或公章</w:t>
      </w:r>
      <w:r>
        <w:rPr>
          <w:rFonts w:hint="eastAsia" w:ascii="仿宋" w:hAnsi="仿宋" w:eastAsia="仿宋" w:cs="仿宋"/>
          <w:color w:val="auto"/>
          <w:sz w:val="28"/>
          <w:szCs w:val="28"/>
          <w:highlight w:val="none"/>
        </w:rPr>
        <w:t>以证明其出席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在开标时间前未完成签到的将会被</w:t>
      </w:r>
      <w:r>
        <w:rPr>
          <w:rFonts w:hint="eastAsia" w:ascii="仿宋" w:hAnsi="仿宋" w:eastAsia="仿宋" w:cs="仿宋"/>
          <w:b/>
          <w:bCs/>
          <w:color w:val="auto"/>
          <w:sz w:val="28"/>
          <w:szCs w:val="28"/>
          <w:highlight w:val="none"/>
        </w:rPr>
        <w:t>视作</w:t>
      </w:r>
      <w:r>
        <w:rPr>
          <w:rFonts w:hint="eastAsia" w:ascii="仿宋" w:hAnsi="仿宋" w:eastAsia="仿宋" w:cs="仿宋"/>
          <w:color w:val="auto"/>
          <w:sz w:val="28"/>
          <w:szCs w:val="28"/>
          <w:highlight w:val="none"/>
        </w:rPr>
        <w:t>认同开标结果。</w:t>
      </w:r>
    </w:p>
    <w:p w14:paraId="37C340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投标人输入密码错误（5次输入机会）、未能按时完成解密、其《数据文件》填写、盖章不规范等导致系统无法解析的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将会被视为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E2D73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最终形成开标一览表并由各投标人代表在表格相应位置上加盖CA锁中的法定代表人/单位负责人电子人名章或公章确认。</w:t>
      </w:r>
    </w:p>
    <w:p w14:paraId="66D063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以及认为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相关工作人员有需要回避的情形的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应当场提出询问或者回避申请。</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对投标人代表提出的询问或者回避申请应当及时处理。</w:t>
      </w:r>
    </w:p>
    <w:p w14:paraId="4F73A5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确保声音清楚、图像清晰、内容无遗漏。</w:t>
      </w:r>
    </w:p>
    <w:p w14:paraId="52E82D5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如遇特殊情况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服从威海市公共资源交易中心场地调配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并遵守相关规章制度。</w:t>
      </w:r>
    </w:p>
    <w:p w14:paraId="7FFB1F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按以下规定修正：</w:t>
      </w:r>
    </w:p>
    <w:p w14:paraId="0B47448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以“投标（报价）一览表”的报价为准；</w:t>
      </w:r>
    </w:p>
    <w:p w14:paraId="03CB75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以大写金额为准；</w:t>
      </w:r>
    </w:p>
    <w:p w14:paraId="3C349E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以投标（报价）一览表的总价为准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并修改单价。</w:t>
      </w:r>
    </w:p>
    <w:p w14:paraId="729034C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以单价金额计算结果为准。</w:t>
      </w:r>
    </w:p>
    <w:p w14:paraId="6361E5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按照前款规定的顺序修正。修正后的报价经投标人确认后产生约束力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投标人不确认的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4EDC84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245EED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24DB5E6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22B5D1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投标人开始输入解密密码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解密时间到或所有投标人均完成解密后工作人员启动停止解密指令。</w:t>
      </w:r>
    </w:p>
    <w:p w14:paraId="6386AC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22.10.4唱标：停止解密后现场工作人员将根据电子交易平台自动提取各投标人数据文件中的相关数据进行公开唱标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唱标结束系统将自动生成开标一览表。投标人应及时关注开标过程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查看开标结果并在开标一览表上进行电子签署。若投标人在启动唱标后10分钟内不在开标一览表上签字确认，则视为投标人认可开标结果。</w:t>
      </w:r>
    </w:p>
    <w:p w14:paraId="3CF29F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6DA227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249A77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导致系统无法正常运行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或者无法保证开标过程的公平、公正和信息安全时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沟通后可启动应急开标程序。</w:t>
      </w:r>
    </w:p>
    <w:p w14:paraId="08AE62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无法访问或无法使用系统；</w:t>
      </w:r>
    </w:p>
    <w:p w14:paraId="1F0F21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不能进行正常操作；</w:t>
      </w:r>
    </w:p>
    <w:p w14:paraId="2E9E4EA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有潜在的泄密危险；</w:t>
      </w:r>
    </w:p>
    <w:p w14:paraId="3A1978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363BEF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3A7DF59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481595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63642E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等待系统恢复正常后再组织进行开标。</w:t>
      </w:r>
    </w:p>
    <w:p w14:paraId="04780B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通过系统的备案功能进行文件上传备案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对备案文件与网上递交的文件不一致（系统通过数字签名进行验证）或备案文件未按照本文件的要求进行编制、签署导致系统无法备案的投标人作</w:t>
      </w:r>
      <w:r>
        <w:rPr>
          <w:rFonts w:hint="eastAsia" w:ascii="仿宋" w:hAnsi="仿宋" w:eastAsia="仿宋" w:cs="仿宋"/>
          <w:b/>
          <w:bCs/>
          <w:color w:val="auto"/>
          <w:sz w:val="28"/>
          <w:szCs w:val="28"/>
          <w:highlight w:val="none"/>
        </w:rPr>
        <w:t>无效投标处理</w:t>
      </w:r>
      <w:r>
        <w:rPr>
          <w:rFonts w:hint="eastAsia" w:ascii="仿宋" w:hAnsi="仿宋" w:eastAsia="仿宋" w:cs="仿宋"/>
          <w:color w:val="auto"/>
          <w:sz w:val="28"/>
          <w:szCs w:val="28"/>
          <w:highlight w:val="none"/>
        </w:rPr>
        <w:t>。</w:t>
      </w:r>
    </w:p>
    <w:p w14:paraId="2FCEDC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或代理机构的监督下可针对所有在平台中已投标的投标人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启用其电子邮件递交的投标文件进行开标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同时开标由线上转为线下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开标、评标均以电子邮件递交的投标文件为准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投标人必须在获取招标文件时留有本单位详细的邮箱和电话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否则由此产生的不利后果由投标人自己承担。对未按规定递交或递交的文件未按要求进行编制、签署的投标人作</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处理。</w:t>
      </w:r>
    </w:p>
    <w:p w14:paraId="2D4573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22.12应急开标电子邮件递交规定</w:t>
      </w:r>
    </w:p>
    <w:p w14:paraId="143079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whzczb1@163.com</w:t>
      </w:r>
    </w:p>
    <w:p w14:paraId="5020194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6239D25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398B2F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44F61B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每个包段含已盖章且未加密的数据文件、投标文件各一份。数据文件、投标文件与网上最终递交的必须为同一文件（可将所投包段的所有文件打包压缩）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如果不一致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系统后台会判定为无效投标文件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导致投标无效。</w:t>
      </w:r>
    </w:p>
    <w:p w14:paraId="6C425DF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7D12C0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9437A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不接受、不处理任何通过电子邮件提交的投标文件）；</w:t>
      </w:r>
    </w:p>
    <w:p w14:paraId="68E325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工作人员开始下载投标文件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将投标报价形成开标报告并邮件回复各投标人；</w:t>
      </w:r>
    </w:p>
    <w:p w14:paraId="1F1AED7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不及时回复的视为对开标报告的内容无异议。</w:t>
      </w:r>
    </w:p>
    <w:p w14:paraId="5D27A5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114064E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负责组织评标工作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具体评审事务由依法组建的评标委员会负责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评标委员会成员由</w:t>
      </w:r>
      <w:r>
        <w:rPr>
          <w:rFonts w:hint="eastAsia" w:ascii="仿宋" w:hAnsi="仿宋" w:eastAsia="仿宋" w:cs="仿宋"/>
          <w:color w:val="auto"/>
          <w:sz w:val="28"/>
          <w:szCs w:val="28"/>
          <w:highlight w:val="none"/>
          <w:lang w:val="en-US" w:eastAsia="zh-CN"/>
        </w:rPr>
        <w:t>采购人代表（如有）和</w:t>
      </w:r>
      <w:r>
        <w:rPr>
          <w:rFonts w:hint="eastAsia" w:ascii="仿宋" w:hAnsi="仿宋" w:eastAsia="仿宋" w:cs="仿宋"/>
          <w:color w:val="auto"/>
          <w:sz w:val="28"/>
          <w:szCs w:val="28"/>
          <w:highlight w:val="none"/>
        </w:rPr>
        <w:t>评审专家5人以上的单数组成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其中专家人数不得少于评标委员会成员总数的2/3。</w:t>
      </w:r>
    </w:p>
    <w:p w14:paraId="1FB673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员及相关人员与投标人有利害关系的应当回避。曾参与招标</w:t>
      </w: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征询意见或论证的专家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不得再作为评标专家参加评标。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不得以专家身份参与本项目的评标。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工作人员离职或退休不满三年的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不能作为专家参加评标工作。</w:t>
      </w:r>
    </w:p>
    <w:p w14:paraId="4F06F5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37C25D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评标委员会成员应当主动确认与投标人是否有利害关系。如有利害关系应当主动回避</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如无利害关系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应当在含有相关内容的《无利害关系声明》上签字；</w:t>
      </w:r>
    </w:p>
    <w:p w14:paraId="1D2B6DB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对投标文件的内容进行评审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并对评审结果承担责任；</w:t>
      </w:r>
    </w:p>
    <w:p w14:paraId="2DE6A7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以及投标人的商业秘密进行保密；</w:t>
      </w:r>
    </w:p>
    <w:p w14:paraId="5EBD29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70B819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答复投标人质疑；</w:t>
      </w:r>
    </w:p>
    <w:p w14:paraId="0C74F05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配合主管部门处理投标人投诉</w:t>
      </w:r>
      <w:r>
        <w:rPr>
          <w:rFonts w:hint="eastAsia" w:ascii="仿宋" w:hAnsi="仿宋" w:eastAsia="仿宋" w:cs="仿宋"/>
          <w:color w:val="auto"/>
          <w:sz w:val="28"/>
          <w:szCs w:val="28"/>
          <w:highlight w:val="none"/>
          <w:lang w:eastAsia="zh-CN"/>
        </w:rPr>
        <w:t>；</w:t>
      </w:r>
    </w:p>
    <w:p w14:paraId="1A9A92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反映评标工作中的问题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提出意见和建议。</w:t>
      </w:r>
    </w:p>
    <w:p w14:paraId="44EC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23.4评标委员会集体职责：</w:t>
      </w:r>
    </w:p>
    <w:p w14:paraId="2E844D8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起草评标报告。对评标结论持有异议的评标委员会成员可以书面方式阐述其不同意见和理由。评标委员会成员拒绝在评标报告上签字且不陈述其不同意见和理由的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视为同意评标结论。评标委员会应当对此做出书面说明并记录在案；</w:t>
      </w:r>
    </w:p>
    <w:p w14:paraId="1F7DAEB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答复投标人的质疑；</w:t>
      </w:r>
    </w:p>
    <w:p w14:paraId="0EB041A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配合主管部门做好投诉处理工作；</w:t>
      </w:r>
    </w:p>
    <w:p w14:paraId="71A112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）必要时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向投标人解释评标结果；</w:t>
      </w:r>
    </w:p>
    <w:p w14:paraId="03E7D5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）向主管部门或者有关部门报告非法干预评标工作的行为。</w:t>
      </w:r>
    </w:p>
    <w:p w14:paraId="0E824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23.5</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的职责：</w:t>
      </w:r>
    </w:p>
    <w:p w14:paraId="663043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w:t>
      </w:r>
      <w:r>
        <w:rPr>
          <w:rFonts w:hint="eastAsia" w:ascii="仿宋" w:hAnsi="仿宋" w:eastAsia="仿宋" w:cs="仿宋"/>
          <w:color w:val="auto"/>
          <w:sz w:val="28"/>
          <w:szCs w:val="28"/>
          <w:highlight w:val="none"/>
          <w:lang w:eastAsia="zh-CN"/>
        </w:rPr>
        <w:t>采购人代表授权委托书（</w:t>
      </w:r>
      <w:r>
        <w:rPr>
          <w:rFonts w:hint="eastAsia" w:ascii="仿宋" w:hAnsi="仿宋" w:eastAsia="仿宋" w:cs="仿宋"/>
          <w:color w:val="auto"/>
          <w:sz w:val="28"/>
          <w:szCs w:val="28"/>
          <w:highlight w:val="none"/>
          <w:lang w:val="en-US" w:eastAsia="zh-CN"/>
        </w:rPr>
        <w:t>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对评审专家在采购活动中的职责履行情况予以记录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并及时将有关违法违规行为向主管部门报告；</w:t>
      </w:r>
    </w:p>
    <w:p w14:paraId="5C0A065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65375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告知评审专家应当回避的情形；</w:t>
      </w:r>
    </w:p>
    <w:p w14:paraId="0E670DA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组织评标委员会推选评标组长，</w:t>
      </w:r>
      <w:r>
        <w:rPr>
          <w:rFonts w:hint="eastAsia" w:ascii="仿宋" w:hAnsi="仿宋" w:eastAsia="仿宋" w:cs="仿宋"/>
          <w:color w:val="auto"/>
          <w:sz w:val="28"/>
          <w:szCs w:val="28"/>
          <w:highlight w:val="none"/>
          <w:lang w:val="en-US" w:eastAsia="zh-CN"/>
        </w:rPr>
        <w:t>采购</w:t>
      </w:r>
      <w:r>
        <w:rPr>
          <w:rFonts w:hint="eastAsia" w:ascii="仿宋" w:hAnsi="仿宋" w:eastAsia="仿宋" w:cs="仿宋"/>
          <w:color w:val="auto"/>
          <w:sz w:val="28"/>
          <w:szCs w:val="28"/>
          <w:highlight w:val="none"/>
          <w:lang w:eastAsia="zh-CN"/>
        </w:rPr>
        <w:t>人</w:t>
      </w:r>
      <w:r>
        <w:rPr>
          <w:rFonts w:hint="eastAsia" w:ascii="仿宋" w:hAnsi="仿宋" w:eastAsia="仿宋" w:cs="仿宋"/>
          <w:color w:val="auto"/>
          <w:sz w:val="28"/>
          <w:szCs w:val="28"/>
          <w:highlight w:val="none"/>
        </w:rPr>
        <w:t>代表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不得担任组长；</w:t>
      </w:r>
    </w:p>
    <w:p w14:paraId="214DD1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）评标期间采取必要的通讯管理措施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保证评标活动不受外界干扰；</w:t>
      </w:r>
    </w:p>
    <w:p w14:paraId="4DA1DF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根据</w:t>
      </w:r>
      <w:r>
        <w:rPr>
          <w:rFonts w:hint="eastAsia" w:ascii="仿宋" w:hAnsi="仿宋" w:eastAsia="仿宋" w:cs="仿宋"/>
          <w:color w:val="auto"/>
          <w:sz w:val="28"/>
          <w:szCs w:val="28"/>
          <w:highlight w:val="none"/>
        </w:rPr>
        <w:t>评标委员会的要求介绍采购相关政策法规、招标文件；</w:t>
      </w:r>
    </w:p>
    <w:p w14:paraId="646F28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）维护评标秩序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监督评标委员会依照招标文件规定的评标程序、方法和标准进行独立评审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及时制止和纠正</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代表、评审专家的倾向性言论或者违法违规行为；</w:t>
      </w:r>
    </w:p>
    <w:p w14:paraId="4BB6E1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）核对评标结果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存在分值汇总计算错误的、分项评分超出评分标准范围的、评标委员会成员对客观评审因素评分不一致的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经评标委员会认定评分畸高畸低的情形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要求评标小组复核或者书面说明理由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评标小组拒绝的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应予记录并向主管部门报告；</w:t>
      </w:r>
    </w:p>
    <w:p w14:paraId="5DE45C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）评审工作完成后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按照规定向评审专家支付劳务报酬和异地评审差旅费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不得向评审专家以外的其他人员支付评审劳务报酬；专家劳务报酬标准参照山东省财政厅《关于印发&lt;山东省政府采购评审劳务报酬标准&gt;的通知》（鲁财采〔2017〕28号）规定执行。</w:t>
      </w:r>
    </w:p>
    <w:p w14:paraId="4A598E0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）处理与评标有关的其他事项。</w:t>
      </w:r>
    </w:p>
    <w:p w14:paraId="13CBBFF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可以在评标前说明项目背景和采购需求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说明内容不得含有歧视性、倾向性意见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不得超出招标文件所述范围。说明应当提交书面材料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618F01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23.6评标委员会采用集中办公、封闭方式进行评审。评标前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工作人员向评标委员会成员宣布评标纪律和工作规则。评标委员会成员签署《无利害关系声明表》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并遵照执行。</w:t>
      </w:r>
    </w:p>
    <w:p w14:paraId="3B5ED1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23.7评标委员会成员对与自己有利害关系的评标项目应当主动提出回避。</w:t>
      </w:r>
    </w:p>
    <w:p w14:paraId="668E26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23.8评标委员会将按照招标文件确定的评标原则和方法进行评标。评标委员会对投标文件的评审内容分为资格性审查、符合性审查、商务评议、技术评议和价格评议。</w:t>
      </w:r>
    </w:p>
    <w:p w14:paraId="589717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23.9评标委员会独立履行下列职责：</w:t>
      </w:r>
    </w:p>
    <w:p w14:paraId="7FD9BDC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222BAD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7DAB4C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793F3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以及根据</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委托直接确定中标人；</w:t>
      </w:r>
    </w:p>
    <w:p w14:paraId="0E9177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或者有关部门报告评标中发现的违法行为。</w:t>
      </w:r>
    </w:p>
    <w:p w14:paraId="33FDF8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23.10评标中因评标委员会成员缺席、回避或者健康等特殊原因导致评标委员会组成不符合本办法规定的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应当依法补足后继续评标。被更换的评标委员会成员所作出的评标意见无效。</w:t>
      </w:r>
    </w:p>
    <w:p w14:paraId="3B4EB6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应当停止评标活动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封存所有投标文件和开标、评标资料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依法重新组建评标委员会进行评标。原评标委员会作出的评标意见无效。</w:t>
      </w:r>
    </w:p>
    <w:p w14:paraId="1B7B2C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应当将变更、重新组建评标委员会的情况予以记录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75C8A5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E7136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评标委员会对投标人的资格进行审查。合格投标人不足3家的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不得评标。在资格性检查时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4592566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（1）与</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存在利害关系且可能影响</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活动的公正性；</w:t>
      </w:r>
    </w:p>
    <w:p w14:paraId="256A83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（2）与本</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项目的其他投标人为同一个单位负责人；</w:t>
      </w:r>
    </w:p>
    <w:p w14:paraId="6E84C71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（3）与本</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项目的其他投标人存在控股、管理关系；</w:t>
      </w:r>
    </w:p>
    <w:p w14:paraId="743072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（4）为本</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项目提供过设计、编制技术规范和其他文件的咨询服务；</w:t>
      </w:r>
    </w:p>
    <w:p w14:paraId="4CE304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（5）为本项目的相关监理人，或者与本项目的相关监理人存在隶属关系或者其他利害关系；</w:t>
      </w:r>
    </w:p>
    <w:p w14:paraId="3B053AF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（6）为本</w:t>
      </w:r>
      <w:bookmarkStart w:id="8" w:name="OLE_LINK4"/>
      <w:r>
        <w:rPr>
          <w:rFonts w:hint="eastAsia" w:ascii="仿宋" w:hAnsi="仿宋" w:eastAsia="仿宋" w:cs="仿宋"/>
          <w:color w:val="auto"/>
          <w:sz w:val="28"/>
          <w:szCs w:val="28"/>
          <w:highlight w:val="none"/>
          <w:lang w:val="en-US" w:eastAsia="zh-CN"/>
        </w:rPr>
        <w:t>招标</w:t>
      </w:r>
      <w:bookmarkEnd w:id="8"/>
      <w:r>
        <w:rPr>
          <w:rFonts w:hint="eastAsia" w:ascii="仿宋" w:hAnsi="仿宋" w:eastAsia="仿宋" w:cs="仿宋"/>
          <w:color w:val="auto"/>
          <w:sz w:val="28"/>
          <w:szCs w:val="28"/>
          <w:highlight w:val="none"/>
        </w:rPr>
        <w:t>项目的代建人；</w:t>
      </w:r>
    </w:p>
    <w:p w14:paraId="4A3A81A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（7）为本</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项目的</w:t>
      </w:r>
      <w:r>
        <w:rPr>
          <w:rFonts w:hint="eastAsia" w:ascii="仿宋" w:hAnsi="仿宋" w:eastAsia="仿宋" w:cs="仿宋"/>
          <w:color w:val="auto"/>
          <w:sz w:val="28"/>
          <w:szCs w:val="28"/>
          <w:highlight w:val="none"/>
          <w:lang w:eastAsia="zh-CN"/>
        </w:rPr>
        <w:t>招标代理</w:t>
      </w:r>
      <w:r>
        <w:rPr>
          <w:rFonts w:hint="eastAsia" w:ascii="仿宋" w:hAnsi="仿宋" w:eastAsia="仿宋" w:cs="仿宋"/>
          <w:color w:val="auto"/>
          <w:sz w:val="28"/>
          <w:szCs w:val="28"/>
          <w:highlight w:val="none"/>
        </w:rPr>
        <w:t>机构；</w:t>
      </w:r>
    </w:p>
    <w:p w14:paraId="7948162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（8）与本</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项目的监理人或代建人或</w:t>
      </w:r>
      <w:r>
        <w:rPr>
          <w:rFonts w:hint="eastAsia" w:ascii="仿宋" w:hAnsi="仿宋" w:eastAsia="仿宋" w:cs="仿宋"/>
          <w:color w:val="auto"/>
          <w:sz w:val="28"/>
          <w:szCs w:val="28"/>
          <w:highlight w:val="none"/>
          <w:lang w:eastAsia="zh-CN"/>
        </w:rPr>
        <w:t>招标代理</w:t>
      </w:r>
      <w:r>
        <w:rPr>
          <w:rFonts w:hint="eastAsia" w:ascii="仿宋" w:hAnsi="仿宋" w:eastAsia="仿宋" w:cs="仿宋"/>
          <w:color w:val="auto"/>
          <w:sz w:val="28"/>
          <w:szCs w:val="28"/>
          <w:highlight w:val="none"/>
        </w:rPr>
        <w:t>机构同为一个法定代表人；</w:t>
      </w:r>
    </w:p>
    <w:p w14:paraId="3D95512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（9）与本</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项目的监理人或代建人或</w:t>
      </w:r>
      <w:r>
        <w:rPr>
          <w:rFonts w:hint="eastAsia" w:ascii="仿宋" w:hAnsi="仿宋" w:eastAsia="仿宋" w:cs="仿宋"/>
          <w:color w:val="auto"/>
          <w:sz w:val="28"/>
          <w:szCs w:val="28"/>
          <w:highlight w:val="none"/>
          <w:lang w:eastAsia="zh-CN"/>
        </w:rPr>
        <w:t>招标代理</w:t>
      </w:r>
      <w:r>
        <w:rPr>
          <w:rFonts w:hint="eastAsia" w:ascii="仿宋" w:hAnsi="仿宋" w:eastAsia="仿宋" w:cs="仿宋"/>
          <w:color w:val="auto"/>
          <w:sz w:val="28"/>
          <w:szCs w:val="28"/>
          <w:highlight w:val="none"/>
        </w:rPr>
        <w:t>机构存在控股或参股关系；</w:t>
      </w:r>
    </w:p>
    <w:p w14:paraId="316739C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（10）被依法暂停或者取消投标资格；</w:t>
      </w:r>
    </w:p>
    <w:p w14:paraId="79F3CAC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（11）被责令停产停业、暂扣或者吊销许可证、暂扣或者吊销执照；</w:t>
      </w:r>
    </w:p>
    <w:p w14:paraId="6CB2F3B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（12）进入清算程序，或被宣告破产，或其他丧失履约能力的情形；</w:t>
      </w:r>
    </w:p>
    <w:p w14:paraId="7F6074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（13）法律法规规定的其他情形；</w:t>
      </w:r>
    </w:p>
    <w:p w14:paraId="20E0A07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（14）投标人资格证明文件不满足招标文件要求和过期失效的。</w:t>
      </w:r>
    </w:p>
    <w:p w14:paraId="1005BB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24.2符合性审查。评标委员会应当对符合资格的投标人的投标文件进行符合性审查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以确定其是否满足招标文件的实质性要求。评标委员会决定投标的响应性只根据投标文件本身的内容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而不依据外部的证据。在符合性检查时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如有不满足下列情况之一的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146352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具体内容详见《投标须知》-《实质性条款一览表》中符合性审查条件。</w:t>
      </w:r>
    </w:p>
    <w:p w14:paraId="049F94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视为投标人串通投标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2065E7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154A9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5BD8A9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0B0689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04E703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1BF5F8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2D5FA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（7）不同投标人的投标文件相互混装； </w:t>
      </w:r>
    </w:p>
    <w:p w14:paraId="01A2594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（8）不同投标人的投标保证金从同一单位或者个人的账户转出</w:t>
      </w:r>
      <w:r>
        <w:rPr>
          <w:rFonts w:hint="eastAsia" w:ascii="仿宋" w:hAnsi="仿宋" w:eastAsia="仿宋" w:cs="仿宋"/>
          <w:color w:val="auto"/>
          <w:sz w:val="28"/>
          <w:szCs w:val="28"/>
          <w:highlight w:val="none"/>
          <w:lang w:eastAsia="zh-CN"/>
        </w:rPr>
        <w:t>；</w:t>
      </w:r>
    </w:p>
    <w:p w14:paraId="3FB707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）以他人名义投标或者以其他方式弄虚作假，骗取中标的；</w:t>
      </w:r>
    </w:p>
    <w:p w14:paraId="499BC28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10）被交易服务平台列入黑名单的；</w:t>
      </w:r>
    </w:p>
    <w:p w14:paraId="4CCB36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lang w:eastAsia="zh-CN"/>
        </w:rPr>
        <w:t>不同投标人制作的电子投标文件经系统审查存在cpu编码、硬盘编码及MAC地址三项编码均相同的；</w:t>
      </w:r>
    </w:p>
    <w:p w14:paraId="071A8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12）经评标委员会评定认为可以判定无效的其他情况</w:t>
      </w:r>
      <w:r>
        <w:rPr>
          <w:rFonts w:hint="eastAsia" w:ascii="仿宋" w:hAnsi="仿宋" w:eastAsia="仿宋" w:cs="仿宋"/>
          <w:color w:val="auto"/>
          <w:sz w:val="28"/>
          <w:szCs w:val="28"/>
          <w:highlight w:val="none"/>
        </w:rPr>
        <w:t>。</w:t>
      </w:r>
    </w:p>
    <w:p w14:paraId="5F35A73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24.4投标截止后投标人不足3家或者通过资格审查或符合性审查的投标人不足3家的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除采购任务取消情形外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按照以下方式处理：</w:t>
      </w:r>
    </w:p>
    <w:p w14:paraId="74DEE0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改正后依法重新招标；</w:t>
      </w:r>
    </w:p>
    <w:p w14:paraId="3973294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需要采用其他招标方式招标的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应当依法报主管部门批准。</w:t>
      </w:r>
    </w:p>
    <w:p w14:paraId="41083FD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05F738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对于投标文件中含义不明确、同类问题表述不一致或者有明显文字和计算错误的内容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评标委员会应当以书面形式要求投标人作出必要的澄清、说明或者补正。请投标人澄清其投标内容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或其授权人必须接受评标委员会的询标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未在规定的时间内澄清、说明或补正的，由投标人自行承担不利后果，包括但不限于投标无效，相应评审因素对应的分值为0分。</w:t>
      </w:r>
    </w:p>
    <w:p w14:paraId="5AA817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并加盖公章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或者由法定代表人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或其授权的代表签字。投标人的澄清、说明或者补正不得超出投标文件的范围或者改变投标文件的实质性内容。此书面文件是投标文件的组成部分。</w:t>
      </w:r>
    </w:p>
    <w:p w14:paraId="5DA6688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65AF72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26.1评审采用百分制。评标委员会各成员分别独立对实质上响应的投标人进行逐项评价打分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对评标委员会各成员每一因素的打分汇总后的得分为投标人的得分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汇总得分保留两位小数。</w:t>
      </w:r>
    </w:p>
    <w:p w14:paraId="48A6DE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132AF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价格分值由评审系统根据投标人上传的《投标（报价）一览表》中的投标报价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依据规定公式自动计算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其结果由评标委员会所有成员签字确认。</w:t>
      </w:r>
    </w:p>
    <w:p w14:paraId="5936D9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代理机构工作人员负责复核、统计评标委员会成员的评审情况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发现评审意见有失公正时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提请该评标委员会成员修改评审意见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并形成书面意见备查。</w:t>
      </w:r>
    </w:p>
    <w:p w14:paraId="0AC5560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还将考虑以下因素：</w:t>
      </w:r>
    </w:p>
    <w:p w14:paraId="7E38D97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625888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08545A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有可能影响产品质量或者不能诚信履约的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应当要求其在评标现场合理的时间内提供书面说明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必要时提交相关证明材料；投标人不能证明其报价合理性的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评标委员会应当将其作为无效投标处理。</w:t>
      </w:r>
    </w:p>
    <w:p w14:paraId="6CE113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或者招标文件内容违反国家有关强制性规定的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应当停止评标工作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沟通并作书面记录。</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应当修改招标文件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重新组织采购活动。</w:t>
      </w:r>
    </w:p>
    <w:p w14:paraId="17C473C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不得恶意串通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不得妨碍其他投标人的竞争行为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不得损坏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或者其他投标人的合法权益。在评标过程中发现投标人有上述情形的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评标委员会应当认定其投标无效。</w:t>
      </w:r>
    </w:p>
    <w:p w14:paraId="77C0630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055656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应予废标：</w:t>
      </w:r>
    </w:p>
    <w:p w14:paraId="3DDFD1D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合格的投标人或参加投标的企业不足三家的；</w:t>
      </w:r>
    </w:p>
    <w:p w14:paraId="1266B65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出现影响招标公正的违法、违规行为的；</w:t>
      </w:r>
    </w:p>
    <w:p w14:paraId="728C799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投标人的报价均超过了预算价格</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52401C5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因重大变故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采购任务取消的。</w:t>
      </w:r>
    </w:p>
    <w:p w14:paraId="7B9F8F27">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六、定标</w:t>
      </w:r>
    </w:p>
    <w:p w14:paraId="6AD8FE8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28.确定中标候选人</w:t>
      </w:r>
    </w:p>
    <w:p w14:paraId="761B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对投标文件进行评审。评标结束后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按综合得分由高到低对投标人的评审名次进行排序，确定3名中标候选人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根据全体评标成员签字的原始评标记录和评标结果编写评标报告。</w:t>
      </w:r>
    </w:p>
    <w:p w14:paraId="3BF7312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评标报告的主要内容包括：</w:t>
      </w:r>
    </w:p>
    <w:p w14:paraId="7A14CE2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16B101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0CE1C8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238A405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无效投标人名单及原因；</w:t>
      </w:r>
    </w:p>
    <w:p w14:paraId="04FF7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确定的中标候选人名单或者经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委托直接确定的中标人；</w:t>
      </w:r>
    </w:p>
    <w:p w14:paraId="322C85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包括评标过程中投标人根据评标委员会要求进行澄清、说明或者补正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评标委员会成员的更换等。</w:t>
      </w:r>
    </w:p>
    <w:p w14:paraId="5C560C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29.确定中标人</w:t>
      </w:r>
    </w:p>
    <w:p w14:paraId="2B590B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29.1</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可委托评标委员会直接定标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确定排名第一的投标人为中标人；也可以自主定标。自主定标的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应当在收到评审报告后3个工作日内确定中标人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逾期未确定中标人且不提出异议的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视为确定评审报告提出的排名第一的投标人为中标人。</w:t>
      </w:r>
    </w:p>
    <w:p w14:paraId="3912CA9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评标结果汇总完成后，除下列情形外，任何人不得修改评标结果：</w:t>
      </w:r>
    </w:p>
    <w:p w14:paraId="52CDD52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（1）分值汇总计算错误的；</w:t>
      </w:r>
    </w:p>
    <w:p w14:paraId="6DF62F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（2）分项评分超出评分标准范围的；</w:t>
      </w:r>
    </w:p>
    <w:p w14:paraId="652421E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（3）评标委员会成员对客观评审因素评分不一致的；</w:t>
      </w:r>
    </w:p>
    <w:p w14:paraId="7C2C7A1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（4）经评标委员会认定评分畸高、畸低的；</w:t>
      </w:r>
    </w:p>
    <w:p w14:paraId="4FAD1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（5）评标委员会认定的其他情形。</w:t>
      </w:r>
    </w:p>
    <w:p w14:paraId="5D5244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29.</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评标报告签署前，经复核发现存在以上情形之一的，评标委员会应当当场修改评标结果，并在评标报告中记载；评标报告签署后，</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招标代理</w:t>
      </w:r>
      <w:r>
        <w:rPr>
          <w:rFonts w:hint="eastAsia" w:ascii="仿宋" w:hAnsi="仿宋" w:eastAsia="仿宋" w:cs="仿宋"/>
          <w:color w:val="auto"/>
          <w:sz w:val="28"/>
          <w:szCs w:val="28"/>
          <w:highlight w:val="none"/>
        </w:rPr>
        <w:t>机构发现存在以上情形之一的，应当组织原评标委员会进行重新评审，重新评审改变结果的，书面报告本级主管部门。投标人对本条上述情形提出质疑的，</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代理机构可以组织原评标委员会进行重新评审，重新评审改变评标结果的，应当书面报告主管部门。</w:t>
      </w:r>
    </w:p>
    <w:p w14:paraId="3E08D2A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highlight w:val="none"/>
        </w:rPr>
      </w:pPr>
      <w:r>
        <w:rPr>
          <w:rFonts w:hint="eastAsia" w:ascii="仿宋" w:hAnsi="仿宋" w:eastAsia="仿宋" w:cs="仿宋"/>
          <w:color w:val="auto"/>
          <w:sz w:val="28"/>
          <w:szCs w:val="28"/>
          <w:highlight w:val="none"/>
        </w:rPr>
        <w:t>29.</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中标人在规定的期限内无正当理由拒绝签订合同，</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可以按照评审报告推荐的中标候选人名单排序，确定下一候选人为中标人，也可以重新开展招标活动。</w:t>
      </w:r>
    </w:p>
    <w:p w14:paraId="6094E06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七、结果公告</w:t>
      </w:r>
    </w:p>
    <w:p w14:paraId="51126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0</w:t>
      </w:r>
      <w:r>
        <w:rPr>
          <w:rFonts w:hint="eastAsia" w:ascii="仿宋" w:hAnsi="仿宋" w:eastAsia="仿宋" w:cs="仿宋"/>
          <w:b/>
          <w:color w:val="auto"/>
          <w:sz w:val="28"/>
          <w:szCs w:val="28"/>
          <w:highlight w:val="none"/>
        </w:rPr>
        <w:t>.结果公告</w:t>
      </w:r>
    </w:p>
    <w:p w14:paraId="29DFD9A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应当自定标结束</w:t>
      </w:r>
      <w:r>
        <w:rPr>
          <w:rFonts w:hint="eastAsia" w:ascii="仿宋" w:hAnsi="仿宋" w:eastAsia="仿宋" w:cs="仿宋"/>
          <w:color w:val="auto"/>
          <w:sz w:val="28"/>
          <w:szCs w:val="28"/>
          <w:highlight w:val="none"/>
          <w:lang w:val="en-US" w:eastAsia="zh-CN"/>
        </w:rPr>
        <w:t>后</w:t>
      </w:r>
      <w:r>
        <w:rPr>
          <w:rFonts w:hint="eastAsia" w:ascii="仿宋" w:hAnsi="仿宋" w:eastAsia="仿宋" w:cs="仿宋"/>
          <w:color w:val="auto"/>
          <w:sz w:val="28"/>
          <w:szCs w:val="28"/>
          <w:highlight w:val="none"/>
        </w:rPr>
        <w:t>在原招标公告发布媒介发布中标公告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公告期为1个工作日</w:t>
      </w:r>
      <w:r>
        <w:rPr>
          <w:rFonts w:hint="eastAsia" w:ascii="仿宋" w:hAnsi="仿宋" w:eastAsia="仿宋" w:cs="仿宋"/>
          <w:color w:val="auto"/>
          <w:sz w:val="28"/>
          <w:szCs w:val="28"/>
          <w:highlight w:val="none"/>
        </w:rPr>
        <w:t>。</w:t>
      </w:r>
    </w:p>
    <w:p w14:paraId="68B88769">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1</w:t>
      </w:r>
      <w:r>
        <w:rPr>
          <w:rFonts w:hint="eastAsia" w:ascii="仿宋" w:hAnsi="仿宋" w:eastAsia="仿宋" w:cs="仿宋"/>
          <w:b/>
          <w:color w:val="auto"/>
          <w:sz w:val="28"/>
          <w:szCs w:val="28"/>
          <w:highlight w:val="none"/>
        </w:rPr>
        <w:t>.签发中标通知书</w:t>
      </w:r>
    </w:p>
    <w:p w14:paraId="76CCC9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中标公告结束且无尚未处理的异议后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和代理机构联合向中标人发出中标通知书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并同时将中标结果通知所有未中标的投标人。对未通过资格</w:t>
      </w:r>
      <w:r>
        <w:rPr>
          <w:rFonts w:hint="eastAsia" w:ascii="仿宋" w:hAnsi="仿宋" w:eastAsia="仿宋" w:cs="仿宋"/>
          <w:color w:val="auto"/>
          <w:sz w:val="28"/>
          <w:szCs w:val="28"/>
          <w:highlight w:val="none"/>
          <w:lang w:val="en-US" w:eastAsia="zh-CN"/>
        </w:rPr>
        <w:t>性、符合性</w:t>
      </w:r>
      <w:r>
        <w:rPr>
          <w:rFonts w:hint="eastAsia" w:ascii="仿宋" w:hAnsi="仿宋" w:eastAsia="仿宋" w:cs="仿宋"/>
          <w:color w:val="auto"/>
          <w:sz w:val="28"/>
          <w:szCs w:val="28"/>
          <w:highlight w:val="none"/>
        </w:rPr>
        <w:t>审查的投标人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应当告知其未通过的原因；《中标通知书》是合同的组成部分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对中标人和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具有同等法律效力。《中标通知书》发出后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不得违法改变中标结果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中标人无正当理由不得放弃中标。</w:t>
      </w:r>
    </w:p>
    <w:p w14:paraId="2C7D0D2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八、质疑</w:t>
      </w:r>
    </w:p>
    <w:p w14:paraId="138E709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2</w:t>
      </w:r>
      <w:r>
        <w:rPr>
          <w:rFonts w:hint="eastAsia" w:ascii="仿宋" w:hAnsi="仿宋" w:eastAsia="仿宋" w:cs="仿宋"/>
          <w:b/>
          <w:color w:val="auto"/>
          <w:sz w:val="28"/>
          <w:szCs w:val="28"/>
          <w:highlight w:val="none"/>
        </w:rPr>
        <w:t>.质疑</w:t>
      </w:r>
    </w:p>
    <w:p w14:paraId="370CCD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.1投标人认为招标文件、采购过程、中标结果使自己的权益受到损害的，</w:t>
      </w:r>
      <w:r>
        <w:rPr>
          <w:rFonts w:hint="eastAsia" w:ascii="仿宋" w:hAnsi="仿宋" w:eastAsia="仿宋" w:cs="仿宋"/>
          <w:color w:val="auto"/>
          <w:sz w:val="28"/>
          <w:szCs w:val="28"/>
          <w:highlight w:val="none"/>
          <w:lang w:val="en-US" w:eastAsia="zh-CN"/>
        </w:rPr>
        <w:t>应于10个工作日内</w:t>
      </w:r>
      <w:r>
        <w:rPr>
          <w:rFonts w:hint="eastAsia" w:ascii="仿宋" w:hAnsi="仿宋" w:eastAsia="仿宋" w:cs="仿宋"/>
          <w:color w:val="auto"/>
          <w:sz w:val="28"/>
          <w:szCs w:val="28"/>
          <w:highlight w:val="none"/>
          <w:lang w:eastAsia="zh-CN"/>
        </w:rPr>
        <w:t>以书面形式</w:t>
      </w:r>
      <w:r>
        <w:rPr>
          <w:rFonts w:hint="eastAsia" w:ascii="仿宋" w:hAnsi="仿宋" w:eastAsia="仿宋" w:cs="仿宋"/>
          <w:color w:val="auto"/>
          <w:sz w:val="28"/>
          <w:szCs w:val="28"/>
          <w:highlight w:val="none"/>
          <w:lang w:val="en-US" w:eastAsia="zh-CN"/>
        </w:rPr>
        <w:t>实名</w:t>
      </w:r>
      <w:r>
        <w:rPr>
          <w:rFonts w:hint="eastAsia" w:ascii="仿宋" w:hAnsi="仿宋" w:eastAsia="仿宋" w:cs="仿宋"/>
          <w:color w:val="auto"/>
          <w:sz w:val="28"/>
          <w:szCs w:val="28"/>
          <w:highlight w:val="none"/>
          <w:lang w:eastAsia="zh-CN"/>
        </w:rPr>
        <w:t>向采购人或采购代理机构提出质疑，采购人或采购代理机构应当在收到投标人的书面质疑后3个工作日内做出书面答复，但答复内容不得涉及商业秘密。</w:t>
      </w:r>
    </w:p>
    <w:p w14:paraId="130746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.2提出质疑的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应当是参与所质疑项目采购活动的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。投标人已依法获取其可质疑的采购文件的，可以对该文件提出质疑。</w:t>
      </w:r>
    </w:p>
    <w:p w14:paraId="036099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.3投标人应在法定质疑期内一次性提出针对同一采购程序环节的质疑。</w:t>
      </w:r>
    </w:p>
    <w:p w14:paraId="24849B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.4质疑采用实名制，以书面形式提出。为了使提出的质疑事项在规定时间内得到有效答复、处理，提交的质疑函应当包括下列内容：</w:t>
      </w:r>
    </w:p>
    <w:p w14:paraId="1F4D9C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（1）投标人的姓名或者名称、地址（邮箱）、邮编、联系人及联系电话；</w:t>
      </w:r>
    </w:p>
    <w:p w14:paraId="0AC0A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（2）质疑项目的名称、编号；</w:t>
      </w:r>
    </w:p>
    <w:p w14:paraId="2EC49B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（3）具体、明确的质疑事项和与质疑事项相关的请求；</w:t>
      </w:r>
    </w:p>
    <w:p w14:paraId="3708A7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（4）事实依据；</w:t>
      </w:r>
    </w:p>
    <w:p w14:paraId="08B4FA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（5）必要的法律依据；</w:t>
      </w:r>
    </w:p>
    <w:p w14:paraId="627EA8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（6）提出质疑的日期。</w:t>
      </w:r>
    </w:p>
    <w:p w14:paraId="39F63F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投标人为法人或者其他组织的，应当由法定代表人、单位负责人或者被授权人签字或盖章，并加盖公章。被授权人签字或盖章的应同时提供法人授权委托书。</w:t>
      </w:r>
    </w:p>
    <w:p w14:paraId="6DD6E4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32</w:t>
      </w:r>
      <w:r>
        <w:rPr>
          <w:rFonts w:hint="eastAsia" w:ascii="仿宋" w:hAnsi="仿宋" w:eastAsia="仿宋" w:cs="仿宋"/>
          <w:color w:val="auto"/>
          <w:sz w:val="28"/>
          <w:szCs w:val="28"/>
          <w:highlight w:val="none"/>
          <w:lang w:eastAsia="zh-CN"/>
        </w:rPr>
        <w:t>.5采购人或采购代理机构正式受理后方可生效。否则，为无效质疑。</w:t>
      </w:r>
    </w:p>
    <w:p w14:paraId="4581EE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.6有下列情况之一的质疑不予受理：</w:t>
      </w:r>
    </w:p>
    <w:p w14:paraId="0F64992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（1）无质疑函件或质疑函件缺少投标人法人印章、投标人法定代表人或单位负责人或者被授权人签字或盖章、有效授权书和联系方式之一的质疑；</w:t>
      </w:r>
    </w:p>
    <w:p w14:paraId="6498D5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（2）质疑函件无实质性内容或佐证文件资料，主观臆断及推理得出结论的质疑；</w:t>
      </w:r>
    </w:p>
    <w:p w14:paraId="42F21F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（3）相应证明材料不真实或来源不合法的质疑；</w:t>
      </w:r>
    </w:p>
    <w:p w14:paraId="2676FA6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（4）未按规定时间或超过公示期限提出的质疑；</w:t>
      </w:r>
    </w:p>
    <w:p w14:paraId="3E5E79E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.7对捏造事实，提供虚假材料或者以非法手段取得证明材料进行恶意质疑的，一经查实，将列入平台黑名单。</w:t>
      </w:r>
    </w:p>
    <w:p w14:paraId="7208F8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3</w:t>
      </w:r>
      <w:r>
        <w:rPr>
          <w:rFonts w:hint="eastAsia" w:ascii="仿宋" w:hAnsi="仿宋" w:eastAsia="仿宋" w:cs="仿宋"/>
          <w:b/>
          <w:bCs/>
          <w:color w:val="auto"/>
          <w:sz w:val="28"/>
          <w:szCs w:val="28"/>
          <w:highlight w:val="none"/>
          <w:lang w:val="en-US" w:eastAsia="zh-CN"/>
        </w:rPr>
        <w:t>3</w:t>
      </w:r>
      <w:r>
        <w:rPr>
          <w:rFonts w:hint="eastAsia" w:ascii="仿宋" w:hAnsi="仿宋" w:eastAsia="仿宋" w:cs="仿宋"/>
          <w:b/>
          <w:bCs/>
          <w:color w:val="auto"/>
          <w:sz w:val="28"/>
          <w:szCs w:val="28"/>
          <w:highlight w:val="none"/>
          <w:lang w:eastAsia="zh-CN"/>
        </w:rPr>
        <w:t>.仲裁或起诉</w:t>
      </w:r>
    </w:p>
    <w:p w14:paraId="357FE6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投标人对答复不满意，或者采购人、采购代理机构未在规定的时间内做出书面答复的，投标人可以在答复期满后向采购人所在地仲裁机构、人民法院申请仲裁或起诉。</w:t>
      </w:r>
    </w:p>
    <w:p w14:paraId="25EF808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仿宋" w:hAnsi="仿宋" w:eastAsia="仿宋" w:cs="仿宋"/>
          <w:b w:val="0"/>
          <w:color w:val="auto"/>
          <w:sz w:val="32"/>
          <w:szCs w:val="32"/>
          <w:highlight w:val="none"/>
        </w:rPr>
      </w:pPr>
      <w:r>
        <w:rPr>
          <w:rFonts w:hint="eastAsia" w:ascii="仿宋" w:hAnsi="仿宋" w:eastAsia="仿宋" w:cs="仿宋"/>
          <w:b w:val="0"/>
          <w:color w:val="auto"/>
          <w:sz w:val="32"/>
          <w:szCs w:val="32"/>
          <w:highlight w:val="none"/>
        </w:rPr>
        <w:t>九、签订合同</w:t>
      </w:r>
    </w:p>
    <w:p w14:paraId="10834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4</w:t>
      </w:r>
      <w:r>
        <w:rPr>
          <w:rFonts w:hint="eastAsia" w:ascii="仿宋" w:hAnsi="仿宋" w:eastAsia="仿宋" w:cs="仿宋"/>
          <w:b/>
          <w:color w:val="auto"/>
          <w:sz w:val="28"/>
          <w:szCs w:val="28"/>
          <w:highlight w:val="none"/>
        </w:rPr>
        <w:t>.合同的签订</w:t>
      </w:r>
    </w:p>
    <w:p w14:paraId="455E29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按招标文件、中标人的投标文件签订采购合同。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应当自采购合同签订之日起5日内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将采购合同上传至</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同时在指定的媒介上公告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但采购合同中涉及国家秘密、商业秘密的内容除外。</w:t>
      </w:r>
    </w:p>
    <w:p w14:paraId="25F40B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按照监督部门的要求，本项目合同通过国企阳光采购平台进行签订。</w:t>
      </w:r>
    </w:p>
    <w:p w14:paraId="6FFEE5E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应当按照招标文件和中标人投标文件的规定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与中标人签订书面合同。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与中标人所签订的合同不得对招标文件和中标人的投标文件作实质性修改。</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不得向中标人提出任何不合理的要求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作为签订合同的条件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不得与中标人私下订立背离合同实质性内容的协议。合同原则以第六章</w:t>
      </w:r>
      <w:r>
        <w:rPr>
          <w:rFonts w:hint="eastAsia" w:ascii="仿宋" w:hAnsi="仿宋" w:eastAsia="仿宋" w:cs="仿宋"/>
          <w:color w:val="auto"/>
          <w:sz w:val="28"/>
          <w:szCs w:val="28"/>
          <w:highlight w:val="none"/>
          <w:lang w:eastAsia="zh-CN"/>
        </w:rPr>
        <w:t>采购合同（范本）</w:t>
      </w:r>
      <w:r>
        <w:rPr>
          <w:rFonts w:hint="eastAsia" w:ascii="仿宋" w:hAnsi="仿宋" w:eastAsia="仿宋" w:cs="仿宋"/>
          <w:color w:val="auto"/>
          <w:sz w:val="28"/>
          <w:szCs w:val="28"/>
          <w:highlight w:val="none"/>
        </w:rPr>
        <w:t>为基础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并根据响应、答疑情况进行修改补充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自签订之日起生效。</w:t>
      </w:r>
    </w:p>
    <w:p w14:paraId="0A09C0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w:t>
      </w:r>
      <w:r>
        <w:rPr>
          <w:rFonts w:hint="eastAsia" w:ascii="仿宋" w:hAnsi="仿宋" w:eastAsia="仿宋" w:cs="仿宋"/>
          <w:color w:val="auto"/>
          <w:sz w:val="28"/>
          <w:szCs w:val="28"/>
          <w:highlight w:val="none"/>
          <w:lang w:eastAsia="zh-CN"/>
        </w:rPr>
        <w:t>放弃中标、不能履行合同、不按照采购文件要求提供履约担保、在规定时间内无正当理由拒绝与采购人签订合同，或者被查实存在影响中标结果的违法违规行为等不符合中标条件的情形的，</w:t>
      </w:r>
      <w:r>
        <w:rPr>
          <w:rFonts w:hint="eastAsia" w:ascii="仿宋" w:hAnsi="仿宋" w:eastAsia="仿宋" w:cs="仿宋"/>
          <w:color w:val="auto"/>
          <w:sz w:val="28"/>
          <w:szCs w:val="28"/>
          <w:highlight w:val="none"/>
        </w:rPr>
        <w:t>有效投标人符合法定数量的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可以按照评审报告推荐的中标候选人名单排序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确定下一候选人为中标人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也可以重新开展招标活动。</w:t>
      </w:r>
    </w:p>
    <w:p w14:paraId="52F241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采购合同的履行、违约责任和解决争议的方法适用《中华人民共和国民法典》。</w:t>
      </w:r>
    </w:p>
    <w:p w14:paraId="28D3C5EC">
      <w:pPr>
        <w:pStyle w:val="26"/>
        <w:keepNext w:val="0"/>
        <w:keepLines w:val="0"/>
        <w:pageBreakBefore w:val="0"/>
        <w:widowControl w:val="0"/>
        <w:shd w:val="clear"/>
        <w:kinsoku/>
        <w:wordWrap/>
        <w:overflowPunct/>
        <w:topLinePunct w:val="0"/>
        <w:autoSpaceDE/>
        <w:autoSpaceDN/>
        <w:bidi w:val="0"/>
        <w:adjustRightInd/>
        <w:spacing w:before="0" w:beforeAutospacing="0" w:after="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sectPr>
          <w:footerReference r:id="rId10" w:type="default"/>
          <w:pgSz w:w="11906" w:h="16838"/>
          <w:pgMar w:top="1440" w:right="1083" w:bottom="1440" w:left="1083" w:header="851" w:footer="992" w:gutter="0"/>
          <w:pgNumType w:fmt="decimal"/>
          <w:cols w:space="0" w:num="1"/>
          <w:rtlGutter w:val="0"/>
          <w:docGrid w:type="lines" w:linePitch="312" w:charSpace="0"/>
        </w:sectPr>
      </w:pPr>
    </w:p>
    <w:p w14:paraId="67DAB9F9">
      <w:pPr>
        <w:pStyle w:val="26"/>
        <w:numPr>
          <w:ilvl w:val="0"/>
          <w:numId w:val="0"/>
        </w:numPr>
        <w:shd w:val="clear"/>
        <w:spacing w:before="100" w:beforeAutospacing="1" w:after="100" w:afterAutospacing="1" w:line="415" w:lineRule="auto"/>
        <w:ind w:left="1440" w:leftChars="0" w:hanging="1440" w:firstLineChars="0"/>
        <w:rPr>
          <w:rFonts w:hint="eastAsia" w:ascii="仿宋" w:hAnsi="仿宋" w:eastAsia="仿宋" w:cs="仿宋"/>
          <w:color w:val="auto"/>
          <w:sz w:val="44"/>
          <w:szCs w:val="44"/>
          <w:highlight w:val="none"/>
        </w:rPr>
      </w:pPr>
      <w:bookmarkStart w:id="9" w:name="_Toc2442"/>
      <w:r>
        <w:rPr>
          <w:rFonts w:hint="eastAsia" w:ascii="仿宋" w:hAnsi="仿宋" w:eastAsia="仿宋" w:cs="仿宋"/>
          <w:b/>
          <w:bCs/>
          <w:color w:val="auto"/>
          <w:kern w:val="2"/>
          <w:sz w:val="44"/>
          <w:szCs w:val="44"/>
          <w:highlight w:val="none"/>
          <w:lang w:val="en-US" w:eastAsia="zh-CN" w:bidi="ar-SA"/>
        </w:rPr>
        <w:t>第三章  采购内容与要求</w:t>
      </w:r>
      <w:bookmarkEnd w:id="9"/>
    </w:p>
    <w:p w14:paraId="7394D92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一、项目名称：</w:t>
      </w:r>
      <w:r>
        <w:rPr>
          <w:rFonts w:hint="eastAsia" w:ascii="仿宋" w:hAnsi="仿宋" w:eastAsia="仿宋" w:cs="仿宋"/>
          <w:color w:val="auto"/>
          <w:sz w:val="28"/>
          <w:szCs w:val="28"/>
          <w:highlight w:val="none"/>
          <w:lang w:val="en-US" w:eastAsia="zh-CN"/>
        </w:rPr>
        <w:t>选定客运中心（威海站、威海北站）消防维保服务单位</w:t>
      </w:r>
    </w:p>
    <w:p w14:paraId="34AED1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二、项目说明</w:t>
      </w:r>
    </w:p>
    <w:p w14:paraId="3EDCBFF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客运中心威海站、威海北站消防系统包括火灾自动报警系统，消防联动系统(含防排烟系统)，自动喷淋灭火系统，防火分隔设施系统，消防控制主机系统，消防给水系统，消防应急照明与疏散指示系统，电气火灾监控系统，统消防广播系统（含消防电话），消火栓系统（含：室内外消火栓），水泵、稳压泵、控制柜、联动柜等。采购人将辖区内消防系统设施设备的日常运行、维护工作采用公开招标的方式选聘专业技术公司来完成。</w:t>
      </w:r>
    </w:p>
    <w:p w14:paraId="23B3FF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三、主要设备情况</w:t>
      </w:r>
    </w:p>
    <w:p w14:paraId="151CC4C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两站消防系统主要设施设备具体如下表所示，该表作为投标人参与报价提供维保服务的基本内容，</w:t>
      </w:r>
      <w:r>
        <w:rPr>
          <w:rFonts w:hint="eastAsia" w:ascii="仿宋" w:hAnsi="仿宋" w:eastAsia="仿宋" w:cs="仿宋"/>
          <w:color w:val="auto"/>
          <w:sz w:val="28"/>
          <w:szCs w:val="28"/>
          <w:highlight w:val="none"/>
          <w:lang w:val="en-US" w:eastAsia="zh-CN"/>
        </w:rPr>
        <w:t>中标后以现场实际设备情况为准。</w:t>
      </w:r>
    </w:p>
    <w:p w14:paraId="136D3C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客运中心威海站、威海北站消防系统设备设施清单（包括但不限于）：</w:t>
      </w:r>
    </w:p>
    <w:tbl>
      <w:tblPr>
        <w:tblStyle w:val="30"/>
        <w:tblW w:w="970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98"/>
        <w:gridCol w:w="3147"/>
        <w:gridCol w:w="885"/>
        <w:gridCol w:w="1650"/>
        <w:gridCol w:w="3228"/>
      </w:tblGrid>
      <w:tr w14:paraId="42176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552C96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序号</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279774D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设备名称</w:t>
            </w:r>
          </w:p>
        </w:tc>
        <w:tc>
          <w:tcPr>
            <w:tcW w:w="885" w:type="dxa"/>
            <w:tcBorders>
              <w:top w:val="single" w:color="000000" w:sz="4" w:space="0"/>
              <w:left w:val="nil"/>
              <w:bottom w:val="single" w:color="000000" w:sz="4" w:space="0"/>
              <w:right w:val="single" w:color="000000" w:sz="4" w:space="0"/>
            </w:tcBorders>
            <w:noWrap/>
            <w:vAlign w:val="center"/>
          </w:tcPr>
          <w:p w14:paraId="01926C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单位</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7955119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数量</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37A6D8A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备注</w:t>
            </w:r>
          </w:p>
        </w:tc>
      </w:tr>
      <w:tr w14:paraId="4C29B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5D8A4E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5FF2D7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消防主机（海湾）</w:t>
            </w:r>
          </w:p>
        </w:tc>
        <w:tc>
          <w:tcPr>
            <w:tcW w:w="885" w:type="dxa"/>
            <w:tcBorders>
              <w:top w:val="single" w:color="000000" w:sz="4" w:space="0"/>
              <w:left w:val="nil"/>
              <w:bottom w:val="single" w:color="000000" w:sz="4" w:space="0"/>
              <w:right w:val="single" w:color="000000" w:sz="4" w:space="0"/>
            </w:tcBorders>
            <w:noWrap/>
            <w:vAlign w:val="center"/>
          </w:tcPr>
          <w:p w14:paraId="4E96AB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台</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F2705B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4EB788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4647F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1A77213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3BA56C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烟感</w:t>
            </w:r>
          </w:p>
        </w:tc>
        <w:tc>
          <w:tcPr>
            <w:tcW w:w="885" w:type="dxa"/>
            <w:tcBorders>
              <w:top w:val="single" w:color="000000" w:sz="4" w:space="0"/>
              <w:left w:val="nil"/>
              <w:bottom w:val="single" w:color="000000" w:sz="4" w:space="0"/>
              <w:right w:val="single" w:color="000000" w:sz="4" w:space="0"/>
            </w:tcBorders>
            <w:noWrap/>
            <w:vAlign w:val="center"/>
          </w:tcPr>
          <w:p w14:paraId="380CF29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7AC06B3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1544</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183EA5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1D1D3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7D075A5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05F08C8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温感</w:t>
            </w:r>
          </w:p>
        </w:tc>
        <w:tc>
          <w:tcPr>
            <w:tcW w:w="885" w:type="dxa"/>
            <w:tcBorders>
              <w:top w:val="single" w:color="000000" w:sz="4" w:space="0"/>
              <w:left w:val="nil"/>
              <w:bottom w:val="single" w:color="000000" w:sz="4" w:space="0"/>
              <w:right w:val="single" w:color="000000" w:sz="4" w:space="0"/>
            </w:tcBorders>
            <w:noWrap/>
            <w:vAlign w:val="center"/>
          </w:tcPr>
          <w:p w14:paraId="2E413C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6D67BB0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1934</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3BBB8F2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66DD6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332FFD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502B96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喷淋头</w:t>
            </w:r>
          </w:p>
        </w:tc>
        <w:tc>
          <w:tcPr>
            <w:tcW w:w="885" w:type="dxa"/>
            <w:tcBorders>
              <w:top w:val="single" w:color="000000" w:sz="4" w:space="0"/>
              <w:left w:val="nil"/>
              <w:bottom w:val="single" w:color="000000" w:sz="4" w:space="0"/>
              <w:right w:val="single" w:color="000000" w:sz="4" w:space="0"/>
            </w:tcBorders>
            <w:noWrap/>
            <w:vAlign w:val="center"/>
          </w:tcPr>
          <w:p w14:paraId="5136DB4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4E5B1E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8100</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1BE1E18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1ABF4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078A7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08CBE7A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室内消火栓</w:t>
            </w:r>
          </w:p>
        </w:tc>
        <w:tc>
          <w:tcPr>
            <w:tcW w:w="885" w:type="dxa"/>
            <w:tcBorders>
              <w:top w:val="single" w:color="000000" w:sz="4" w:space="0"/>
              <w:left w:val="nil"/>
              <w:bottom w:val="single" w:color="000000" w:sz="4" w:space="0"/>
              <w:right w:val="single" w:color="000000" w:sz="4" w:space="0"/>
            </w:tcBorders>
            <w:noWrap/>
            <w:vAlign w:val="center"/>
          </w:tcPr>
          <w:p w14:paraId="7C1BBD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47073D9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188</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15ACD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4E17A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28BDE0C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38BDF8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室外消火栓</w:t>
            </w:r>
          </w:p>
        </w:tc>
        <w:tc>
          <w:tcPr>
            <w:tcW w:w="885" w:type="dxa"/>
            <w:tcBorders>
              <w:top w:val="single" w:color="000000" w:sz="4" w:space="0"/>
              <w:left w:val="nil"/>
              <w:bottom w:val="single" w:color="000000" w:sz="4" w:space="0"/>
              <w:right w:val="single" w:color="000000" w:sz="4" w:space="0"/>
            </w:tcBorders>
            <w:noWrap/>
            <w:vAlign w:val="center"/>
          </w:tcPr>
          <w:p w14:paraId="544110C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69AEC3F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79B3DE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762B1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3FD13F8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6ECB04C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消防水炮</w:t>
            </w:r>
          </w:p>
        </w:tc>
        <w:tc>
          <w:tcPr>
            <w:tcW w:w="885" w:type="dxa"/>
            <w:tcBorders>
              <w:top w:val="single" w:color="000000" w:sz="4" w:space="0"/>
              <w:left w:val="nil"/>
              <w:bottom w:val="single" w:color="000000" w:sz="4" w:space="0"/>
              <w:right w:val="single" w:color="000000" w:sz="4" w:space="0"/>
            </w:tcBorders>
            <w:noWrap/>
            <w:vAlign w:val="center"/>
          </w:tcPr>
          <w:p w14:paraId="6DBBA70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4D42FF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20</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2FFB39E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41825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491ACFB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D07E7E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防火卷帘门</w:t>
            </w:r>
          </w:p>
        </w:tc>
        <w:tc>
          <w:tcPr>
            <w:tcW w:w="885" w:type="dxa"/>
            <w:tcBorders>
              <w:top w:val="single" w:color="000000" w:sz="4" w:space="0"/>
              <w:left w:val="nil"/>
              <w:bottom w:val="single" w:color="000000" w:sz="4" w:space="0"/>
              <w:right w:val="single" w:color="000000" w:sz="4" w:space="0"/>
            </w:tcBorders>
            <w:noWrap/>
            <w:vAlign w:val="center"/>
          </w:tcPr>
          <w:p w14:paraId="5727C8B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套</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5D36BAA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ACCFD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3A17E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3164A0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390766D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疏散指示牌</w:t>
            </w:r>
          </w:p>
        </w:tc>
        <w:tc>
          <w:tcPr>
            <w:tcW w:w="885" w:type="dxa"/>
            <w:tcBorders>
              <w:top w:val="single" w:color="000000" w:sz="4" w:space="0"/>
              <w:left w:val="nil"/>
              <w:bottom w:val="single" w:color="000000" w:sz="4" w:space="0"/>
              <w:right w:val="single" w:color="000000" w:sz="4" w:space="0"/>
            </w:tcBorders>
            <w:noWrap/>
            <w:vAlign w:val="center"/>
          </w:tcPr>
          <w:p w14:paraId="6B01BF3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DAD92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447</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36A1B5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2E0DE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548075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11D508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水雾喷头</w:t>
            </w:r>
          </w:p>
        </w:tc>
        <w:tc>
          <w:tcPr>
            <w:tcW w:w="885" w:type="dxa"/>
            <w:tcBorders>
              <w:top w:val="single" w:color="000000" w:sz="4" w:space="0"/>
              <w:left w:val="nil"/>
              <w:bottom w:val="single" w:color="000000" w:sz="4" w:space="0"/>
              <w:right w:val="single" w:color="000000" w:sz="4" w:space="0"/>
            </w:tcBorders>
            <w:noWrap/>
            <w:vAlign w:val="center"/>
          </w:tcPr>
          <w:p w14:paraId="4095333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86F18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6230BD8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6A7CE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1E997A1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40754C8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室内消火栓泵</w:t>
            </w:r>
          </w:p>
        </w:tc>
        <w:tc>
          <w:tcPr>
            <w:tcW w:w="885" w:type="dxa"/>
            <w:tcBorders>
              <w:top w:val="single" w:color="000000" w:sz="4" w:space="0"/>
              <w:left w:val="nil"/>
              <w:bottom w:val="single" w:color="000000" w:sz="4" w:space="0"/>
              <w:right w:val="single" w:color="000000" w:sz="4" w:space="0"/>
            </w:tcBorders>
            <w:noWrap/>
            <w:vAlign w:val="center"/>
          </w:tcPr>
          <w:p w14:paraId="1AE208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2DD7D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4CA17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42030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5E468F1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12</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2C0BE07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室外消火栓泵</w:t>
            </w:r>
          </w:p>
        </w:tc>
        <w:tc>
          <w:tcPr>
            <w:tcW w:w="885" w:type="dxa"/>
            <w:tcBorders>
              <w:top w:val="single" w:color="000000" w:sz="4" w:space="0"/>
              <w:left w:val="nil"/>
              <w:bottom w:val="single" w:color="000000" w:sz="4" w:space="0"/>
              <w:right w:val="single" w:color="000000" w:sz="4" w:space="0"/>
            </w:tcBorders>
            <w:noWrap/>
            <w:vAlign w:val="center"/>
          </w:tcPr>
          <w:p w14:paraId="113C71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4121D07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392F94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47955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7BB775D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13</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1EACB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喷淋泵</w:t>
            </w:r>
          </w:p>
        </w:tc>
        <w:tc>
          <w:tcPr>
            <w:tcW w:w="885" w:type="dxa"/>
            <w:tcBorders>
              <w:top w:val="single" w:color="000000" w:sz="4" w:space="0"/>
              <w:left w:val="nil"/>
              <w:bottom w:val="single" w:color="000000" w:sz="4" w:space="0"/>
              <w:right w:val="single" w:color="000000" w:sz="4" w:space="0"/>
            </w:tcBorders>
            <w:noWrap/>
            <w:vAlign w:val="center"/>
          </w:tcPr>
          <w:p w14:paraId="0C188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47EA58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361E84C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339E3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E15AE3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14</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610D5E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湿式报警阀DN150</w:t>
            </w:r>
          </w:p>
        </w:tc>
        <w:tc>
          <w:tcPr>
            <w:tcW w:w="885" w:type="dxa"/>
            <w:tcBorders>
              <w:top w:val="single" w:color="000000" w:sz="4" w:space="0"/>
              <w:left w:val="nil"/>
              <w:bottom w:val="single" w:color="000000" w:sz="4" w:space="0"/>
              <w:right w:val="single" w:color="000000" w:sz="4" w:space="0"/>
            </w:tcBorders>
            <w:noWrap/>
            <w:vAlign w:val="center"/>
          </w:tcPr>
          <w:p w14:paraId="3EA2D5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73A7299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17255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3BDF3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1D3CCD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15</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44C7A7A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预作用报警阀DN150</w:t>
            </w:r>
          </w:p>
        </w:tc>
        <w:tc>
          <w:tcPr>
            <w:tcW w:w="885" w:type="dxa"/>
            <w:tcBorders>
              <w:top w:val="single" w:color="000000" w:sz="4" w:space="0"/>
              <w:left w:val="nil"/>
              <w:bottom w:val="single" w:color="000000" w:sz="4" w:space="0"/>
              <w:right w:val="single" w:color="000000" w:sz="4" w:space="0"/>
            </w:tcBorders>
            <w:noWrap/>
            <w:vAlign w:val="center"/>
          </w:tcPr>
          <w:p w14:paraId="57C1EF1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186AAE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45CFAB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32159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0403F5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16</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1E619A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雨淋阀DN125</w:t>
            </w:r>
          </w:p>
        </w:tc>
        <w:tc>
          <w:tcPr>
            <w:tcW w:w="885" w:type="dxa"/>
            <w:tcBorders>
              <w:top w:val="single" w:color="000000" w:sz="4" w:space="0"/>
              <w:left w:val="nil"/>
              <w:bottom w:val="single" w:color="000000" w:sz="4" w:space="0"/>
              <w:right w:val="single" w:color="000000" w:sz="4" w:space="0"/>
            </w:tcBorders>
            <w:noWrap/>
            <w:vAlign w:val="center"/>
          </w:tcPr>
          <w:p w14:paraId="1704193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5AC8CE8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7518B82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2421D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72D95AE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17</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5817CE6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消防排烟风机</w:t>
            </w:r>
          </w:p>
        </w:tc>
        <w:tc>
          <w:tcPr>
            <w:tcW w:w="885" w:type="dxa"/>
            <w:tcBorders>
              <w:top w:val="single" w:color="000000" w:sz="4" w:space="0"/>
              <w:left w:val="nil"/>
              <w:bottom w:val="single" w:color="000000" w:sz="4" w:space="0"/>
              <w:right w:val="single" w:color="000000" w:sz="4" w:space="0"/>
            </w:tcBorders>
            <w:noWrap/>
            <w:vAlign w:val="center"/>
          </w:tcPr>
          <w:p w14:paraId="51AFA7F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台</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7222F3F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32</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87FB3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6769F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1DA0A1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18</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51BEBBC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消防手报</w:t>
            </w:r>
          </w:p>
        </w:tc>
        <w:tc>
          <w:tcPr>
            <w:tcW w:w="885" w:type="dxa"/>
            <w:tcBorders>
              <w:top w:val="single" w:color="000000" w:sz="4" w:space="0"/>
              <w:left w:val="nil"/>
              <w:bottom w:val="single" w:color="000000" w:sz="4" w:space="0"/>
              <w:right w:val="single" w:color="000000" w:sz="4" w:space="0"/>
            </w:tcBorders>
            <w:noWrap/>
            <w:vAlign w:val="center"/>
          </w:tcPr>
          <w:p w14:paraId="1D8DB1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0FEE86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95</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6ED04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49AE6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0739EEB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19</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166F12D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楼层火灾显示盘</w:t>
            </w:r>
          </w:p>
        </w:tc>
        <w:tc>
          <w:tcPr>
            <w:tcW w:w="885" w:type="dxa"/>
            <w:tcBorders>
              <w:top w:val="single" w:color="000000" w:sz="4" w:space="0"/>
              <w:left w:val="nil"/>
              <w:bottom w:val="single" w:color="000000" w:sz="4" w:space="0"/>
              <w:right w:val="single" w:color="000000" w:sz="4" w:space="0"/>
            </w:tcBorders>
            <w:noWrap/>
            <w:vAlign w:val="center"/>
          </w:tcPr>
          <w:p w14:paraId="203DCE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072A831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14</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3EE1DF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55497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79E13C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20</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67D5BFE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应急照明控制系统</w:t>
            </w:r>
          </w:p>
        </w:tc>
        <w:tc>
          <w:tcPr>
            <w:tcW w:w="885" w:type="dxa"/>
            <w:tcBorders>
              <w:top w:val="single" w:color="000000" w:sz="4" w:space="0"/>
              <w:left w:val="nil"/>
              <w:bottom w:val="single" w:color="000000" w:sz="4" w:space="0"/>
              <w:right w:val="single" w:color="000000" w:sz="4" w:space="0"/>
            </w:tcBorders>
            <w:noWrap/>
            <w:vAlign w:val="center"/>
          </w:tcPr>
          <w:p w14:paraId="36166B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套</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1DD01D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42445E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6077A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5FC2723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21</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32F25A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电气火灾监控系统</w:t>
            </w:r>
          </w:p>
        </w:tc>
        <w:tc>
          <w:tcPr>
            <w:tcW w:w="885" w:type="dxa"/>
            <w:tcBorders>
              <w:top w:val="single" w:color="000000" w:sz="4" w:space="0"/>
              <w:left w:val="nil"/>
              <w:bottom w:val="single" w:color="000000" w:sz="4" w:space="0"/>
              <w:right w:val="single" w:color="000000" w:sz="4" w:space="0"/>
            </w:tcBorders>
            <w:noWrap/>
            <w:vAlign w:val="center"/>
          </w:tcPr>
          <w:p w14:paraId="6A90F3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套</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6A77902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1EFE9FA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威海站一期</w:t>
            </w:r>
          </w:p>
        </w:tc>
      </w:tr>
      <w:tr w14:paraId="02239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E93920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22</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6500A4E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消防主机（北大青鸟）</w:t>
            </w:r>
          </w:p>
        </w:tc>
        <w:tc>
          <w:tcPr>
            <w:tcW w:w="885" w:type="dxa"/>
            <w:tcBorders>
              <w:top w:val="single" w:color="000000" w:sz="4" w:space="0"/>
              <w:left w:val="nil"/>
              <w:bottom w:val="single" w:color="000000" w:sz="4" w:space="0"/>
              <w:right w:val="single" w:color="000000" w:sz="4" w:space="0"/>
            </w:tcBorders>
            <w:noWrap/>
            <w:vAlign w:val="center"/>
          </w:tcPr>
          <w:p w14:paraId="758550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台</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CA962D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3ED01E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7481C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70B202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23</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C29110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烟感</w:t>
            </w:r>
          </w:p>
        </w:tc>
        <w:tc>
          <w:tcPr>
            <w:tcW w:w="885" w:type="dxa"/>
            <w:tcBorders>
              <w:top w:val="single" w:color="000000" w:sz="4" w:space="0"/>
              <w:left w:val="nil"/>
              <w:bottom w:val="single" w:color="000000" w:sz="4" w:space="0"/>
              <w:right w:val="single" w:color="000000" w:sz="4" w:space="0"/>
            </w:tcBorders>
            <w:noWrap/>
            <w:vAlign w:val="center"/>
          </w:tcPr>
          <w:p w14:paraId="361A9A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0D0C48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1047</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2C895D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2EC2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1A48B61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24</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2FA9BDB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温感</w:t>
            </w:r>
          </w:p>
        </w:tc>
        <w:tc>
          <w:tcPr>
            <w:tcW w:w="885" w:type="dxa"/>
            <w:tcBorders>
              <w:top w:val="single" w:color="000000" w:sz="4" w:space="0"/>
              <w:left w:val="nil"/>
              <w:bottom w:val="single" w:color="000000" w:sz="4" w:space="0"/>
              <w:right w:val="single" w:color="000000" w:sz="4" w:space="0"/>
            </w:tcBorders>
            <w:noWrap/>
            <w:vAlign w:val="center"/>
          </w:tcPr>
          <w:p w14:paraId="0401CA8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19D471D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1206</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7DE4CFB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7A79E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189292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25</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ABBEA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喷淋头</w:t>
            </w:r>
          </w:p>
        </w:tc>
        <w:tc>
          <w:tcPr>
            <w:tcW w:w="885" w:type="dxa"/>
            <w:tcBorders>
              <w:top w:val="single" w:color="000000" w:sz="4" w:space="0"/>
              <w:left w:val="nil"/>
              <w:bottom w:val="single" w:color="000000" w:sz="4" w:space="0"/>
              <w:right w:val="single" w:color="000000" w:sz="4" w:space="0"/>
            </w:tcBorders>
            <w:noWrap/>
            <w:vAlign w:val="center"/>
          </w:tcPr>
          <w:p w14:paraId="6818A8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51F7FED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6746</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6D7C00A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0B323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51EF02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26</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173D501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室内消火栓</w:t>
            </w:r>
          </w:p>
        </w:tc>
        <w:tc>
          <w:tcPr>
            <w:tcW w:w="885" w:type="dxa"/>
            <w:tcBorders>
              <w:top w:val="single" w:color="000000" w:sz="4" w:space="0"/>
              <w:left w:val="nil"/>
              <w:bottom w:val="single" w:color="000000" w:sz="4" w:space="0"/>
              <w:right w:val="single" w:color="000000" w:sz="4" w:space="0"/>
            </w:tcBorders>
            <w:noWrap/>
            <w:vAlign w:val="center"/>
          </w:tcPr>
          <w:p w14:paraId="6DF8EA7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6061D53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119</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7FD17CA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06C97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587C70B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27</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1AB304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室外消火栓</w:t>
            </w:r>
          </w:p>
        </w:tc>
        <w:tc>
          <w:tcPr>
            <w:tcW w:w="885" w:type="dxa"/>
            <w:tcBorders>
              <w:top w:val="single" w:color="000000" w:sz="4" w:space="0"/>
              <w:left w:val="nil"/>
              <w:bottom w:val="single" w:color="000000" w:sz="4" w:space="0"/>
              <w:right w:val="single" w:color="000000" w:sz="4" w:space="0"/>
            </w:tcBorders>
            <w:noWrap/>
            <w:vAlign w:val="center"/>
          </w:tcPr>
          <w:p w14:paraId="7D06B4B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35D8697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BC6596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14935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7D6A12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28</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4B4E552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防火卷帘门</w:t>
            </w:r>
          </w:p>
        </w:tc>
        <w:tc>
          <w:tcPr>
            <w:tcW w:w="885" w:type="dxa"/>
            <w:tcBorders>
              <w:top w:val="single" w:color="000000" w:sz="4" w:space="0"/>
              <w:left w:val="nil"/>
              <w:bottom w:val="single" w:color="000000" w:sz="4" w:space="0"/>
              <w:right w:val="single" w:color="000000" w:sz="4" w:space="0"/>
            </w:tcBorders>
            <w:noWrap/>
            <w:vAlign w:val="center"/>
          </w:tcPr>
          <w:p w14:paraId="475E9CD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套</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375209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23</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6305C5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1AB32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765133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29</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6EF1FBE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甲级防火门</w:t>
            </w:r>
          </w:p>
        </w:tc>
        <w:tc>
          <w:tcPr>
            <w:tcW w:w="885" w:type="dxa"/>
            <w:tcBorders>
              <w:top w:val="single" w:color="000000" w:sz="4" w:space="0"/>
              <w:left w:val="nil"/>
              <w:bottom w:val="single" w:color="000000" w:sz="4" w:space="0"/>
              <w:right w:val="single" w:color="000000" w:sz="4" w:space="0"/>
            </w:tcBorders>
            <w:noWrap/>
            <w:vAlign w:val="center"/>
          </w:tcPr>
          <w:p w14:paraId="003F090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套</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72CA51B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76</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71CA1D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2FBE4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173E667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30</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47763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乙级防火门</w:t>
            </w:r>
          </w:p>
        </w:tc>
        <w:tc>
          <w:tcPr>
            <w:tcW w:w="885" w:type="dxa"/>
            <w:tcBorders>
              <w:top w:val="single" w:color="000000" w:sz="4" w:space="0"/>
              <w:left w:val="nil"/>
              <w:bottom w:val="single" w:color="000000" w:sz="4" w:space="0"/>
              <w:right w:val="single" w:color="000000" w:sz="4" w:space="0"/>
            </w:tcBorders>
            <w:noWrap/>
            <w:vAlign w:val="center"/>
          </w:tcPr>
          <w:p w14:paraId="65C71A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套</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19A774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29</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E94B8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2C15F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1AADA6D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31</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1EE67C8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疏散指示牌</w:t>
            </w:r>
          </w:p>
        </w:tc>
        <w:tc>
          <w:tcPr>
            <w:tcW w:w="885" w:type="dxa"/>
            <w:tcBorders>
              <w:top w:val="single" w:color="000000" w:sz="4" w:space="0"/>
              <w:left w:val="nil"/>
              <w:bottom w:val="single" w:color="000000" w:sz="4" w:space="0"/>
              <w:right w:val="single" w:color="000000" w:sz="4" w:space="0"/>
            </w:tcBorders>
            <w:noWrap/>
            <w:vAlign w:val="center"/>
          </w:tcPr>
          <w:p w14:paraId="2F7C5E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6D848CB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502</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6682EB4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47AE9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15F0244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32</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5DF106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湿式报警阀DN150</w:t>
            </w:r>
          </w:p>
        </w:tc>
        <w:tc>
          <w:tcPr>
            <w:tcW w:w="885" w:type="dxa"/>
            <w:tcBorders>
              <w:top w:val="single" w:color="000000" w:sz="4" w:space="0"/>
              <w:left w:val="nil"/>
              <w:bottom w:val="single" w:color="000000" w:sz="4" w:space="0"/>
              <w:right w:val="single" w:color="000000" w:sz="4" w:space="0"/>
            </w:tcBorders>
            <w:noWrap/>
            <w:vAlign w:val="center"/>
          </w:tcPr>
          <w:p w14:paraId="19B7A6E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78B915F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C18C6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00757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4C6BD3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33</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15DA8DF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预作用报警阀DN150</w:t>
            </w:r>
          </w:p>
        </w:tc>
        <w:tc>
          <w:tcPr>
            <w:tcW w:w="885" w:type="dxa"/>
            <w:tcBorders>
              <w:top w:val="single" w:color="000000" w:sz="4" w:space="0"/>
              <w:left w:val="nil"/>
              <w:bottom w:val="single" w:color="000000" w:sz="4" w:space="0"/>
              <w:right w:val="single" w:color="000000" w:sz="4" w:space="0"/>
            </w:tcBorders>
            <w:noWrap/>
            <w:vAlign w:val="center"/>
          </w:tcPr>
          <w:p w14:paraId="239892A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584E202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1828A7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67B8F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0EE986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34</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3577DA6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消防排烟风机</w:t>
            </w:r>
          </w:p>
        </w:tc>
        <w:tc>
          <w:tcPr>
            <w:tcW w:w="885" w:type="dxa"/>
            <w:tcBorders>
              <w:top w:val="single" w:color="000000" w:sz="4" w:space="0"/>
              <w:left w:val="nil"/>
              <w:bottom w:val="single" w:color="000000" w:sz="4" w:space="0"/>
              <w:right w:val="single" w:color="000000" w:sz="4" w:space="0"/>
            </w:tcBorders>
            <w:noWrap/>
            <w:vAlign w:val="center"/>
          </w:tcPr>
          <w:p w14:paraId="6730C31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台</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0BD334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33</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6A4D2A1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674B9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555D4A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35</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96D92F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消防手报</w:t>
            </w:r>
          </w:p>
        </w:tc>
        <w:tc>
          <w:tcPr>
            <w:tcW w:w="885" w:type="dxa"/>
            <w:tcBorders>
              <w:top w:val="single" w:color="000000" w:sz="4" w:space="0"/>
              <w:left w:val="nil"/>
              <w:bottom w:val="single" w:color="000000" w:sz="4" w:space="0"/>
              <w:right w:val="single" w:color="000000" w:sz="4" w:space="0"/>
            </w:tcBorders>
            <w:noWrap/>
            <w:vAlign w:val="center"/>
          </w:tcPr>
          <w:p w14:paraId="74044F2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11B20B8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44</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028232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0AD16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C6DD62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36</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1C84146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楼层火灾显示盘</w:t>
            </w:r>
          </w:p>
        </w:tc>
        <w:tc>
          <w:tcPr>
            <w:tcW w:w="885" w:type="dxa"/>
            <w:tcBorders>
              <w:top w:val="single" w:color="000000" w:sz="4" w:space="0"/>
              <w:left w:val="nil"/>
              <w:bottom w:val="single" w:color="000000" w:sz="4" w:space="0"/>
              <w:right w:val="single" w:color="000000" w:sz="4" w:space="0"/>
            </w:tcBorders>
            <w:noWrap/>
            <w:vAlign w:val="center"/>
          </w:tcPr>
          <w:p w14:paraId="428654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5FF78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13</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2C49225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5FF10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0C09DD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37</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46BDADF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应急照明控制系统</w:t>
            </w:r>
          </w:p>
        </w:tc>
        <w:tc>
          <w:tcPr>
            <w:tcW w:w="885" w:type="dxa"/>
            <w:tcBorders>
              <w:top w:val="single" w:color="000000" w:sz="4" w:space="0"/>
              <w:left w:val="nil"/>
              <w:bottom w:val="single" w:color="000000" w:sz="4" w:space="0"/>
              <w:right w:val="single" w:color="000000" w:sz="4" w:space="0"/>
            </w:tcBorders>
            <w:noWrap/>
            <w:vAlign w:val="center"/>
          </w:tcPr>
          <w:p w14:paraId="30A8301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套</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FD177C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12CFD6C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18E2D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4C1662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38</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2A2FBF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电气火灾监控系统</w:t>
            </w:r>
          </w:p>
        </w:tc>
        <w:tc>
          <w:tcPr>
            <w:tcW w:w="885" w:type="dxa"/>
            <w:tcBorders>
              <w:top w:val="single" w:color="000000" w:sz="4" w:space="0"/>
              <w:left w:val="nil"/>
              <w:bottom w:val="single" w:color="000000" w:sz="4" w:space="0"/>
              <w:right w:val="single" w:color="000000" w:sz="4" w:space="0"/>
            </w:tcBorders>
            <w:noWrap/>
            <w:vAlign w:val="center"/>
          </w:tcPr>
          <w:p w14:paraId="5AD230F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套</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6E98A0A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6645C3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威海站二期</w:t>
            </w:r>
          </w:p>
        </w:tc>
      </w:tr>
      <w:tr w14:paraId="1E359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5BB6E05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39</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6918F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消防主机（海湾）</w:t>
            </w:r>
          </w:p>
        </w:tc>
        <w:tc>
          <w:tcPr>
            <w:tcW w:w="885" w:type="dxa"/>
            <w:tcBorders>
              <w:top w:val="single" w:color="000000" w:sz="4" w:space="0"/>
              <w:left w:val="nil"/>
              <w:bottom w:val="single" w:color="000000" w:sz="4" w:space="0"/>
              <w:right w:val="single" w:color="000000" w:sz="4" w:space="0"/>
            </w:tcBorders>
            <w:noWrap/>
            <w:vAlign w:val="center"/>
          </w:tcPr>
          <w:p w14:paraId="44C61E2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台</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3A19DB5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D8A1E4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0DFF1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2B0F71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40</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479780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烟感</w:t>
            </w:r>
          </w:p>
        </w:tc>
        <w:tc>
          <w:tcPr>
            <w:tcW w:w="885" w:type="dxa"/>
            <w:tcBorders>
              <w:top w:val="single" w:color="000000" w:sz="4" w:space="0"/>
              <w:left w:val="nil"/>
              <w:bottom w:val="single" w:color="000000" w:sz="4" w:space="0"/>
              <w:right w:val="single" w:color="000000" w:sz="4" w:space="0"/>
            </w:tcBorders>
            <w:noWrap/>
            <w:vAlign w:val="center"/>
          </w:tcPr>
          <w:p w14:paraId="45924C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783F8C7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649</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235D24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75DC0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0E1E934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41</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2182D26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温感</w:t>
            </w:r>
          </w:p>
        </w:tc>
        <w:tc>
          <w:tcPr>
            <w:tcW w:w="885" w:type="dxa"/>
            <w:tcBorders>
              <w:top w:val="single" w:color="000000" w:sz="4" w:space="0"/>
              <w:left w:val="nil"/>
              <w:bottom w:val="single" w:color="000000" w:sz="4" w:space="0"/>
              <w:right w:val="single" w:color="000000" w:sz="4" w:space="0"/>
            </w:tcBorders>
            <w:noWrap/>
            <w:vAlign w:val="center"/>
          </w:tcPr>
          <w:p w14:paraId="2CC034D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14E0272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3278</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6B19EC1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0CE56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1EFBD4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42</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DD468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喷淋头</w:t>
            </w:r>
          </w:p>
        </w:tc>
        <w:tc>
          <w:tcPr>
            <w:tcW w:w="885" w:type="dxa"/>
            <w:tcBorders>
              <w:top w:val="single" w:color="000000" w:sz="4" w:space="0"/>
              <w:left w:val="nil"/>
              <w:bottom w:val="single" w:color="000000" w:sz="4" w:space="0"/>
              <w:right w:val="single" w:color="000000" w:sz="4" w:space="0"/>
            </w:tcBorders>
            <w:noWrap/>
            <w:vAlign w:val="center"/>
          </w:tcPr>
          <w:p w14:paraId="60D8E8D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1D17B9F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5646</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1C0F6C3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59A5A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0B1FDE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43</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5BE1E0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室内消火栓</w:t>
            </w:r>
          </w:p>
        </w:tc>
        <w:tc>
          <w:tcPr>
            <w:tcW w:w="885" w:type="dxa"/>
            <w:tcBorders>
              <w:top w:val="single" w:color="000000" w:sz="4" w:space="0"/>
              <w:left w:val="nil"/>
              <w:bottom w:val="single" w:color="000000" w:sz="4" w:space="0"/>
              <w:right w:val="single" w:color="000000" w:sz="4" w:space="0"/>
            </w:tcBorders>
            <w:noWrap/>
            <w:vAlign w:val="center"/>
          </w:tcPr>
          <w:p w14:paraId="11357B4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1E4D1F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194</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6AD97E9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2D27E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39C82A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44</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496FE62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室外消火栓</w:t>
            </w:r>
          </w:p>
        </w:tc>
        <w:tc>
          <w:tcPr>
            <w:tcW w:w="885" w:type="dxa"/>
            <w:tcBorders>
              <w:top w:val="single" w:color="000000" w:sz="4" w:space="0"/>
              <w:left w:val="nil"/>
              <w:bottom w:val="single" w:color="000000" w:sz="4" w:space="0"/>
              <w:right w:val="single" w:color="000000" w:sz="4" w:space="0"/>
            </w:tcBorders>
            <w:noWrap/>
            <w:vAlign w:val="center"/>
          </w:tcPr>
          <w:p w14:paraId="6FB2E9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4327739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00DF8C6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2695F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7408F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45</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0BB61F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消防水炮</w:t>
            </w:r>
          </w:p>
        </w:tc>
        <w:tc>
          <w:tcPr>
            <w:tcW w:w="885" w:type="dxa"/>
            <w:tcBorders>
              <w:top w:val="single" w:color="000000" w:sz="4" w:space="0"/>
              <w:left w:val="nil"/>
              <w:bottom w:val="single" w:color="000000" w:sz="4" w:space="0"/>
              <w:right w:val="single" w:color="000000" w:sz="4" w:space="0"/>
            </w:tcBorders>
            <w:noWrap/>
            <w:vAlign w:val="center"/>
          </w:tcPr>
          <w:p w14:paraId="748DDC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3D836B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13</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26F434F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53AFD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0895A2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46</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01DDA4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消防联动控制器</w:t>
            </w:r>
          </w:p>
        </w:tc>
        <w:tc>
          <w:tcPr>
            <w:tcW w:w="885" w:type="dxa"/>
            <w:tcBorders>
              <w:top w:val="single" w:color="000000" w:sz="4" w:space="0"/>
              <w:left w:val="nil"/>
              <w:bottom w:val="single" w:color="000000" w:sz="4" w:space="0"/>
              <w:right w:val="single" w:color="000000" w:sz="4" w:space="0"/>
            </w:tcBorders>
            <w:noWrap/>
            <w:vAlign w:val="center"/>
          </w:tcPr>
          <w:p w14:paraId="78DBD6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台</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5C8FDBA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A00BC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23E20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1ECB691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47</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2C2EA1A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防火卷帘门</w:t>
            </w:r>
          </w:p>
        </w:tc>
        <w:tc>
          <w:tcPr>
            <w:tcW w:w="885" w:type="dxa"/>
            <w:tcBorders>
              <w:top w:val="single" w:color="000000" w:sz="4" w:space="0"/>
              <w:left w:val="nil"/>
              <w:bottom w:val="single" w:color="000000" w:sz="4" w:space="0"/>
              <w:right w:val="single" w:color="000000" w:sz="4" w:space="0"/>
            </w:tcBorders>
            <w:noWrap/>
            <w:vAlign w:val="center"/>
          </w:tcPr>
          <w:p w14:paraId="71552D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套</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463D33D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70B9BC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7EEC2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0E35A6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48</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646AE7C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疏散指示牌</w:t>
            </w:r>
          </w:p>
        </w:tc>
        <w:tc>
          <w:tcPr>
            <w:tcW w:w="885" w:type="dxa"/>
            <w:tcBorders>
              <w:top w:val="single" w:color="000000" w:sz="4" w:space="0"/>
              <w:left w:val="nil"/>
              <w:bottom w:val="single" w:color="000000" w:sz="4" w:space="0"/>
              <w:right w:val="single" w:color="000000" w:sz="4" w:space="0"/>
            </w:tcBorders>
            <w:noWrap/>
            <w:vAlign w:val="center"/>
          </w:tcPr>
          <w:p w14:paraId="000CAB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585BA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362</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41C9B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08E50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4CB8E9E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49</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2686238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水雾喷头</w:t>
            </w:r>
          </w:p>
        </w:tc>
        <w:tc>
          <w:tcPr>
            <w:tcW w:w="885" w:type="dxa"/>
            <w:tcBorders>
              <w:top w:val="single" w:color="000000" w:sz="4" w:space="0"/>
              <w:left w:val="nil"/>
              <w:bottom w:val="single" w:color="000000" w:sz="4" w:space="0"/>
              <w:right w:val="single" w:color="000000" w:sz="4" w:space="0"/>
            </w:tcBorders>
            <w:noWrap/>
            <w:vAlign w:val="center"/>
          </w:tcPr>
          <w:p w14:paraId="4229005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318A9E4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062F07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2ACEA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4DABA2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50</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4812DA1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消防水泵</w:t>
            </w:r>
          </w:p>
        </w:tc>
        <w:tc>
          <w:tcPr>
            <w:tcW w:w="885" w:type="dxa"/>
            <w:tcBorders>
              <w:top w:val="single" w:color="000000" w:sz="4" w:space="0"/>
              <w:left w:val="nil"/>
              <w:bottom w:val="single" w:color="000000" w:sz="4" w:space="0"/>
              <w:right w:val="single" w:color="000000" w:sz="4" w:space="0"/>
            </w:tcBorders>
            <w:noWrap/>
            <w:vAlign w:val="center"/>
          </w:tcPr>
          <w:p w14:paraId="2777B9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台</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396D90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2D7475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72632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51AB47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51</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24663D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湿式报警阀DN150</w:t>
            </w:r>
          </w:p>
        </w:tc>
        <w:tc>
          <w:tcPr>
            <w:tcW w:w="885" w:type="dxa"/>
            <w:tcBorders>
              <w:top w:val="single" w:color="000000" w:sz="4" w:space="0"/>
              <w:left w:val="nil"/>
              <w:bottom w:val="single" w:color="000000" w:sz="4" w:space="0"/>
              <w:right w:val="single" w:color="000000" w:sz="4" w:space="0"/>
            </w:tcBorders>
            <w:noWrap/>
            <w:vAlign w:val="center"/>
          </w:tcPr>
          <w:p w14:paraId="4EBC5A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7B69271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BD404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47E86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78B822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52</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34AF715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预作用报警阀DN150</w:t>
            </w:r>
          </w:p>
        </w:tc>
        <w:tc>
          <w:tcPr>
            <w:tcW w:w="885" w:type="dxa"/>
            <w:tcBorders>
              <w:top w:val="single" w:color="000000" w:sz="4" w:space="0"/>
              <w:left w:val="nil"/>
              <w:bottom w:val="single" w:color="000000" w:sz="4" w:space="0"/>
              <w:right w:val="single" w:color="000000" w:sz="4" w:space="0"/>
            </w:tcBorders>
            <w:noWrap/>
            <w:vAlign w:val="center"/>
          </w:tcPr>
          <w:p w14:paraId="6D990D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56FE8D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2E0C27A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51BC6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80ECB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53</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46843E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雨淋阀DN125</w:t>
            </w:r>
          </w:p>
        </w:tc>
        <w:tc>
          <w:tcPr>
            <w:tcW w:w="885" w:type="dxa"/>
            <w:tcBorders>
              <w:top w:val="single" w:color="000000" w:sz="4" w:space="0"/>
              <w:left w:val="nil"/>
              <w:bottom w:val="single" w:color="000000" w:sz="4" w:space="0"/>
              <w:right w:val="single" w:color="000000" w:sz="4" w:space="0"/>
            </w:tcBorders>
            <w:noWrap/>
            <w:vAlign w:val="center"/>
          </w:tcPr>
          <w:p w14:paraId="0F8229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5FCA4E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16</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744AA8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14294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863EBC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54</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4FF4D1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消防排烟风机</w:t>
            </w:r>
          </w:p>
        </w:tc>
        <w:tc>
          <w:tcPr>
            <w:tcW w:w="885" w:type="dxa"/>
            <w:tcBorders>
              <w:top w:val="single" w:color="000000" w:sz="4" w:space="0"/>
              <w:left w:val="nil"/>
              <w:bottom w:val="single" w:color="000000" w:sz="4" w:space="0"/>
              <w:right w:val="single" w:color="000000" w:sz="4" w:space="0"/>
            </w:tcBorders>
            <w:noWrap/>
            <w:vAlign w:val="center"/>
          </w:tcPr>
          <w:p w14:paraId="3870C8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台</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0B7025F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36</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3416884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2AAEB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4F42654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55</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00C198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消防手报</w:t>
            </w:r>
          </w:p>
        </w:tc>
        <w:tc>
          <w:tcPr>
            <w:tcW w:w="885" w:type="dxa"/>
            <w:tcBorders>
              <w:top w:val="single" w:color="000000" w:sz="4" w:space="0"/>
              <w:left w:val="nil"/>
              <w:bottom w:val="single" w:color="000000" w:sz="4" w:space="0"/>
              <w:right w:val="single" w:color="000000" w:sz="4" w:space="0"/>
            </w:tcBorders>
            <w:noWrap/>
            <w:vAlign w:val="center"/>
          </w:tcPr>
          <w:p w14:paraId="62AA9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9FD1C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86</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89551B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10C73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993480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56</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31F58C0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楼层火灾显示盘</w:t>
            </w:r>
          </w:p>
        </w:tc>
        <w:tc>
          <w:tcPr>
            <w:tcW w:w="885" w:type="dxa"/>
            <w:tcBorders>
              <w:top w:val="single" w:color="000000" w:sz="4" w:space="0"/>
              <w:left w:val="nil"/>
              <w:bottom w:val="single" w:color="000000" w:sz="4" w:space="0"/>
              <w:right w:val="single" w:color="000000" w:sz="4" w:space="0"/>
            </w:tcBorders>
            <w:noWrap/>
            <w:vAlign w:val="center"/>
          </w:tcPr>
          <w:p w14:paraId="0A0E55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5081025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92F992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24899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0965C76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57</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6D2CE19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应急照明控制系统</w:t>
            </w:r>
          </w:p>
        </w:tc>
        <w:tc>
          <w:tcPr>
            <w:tcW w:w="885" w:type="dxa"/>
            <w:tcBorders>
              <w:top w:val="single" w:color="000000" w:sz="4" w:space="0"/>
              <w:left w:val="nil"/>
              <w:bottom w:val="single" w:color="000000" w:sz="4" w:space="0"/>
              <w:right w:val="single" w:color="000000" w:sz="4" w:space="0"/>
            </w:tcBorders>
            <w:noWrap/>
            <w:vAlign w:val="center"/>
          </w:tcPr>
          <w:p w14:paraId="4D7FAF6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套</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3AC99AE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45E5512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73A5C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33DF7F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58</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1428DE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电气火灾监控系统</w:t>
            </w:r>
          </w:p>
        </w:tc>
        <w:tc>
          <w:tcPr>
            <w:tcW w:w="885" w:type="dxa"/>
            <w:tcBorders>
              <w:top w:val="single" w:color="000000" w:sz="4" w:space="0"/>
              <w:left w:val="nil"/>
              <w:bottom w:val="single" w:color="000000" w:sz="4" w:space="0"/>
              <w:right w:val="single" w:color="000000" w:sz="4" w:space="0"/>
            </w:tcBorders>
            <w:noWrap/>
            <w:vAlign w:val="center"/>
          </w:tcPr>
          <w:p w14:paraId="330885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套</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57B29ED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02030AD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23FB3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63DE06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59</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1041E5C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挡烟垂壁</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3BF8BB9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056A5B5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19</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736651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302CB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26230E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60</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7A2BD1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烟感</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4000541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27C0DF4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6A33D9A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42F27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3B1265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61</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451EB7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疏散指示牌、安全出口</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192A17D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30AD29D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20</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A4747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2CCC7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23D0F8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62</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30058DB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出租车区域消火栓</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7F764D2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1FC2EA8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D7CF79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r w14:paraId="20D3E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98" w:type="dxa"/>
            <w:tcBorders>
              <w:top w:val="single" w:color="000000" w:sz="4" w:space="0"/>
              <w:left w:val="single" w:color="000000" w:sz="4" w:space="0"/>
              <w:bottom w:val="single" w:color="000000" w:sz="4" w:space="0"/>
              <w:right w:val="single" w:color="000000" w:sz="4" w:space="0"/>
            </w:tcBorders>
            <w:noWrap/>
            <w:vAlign w:val="center"/>
          </w:tcPr>
          <w:p w14:paraId="2939BCE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63</w:t>
            </w:r>
          </w:p>
        </w:tc>
        <w:tc>
          <w:tcPr>
            <w:tcW w:w="3147" w:type="dxa"/>
            <w:tcBorders>
              <w:top w:val="single" w:color="000000" w:sz="4" w:space="0"/>
              <w:left w:val="single" w:color="000000" w:sz="4" w:space="0"/>
              <w:bottom w:val="single" w:color="000000" w:sz="4" w:space="0"/>
              <w:right w:val="single" w:color="000000" w:sz="4" w:space="0"/>
            </w:tcBorders>
            <w:noWrap/>
            <w:vAlign w:val="center"/>
          </w:tcPr>
          <w:p w14:paraId="52E0874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喷淋头</w:t>
            </w:r>
          </w:p>
        </w:tc>
        <w:tc>
          <w:tcPr>
            <w:tcW w:w="885" w:type="dxa"/>
            <w:tcBorders>
              <w:top w:val="single" w:color="000000" w:sz="4" w:space="0"/>
              <w:left w:val="single" w:color="000000" w:sz="4" w:space="0"/>
              <w:bottom w:val="single" w:color="000000" w:sz="4" w:space="0"/>
              <w:right w:val="single" w:color="000000" w:sz="4" w:space="0"/>
            </w:tcBorders>
            <w:noWrap/>
            <w:vAlign w:val="center"/>
          </w:tcPr>
          <w:p w14:paraId="0682E36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个</w:t>
            </w:r>
          </w:p>
        </w:tc>
        <w:tc>
          <w:tcPr>
            <w:tcW w:w="1650" w:type="dxa"/>
            <w:tcBorders>
              <w:top w:val="single" w:color="000000" w:sz="4" w:space="0"/>
              <w:left w:val="single" w:color="000000" w:sz="4" w:space="0"/>
              <w:bottom w:val="single" w:color="000000" w:sz="4" w:space="0"/>
              <w:right w:val="single" w:color="000000" w:sz="4" w:space="0"/>
            </w:tcBorders>
            <w:noWrap/>
            <w:vAlign w:val="center"/>
          </w:tcPr>
          <w:p w14:paraId="4CD0A3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136</w:t>
            </w:r>
          </w:p>
        </w:tc>
        <w:tc>
          <w:tcPr>
            <w:tcW w:w="3228" w:type="dxa"/>
            <w:tcBorders>
              <w:top w:val="single" w:color="000000" w:sz="4" w:space="0"/>
              <w:left w:val="single" w:color="000000" w:sz="4" w:space="0"/>
              <w:bottom w:val="single" w:color="000000" w:sz="4" w:space="0"/>
              <w:right w:val="single" w:color="000000" w:sz="4" w:space="0"/>
            </w:tcBorders>
            <w:noWrap/>
            <w:vAlign w:val="center"/>
          </w:tcPr>
          <w:p w14:paraId="53A5CC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jc w:val="center"/>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威海北站</w:t>
            </w:r>
          </w:p>
        </w:tc>
      </w:tr>
    </w:tbl>
    <w:p w14:paraId="45B4A9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四、消防维保技术要求</w:t>
      </w:r>
    </w:p>
    <w:p w14:paraId="6512498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（一）日常维保工作要求</w:t>
      </w:r>
    </w:p>
    <w:p w14:paraId="375FE68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1.每月按计划抽样测试部分设备，一年内所有设备全部测试一遍，确保设备的正常运行。</w:t>
      </w:r>
    </w:p>
    <w:p w14:paraId="3127397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2.每季度进行全面联动消防测试的检查，发现问题及时处理。</w:t>
      </w:r>
    </w:p>
    <w:p w14:paraId="156E22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3.每月定期维护保养建筑消防设施，保证随时发现和解决问题,确保设备运行状况良好，如实出具《建筑消防设施维护保养报告书》，并抄送当地公安消防机构备案;</w:t>
      </w:r>
    </w:p>
    <w:p w14:paraId="03BAFE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4.有责任和义务配合我公司及上级主管部门组织的业务检查、培训、宣传及其它消防相关工作，确保消防系统的正常运行。</w:t>
      </w:r>
    </w:p>
    <w:p w14:paraId="31A0E0A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消防设备及配套设施的维护保养必须达到原设计、使用的效果,并参照《消防设备使用及维护说明书》作为今后的维修、保养及设备管理服务的参照标准之一。一旦因维护、保养不到位,导致发生意外并造成损失(经第三方权威部门监定为保养不善造成）将由维保单位承担由此带来的一切经济和法律责任。</w:t>
      </w:r>
    </w:p>
    <w:p w14:paraId="7E6D624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投标人必须满足中华人民共和国应急管理部令(第7号)《社会消防技术服务管理规定》第五条“从事消防设施维护保养检测的消防技术服务机构”的要求。现场进行消防维保人员至少有一级注册消防工程师一名，中级操作员两名。以上人员均需要有在本单位缴纳社保的证明。</w:t>
      </w:r>
    </w:p>
    <w:p w14:paraId="3A9325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（二）消防设施维护保养内容</w:t>
      </w:r>
    </w:p>
    <w:p w14:paraId="0694FA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1.火灾自动报警系统；</w:t>
      </w:r>
    </w:p>
    <w:p w14:paraId="05345C8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2.消防联动系统(含防排烟系统)；</w:t>
      </w:r>
    </w:p>
    <w:p w14:paraId="7E3579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3.自动喷淋灭火系统；</w:t>
      </w:r>
    </w:p>
    <w:p w14:paraId="299C906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4.防火分隔设施系统；</w:t>
      </w:r>
    </w:p>
    <w:p w14:paraId="4E02D4E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5.消防控制主机系统；</w:t>
      </w:r>
    </w:p>
    <w:p w14:paraId="36F3D36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6.消防给水系统；</w:t>
      </w:r>
    </w:p>
    <w:p w14:paraId="5BBD1C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7.消防应急照明与疏散指示系统；</w:t>
      </w:r>
    </w:p>
    <w:p w14:paraId="357E87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8.消防广播系统（含消防电话）；</w:t>
      </w:r>
    </w:p>
    <w:p w14:paraId="3722B18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9.消火栓系统（含：室内外消火栓，消防水炮）；</w:t>
      </w:r>
    </w:p>
    <w:p w14:paraId="0667EA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10.水泵、稳压泵、控制柜、联动柜；</w:t>
      </w:r>
    </w:p>
    <w:p w14:paraId="684AC81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11.电气火灾监控系统；</w:t>
      </w:r>
    </w:p>
    <w:p w14:paraId="5C3A3E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12.其他按相关规定标准要求进行定期不定期维保。</w:t>
      </w:r>
    </w:p>
    <w:p w14:paraId="4F6F73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（三）维护保养要求</w:t>
      </w:r>
    </w:p>
    <w:p w14:paraId="0C6BD42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1.火灾自动报警系统的维护保养要求</w:t>
      </w:r>
    </w:p>
    <w:p w14:paraId="5F4DFF4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①.用专用测试仪器分期分批次全面测试探测器的动作及确认灯的显示，试验烟、温感探测器动作是否灵敏；</w:t>
      </w:r>
    </w:p>
    <w:p w14:paraId="412C5F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②.检查试验主控屏是否正常，有报警信号源时是否正确显示某区探测器动作，警铃蜂鸣是否鸣响；</w:t>
      </w:r>
    </w:p>
    <w:p w14:paraId="085463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③.试验手报按钮报警，本层及其上、下各一层警铃是否动作鸣响，消防控制中心显示报警区域是否准确；</w:t>
      </w:r>
    </w:p>
    <w:p w14:paraId="34C878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④.检查主控屏和联动控制屏的各项输入、输出显示功能是否正常，并全面清洁、保养；</w:t>
      </w:r>
    </w:p>
    <w:p w14:paraId="62459E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⑤.检查各个界面（模块）和主机系统外围设备的通信、控制信号是否正常，检查界面（模块）输出电压是否正常，确保正常运行；</w:t>
      </w:r>
    </w:p>
    <w:p w14:paraId="6E1925E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⑥.检查工作电池组、充电器的工作状态以及检查备用电池的电压及其他指标参数是否符合要求；</w:t>
      </w:r>
    </w:p>
    <w:p w14:paraId="3FAA27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⑦.检查系统设备所有接线端子是否松动、破损和脱落；</w:t>
      </w:r>
    </w:p>
    <w:p w14:paraId="1EC100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⑧.定期对备用电源进行1～2次充放电试验；1～3次主电和备用电源自动切换试验；</w:t>
      </w:r>
    </w:p>
    <w:p w14:paraId="668069A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⑨.定期(每年至少一次)对感烟、感温探测器进行清洁，必要时随时进行清洗，确保报警灵敏；</w:t>
      </w:r>
    </w:p>
    <w:p w14:paraId="4FD401F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⑩.定期检测报警主机控制程序有否乱码，确保主机功能正常。</w:t>
      </w:r>
    </w:p>
    <w:p w14:paraId="566EC4C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2.消防联动系统（含防排烟系统）的维护保养</w:t>
      </w:r>
    </w:p>
    <w:p w14:paraId="3EB80D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①.检查试验消防正压送风机（排烟风机）及正压送风阀（排烟阀）的联动功能是否正常。</w:t>
      </w:r>
    </w:p>
    <w:p w14:paraId="7E269A5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②.测试消防通风系统、排风系统的防火阀功能及联动讯号功能是否正常；</w:t>
      </w:r>
    </w:p>
    <w:p w14:paraId="03FBBD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③.测试消防电梯的人工迫降的信号功能是否正常；</w:t>
      </w:r>
    </w:p>
    <w:p w14:paraId="5569EF8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④.测试以上各联动机构消防控制中心相应控制屏的讯号是否正常；</w:t>
      </w:r>
    </w:p>
    <w:p w14:paraId="26FFB12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⑤.测试楼层非消防电源自动切断功能是否正常；</w:t>
      </w:r>
    </w:p>
    <w:p w14:paraId="7391B0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⑥.检查试验联动警铃的功能是否正常；</w:t>
      </w:r>
    </w:p>
    <w:p w14:paraId="4446AA7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⑦.检查试验联动广播的功能是否正常；</w:t>
      </w:r>
    </w:p>
    <w:p w14:paraId="1037A25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⑧.测试正压送风机（排烟风机）现场和远程启停控制功能是否正常；</w:t>
      </w:r>
    </w:p>
    <w:p w14:paraId="23E462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⑨.定期对正压送风机（排烟风机）、正压送风阀（排烟阀）进行保养，对转动部位加润滑油并调整风机皮带松紧度等。</w:t>
      </w:r>
    </w:p>
    <w:p w14:paraId="6894517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3.自动喷淋灭火系统的维护保养</w:t>
      </w:r>
    </w:p>
    <w:p w14:paraId="22947C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①.检查试验楼层喷淋管网末端试验装置是否正常（水压、流量是否达到要求）；</w:t>
      </w:r>
    </w:p>
    <w:p w14:paraId="73E147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②.检查试验水流指示器动作是否灵敏，报警是否及时准确，复位是否正常，消防控制中心是否有显示等；</w:t>
      </w:r>
    </w:p>
    <w:p w14:paraId="344054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③.检查喷淋头、管道是否完好，有无爆裂隐患；</w:t>
      </w:r>
    </w:p>
    <w:p w14:paraId="394B404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④.检查各个阀门是否处于正常开启状态，试验楼层信号阀门开关是否灵活，消防控制中心是否有关信号显示；</w:t>
      </w:r>
    </w:p>
    <w:p w14:paraId="20BC3B2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⑤.检查保养喷淋系统的水泵接合器，确保完整、不渗漏；</w:t>
      </w:r>
    </w:p>
    <w:p w14:paraId="33A3878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⑥.定期试验安全泄压阀是否灵敏、可靠，检查水锤吸纳器工作是否有效；</w:t>
      </w:r>
    </w:p>
    <w:p w14:paraId="31710A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⑦.检查喷淋立管的自动排气阀的工作状态是否正常；</w:t>
      </w:r>
    </w:p>
    <w:p w14:paraId="7934444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⑧.检查试验湿式报警阀、水力警铃动作是否灵敏，喷淋泵是否启动，消防控制中心显示是否准确； </w:t>
      </w:r>
    </w:p>
    <w:p w14:paraId="5D8388E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⑨.定期检查阀门是否开关灵活、有效，阀门关闭不严或不能灵活使用的应及时修理，对阀门的接触面发现有缺陷的，需进行研磨工作，无法修复的予以更换，定期对阀门转动部位螺栓加黄油；</w:t>
      </w:r>
    </w:p>
    <w:p w14:paraId="5D0304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⑩.检查止回阀启闭是否灵活、有效。</w:t>
      </w:r>
    </w:p>
    <w:p w14:paraId="2AD752D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4.消防控制主机</w:t>
      </w:r>
    </w:p>
    <w:p w14:paraId="61CD055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①.每月检查消防控制主机电源标准，查看消防控制配电箱的标志，以及仪表、指示灯、开关、控制按钮，检查主电源和备用电源之间的自动切换是否正常；</w:t>
      </w:r>
    </w:p>
    <w:p w14:paraId="31ADFF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②.每季度要对备用电源进行1～2次充放电实验,1～3次主电源和备用电源自动切换实验；</w:t>
      </w:r>
    </w:p>
    <w:p w14:paraId="141D40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③.每月应对消防控制主机进行触发自检键，进行功能自检；</w:t>
      </w:r>
    </w:p>
    <w:p w14:paraId="22BF09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④.对控制器电源全部发光显示器进行检验,并循环三次；</w:t>
      </w:r>
    </w:p>
    <w:p w14:paraId="4014311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⑤.对Ⅱ级编程继电器进行检验,检验期间继电器触点动作；</w:t>
      </w:r>
    </w:p>
    <w:p w14:paraId="3C3D2E2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⑥.对打印机功能进行检验；</w:t>
      </w:r>
    </w:p>
    <w:p w14:paraId="4E102EF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⑦.在备用直流电源供电状态下，进行断路故障报警及火警优先功能；</w:t>
      </w:r>
    </w:p>
    <w:p w14:paraId="26D445C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⑧.类比探测器、手动报警按钮断路故障，查看故障显示。断路故障报警期间，采用发烟装置或温度不低于54℃的热源先后向同一回路中两个探测器施放烟气或加热，查看火灾报警控制器的火警信号、报警部位显示及记录。每个探测器检测后，只消音，不重定；</w:t>
      </w:r>
    </w:p>
    <w:p w14:paraId="3E36FE3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⑨.用万用表测量火灾报警控制器的联动输出信号；</w:t>
      </w:r>
    </w:p>
    <w:p w14:paraId="24EAC78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⑩.系统重定，恢复到正常警戒状态。</w:t>
      </w:r>
    </w:p>
    <w:p w14:paraId="313F0BC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5.消防给水系统</w:t>
      </w:r>
    </w:p>
    <w:p w14:paraId="111E6B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①.每月查看消防水池水位及查看补水设施运行情况，每年对水源的供水能力进行一次测定；</w:t>
      </w:r>
    </w:p>
    <w:p w14:paraId="1F1DDD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②.观察稳压泵的启动频率，确定管网有无渗漏现象。检查管道有无机械损伤、油漆脱落、锈蚀等，管道固定是否牢固，发现问题应及时处理；</w:t>
      </w:r>
    </w:p>
    <w:p w14:paraId="5DC1A0C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③.每季度需对不少于20%的管道末端进行放水，确保管道内的水质良好，并对水流指示器的报警功能进行检查；</w:t>
      </w:r>
    </w:p>
    <w:p w14:paraId="1B3274D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④.每月打开排气阀，稳压泵及气压水罐检查是否能够自动加压；</w:t>
      </w:r>
    </w:p>
    <w:p w14:paraId="475547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⑤.打开试验排水阀，检查减水时能否自动供水，加压装置及供水装置压力表是否显示正常；</w:t>
      </w:r>
    </w:p>
    <w:p w14:paraId="1E157D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消防水泵应每月启动运转1～3次；当消防水泵为自动控制启动时，应每月类比自动控制的条件启动运转1～3次。手动、自动控制启水泵1～3次，查信号有否返馈，水压是否上升，电机转动是否正常。有无变形、发热等状况。轴与电机、连接部件是否有松动、锈蚀、变形、发热，是否要加油。运行时间一般不少于5分钟；</w:t>
      </w:r>
    </w:p>
    <w:p w14:paraId="654611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⑦.每月在消防主机控制室启动水泵，查看运行及反馈信号；</w:t>
      </w:r>
    </w:p>
    <w:p w14:paraId="6E352F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⑧.每月检查主、备泵能否自动切换，同时查看仪表及指示灯显示。</w:t>
      </w:r>
    </w:p>
    <w:p w14:paraId="200556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6.消防应急照明与疏散指示系统的维护保养</w:t>
      </w:r>
    </w:p>
    <w:p w14:paraId="7F9AF8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①.检查防火门的开启力度是否适中，闭门器有无漏油或松动；</w:t>
      </w:r>
    </w:p>
    <w:p w14:paraId="7E648D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②.检查双扇防火门的关闭顺序是否正确；</w:t>
      </w:r>
    </w:p>
    <w:p w14:paraId="3D5F94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③.检查防火门的密封性是否良好，钢质防火门有无生锈、脱漆现象；</w:t>
      </w:r>
    </w:p>
    <w:p w14:paraId="2A3192B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④.检查应急灯、出口指示灯、疏散指示灯的外观是否完好，灯管有无烧毁，充放电试验是否正常；</w:t>
      </w:r>
    </w:p>
    <w:p w14:paraId="23930E9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⑤.测试应急灯、出口及疏散指示灯的蓄电量是否达到规范要求时间。</w:t>
      </w:r>
    </w:p>
    <w:p w14:paraId="5FB1A1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7.消防广播的维护保养要求（含消防电话）</w:t>
      </w:r>
    </w:p>
    <w:p w14:paraId="3F00014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①.试验火灾应急广播设备的功能是否正常。在试验中不论扬声器当时处于何种工作状态，都应能紧急切换到火灾事故广播上，音响清晰；</w:t>
      </w:r>
    </w:p>
    <w:p w14:paraId="7E54116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②.检查保养消防扬声器，测试楼层扬声器的效果，声响是否响亮清晰；</w:t>
      </w:r>
    </w:p>
    <w:p w14:paraId="159691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③.定期对消防广播主机进行一次检测维护保养；</w:t>
      </w:r>
    </w:p>
    <w:p w14:paraId="7C6EB5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④.试验消防广播的选层广播功能是否正常；</w:t>
      </w:r>
    </w:p>
    <w:p w14:paraId="2463939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⑤.定期测试消防电话功能是否正常。</w:t>
      </w:r>
    </w:p>
    <w:p w14:paraId="74F562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8.室内外消防栓系统的维护保养工作要求（含：室内外消火栓）</w:t>
      </w:r>
    </w:p>
    <w:p w14:paraId="3CC46E8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检查消防栓箱配置是否完整齐全，包括检查每个消防栓口的静压是否符合设计或规范要求，检查栓口橡胶是否老化、龟裂或脱落，检查水带是否霉烂、穿孔，检查卷盘胶管是否老化、龟裂，检查玻璃按钮是否破碎；</w:t>
      </w:r>
    </w:p>
    <w:p w14:paraId="7A8D8E8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②.检查测试消防栓系统，试验玻璃按钮，警铃是否鸣响、消防水泵是否启动、消防控制中心是否有报警信号及消防水泵状态显示；</w:t>
      </w:r>
    </w:p>
    <w:p w14:paraId="6B835DA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③.检查各阀门是否处于正常工作状态，是否完好不渗漏。.检查保养消防栓系统的水泵接合器，确保完整、不渗漏；</w:t>
      </w:r>
    </w:p>
    <w:p w14:paraId="7E8B242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④.检查消防栓管网的减压阀及其过滤器是否正常，定期清洗过滤器；</w:t>
      </w:r>
    </w:p>
    <w:p w14:paraId="4F14833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⑤.定期检查阀门是否开关灵活、有效，阀门关闭不严或不能灵活使用的应及时修理，对阀门的接触面发现有缺陷的，需进行研磨工作，无法修复的予以更换。定期对阀门转动部位和螺栓加黄油润滑；</w:t>
      </w:r>
    </w:p>
    <w:p w14:paraId="58C9CA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⑥.随时抽查消火栓的出水情况。对重点部位的消火栓每年应逐个进行出水检查；对非重点部位的消火栓可按消火栓总数的10％～20％进行出水抽测实验。连接水带、水枪，触发启泵按钮，查看消防泵启动和信号显示；</w:t>
      </w:r>
    </w:p>
    <w:p w14:paraId="4AD35D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⑦.室内消火栓系统还应随时观察消防水池、水箱的水位情况，发现不足应及时补充。</w:t>
      </w:r>
    </w:p>
    <w:p w14:paraId="07907A9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⑧.室外消火栓应每季度进行一次检查保养，用专用扳手转动消火栓启闭杆，观察其灵活性，必要时加注润滑油。</w:t>
      </w:r>
    </w:p>
    <w:p w14:paraId="5BE9E33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⑨.定期检查消火栓前端阀门井。</w:t>
      </w:r>
    </w:p>
    <w:p w14:paraId="3F7CFE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五、其他说明：</w:t>
      </w:r>
    </w:p>
    <w:p w14:paraId="36DE85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1、投标人应在社会消防技术服务信息平台进行备案，能够开展各类建筑消防设施的</w:t>
      </w:r>
      <w:r>
        <w:rPr>
          <w:rFonts w:hint="eastAsia" w:ascii="仿宋" w:hAnsi="仿宋" w:eastAsia="仿宋" w:cs="仿宋"/>
          <w:color w:val="auto"/>
          <w:sz w:val="28"/>
          <w:szCs w:val="28"/>
          <w:highlight w:val="none"/>
          <w:lang w:val="en-US" w:eastAsia="zh-CN"/>
        </w:rPr>
        <w:t>维护保养检测</w:t>
      </w:r>
      <w:r>
        <w:rPr>
          <w:rFonts w:hint="eastAsia" w:ascii="仿宋" w:hAnsi="仿宋" w:eastAsia="仿宋" w:cs="仿宋"/>
          <w:color w:val="auto"/>
          <w:sz w:val="28"/>
          <w:szCs w:val="28"/>
          <w:highlight w:val="none"/>
          <w:lang w:val="en-US" w:eastAsia="zh-CN"/>
        </w:rPr>
        <w:t>工作，投标文件中须提供平台截图，否则报价无效。</w:t>
      </w:r>
    </w:p>
    <w:p w14:paraId="334D5FC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2、投标人可提出替代的技术要求和标准，并在技术文件中详细说明，但该替代应不低于招标文件的规定和要求。投标人应根据上述技术说明及要求制定详细维护保养方案。</w:t>
      </w:r>
    </w:p>
    <w:p w14:paraId="76C3A8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六、维护保养期限：</w:t>
      </w:r>
    </w:p>
    <w:p w14:paraId="4E6BE13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服务期限三年。</w:t>
      </w:r>
    </w:p>
    <w:p w14:paraId="1F810A9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七、付款方式：</w:t>
      </w:r>
    </w:p>
    <w:p w14:paraId="5274E8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合同签订后按季度支付，下一季度第一个月支付上一季度费用。第一季度甲方暂扣乙方年度费用</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val="en-US" w:eastAsia="zh-CN"/>
        </w:rPr>
        <w:t>的保证金，如未出现违反合同、未有考核</w:t>
      </w:r>
      <w:r>
        <w:rPr>
          <w:rFonts w:hint="eastAsia" w:ascii="仿宋" w:hAnsi="仿宋" w:eastAsia="仿宋" w:cs="仿宋"/>
          <w:color w:val="auto"/>
          <w:sz w:val="28"/>
          <w:szCs w:val="28"/>
          <w:highlight w:val="none"/>
          <w:lang w:val="en-US" w:eastAsia="zh-CN"/>
        </w:rPr>
        <w:t>扣除</w:t>
      </w:r>
      <w:r>
        <w:rPr>
          <w:rFonts w:hint="eastAsia" w:ascii="仿宋" w:hAnsi="仿宋" w:eastAsia="仿宋" w:cs="仿宋"/>
          <w:color w:val="auto"/>
          <w:sz w:val="28"/>
          <w:szCs w:val="28"/>
          <w:highlight w:val="none"/>
          <w:lang w:val="en-US" w:eastAsia="zh-CN"/>
        </w:rPr>
        <w:t>的情况，在支付第四季度款项时，甲方将保证金无息返还乙方。如遇休息日或节假日，结算日期顺延。甲方付费前乙方必须提交相应金额的发票。</w:t>
      </w:r>
    </w:p>
    <w:p w14:paraId="376B063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八、最高限价：</w:t>
      </w:r>
      <w:r>
        <w:rPr>
          <w:rFonts w:hint="eastAsia" w:ascii="仿宋" w:hAnsi="仿宋" w:eastAsia="仿宋" w:cs="仿宋"/>
          <w:color w:val="auto"/>
          <w:sz w:val="28"/>
          <w:szCs w:val="28"/>
          <w:highlight w:val="none"/>
          <w:lang w:val="en-US" w:eastAsia="zh-CN"/>
        </w:rPr>
        <w:t>人民币56.7万元。</w:t>
      </w:r>
    </w:p>
    <w:p w14:paraId="32E95219">
      <w:pPr>
        <w:shd w:val="clear"/>
        <w:snapToGrid w:val="0"/>
        <w:spacing w:line="560" w:lineRule="exact"/>
        <w:ind w:firstLine="562" w:firstLineChars="201"/>
        <w:rPr>
          <w:rFonts w:hint="eastAsia" w:ascii="仿宋" w:hAnsi="仿宋" w:eastAsia="仿宋" w:cs="仿宋"/>
          <w:color w:val="auto"/>
          <w:sz w:val="28"/>
          <w:szCs w:val="28"/>
          <w:highlight w:val="none"/>
          <w:lang w:val="en-US" w:eastAsia="zh-CN"/>
        </w:rPr>
      </w:pPr>
    </w:p>
    <w:p w14:paraId="19B463F3">
      <w:pPr>
        <w:shd w:val="clear"/>
        <w:snapToGrid w:val="0"/>
        <w:spacing w:line="560" w:lineRule="exact"/>
        <w:ind w:firstLine="562" w:firstLineChars="201"/>
        <w:rPr>
          <w:rFonts w:hint="eastAsia" w:ascii="仿宋" w:hAnsi="仿宋" w:eastAsia="仿宋" w:cs="仿宋"/>
          <w:color w:val="auto"/>
          <w:sz w:val="28"/>
          <w:szCs w:val="28"/>
          <w:highlight w:val="none"/>
        </w:rPr>
      </w:pPr>
    </w:p>
    <w:p w14:paraId="56A977CB">
      <w:pPr>
        <w:shd w:val="clear"/>
        <w:snapToGrid w:val="0"/>
        <w:spacing w:line="560" w:lineRule="exact"/>
        <w:ind w:firstLine="562" w:firstLineChars="201"/>
        <w:rPr>
          <w:rFonts w:hint="eastAsia" w:ascii="仿宋" w:hAnsi="仿宋" w:eastAsia="仿宋" w:cs="仿宋"/>
          <w:color w:val="auto"/>
          <w:sz w:val="28"/>
          <w:szCs w:val="28"/>
          <w:highlight w:val="none"/>
        </w:rPr>
      </w:pPr>
    </w:p>
    <w:p w14:paraId="09CD2546">
      <w:pPr>
        <w:pStyle w:val="5"/>
        <w:shd w:val="clear"/>
        <w:rPr>
          <w:rFonts w:hint="eastAsia" w:ascii="仿宋" w:hAnsi="仿宋" w:eastAsia="仿宋" w:cs="仿宋"/>
          <w:color w:val="auto"/>
          <w:highlight w:val="none"/>
        </w:rPr>
      </w:pPr>
    </w:p>
    <w:p w14:paraId="4763F91E">
      <w:pPr>
        <w:shd w:val="clear"/>
        <w:snapToGrid w:val="0"/>
        <w:spacing w:line="560" w:lineRule="exact"/>
        <w:ind w:firstLine="562" w:firstLineChars="201"/>
        <w:rPr>
          <w:rFonts w:hint="eastAsia" w:ascii="仿宋" w:hAnsi="仿宋" w:eastAsia="仿宋" w:cs="仿宋"/>
          <w:color w:val="auto"/>
          <w:sz w:val="28"/>
          <w:szCs w:val="28"/>
          <w:highlight w:val="none"/>
        </w:rPr>
        <w:sectPr>
          <w:footerReference r:id="rId11" w:type="default"/>
          <w:pgSz w:w="11906" w:h="16838"/>
          <w:pgMar w:top="1440" w:right="1083" w:bottom="1440" w:left="1083" w:header="851" w:footer="992" w:gutter="0"/>
          <w:pgNumType w:fmt="decimal"/>
          <w:cols w:space="0" w:num="1"/>
          <w:rtlGutter w:val="0"/>
          <w:docGrid w:type="lines" w:linePitch="312" w:charSpace="0"/>
        </w:sectPr>
      </w:pPr>
    </w:p>
    <w:p w14:paraId="59FE7408">
      <w:pPr>
        <w:pStyle w:val="26"/>
        <w:numPr>
          <w:ilvl w:val="0"/>
          <w:numId w:val="0"/>
        </w:numPr>
        <w:shd w:val="clear"/>
        <w:spacing w:before="100" w:beforeAutospacing="1" w:after="100" w:afterAutospacing="1" w:line="415" w:lineRule="auto"/>
        <w:ind w:left="1440" w:leftChars="0" w:hanging="1440" w:firstLineChars="0"/>
        <w:rPr>
          <w:rFonts w:hint="eastAsia" w:ascii="仿宋" w:hAnsi="仿宋" w:eastAsia="仿宋" w:cs="仿宋"/>
          <w:b/>
          <w:bCs/>
          <w:color w:val="auto"/>
          <w:sz w:val="44"/>
          <w:szCs w:val="44"/>
          <w:highlight w:val="none"/>
        </w:rPr>
      </w:pPr>
      <w:bookmarkStart w:id="10" w:name="_Toc21243"/>
      <w:r>
        <w:rPr>
          <w:rFonts w:hint="eastAsia" w:ascii="仿宋" w:hAnsi="仿宋" w:eastAsia="仿宋" w:cs="仿宋"/>
          <w:b/>
          <w:bCs/>
          <w:color w:val="auto"/>
          <w:kern w:val="2"/>
          <w:sz w:val="44"/>
          <w:szCs w:val="44"/>
          <w:highlight w:val="none"/>
          <w:lang w:val="en-US" w:eastAsia="zh-CN" w:bidi="ar-SA"/>
        </w:rPr>
        <w:t>第四章  评标原则、程序与方法</w:t>
      </w:r>
      <w:bookmarkEnd w:id="10"/>
    </w:p>
    <w:p w14:paraId="03C38CA9">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 xml:space="preserve">一、评审原则 </w:t>
      </w:r>
    </w:p>
    <w:p w14:paraId="1078441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评标委员会将按照这一原则的要求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公正、平等地对待各投标人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在评标时恪守以下原则：</w:t>
      </w:r>
    </w:p>
    <w:p w14:paraId="30702B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1.客观性原则：评标委员会将严格按照招标文件的要求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对投标人的投标文件进行认真评审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评标委员会对投标文件的评审仅依据投标文件本身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而不依靠投标文件以外的任何因素。 </w:t>
      </w:r>
    </w:p>
    <w:p w14:paraId="09C367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采用统一标准进行评标。</w:t>
      </w:r>
    </w:p>
    <w:p w14:paraId="77DAC789">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不受外界任何因素的干扰和影响。</w:t>
      </w:r>
    </w:p>
    <w:p w14:paraId="4CE025C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不得外泄。</w:t>
      </w:r>
    </w:p>
    <w:p w14:paraId="3A1077A0">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而不以单项指标的优劣评定出中标人。</w:t>
      </w:r>
    </w:p>
    <w:p w14:paraId="05890B42">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二、评标程序</w:t>
      </w:r>
    </w:p>
    <w:p w14:paraId="410A48A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.核对评审专家身份和采购人代表授权委托书（如有）。</w:t>
      </w:r>
    </w:p>
    <w:p w14:paraId="0D30B0F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.宣布评标纪律。</w:t>
      </w:r>
    </w:p>
    <w:p w14:paraId="51846C97">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.公布投标人名单，告知评审专家应当回避的情形。</w:t>
      </w:r>
    </w:p>
    <w:p w14:paraId="4BFE428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.组织评标委员会推选评标组长，采购人代表（如有）不得担任组长。</w:t>
      </w:r>
    </w:p>
    <w:p w14:paraId="26767F3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评审专家依法对投标人的资格进行审查。</w:t>
      </w:r>
    </w:p>
    <w:p w14:paraId="2CAC8A8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评标委员会对符合资格的投标人的投标文件进行符合性审查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详见《投标须知》-《实质性条款一览表》中符合性</w:t>
      </w:r>
      <w:r>
        <w:rPr>
          <w:rFonts w:hint="eastAsia" w:ascii="仿宋" w:hAnsi="仿宋" w:eastAsia="仿宋" w:cs="仿宋"/>
          <w:color w:val="auto"/>
          <w:sz w:val="28"/>
          <w:szCs w:val="28"/>
          <w:highlight w:val="none"/>
          <w:lang w:val="en-US" w:eastAsia="zh-CN"/>
        </w:rPr>
        <w:t>审查</w:t>
      </w:r>
      <w:r>
        <w:rPr>
          <w:rFonts w:hint="eastAsia" w:ascii="仿宋" w:hAnsi="仿宋" w:eastAsia="仿宋" w:cs="仿宋"/>
          <w:color w:val="auto"/>
          <w:sz w:val="28"/>
          <w:szCs w:val="28"/>
          <w:highlight w:val="none"/>
        </w:rPr>
        <w:t>条款。</w:t>
      </w:r>
    </w:p>
    <w:p w14:paraId="53201E8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属于无效投标的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投标人不能通过修正或撤销投标文件中不符合之处而成为实质性响应的投标</w:t>
      </w:r>
      <w:r>
        <w:rPr>
          <w:rFonts w:hint="eastAsia" w:ascii="仿宋" w:hAnsi="仿宋" w:eastAsia="仿宋" w:cs="仿宋"/>
          <w:color w:val="auto"/>
          <w:sz w:val="28"/>
          <w:szCs w:val="28"/>
          <w:highlight w:val="none"/>
          <w:lang w:eastAsia="zh-CN"/>
        </w:rPr>
        <w:t>，采购代理</w:t>
      </w:r>
      <w:r>
        <w:rPr>
          <w:rFonts w:hint="eastAsia" w:ascii="仿宋" w:hAnsi="仿宋" w:eastAsia="仿宋" w:cs="仿宋"/>
          <w:color w:val="auto"/>
          <w:sz w:val="28"/>
          <w:szCs w:val="28"/>
          <w:highlight w:val="none"/>
          <w:lang w:val="en-US" w:eastAsia="zh-CN"/>
        </w:rPr>
        <w:t>机构</w:t>
      </w:r>
      <w:r>
        <w:rPr>
          <w:rFonts w:hint="eastAsia" w:ascii="仿宋" w:hAnsi="仿宋" w:eastAsia="仿宋" w:cs="仿宋"/>
          <w:color w:val="auto"/>
          <w:sz w:val="28"/>
          <w:szCs w:val="28"/>
          <w:highlight w:val="none"/>
        </w:rPr>
        <w:t>将通知投标人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并说明无效投标理由；属于有效投标文件的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将进行下一轮次的询标和澄清、说明或补正。</w:t>
      </w:r>
    </w:p>
    <w:p w14:paraId="5AC95C8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.澄清、说明或者补正</w:t>
      </w:r>
    </w:p>
    <w:p w14:paraId="720F874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对有效投标文件中含义不明确、同类问题前后表述不一致或者有明显文字和计算错误的内容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评标委员会可以书面形式要求投标人在规定的时间内作出必要的澄清、说明或者纠正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投标人应在要求的时间内以书面形式澄清、说明或者补正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w:t>
      </w:r>
      <w:r>
        <w:rPr>
          <w:rFonts w:hint="eastAsia" w:ascii="仿宋" w:hAnsi="仿宋" w:eastAsia="仿宋" w:cs="仿宋"/>
          <w:color w:val="auto"/>
          <w:sz w:val="28"/>
          <w:szCs w:val="28"/>
          <w:highlight w:val="none"/>
          <w:lang w:val="en-US" w:eastAsia="zh-CN"/>
        </w:rPr>
        <w:t>加盖公章，或者</w:t>
      </w:r>
      <w:r>
        <w:rPr>
          <w:rFonts w:hint="eastAsia" w:ascii="仿宋" w:hAnsi="仿宋" w:eastAsia="仿宋" w:cs="仿宋"/>
          <w:color w:val="auto"/>
          <w:sz w:val="28"/>
          <w:szCs w:val="28"/>
          <w:highlight w:val="none"/>
        </w:rPr>
        <w:t>由其法定代表人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或被授权人签字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且不得超出投标文件的范围或者改变投标文件的实质性内容。</w:t>
      </w:r>
    </w:p>
    <w:p w14:paraId="273B4E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投标人依据评审要求进行澄清、说明或者补正的内容构成投标文件的组成部分。</w:t>
      </w:r>
    </w:p>
    <w:p w14:paraId="193F7B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.比较与评价</w:t>
      </w:r>
    </w:p>
    <w:p w14:paraId="5CE1AB7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综合比较和评价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按综合得分高低列出中标候选人排序表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若总分相同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以报价得分高的排前；若总分、报价得分都相同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则以投标技术方面得分高的排前。</w:t>
      </w:r>
    </w:p>
    <w:p w14:paraId="6F9509A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.出现下列情况之一的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均予以废标</w:t>
      </w:r>
    </w:p>
    <w:p w14:paraId="0C4A61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合格的投标人或参加投标的企业不足三家的；</w:t>
      </w:r>
    </w:p>
    <w:p w14:paraId="3182474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出现影响招标公正的违法、违规行为的；</w:t>
      </w:r>
    </w:p>
    <w:p w14:paraId="5211279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投标人的报价均超过了预算价格</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79789B3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因重大变故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采购任务取消的。</w:t>
      </w:r>
    </w:p>
    <w:p w14:paraId="1238CD98">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三、评标方法</w:t>
      </w:r>
    </w:p>
    <w:p w14:paraId="66E4AAF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（1）评标方法：综合评分法。</w:t>
      </w:r>
    </w:p>
    <w:p w14:paraId="127B90D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（2）评标细则</w:t>
      </w:r>
    </w:p>
    <w:tbl>
      <w:tblPr>
        <w:tblStyle w:val="30"/>
        <w:tblW w:w="499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941"/>
        <w:gridCol w:w="1214"/>
        <w:gridCol w:w="6114"/>
        <w:gridCol w:w="863"/>
        <w:gridCol w:w="714"/>
      </w:tblGrid>
      <w:tr w14:paraId="7FE6C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8" w:type="pct"/>
            <w:shd w:val="clear" w:color="auto" w:fill="D9D9D9"/>
            <w:noWrap w:val="0"/>
            <w:vAlign w:val="center"/>
          </w:tcPr>
          <w:p w14:paraId="09DA949A">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616" w:type="pct"/>
            <w:shd w:val="clear" w:color="auto" w:fill="D9D9D9"/>
            <w:noWrap w:val="0"/>
            <w:vAlign w:val="center"/>
          </w:tcPr>
          <w:p w14:paraId="76A820F8">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评分标题</w:t>
            </w:r>
          </w:p>
        </w:tc>
        <w:tc>
          <w:tcPr>
            <w:tcW w:w="3103" w:type="pct"/>
            <w:shd w:val="clear" w:color="auto" w:fill="D9D9D9"/>
            <w:noWrap w:val="0"/>
            <w:vAlign w:val="center"/>
          </w:tcPr>
          <w:p w14:paraId="62421B49">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438" w:type="pct"/>
            <w:shd w:val="clear" w:color="auto" w:fill="D9D9D9"/>
            <w:noWrap w:val="0"/>
            <w:vAlign w:val="center"/>
          </w:tcPr>
          <w:p w14:paraId="2E94F248">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362" w:type="pct"/>
            <w:shd w:val="clear" w:color="auto" w:fill="D9D9D9"/>
            <w:noWrap w:val="0"/>
            <w:vAlign w:val="center"/>
          </w:tcPr>
          <w:p w14:paraId="784343E8">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121A9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8" w:type="pct"/>
            <w:noWrap w:val="0"/>
            <w:vAlign w:val="center"/>
          </w:tcPr>
          <w:p w14:paraId="288DDD88">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w:t>
            </w:r>
          </w:p>
        </w:tc>
        <w:tc>
          <w:tcPr>
            <w:tcW w:w="616" w:type="pct"/>
            <w:noWrap w:val="0"/>
            <w:vAlign w:val="center"/>
          </w:tcPr>
          <w:p w14:paraId="030A50E9">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报价</w:t>
            </w:r>
          </w:p>
        </w:tc>
        <w:tc>
          <w:tcPr>
            <w:tcW w:w="3103" w:type="pct"/>
            <w:noWrap w:val="0"/>
            <w:vAlign w:val="center"/>
          </w:tcPr>
          <w:p w14:paraId="75904A85">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满足招标文件要求且投标报价最低的报价为评标基准价，其价格分为满分（标准分）。其他投标人的价格分统一按照下列公式计算：报价得分=（评标基准价/投标报价）×20。</w:t>
            </w:r>
          </w:p>
        </w:tc>
        <w:tc>
          <w:tcPr>
            <w:tcW w:w="438" w:type="pct"/>
            <w:noWrap w:val="0"/>
            <w:vAlign w:val="center"/>
          </w:tcPr>
          <w:p w14:paraId="15C4570D">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价格分</w:t>
            </w:r>
          </w:p>
        </w:tc>
        <w:tc>
          <w:tcPr>
            <w:tcW w:w="362" w:type="pct"/>
            <w:noWrap w:val="0"/>
            <w:vAlign w:val="center"/>
          </w:tcPr>
          <w:p w14:paraId="78F7CD61">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20.00</w:t>
            </w:r>
          </w:p>
        </w:tc>
      </w:tr>
      <w:tr w14:paraId="0D6F9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8" w:type="pct"/>
            <w:noWrap w:val="0"/>
            <w:vAlign w:val="center"/>
          </w:tcPr>
          <w:p w14:paraId="2B34419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616" w:type="pct"/>
            <w:noWrap w:val="0"/>
            <w:vAlign w:val="center"/>
          </w:tcPr>
          <w:p w14:paraId="770B2247">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业绩</w:t>
            </w:r>
          </w:p>
        </w:tc>
        <w:tc>
          <w:tcPr>
            <w:tcW w:w="3103" w:type="pct"/>
            <w:noWrap w:val="0"/>
            <w:vAlign w:val="center"/>
          </w:tcPr>
          <w:p w14:paraId="0CC669D5">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投标人自2023年1月1日至今，每承揽一个消防维保项目业绩得1分，最高计5分。</w:t>
            </w:r>
          </w:p>
          <w:p w14:paraId="2B3ECB70">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注：时间以合同签订时间为准，需将项目合同的扫描件附在投标文件中,否则不予计分。</w:t>
            </w:r>
          </w:p>
        </w:tc>
        <w:tc>
          <w:tcPr>
            <w:tcW w:w="438" w:type="pct"/>
            <w:noWrap w:val="0"/>
            <w:vAlign w:val="center"/>
          </w:tcPr>
          <w:p w14:paraId="2F5FC492">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客观分</w:t>
            </w:r>
          </w:p>
        </w:tc>
        <w:tc>
          <w:tcPr>
            <w:tcW w:w="362" w:type="pct"/>
            <w:noWrap w:val="0"/>
            <w:vAlign w:val="center"/>
          </w:tcPr>
          <w:p w14:paraId="4A0AA1CF">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5.00</w:t>
            </w:r>
          </w:p>
        </w:tc>
      </w:tr>
      <w:tr w14:paraId="7F1B7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6215" w:hRule="atLeast"/>
          <w:jc w:val="center"/>
        </w:trPr>
        <w:tc>
          <w:tcPr>
            <w:tcW w:w="478" w:type="pct"/>
            <w:noWrap w:val="0"/>
            <w:vAlign w:val="center"/>
          </w:tcPr>
          <w:p w14:paraId="139438A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6" w:type="pct"/>
            <w:noWrap w:val="0"/>
            <w:vAlign w:val="center"/>
          </w:tcPr>
          <w:p w14:paraId="5B5DE33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维保方案</w:t>
            </w:r>
          </w:p>
        </w:tc>
        <w:tc>
          <w:tcPr>
            <w:tcW w:w="3103" w:type="pct"/>
            <w:noWrap w:val="0"/>
            <w:vAlign w:val="center"/>
          </w:tcPr>
          <w:p w14:paraId="6FF6EA13">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由评标委员会审核各投标人的维保方案后，根据以下标准以1分为单位进行打分：</w:t>
            </w:r>
          </w:p>
          <w:p w14:paraId="1523B842">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【21分-30分】：实施方案对本项目实施的重点、难点分析准确，施工规范、安全等方面考虑非常周全、详细，实施方案对采购人要求的理解准确，切实可行，有独到的优势。</w:t>
            </w:r>
          </w:p>
          <w:p w14:paraId="5EA0B437">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【11分-20分】：实施方案能够透彻分析项目的各项需求，内容齐全、结构完整、表述准确、条理清晰；实施方案能够实现实用性、规范性的要求；有一定的针对性、能够满足需要，但整体方案没有优势。</w:t>
            </w:r>
          </w:p>
          <w:p w14:paraId="2824205C">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【1分-10分】：实施方案对项目实施的重点、难点分析不足，施工规范、安全等方面没有充分说明，实用性、规范性、兼容性不高，仅能基本满足采购的要求。</w:t>
            </w:r>
          </w:p>
          <w:p w14:paraId="4D41A32C">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未提供维保方案，得 0 分。</w:t>
            </w:r>
          </w:p>
        </w:tc>
        <w:tc>
          <w:tcPr>
            <w:tcW w:w="438" w:type="pct"/>
            <w:noWrap w:val="0"/>
            <w:vAlign w:val="center"/>
          </w:tcPr>
          <w:p w14:paraId="7BC4C910">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2C334394">
            <w:pPr>
              <w:pStyle w:val="7"/>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30.00</w:t>
            </w:r>
          </w:p>
        </w:tc>
      </w:tr>
      <w:tr w14:paraId="1C600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8" w:type="pct"/>
            <w:noWrap w:val="0"/>
            <w:vAlign w:val="center"/>
          </w:tcPr>
          <w:p w14:paraId="4584A17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6" w:type="pct"/>
            <w:noWrap w:val="0"/>
            <w:vAlign w:val="center"/>
          </w:tcPr>
          <w:p w14:paraId="77757BE0">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服务质量保障措施</w:t>
            </w:r>
          </w:p>
        </w:tc>
        <w:tc>
          <w:tcPr>
            <w:tcW w:w="3103" w:type="pct"/>
            <w:noWrap w:val="0"/>
            <w:vAlign w:val="center"/>
          </w:tcPr>
          <w:p w14:paraId="4510D892">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由评标委员会审核各投标人的服务质量保障措施后，根据以下标准以1分为单位进行打分：</w:t>
            </w:r>
          </w:p>
          <w:p w14:paraId="4F521D0A">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【7分-10分】质量控制措施得到了合理分解，分阶段控制措施明确。控制方法、手段科学、合理，能够确保控制质量及目标的实现。 </w:t>
            </w:r>
          </w:p>
          <w:p w14:paraId="1F488132">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【4分-6分】质量控制措施进行阐述但并未贴合项目实际情况进行详细论述，或方案中未包括具体质量控制措施。 </w:t>
            </w:r>
          </w:p>
          <w:p w14:paraId="2BB4AA32">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【1分-3分】进行了阐述但不能够完全满足采购需求。 </w:t>
            </w:r>
          </w:p>
          <w:p w14:paraId="24F483B8">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未提供服务质量保障措施或不满足采购要求，得 0 分。</w:t>
            </w:r>
          </w:p>
        </w:tc>
        <w:tc>
          <w:tcPr>
            <w:tcW w:w="438" w:type="pct"/>
            <w:noWrap w:val="0"/>
            <w:vAlign w:val="center"/>
          </w:tcPr>
          <w:p w14:paraId="2CFAD84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45029B33">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10.00</w:t>
            </w:r>
          </w:p>
        </w:tc>
      </w:tr>
      <w:tr w14:paraId="67B0F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8" w:type="pct"/>
            <w:noWrap w:val="0"/>
            <w:vAlign w:val="center"/>
          </w:tcPr>
          <w:p w14:paraId="70D3615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6" w:type="pct"/>
            <w:noWrap w:val="0"/>
            <w:vAlign w:val="center"/>
          </w:tcPr>
          <w:p w14:paraId="55ECEB12">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应急预案</w:t>
            </w:r>
          </w:p>
        </w:tc>
        <w:tc>
          <w:tcPr>
            <w:tcW w:w="3103" w:type="pct"/>
            <w:noWrap w:val="0"/>
            <w:vAlign w:val="center"/>
          </w:tcPr>
          <w:p w14:paraId="3015E289">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由评标委员会审核各投标人的应急预案（须包含重大突发事件应急预案、消防安全应急预案、人为事故应急预案、设备故障应急预案等）后，根据以下标准以1分为单位进行打分：</w:t>
            </w:r>
          </w:p>
          <w:p w14:paraId="2F9D8FC4">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【10分-15分】方案全面、合理性、可操作性强，完全满足项目需求。</w:t>
            </w:r>
          </w:p>
          <w:p w14:paraId="42D926FC">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【6分-9分】方案基本健全、具有一定的合理性，大部分能满足项目需求。</w:t>
            </w:r>
          </w:p>
          <w:p w14:paraId="425F9CBC">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【1分-5分】方案不完整或合理性、操作性不强。</w:t>
            </w:r>
          </w:p>
          <w:p w14:paraId="2F7226B1">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b w:val="0"/>
                <w:bCs w:val="0"/>
                <w:color w:val="auto"/>
                <w:sz w:val="24"/>
                <w:szCs w:val="24"/>
                <w:highlight w:val="none"/>
                <w:lang w:eastAsia="zh-CN"/>
              </w:rPr>
            </w:pPr>
            <w:r>
              <w:rPr>
                <w:rFonts w:hint="eastAsia" w:ascii="仿宋" w:hAnsi="仿宋" w:eastAsia="仿宋" w:cs="仿宋"/>
                <w:color w:val="auto"/>
                <w:sz w:val="24"/>
                <w:szCs w:val="24"/>
                <w:highlight w:val="none"/>
                <w:lang w:val="en-US" w:eastAsia="zh-CN"/>
              </w:rPr>
              <w:t>未提供应急预案，得 0 分。</w:t>
            </w:r>
          </w:p>
        </w:tc>
        <w:tc>
          <w:tcPr>
            <w:tcW w:w="438" w:type="pct"/>
            <w:noWrap w:val="0"/>
            <w:vAlign w:val="center"/>
          </w:tcPr>
          <w:p w14:paraId="7431583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62CB8E7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15.00</w:t>
            </w:r>
          </w:p>
        </w:tc>
      </w:tr>
      <w:tr w14:paraId="17190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8" w:type="pct"/>
            <w:noWrap w:val="0"/>
            <w:vAlign w:val="center"/>
          </w:tcPr>
          <w:p w14:paraId="2C46E64A">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6" w:type="pct"/>
            <w:noWrap w:val="0"/>
            <w:vAlign w:val="center"/>
          </w:tcPr>
          <w:p w14:paraId="1478A8AB">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售后服务</w:t>
            </w:r>
          </w:p>
          <w:p w14:paraId="5B688AA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及承诺</w:t>
            </w:r>
          </w:p>
        </w:tc>
        <w:tc>
          <w:tcPr>
            <w:tcW w:w="3103" w:type="pct"/>
            <w:noWrap w:val="0"/>
            <w:vAlign w:val="center"/>
          </w:tcPr>
          <w:p w14:paraId="47E97EB8">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由评标委员会审核各投标人的售后服务及承诺后，根据以下标准以1分为单位进行打分：</w:t>
            </w:r>
          </w:p>
          <w:p w14:paraId="5618BEEE">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【7分-10分】：投标人承诺的售后服务内容全面、措施完善，故障、技术支持响应和解决问题时间快，有突出的售后服务优势。</w:t>
            </w:r>
          </w:p>
          <w:p w14:paraId="6472EF68">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【4分-6分】：投标人承诺的服务内容一般，故障、技术支持响应和解决问题时间偏长，能够完全满足采购人实际使用要求。</w:t>
            </w:r>
          </w:p>
          <w:p w14:paraId="57788F15">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【1分-3分】：投标人承诺的服务内容十分简单或有瑕疵，承诺的服务水平低，仅能基本满足项目服务需要。</w:t>
            </w:r>
          </w:p>
          <w:p w14:paraId="4E9C0F99">
            <w:pPr>
              <w:keepNext w:val="0"/>
              <w:keepLines w:val="0"/>
              <w:pageBreakBefore w:val="0"/>
              <w:widowControl w:val="0"/>
              <w:shd w:val="clear"/>
              <w:kinsoku/>
              <w:wordWrap/>
              <w:overflowPunct/>
              <w:topLinePunct w:val="0"/>
              <w:autoSpaceDE/>
              <w:autoSpaceDN/>
              <w:bidi w:val="0"/>
              <w:adjustRightInd/>
              <w:snapToGrid/>
              <w:spacing w:line="480" w:lineRule="exact"/>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未提供</w:t>
            </w:r>
            <w:r>
              <w:rPr>
                <w:rFonts w:hint="eastAsia" w:ascii="仿宋" w:hAnsi="仿宋" w:eastAsia="仿宋" w:cs="仿宋"/>
                <w:color w:val="auto"/>
                <w:sz w:val="24"/>
                <w:szCs w:val="24"/>
                <w:highlight w:val="none"/>
                <w:lang w:eastAsia="zh-CN"/>
              </w:rPr>
              <w:t>售后服务及承诺</w:t>
            </w:r>
            <w:r>
              <w:rPr>
                <w:rFonts w:hint="eastAsia" w:ascii="仿宋" w:hAnsi="仿宋" w:eastAsia="仿宋" w:cs="仿宋"/>
                <w:color w:val="auto"/>
                <w:sz w:val="24"/>
                <w:szCs w:val="24"/>
                <w:highlight w:val="none"/>
                <w:lang w:val="en-US" w:eastAsia="zh-CN"/>
              </w:rPr>
              <w:t>，得 0 分。</w:t>
            </w:r>
          </w:p>
        </w:tc>
        <w:tc>
          <w:tcPr>
            <w:tcW w:w="438" w:type="pct"/>
            <w:noWrap w:val="0"/>
            <w:vAlign w:val="center"/>
          </w:tcPr>
          <w:p w14:paraId="6DB1DCE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0823E952">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10.00</w:t>
            </w:r>
          </w:p>
        </w:tc>
      </w:tr>
      <w:tr w14:paraId="468419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8" w:type="pct"/>
            <w:noWrap w:val="0"/>
            <w:vAlign w:val="center"/>
          </w:tcPr>
          <w:p w14:paraId="26F8614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6" w:type="pct"/>
            <w:noWrap w:val="0"/>
            <w:vAlign w:val="center"/>
          </w:tcPr>
          <w:p w14:paraId="2DE837CF">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人员配备</w:t>
            </w:r>
          </w:p>
        </w:tc>
        <w:tc>
          <w:tcPr>
            <w:tcW w:w="3103" w:type="pct"/>
            <w:noWrap w:val="0"/>
            <w:vAlign w:val="center"/>
          </w:tcPr>
          <w:p w14:paraId="411182AC">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对投标人拟投⼊本项⽬⼈员情况进⾏综合评价。根据项目配备人员的执业资格、技术职称、配置情况、专业搭配情况、实践经验情况、类似服务经验等综合评审，满分10分，每有一处缺陷扣0.5分，扣完为止。</w:t>
            </w:r>
          </w:p>
          <w:p w14:paraId="1FAF3904">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注：1、需提供业绩证明材料扫描件、从业资格证书扫描件、拟投入人员为本单位在职员工承诺函及</w:t>
            </w:r>
            <w:r>
              <w:rPr>
                <w:rFonts w:hint="eastAsia" w:ascii="仿宋" w:hAnsi="仿宋" w:eastAsia="仿宋" w:cs="仿宋"/>
                <w:color w:val="auto"/>
                <w:sz w:val="24"/>
                <w:szCs w:val="24"/>
                <w:highlight w:val="none"/>
                <w:lang w:val="en-US" w:eastAsia="zh-CN"/>
              </w:rPr>
              <w:t>在本单位缴纳的社保证明（公告发布前三个月中任意一个月，不含公告发布当月）</w:t>
            </w:r>
            <w:r>
              <w:rPr>
                <w:rFonts w:hint="eastAsia" w:ascii="仿宋" w:hAnsi="仿宋" w:eastAsia="仿宋" w:cs="仿宋"/>
                <w:color w:val="auto"/>
                <w:sz w:val="24"/>
                <w:szCs w:val="24"/>
                <w:highlight w:val="none"/>
                <w:lang w:val="en-US" w:eastAsia="zh-CN"/>
              </w:rPr>
              <w:t>材料扫描件。</w:t>
            </w:r>
          </w:p>
          <w:p w14:paraId="24BA093B">
            <w:pPr>
              <w:pStyle w:val="7"/>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2、合同签订前，采购人有权对中标人的承诺及证明材料进行核实。一旦发现弄虚作假，直接取消中标人资格。</w:t>
            </w:r>
          </w:p>
        </w:tc>
        <w:tc>
          <w:tcPr>
            <w:tcW w:w="438" w:type="pct"/>
            <w:noWrap w:val="0"/>
            <w:vAlign w:val="center"/>
          </w:tcPr>
          <w:p w14:paraId="7698F9B4">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2AE09154">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10.00</w:t>
            </w:r>
          </w:p>
        </w:tc>
      </w:tr>
    </w:tbl>
    <w:p w14:paraId="2B7DC8F3">
      <w:pPr>
        <w:keepNext w:val="0"/>
        <w:keepLines w:val="0"/>
        <w:pageBreakBefore w:val="0"/>
        <w:widowControl w:val="0"/>
        <w:kinsoku/>
        <w:wordWrap/>
        <w:overflowPunct/>
        <w:topLinePunct w:val="0"/>
        <w:autoSpaceDE/>
        <w:autoSpaceDN/>
        <w:bidi w:val="0"/>
        <w:adjustRightInd/>
        <w:snapToGrid/>
        <w:spacing w:line="560" w:lineRule="exact"/>
        <w:contextualSpacing/>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注：①本细则只针对有效投标文件予以评分。</w:t>
      </w:r>
    </w:p>
    <w:p w14:paraId="5E50C430">
      <w:pPr>
        <w:keepNext w:val="0"/>
        <w:keepLines w:val="0"/>
        <w:pageBreakBefore w:val="0"/>
        <w:widowControl w:val="0"/>
        <w:kinsoku/>
        <w:wordWrap/>
        <w:overflowPunct/>
        <w:topLinePunct w:val="0"/>
        <w:autoSpaceDE/>
        <w:autoSpaceDN/>
        <w:bidi w:val="0"/>
        <w:adjustRightInd/>
        <w:snapToGrid/>
        <w:spacing w:line="560" w:lineRule="exact"/>
        <w:contextualSpacing/>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②计算得分时，四舍五入</w:t>
      </w:r>
      <w:r>
        <w:rPr>
          <w:rFonts w:hint="eastAsia" w:ascii="仿宋" w:hAnsi="仿宋" w:eastAsia="仿宋" w:cs="仿宋"/>
          <w:b/>
          <w:sz w:val="28"/>
          <w:szCs w:val="28"/>
          <w:highlight w:val="none"/>
          <w:lang w:eastAsia="zh-CN"/>
        </w:rPr>
        <w:t>保留至小数点后两位</w:t>
      </w:r>
      <w:r>
        <w:rPr>
          <w:rFonts w:hint="eastAsia" w:ascii="仿宋" w:hAnsi="仿宋" w:eastAsia="仿宋" w:cs="仿宋"/>
          <w:b/>
          <w:sz w:val="28"/>
          <w:szCs w:val="28"/>
          <w:highlight w:val="none"/>
        </w:rPr>
        <w:t>。</w:t>
      </w:r>
    </w:p>
    <w:p w14:paraId="1640C14F">
      <w:pPr>
        <w:keepNext w:val="0"/>
        <w:keepLines w:val="0"/>
        <w:pageBreakBefore w:val="0"/>
        <w:widowControl w:val="0"/>
        <w:kinsoku/>
        <w:wordWrap/>
        <w:overflowPunct/>
        <w:topLinePunct w:val="0"/>
        <w:autoSpaceDE/>
        <w:autoSpaceDN/>
        <w:bidi w:val="0"/>
        <w:adjustRightInd/>
        <w:snapToGrid/>
        <w:spacing w:line="560" w:lineRule="exact"/>
        <w:contextualSpacing/>
        <w:textAlignment w:val="auto"/>
        <w:rPr>
          <w:rFonts w:hint="eastAsia" w:ascii="仿宋" w:hAnsi="仿宋" w:eastAsia="仿宋" w:cs="仿宋"/>
          <w:b/>
          <w:sz w:val="28"/>
          <w:szCs w:val="28"/>
          <w:highlight w:val="none"/>
          <w:lang w:val="zh-CN" w:eastAsia="zh-CN"/>
        </w:rPr>
      </w:pPr>
      <w:r>
        <w:rPr>
          <w:rFonts w:hint="eastAsia" w:ascii="仿宋" w:hAnsi="仿宋" w:eastAsia="仿宋" w:cs="仿宋"/>
          <w:b/>
          <w:sz w:val="28"/>
          <w:szCs w:val="28"/>
          <w:highlight w:val="none"/>
        </w:rPr>
        <w:t>③汇总各评委打分进行算术平均，计算出各投标人的综合得分。</w:t>
      </w:r>
    </w:p>
    <w:p w14:paraId="05109208">
      <w:pPr>
        <w:shd w:val="clear"/>
        <w:spacing w:before="100" w:beforeAutospacing="1" w:after="100" w:afterAutospacing="1" w:line="415" w:lineRule="auto"/>
        <w:jc w:val="center"/>
        <w:outlineLvl w:val="0"/>
        <w:rPr>
          <w:rFonts w:hint="eastAsia" w:ascii="仿宋" w:hAnsi="仿宋" w:eastAsia="仿宋" w:cs="仿宋"/>
          <w:b/>
          <w:bCs/>
          <w:color w:val="auto"/>
          <w:sz w:val="44"/>
          <w:szCs w:val="44"/>
          <w:highlight w:val="none"/>
        </w:rPr>
      </w:pPr>
    </w:p>
    <w:p w14:paraId="19BE52C0">
      <w:pPr>
        <w:shd w:val="clear"/>
        <w:spacing w:before="100" w:beforeAutospacing="1" w:after="100" w:afterAutospacing="1" w:line="415" w:lineRule="auto"/>
        <w:jc w:val="center"/>
        <w:outlineLvl w:val="0"/>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18A64A28">
      <w:pPr>
        <w:pStyle w:val="26"/>
        <w:numPr>
          <w:ilvl w:val="0"/>
          <w:numId w:val="0"/>
        </w:numPr>
        <w:shd w:val="clear"/>
        <w:spacing w:before="100" w:beforeAutospacing="1" w:after="100" w:afterAutospacing="1" w:line="415" w:lineRule="auto"/>
        <w:ind w:left="1440" w:leftChars="0" w:hanging="1440" w:firstLineChars="0"/>
        <w:rPr>
          <w:rFonts w:hint="eastAsia" w:ascii="仿宋" w:hAnsi="仿宋" w:eastAsia="仿宋" w:cs="仿宋"/>
          <w:color w:val="auto"/>
          <w:highlight w:val="none"/>
        </w:rPr>
      </w:pPr>
      <w:bookmarkStart w:id="11" w:name="_Toc8033"/>
      <w:r>
        <w:rPr>
          <w:rFonts w:hint="eastAsia" w:ascii="仿宋" w:hAnsi="仿宋" w:eastAsia="仿宋" w:cs="仿宋"/>
          <w:b/>
          <w:bCs/>
          <w:color w:val="auto"/>
          <w:kern w:val="2"/>
          <w:sz w:val="44"/>
          <w:szCs w:val="44"/>
          <w:highlight w:val="none"/>
          <w:lang w:val="en-US" w:eastAsia="zh-CN" w:bidi="ar-SA"/>
        </w:rPr>
        <w:t>第五章  投标文件格式</w:t>
      </w:r>
      <w:bookmarkEnd w:id="11"/>
    </w:p>
    <w:p w14:paraId="7E49C012">
      <w:pPr>
        <w:pStyle w:val="10"/>
        <w:shd w:val="clear"/>
        <w:rPr>
          <w:rFonts w:hint="eastAsia" w:ascii="仿宋" w:hAnsi="仿宋" w:eastAsia="仿宋" w:cs="仿宋"/>
          <w:color w:val="auto"/>
          <w:highlight w:val="none"/>
        </w:rPr>
      </w:pPr>
    </w:p>
    <w:p w14:paraId="14A2F161">
      <w:pPr>
        <w:shd w:val="clear"/>
        <w:rPr>
          <w:rFonts w:hint="eastAsia" w:ascii="仿宋" w:hAnsi="仿宋" w:eastAsia="仿宋" w:cs="仿宋"/>
          <w:color w:val="auto"/>
          <w:highlight w:val="none"/>
        </w:rPr>
      </w:pPr>
    </w:p>
    <w:p w14:paraId="7939702F">
      <w:pPr>
        <w:pStyle w:val="10"/>
        <w:shd w:val="clear"/>
        <w:rPr>
          <w:rFonts w:hint="eastAsia" w:ascii="仿宋" w:hAnsi="仿宋" w:eastAsia="仿宋" w:cs="仿宋"/>
          <w:color w:val="auto"/>
          <w:highlight w:val="none"/>
        </w:rPr>
      </w:pPr>
    </w:p>
    <w:p w14:paraId="5F29A9C2">
      <w:pPr>
        <w:shd w:val="clear"/>
        <w:rPr>
          <w:rFonts w:hint="eastAsia" w:ascii="仿宋" w:hAnsi="仿宋" w:eastAsia="仿宋" w:cs="仿宋"/>
          <w:color w:val="auto"/>
          <w:highlight w:val="none"/>
        </w:rPr>
      </w:pPr>
    </w:p>
    <w:p w14:paraId="5EE5F81E">
      <w:pPr>
        <w:pStyle w:val="10"/>
        <w:shd w:val="clear"/>
        <w:rPr>
          <w:rFonts w:hint="eastAsia" w:ascii="仿宋" w:hAnsi="仿宋" w:eastAsia="仿宋" w:cs="仿宋"/>
          <w:color w:val="auto"/>
          <w:highlight w:val="none"/>
        </w:rPr>
      </w:pPr>
    </w:p>
    <w:p w14:paraId="14740490">
      <w:pPr>
        <w:shd w:val="clear"/>
        <w:rPr>
          <w:rFonts w:hint="eastAsia" w:ascii="仿宋" w:hAnsi="仿宋" w:eastAsia="仿宋" w:cs="仿宋"/>
          <w:color w:val="auto"/>
          <w:highlight w:val="none"/>
        </w:rPr>
      </w:pPr>
    </w:p>
    <w:p w14:paraId="0433F6EA">
      <w:pPr>
        <w:shd w:val="clear"/>
        <w:jc w:val="center"/>
        <w:rPr>
          <w:rFonts w:hint="eastAsia" w:ascii="仿宋" w:hAnsi="仿宋" w:eastAsia="仿宋" w:cs="仿宋"/>
          <w:bCs/>
          <w:color w:val="auto"/>
          <w:sz w:val="84"/>
          <w:highlight w:val="none"/>
        </w:rPr>
      </w:pPr>
      <w:r>
        <w:rPr>
          <w:rFonts w:hint="eastAsia" w:ascii="仿宋" w:hAnsi="仿宋" w:eastAsia="仿宋" w:cs="仿宋"/>
          <w:bCs/>
          <w:color w:val="auto"/>
          <w:sz w:val="84"/>
          <w:highlight w:val="none"/>
        </w:rPr>
        <w:t>投 标 文 件</w:t>
      </w:r>
    </w:p>
    <w:p w14:paraId="13AB8451">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0CC21DB8">
      <w:pPr>
        <w:shd w:val="clear"/>
        <w:jc w:val="center"/>
        <w:rPr>
          <w:rFonts w:hint="eastAsia" w:ascii="仿宋" w:hAnsi="仿宋" w:eastAsia="仿宋" w:cs="仿宋"/>
          <w:color w:val="auto"/>
          <w:sz w:val="72"/>
          <w:highlight w:val="none"/>
        </w:rPr>
      </w:pPr>
    </w:p>
    <w:p w14:paraId="79DA556E">
      <w:pPr>
        <w:shd w:val="clear"/>
        <w:ind w:left="2884" w:leftChars="513" w:hanging="1807" w:hangingChars="500"/>
        <w:jc w:val="left"/>
        <w:rPr>
          <w:rFonts w:hint="eastAsia" w:ascii="仿宋" w:hAnsi="仿宋" w:eastAsia="仿宋" w:cs="仿宋"/>
          <w:b/>
          <w:color w:val="auto"/>
          <w:sz w:val="36"/>
          <w:szCs w:val="36"/>
          <w:highlight w:val="none"/>
        </w:rPr>
      </w:pPr>
      <w:r>
        <w:rPr>
          <w:rFonts w:hint="eastAsia" w:ascii="仿宋" w:hAnsi="仿宋" w:eastAsia="仿宋" w:cs="仿宋"/>
          <w:b/>
          <w:bCs/>
          <w:color w:val="auto"/>
          <w:sz w:val="36"/>
          <w:szCs w:val="36"/>
          <w:highlight w:val="none"/>
        </w:rPr>
        <w:t>采购项目：</w:t>
      </w:r>
      <w:r>
        <w:rPr>
          <w:rFonts w:hint="eastAsia" w:ascii="仿宋" w:hAnsi="仿宋" w:eastAsia="仿宋" w:cs="仿宋"/>
          <w:b/>
          <w:bCs/>
          <w:color w:val="auto"/>
          <w:sz w:val="36"/>
          <w:szCs w:val="36"/>
          <w:highlight w:val="none"/>
          <w:lang w:eastAsia="zh-CN"/>
        </w:rPr>
        <w:t>选定客运中心（威海站、威海北站）消防维保服务单位</w:t>
      </w:r>
    </w:p>
    <w:p w14:paraId="71F89436">
      <w:pPr>
        <w:shd w:val="clear"/>
        <w:ind w:firstLine="1084" w:firstLineChars="300"/>
        <w:jc w:val="left"/>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sz w:val="36"/>
          <w:szCs w:val="36"/>
          <w:highlight w:val="none"/>
        </w:rPr>
        <w:t>采购编号：</w:t>
      </w:r>
      <w:r>
        <w:rPr>
          <w:rFonts w:hint="eastAsia" w:ascii="仿宋" w:hAnsi="仿宋" w:eastAsia="仿宋" w:cs="仿宋"/>
          <w:b/>
          <w:bCs/>
          <w:color w:val="auto"/>
          <w:sz w:val="36"/>
          <w:szCs w:val="36"/>
          <w:highlight w:val="none"/>
          <w:lang w:eastAsia="zh-CN"/>
        </w:rPr>
        <w:t>WHJTCZ2026-0009</w:t>
      </w:r>
    </w:p>
    <w:p w14:paraId="346DFF86">
      <w:pPr>
        <w:shd w:val="clear"/>
        <w:ind w:firstLine="1084" w:firstLineChars="300"/>
        <w:jc w:val="left"/>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rPr>
        <w:t>所投包号：</w:t>
      </w:r>
      <w:r>
        <w:rPr>
          <w:rFonts w:hint="eastAsia" w:ascii="仿宋" w:hAnsi="仿宋" w:eastAsia="仿宋" w:cs="仿宋"/>
          <w:b/>
          <w:bCs/>
          <w:color w:val="auto"/>
          <w:sz w:val="36"/>
          <w:szCs w:val="36"/>
          <w:highlight w:val="none"/>
          <w:lang w:val="en-US" w:eastAsia="zh-CN"/>
        </w:rPr>
        <w:t>001</w:t>
      </w:r>
    </w:p>
    <w:p w14:paraId="430B93D9">
      <w:pPr>
        <w:shd w:val="clear"/>
        <w:jc w:val="left"/>
        <w:rPr>
          <w:rFonts w:hint="eastAsia" w:ascii="仿宋" w:hAnsi="仿宋" w:eastAsia="仿宋" w:cs="仿宋"/>
          <w:color w:val="auto"/>
          <w:sz w:val="36"/>
          <w:highlight w:val="none"/>
        </w:rPr>
      </w:pPr>
    </w:p>
    <w:p w14:paraId="5F00E856">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326E5A95">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5BFAB5F9">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lang w:val="en-US" w:eastAsia="zh-CN"/>
        </w:rPr>
        <w:t>盖章</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rPr>
        <w:t>：</w:t>
      </w:r>
    </w:p>
    <w:p w14:paraId="6BD54B72">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4FA64601">
      <w:pPr>
        <w:widowControl/>
        <w:shd w:val="clear"/>
        <w:jc w:val="center"/>
        <w:rPr>
          <w:rFonts w:hint="eastAsia" w:ascii="仿宋" w:hAnsi="仿宋" w:eastAsia="仿宋" w:cs="仿宋"/>
          <w:color w:val="auto"/>
          <w:sz w:val="44"/>
          <w:szCs w:val="44"/>
          <w:highlight w:val="none"/>
        </w:rPr>
      </w:pPr>
      <w:r>
        <w:rPr>
          <w:rFonts w:hint="eastAsia" w:ascii="仿宋" w:hAnsi="仿宋" w:eastAsia="仿宋" w:cs="仿宋"/>
          <w:color w:val="auto"/>
          <w:sz w:val="36"/>
          <w:szCs w:val="36"/>
          <w:highlight w:val="none"/>
        </w:rPr>
        <w:br w:type="page"/>
      </w:r>
      <w:r>
        <w:rPr>
          <w:rFonts w:hint="eastAsia" w:ascii="仿宋" w:hAnsi="仿宋" w:eastAsia="仿宋" w:cs="仿宋"/>
          <w:b/>
          <w:bCs/>
          <w:color w:val="auto"/>
          <w:sz w:val="44"/>
          <w:szCs w:val="44"/>
          <w:highlight w:val="none"/>
        </w:rPr>
        <w:t>目录</w:t>
      </w:r>
    </w:p>
    <w:p w14:paraId="0872029E">
      <w:pPr>
        <w:widowControl/>
        <w:shd w:val="clear"/>
        <w:jc w:val="center"/>
        <w:rPr>
          <w:rFonts w:hint="eastAsia"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723CAD7B">
      <w:pPr>
        <w:widowControl/>
        <w:shd w:val="clear"/>
        <w:ind w:right="-35"/>
        <w:jc w:val="center"/>
        <w:rPr>
          <w:rFonts w:hint="eastAsia" w:ascii="仿宋" w:hAnsi="仿宋" w:eastAsia="仿宋" w:cs="仿宋"/>
          <w:b/>
          <w:bCs/>
          <w:color w:val="auto"/>
          <w:sz w:val="44"/>
          <w:szCs w:val="44"/>
          <w:highlight w:val="none"/>
        </w:rPr>
      </w:pPr>
      <w:r>
        <w:rPr>
          <w:rFonts w:hint="eastAsia" w:ascii="仿宋" w:hAnsi="仿宋" w:eastAsia="仿宋" w:cs="仿宋"/>
          <w:color w:val="auto"/>
          <w:sz w:val="36"/>
          <w:szCs w:val="36"/>
          <w:highlight w:val="none"/>
        </w:rPr>
        <w:br w:type="page"/>
      </w:r>
      <w:bookmarkStart w:id="12" w:name="_Toc522526779"/>
      <w:bookmarkStart w:id="13" w:name="_Toc521936040"/>
      <w:r>
        <w:rPr>
          <w:rFonts w:hint="eastAsia" w:ascii="仿宋" w:hAnsi="仿宋" w:eastAsia="仿宋" w:cs="仿宋"/>
          <w:b/>
          <w:bCs/>
          <w:color w:val="auto"/>
          <w:sz w:val="44"/>
          <w:szCs w:val="44"/>
          <w:highlight w:val="none"/>
        </w:rPr>
        <w:t>投标承诺函</w:t>
      </w:r>
      <w:bookmarkEnd w:id="12"/>
      <w:bookmarkEnd w:id="13"/>
    </w:p>
    <w:p w14:paraId="73723BAB">
      <w:pPr>
        <w:shd w:val="clear"/>
        <w:spacing w:line="560" w:lineRule="exact"/>
        <w:rPr>
          <w:rFonts w:hint="eastAsia" w:ascii="仿宋" w:hAnsi="仿宋" w:eastAsia="仿宋" w:cs="仿宋"/>
          <w:color w:val="auto"/>
          <w:sz w:val="30"/>
          <w:szCs w:val="30"/>
          <w:highlight w:val="none"/>
        </w:rPr>
      </w:pPr>
    </w:p>
    <w:p w14:paraId="1AC6A676">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7787A7AF">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我方收到项目编号为</w:t>
      </w:r>
      <w:r>
        <w:rPr>
          <w:rFonts w:hint="eastAsia" w:ascii="仿宋" w:hAnsi="仿宋" w:eastAsia="仿宋" w:cs="仿宋"/>
          <w:color w:val="auto"/>
          <w:kern w:val="0"/>
          <w:sz w:val="30"/>
          <w:szCs w:val="30"/>
          <w:highlight w:val="none"/>
          <w:lang w:eastAsia="zh-CN"/>
        </w:rPr>
        <w:t>WHJTCZ2026-0009选定客运中心（威海站、威海北站）消防维保服务单位</w:t>
      </w:r>
      <w:r>
        <w:rPr>
          <w:rFonts w:hint="eastAsia" w:ascii="仿宋" w:hAnsi="仿宋" w:eastAsia="仿宋" w:cs="仿宋"/>
          <w:color w:val="auto"/>
          <w:kern w:val="0"/>
          <w:sz w:val="30"/>
          <w:szCs w:val="30"/>
          <w:highlight w:val="none"/>
        </w:rPr>
        <w:t>的招标文件</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经详细研究决定参加投标。</w:t>
      </w:r>
    </w:p>
    <w:p w14:paraId="31653208">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1.我方接受本招标文件中关于电子招投标的各项规定</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遵守《中华人民共和国电子签名法》关于电子签名的各项规定。我方愿意按照招标文件的规定和要求提供服务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报价详见《开标一览表》。</w:t>
      </w:r>
    </w:p>
    <w:p w14:paraId="5554D94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2.我方同意90天的投标有效期</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严格遵守投标文件的各项承诺。在此期限届满之前</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本投标文件始终对我方具有约束力</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并随时接受中标。我方承诺在投标有效期内不修改、撤销投标文件。</w:t>
      </w:r>
    </w:p>
    <w:p w14:paraId="4CECFE1E">
      <w:pPr>
        <w:shd w:val="clear"/>
        <w:spacing w:line="560" w:lineRule="exact"/>
        <w:ind w:firstLine="600" w:firstLineChars="200"/>
        <w:rPr>
          <w:rFonts w:hint="eastAsia" w:ascii="仿宋" w:hAnsi="仿宋" w:eastAsia="仿宋" w:cs="仿宋"/>
          <w:strike/>
          <w:color w:val="auto"/>
          <w:kern w:val="0"/>
          <w:sz w:val="30"/>
          <w:szCs w:val="30"/>
          <w:highlight w:val="none"/>
        </w:rPr>
      </w:pPr>
      <w:r>
        <w:rPr>
          <w:rFonts w:hint="eastAsia" w:ascii="仿宋" w:hAnsi="仿宋" w:eastAsia="仿宋" w:cs="仿宋"/>
          <w:color w:val="auto"/>
          <w:kern w:val="0"/>
          <w:sz w:val="30"/>
          <w:szCs w:val="30"/>
          <w:highlight w:val="none"/>
        </w:rPr>
        <w:t>3.我方愿意遵守本招标文件的规定和要求并提供招标文件中要求的所有资料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若投标文件中存在虚假资料的</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则视为我方隐瞒真实情况、提供虚假资料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我方愿意接受主管部门做出的行政处罚。</w:t>
      </w:r>
    </w:p>
    <w:p w14:paraId="2479499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4.我方同意最低价是中标的主要选择标准，但不是唯一的选择标准。</w:t>
      </w:r>
    </w:p>
    <w:p w14:paraId="0B75511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rPr>
        <w:t>5.</w:t>
      </w:r>
      <w:r>
        <w:rPr>
          <w:rFonts w:hint="eastAsia" w:ascii="仿宋" w:hAnsi="仿宋" w:eastAsia="仿宋" w:cs="仿宋"/>
          <w:color w:val="auto"/>
          <w:kern w:val="0"/>
          <w:sz w:val="30"/>
          <w:szCs w:val="30"/>
          <w:highlight w:val="none"/>
        </w:rPr>
        <w:t>如果我方中标：</w:t>
      </w:r>
    </w:p>
    <w:p w14:paraId="190B51E4">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（1）我方承诺在中标通知书发出后</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在规定期限内与</w:t>
      </w:r>
      <w:r>
        <w:rPr>
          <w:rFonts w:hint="eastAsia" w:ascii="仿宋" w:hAnsi="仿宋" w:eastAsia="仿宋" w:cs="仿宋"/>
          <w:color w:val="auto"/>
          <w:kern w:val="0"/>
          <w:sz w:val="30"/>
          <w:szCs w:val="30"/>
          <w:highlight w:val="none"/>
          <w:lang w:eastAsia="zh-CN"/>
        </w:rPr>
        <w:t>采购人</w:t>
      </w:r>
      <w:r>
        <w:rPr>
          <w:rFonts w:hint="eastAsia" w:ascii="仿宋" w:hAnsi="仿宋" w:eastAsia="仿宋" w:cs="仿宋"/>
          <w:color w:val="auto"/>
          <w:kern w:val="0"/>
          <w:sz w:val="30"/>
          <w:szCs w:val="30"/>
          <w:highlight w:val="none"/>
        </w:rPr>
        <w:t>签订合同；</w:t>
      </w:r>
    </w:p>
    <w:p w14:paraId="789CAB3E">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（2）我方承诺在合同约定的期限内</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按期、保质、保量完成</w:t>
      </w:r>
      <w:r>
        <w:rPr>
          <w:rFonts w:hint="eastAsia" w:ascii="仿宋" w:hAnsi="仿宋" w:eastAsia="仿宋" w:cs="仿宋"/>
          <w:color w:val="auto"/>
          <w:kern w:val="0"/>
          <w:sz w:val="30"/>
          <w:szCs w:val="30"/>
          <w:highlight w:val="none"/>
          <w:lang w:val="en-US" w:eastAsia="zh-CN"/>
        </w:rPr>
        <w:t>服务</w:t>
      </w:r>
      <w:r>
        <w:rPr>
          <w:rFonts w:hint="eastAsia" w:ascii="仿宋" w:hAnsi="仿宋" w:eastAsia="仿宋" w:cs="仿宋"/>
          <w:color w:val="auto"/>
          <w:kern w:val="0"/>
          <w:sz w:val="30"/>
          <w:szCs w:val="30"/>
          <w:highlight w:val="none"/>
        </w:rPr>
        <w:t>任务；</w:t>
      </w:r>
    </w:p>
    <w:p w14:paraId="5FD09A6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（3）我方承诺将按照招标文件的规定全额交纳代理服务费。</w:t>
      </w:r>
    </w:p>
    <w:p w14:paraId="10E6846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eastAsia="zh-CN"/>
        </w:rPr>
        <w:t>6</w:t>
      </w:r>
      <w:r>
        <w:rPr>
          <w:rFonts w:hint="eastAsia" w:ascii="仿宋" w:hAnsi="仿宋" w:eastAsia="仿宋" w:cs="仿宋"/>
          <w:color w:val="auto"/>
          <w:kern w:val="0"/>
          <w:sz w:val="30"/>
          <w:szCs w:val="30"/>
          <w:highlight w:val="none"/>
        </w:rPr>
        <w:t>.所有有关本投标的函电</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请按下列地址联系：</w:t>
      </w:r>
    </w:p>
    <w:p w14:paraId="12A7B11D">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单    位：                     邮政编码：</w:t>
      </w:r>
    </w:p>
    <w:p w14:paraId="3A38006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地    址：                     联 系 人：</w:t>
      </w:r>
    </w:p>
    <w:p w14:paraId="751BB60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电    话：                     传    真：</w:t>
      </w:r>
    </w:p>
    <w:p w14:paraId="3628262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开户名称：</w:t>
      </w:r>
    </w:p>
    <w:p w14:paraId="22757211">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开户银行：</w:t>
      </w:r>
    </w:p>
    <w:p w14:paraId="248AA9F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开户账号：</w:t>
      </w:r>
    </w:p>
    <w:p w14:paraId="0FD1123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投标人（盖章）：</w:t>
      </w:r>
    </w:p>
    <w:p w14:paraId="25ABC9E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法定代表人</w:t>
      </w:r>
      <w:r>
        <w:rPr>
          <w:rFonts w:hint="eastAsia" w:ascii="仿宋" w:hAnsi="仿宋" w:eastAsia="仿宋" w:cs="仿宋"/>
          <w:color w:val="auto"/>
          <w:kern w:val="0"/>
          <w:sz w:val="30"/>
          <w:szCs w:val="30"/>
          <w:highlight w:val="none"/>
          <w:lang w:val="en-US" w:eastAsia="zh-CN"/>
        </w:rPr>
        <w:t>/单位负责人</w:t>
      </w:r>
      <w:r>
        <w:rPr>
          <w:rFonts w:hint="eastAsia" w:ascii="仿宋" w:hAnsi="仿宋" w:eastAsia="仿宋" w:cs="仿宋"/>
          <w:color w:val="auto"/>
          <w:kern w:val="0"/>
          <w:sz w:val="30"/>
          <w:szCs w:val="30"/>
          <w:highlight w:val="none"/>
        </w:rPr>
        <w:t>或被授权人（签字或盖章）：</w:t>
      </w:r>
    </w:p>
    <w:p w14:paraId="531C87E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 xml:space="preserve">投标日期：××年××月××日 </w:t>
      </w:r>
    </w:p>
    <w:p w14:paraId="24C5DDEE">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 xml:space="preserve">    </w:t>
      </w:r>
    </w:p>
    <w:p w14:paraId="48569E0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 xml:space="preserve">  </w:t>
      </w:r>
    </w:p>
    <w:p w14:paraId="6399BB19">
      <w:pPr>
        <w:keepNext/>
        <w:keepLines/>
        <w:shd w:val="clear"/>
        <w:spacing w:line="560" w:lineRule="exact"/>
        <w:jc w:val="center"/>
        <w:outlineLvl w:val="1"/>
        <w:rPr>
          <w:rFonts w:hint="eastAsia" w:ascii="仿宋" w:hAnsi="仿宋" w:eastAsia="仿宋" w:cs="仿宋"/>
          <w:bCs/>
          <w:color w:val="auto"/>
          <w:sz w:val="44"/>
          <w:szCs w:val="32"/>
          <w:highlight w:val="none"/>
        </w:rPr>
        <w:sectPr>
          <w:headerReference r:id="rId12" w:type="default"/>
          <w:footerReference r:id="rId13" w:type="default"/>
          <w:pgSz w:w="11906" w:h="16838"/>
          <w:pgMar w:top="1440" w:right="1083" w:bottom="1440" w:left="1083" w:header="851" w:footer="992" w:gutter="0"/>
          <w:pgNumType w:fmt="decimal"/>
          <w:cols w:space="0" w:num="1"/>
          <w:rtlGutter w:val="0"/>
          <w:docGrid w:type="lines" w:linePitch="312" w:charSpace="0"/>
        </w:sectPr>
      </w:pPr>
      <w:bookmarkStart w:id="14" w:name="_Toc522526780"/>
      <w:bookmarkStart w:id="15" w:name="_Toc521936041"/>
    </w:p>
    <w:p w14:paraId="358BBC54">
      <w:pPr>
        <w:widowControl/>
        <w:shd w:val="clear"/>
        <w:jc w:val="center"/>
        <w:rPr>
          <w:rFonts w:hint="eastAsia" w:ascii="仿宋" w:hAnsi="仿宋" w:eastAsia="仿宋" w:cs="仿宋"/>
          <w:b/>
          <w:bCs/>
          <w:color w:val="auto"/>
          <w:sz w:val="44"/>
          <w:szCs w:val="44"/>
          <w:highlight w:val="none"/>
          <w:lang w:val="en-US" w:eastAsia="zh-CN"/>
        </w:rPr>
      </w:pPr>
      <w:r>
        <w:rPr>
          <w:rFonts w:hint="eastAsia" w:ascii="仿宋" w:hAnsi="仿宋" w:eastAsia="仿宋" w:cs="仿宋"/>
          <w:b/>
          <w:bCs/>
          <w:color w:val="auto"/>
          <w:sz w:val="44"/>
          <w:szCs w:val="44"/>
          <w:highlight w:val="none"/>
          <w:lang w:val="en-US" w:eastAsia="zh-CN"/>
        </w:rPr>
        <w:t>开标一览表</w:t>
      </w:r>
    </w:p>
    <w:p w14:paraId="7E159223">
      <w:pPr>
        <w:pStyle w:val="22"/>
        <w:shd w:val="clear"/>
        <w:rPr>
          <w:rFonts w:hint="eastAsia" w:ascii="仿宋" w:hAnsi="仿宋" w:eastAsia="仿宋" w:cs="仿宋"/>
          <w:highlight w:val="none"/>
          <w:lang w:eastAsia="zh-CN"/>
        </w:rPr>
      </w:pPr>
    </w:p>
    <w:p w14:paraId="69883320">
      <w:pPr>
        <w:pStyle w:val="14"/>
        <w:spacing w:line="520" w:lineRule="exac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招标编号：WHJTCZ2026-0009</w:t>
      </w:r>
    </w:p>
    <w:p w14:paraId="6DC99DF3">
      <w:pPr>
        <w:pStyle w:val="14"/>
        <w:spacing w:line="520" w:lineRule="exac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项目名称：选定客运中心（威海站、威海北站）消防维保服务单位</w:t>
      </w:r>
    </w:p>
    <w:tbl>
      <w:tblPr>
        <w:tblStyle w:val="30"/>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3"/>
        <w:gridCol w:w="3597"/>
        <w:gridCol w:w="3229"/>
      </w:tblGrid>
      <w:tr w14:paraId="5B7B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5" w:hRule="atLeast"/>
          <w:jc w:val="center"/>
        </w:trPr>
        <w:tc>
          <w:tcPr>
            <w:tcW w:w="3003" w:type="dxa"/>
            <w:vAlign w:val="center"/>
          </w:tcPr>
          <w:p w14:paraId="6ABD6F5B">
            <w:pPr>
              <w:spacing w:line="44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b/>
                <w:color w:val="000000" w:themeColor="text1"/>
                <w:sz w:val="30"/>
                <w:szCs w:val="30"/>
                <w:highlight w:val="none"/>
                <w14:textFill>
                  <w14:solidFill>
                    <w14:schemeClr w14:val="tx1"/>
                  </w14:solidFill>
                </w14:textFill>
              </w:rPr>
              <w:t>项目名称</w:t>
            </w:r>
          </w:p>
        </w:tc>
        <w:tc>
          <w:tcPr>
            <w:tcW w:w="3597" w:type="dxa"/>
            <w:vAlign w:val="center"/>
          </w:tcPr>
          <w:p w14:paraId="617A4776">
            <w:pPr>
              <w:spacing w:line="440" w:lineRule="exact"/>
              <w:jc w:val="center"/>
              <w:rPr>
                <w:rFonts w:hint="eastAsia" w:ascii="仿宋" w:hAnsi="仿宋" w:eastAsia="仿宋" w:cs="仿宋"/>
                <w:b/>
                <w:color w:val="000000" w:themeColor="text1"/>
                <w:sz w:val="30"/>
                <w:szCs w:val="30"/>
                <w:highlight w:val="none"/>
                <w14:textFill>
                  <w14:solidFill>
                    <w14:schemeClr w14:val="tx1"/>
                  </w14:solidFill>
                </w14:textFill>
              </w:rPr>
            </w:pPr>
            <w:r>
              <w:rPr>
                <w:rFonts w:hint="eastAsia" w:ascii="仿宋" w:hAnsi="仿宋" w:eastAsia="仿宋" w:cs="仿宋"/>
                <w:b/>
                <w:color w:val="000000" w:themeColor="text1"/>
                <w:sz w:val="30"/>
                <w:szCs w:val="30"/>
                <w:highlight w:val="none"/>
                <w14:textFill>
                  <w14:solidFill>
                    <w14:schemeClr w14:val="tx1"/>
                  </w14:solidFill>
                </w14:textFill>
              </w:rPr>
              <w:t>总报价（元）</w:t>
            </w:r>
          </w:p>
        </w:tc>
        <w:tc>
          <w:tcPr>
            <w:tcW w:w="3229" w:type="dxa"/>
            <w:vAlign w:val="center"/>
          </w:tcPr>
          <w:p w14:paraId="4C6861C5">
            <w:pPr>
              <w:spacing w:line="440" w:lineRule="exact"/>
              <w:jc w:val="center"/>
              <w:rPr>
                <w:rFonts w:hint="eastAsia" w:ascii="仿宋" w:hAnsi="仿宋" w:eastAsia="仿宋" w:cs="仿宋"/>
                <w:b/>
                <w:color w:val="000000" w:themeColor="text1"/>
                <w:sz w:val="30"/>
                <w:szCs w:val="30"/>
                <w:highlight w:val="none"/>
                <w14:textFill>
                  <w14:solidFill>
                    <w14:schemeClr w14:val="tx1"/>
                  </w14:solidFill>
                </w14:textFill>
              </w:rPr>
            </w:pPr>
            <w:r>
              <w:rPr>
                <w:rFonts w:hint="eastAsia" w:ascii="仿宋" w:hAnsi="仿宋" w:eastAsia="仿宋" w:cs="仿宋"/>
                <w:b/>
                <w:bCs/>
                <w:color w:val="auto"/>
                <w:sz w:val="28"/>
                <w:szCs w:val="28"/>
                <w:highlight w:val="none"/>
                <w:lang w:val="en-US" w:eastAsia="zh-CN"/>
              </w:rPr>
              <w:t>维护保养期限</w:t>
            </w:r>
          </w:p>
        </w:tc>
      </w:tr>
      <w:tr w14:paraId="7800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1" w:hRule="atLeast"/>
          <w:jc w:val="center"/>
        </w:trPr>
        <w:tc>
          <w:tcPr>
            <w:tcW w:w="3003" w:type="dxa"/>
            <w:vAlign w:val="center"/>
          </w:tcPr>
          <w:p w14:paraId="3015147D">
            <w:pPr>
              <w:widowControl/>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auto"/>
                <w:sz w:val="28"/>
                <w:szCs w:val="28"/>
                <w:highlight w:val="none"/>
                <w:lang w:eastAsia="zh-CN"/>
              </w:rPr>
              <w:t>选定客运中心（威海站、威海北站）消防维保服务单位</w:t>
            </w:r>
          </w:p>
        </w:tc>
        <w:tc>
          <w:tcPr>
            <w:tcW w:w="3597" w:type="dxa"/>
            <w:vAlign w:val="center"/>
          </w:tcPr>
          <w:p w14:paraId="33BFD368">
            <w:pPr>
              <w:widowControl/>
              <w:jc w:val="lef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大写：</w:t>
            </w:r>
          </w:p>
          <w:p w14:paraId="611E0802">
            <w:pPr>
              <w:widowControl/>
              <w:jc w:val="lef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小写：</w:t>
            </w:r>
          </w:p>
        </w:tc>
        <w:tc>
          <w:tcPr>
            <w:tcW w:w="3229" w:type="dxa"/>
            <w:vAlign w:val="center"/>
          </w:tcPr>
          <w:p w14:paraId="03DAB28E">
            <w:pPr>
              <w:widowControl/>
              <w:wordWrap w:val="0"/>
              <w:jc w:val="center"/>
              <w:rPr>
                <w:rFonts w:hint="eastAsia" w:ascii="仿宋" w:hAnsi="仿宋" w:eastAsia="仿宋" w:cs="仿宋"/>
                <w:color w:val="000000" w:themeColor="text1"/>
                <w:sz w:val="30"/>
                <w:szCs w:val="30"/>
                <w:highlight w:val="none"/>
                <w:lang w:val="en-US" w:eastAsia="zh-CN"/>
                <w14:textFill>
                  <w14:solidFill>
                    <w14:schemeClr w14:val="tx1"/>
                  </w14:solidFill>
                </w14:textFill>
              </w:rPr>
            </w:pPr>
            <w:r>
              <w:rPr>
                <w:rFonts w:hint="eastAsia" w:ascii="仿宋" w:hAnsi="仿宋" w:eastAsia="仿宋" w:cs="仿宋"/>
                <w:color w:val="000000" w:themeColor="text1"/>
                <w:sz w:val="30"/>
                <w:szCs w:val="30"/>
                <w:highlight w:val="none"/>
                <w:lang w:val="en-US" w:eastAsia="zh-CN"/>
                <w14:textFill>
                  <w14:solidFill>
                    <w14:schemeClr w14:val="tx1"/>
                  </w14:solidFill>
                </w14:textFill>
              </w:rPr>
              <w:t>服务期限三年</w:t>
            </w:r>
          </w:p>
        </w:tc>
      </w:tr>
      <w:tr w14:paraId="4824D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1" w:hRule="atLeast"/>
          <w:jc w:val="center"/>
        </w:trPr>
        <w:tc>
          <w:tcPr>
            <w:tcW w:w="3003" w:type="dxa"/>
            <w:vAlign w:val="center"/>
          </w:tcPr>
          <w:p w14:paraId="5A72DB63">
            <w:pPr>
              <w:spacing w:line="440" w:lineRule="exact"/>
              <w:jc w:val="center"/>
              <w:rPr>
                <w:rFonts w:hint="eastAsia" w:ascii="仿宋" w:hAnsi="仿宋" w:eastAsia="仿宋" w:cs="仿宋"/>
                <w:color w:val="000000" w:themeColor="text1"/>
                <w:kern w:val="0"/>
                <w:sz w:val="30"/>
                <w:szCs w:val="30"/>
                <w:highlight w:val="none"/>
                <w14:textFill>
                  <w14:solidFill>
                    <w14:schemeClr w14:val="tx1"/>
                  </w14:solidFill>
                </w14:textFill>
              </w:rPr>
            </w:pPr>
            <w:r>
              <w:rPr>
                <w:rFonts w:hint="eastAsia" w:ascii="仿宋" w:hAnsi="仿宋" w:eastAsia="仿宋" w:cs="仿宋"/>
                <w:color w:val="000000" w:themeColor="text1"/>
                <w:kern w:val="0"/>
                <w:sz w:val="30"/>
                <w:szCs w:val="30"/>
                <w:highlight w:val="none"/>
                <w14:textFill>
                  <w14:solidFill>
                    <w14:schemeClr w14:val="tx1"/>
                  </w14:solidFill>
                </w14:textFill>
              </w:rPr>
              <w:t>报价声明</w:t>
            </w:r>
          </w:p>
        </w:tc>
        <w:tc>
          <w:tcPr>
            <w:tcW w:w="6826" w:type="dxa"/>
            <w:gridSpan w:val="2"/>
          </w:tcPr>
          <w:p w14:paraId="03575357">
            <w:pPr>
              <w:widowControl/>
              <w:wordWrap w:val="0"/>
              <w:jc w:val="center"/>
              <w:rPr>
                <w:rFonts w:hint="eastAsia" w:ascii="仿宋" w:hAnsi="仿宋" w:eastAsia="仿宋" w:cs="仿宋"/>
                <w:color w:val="000000" w:themeColor="text1"/>
                <w:sz w:val="30"/>
                <w:szCs w:val="30"/>
                <w:highlight w:val="none"/>
                <w14:textFill>
                  <w14:solidFill>
                    <w14:schemeClr w14:val="tx1"/>
                  </w14:solidFill>
                </w14:textFill>
              </w:rPr>
            </w:pPr>
          </w:p>
        </w:tc>
      </w:tr>
    </w:tbl>
    <w:p w14:paraId="47C248A8">
      <w:pPr>
        <w:spacing w:line="440" w:lineRule="exact"/>
        <w:ind w:left="980" w:right="-309" w:rightChars="-147" w:hanging="1050" w:hangingChars="350"/>
        <w:rPr>
          <w:rFonts w:hint="eastAsia" w:ascii="仿宋" w:hAnsi="仿宋" w:eastAsia="仿宋" w:cs="仿宋"/>
          <w:color w:val="000000" w:themeColor="text1"/>
          <w:sz w:val="30"/>
          <w:szCs w:val="30"/>
          <w:highlight w:val="none"/>
          <w14:textFill>
            <w14:solidFill>
              <w14:schemeClr w14:val="tx1"/>
            </w14:solidFill>
          </w14:textFill>
        </w:rPr>
      </w:pPr>
    </w:p>
    <w:p w14:paraId="036A3D30">
      <w:pPr>
        <w:spacing w:line="520" w:lineRule="exact"/>
        <w:ind w:firstLine="5100" w:firstLineChars="1700"/>
        <w:rPr>
          <w:rFonts w:hint="eastAsia" w:ascii="仿宋" w:hAnsi="仿宋" w:eastAsia="仿宋" w:cs="仿宋"/>
          <w:color w:val="000000" w:themeColor="text1"/>
          <w:sz w:val="30"/>
          <w:szCs w:val="30"/>
          <w:highlight w:val="none"/>
          <w14:textFill>
            <w14:solidFill>
              <w14:schemeClr w14:val="tx1"/>
            </w14:solidFill>
          </w14:textFill>
        </w:rPr>
      </w:pPr>
    </w:p>
    <w:p w14:paraId="4DC618C1">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投标人（盖章）：</w:t>
      </w:r>
    </w:p>
    <w:p w14:paraId="70412F83">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法定代表人</w:t>
      </w:r>
      <w:r>
        <w:rPr>
          <w:rFonts w:hint="eastAsia" w:ascii="仿宋" w:hAnsi="仿宋" w:eastAsia="仿宋" w:cs="仿宋"/>
          <w:color w:val="auto"/>
          <w:kern w:val="0"/>
          <w:sz w:val="30"/>
          <w:szCs w:val="30"/>
          <w:highlight w:val="none"/>
          <w:lang w:val="en-US" w:eastAsia="zh-CN"/>
        </w:rPr>
        <w:t>/单位负责人</w:t>
      </w:r>
      <w:r>
        <w:rPr>
          <w:rFonts w:hint="eastAsia" w:ascii="仿宋" w:hAnsi="仿宋" w:eastAsia="仿宋" w:cs="仿宋"/>
          <w:color w:val="auto"/>
          <w:kern w:val="0"/>
          <w:sz w:val="30"/>
          <w:szCs w:val="30"/>
          <w:highlight w:val="none"/>
        </w:rPr>
        <w:t>或被授权人（签字或盖章）：</w:t>
      </w:r>
    </w:p>
    <w:p w14:paraId="4BD6BE16">
      <w:pPr>
        <w:shd w:val="clear"/>
        <w:spacing w:line="440" w:lineRule="exact"/>
        <w:rPr>
          <w:rFonts w:hint="eastAsia" w:ascii="仿宋" w:hAnsi="仿宋" w:eastAsia="仿宋" w:cs="仿宋"/>
          <w:color w:val="auto"/>
          <w:sz w:val="30"/>
          <w:szCs w:val="30"/>
          <w:highlight w:val="none"/>
          <w:lang w:val="en-US" w:eastAsia="zh-CN"/>
        </w:rPr>
      </w:pPr>
    </w:p>
    <w:p w14:paraId="16639805">
      <w:pPr>
        <w:shd w:val="clear"/>
        <w:jc w:val="center"/>
        <w:rPr>
          <w:rFonts w:hint="eastAsia" w:ascii="仿宋" w:hAnsi="仿宋" w:eastAsia="仿宋" w:cs="仿宋"/>
          <w:color w:val="auto"/>
          <w:sz w:val="30"/>
          <w:szCs w:val="30"/>
          <w:highlight w:val="none"/>
        </w:rPr>
      </w:pPr>
    </w:p>
    <w:p w14:paraId="13D0D255">
      <w:pPr>
        <w:shd w:val="clear"/>
        <w:snapToGrid w:val="0"/>
        <w:spacing w:line="560" w:lineRule="exact"/>
        <w:ind w:firstLine="602" w:firstLineChars="201"/>
        <w:jc w:val="cente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 xml:space="preserve">                 </w:t>
      </w:r>
    </w:p>
    <w:p w14:paraId="19BEE5BF">
      <w:pPr>
        <w:shd w:val="clear"/>
        <w:rPr>
          <w:rFonts w:hint="eastAsia" w:ascii="仿宋" w:hAnsi="仿宋" w:eastAsia="仿宋" w:cs="仿宋"/>
          <w:color w:val="auto"/>
          <w:highlight w:val="none"/>
        </w:rPr>
      </w:pPr>
    </w:p>
    <w:p w14:paraId="6F35B77E">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bookmarkEnd w:id="14"/>
    <w:bookmarkEnd w:id="15"/>
    <w:p w14:paraId="7E30DD77">
      <w:pPr>
        <w:widowControl/>
        <w:shd w:val="clea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投标人资格证明文件</w:t>
      </w:r>
    </w:p>
    <w:p w14:paraId="6A703B35">
      <w:pPr>
        <w:keepNext/>
        <w:keepLines/>
        <w:shd w:val="clear"/>
        <w:spacing w:line="560" w:lineRule="exact"/>
        <w:jc w:val="center"/>
        <w:outlineLvl w:val="2"/>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lang w:eastAsia="zh-CN"/>
        </w:rPr>
        <w:t>有效的营业执照扫描件或其他能证明具有独立承担民事责任的能力的证明材料扫描件</w:t>
      </w:r>
    </w:p>
    <w:p w14:paraId="58EB9A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7348F874">
      <w:pPr>
        <w:widowControl/>
        <w:shd w:val="clear"/>
        <w:jc w:val="center"/>
        <w:rPr>
          <w:rFonts w:hint="eastAsia" w:ascii="仿宋" w:hAnsi="仿宋" w:eastAsia="仿宋" w:cs="仿宋"/>
          <w:color w:val="auto"/>
          <w:sz w:val="32"/>
          <w:szCs w:val="36"/>
          <w:highlight w:val="none"/>
        </w:rPr>
      </w:pPr>
    </w:p>
    <w:p w14:paraId="1357A352">
      <w:pPr>
        <w:widowControl/>
        <w:shd w:val="clear"/>
        <w:jc w:val="center"/>
        <w:rPr>
          <w:rFonts w:hint="eastAsia" w:ascii="仿宋" w:hAnsi="仿宋" w:eastAsia="仿宋" w:cs="仿宋"/>
          <w:color w:val="auto"/>
          <w:sz w:val="32"/>
          <w:szCs w:val="36"/>
          <w:highlight w:val="none"/>
        </w:rPr>
      </w:pPr>
    </w:p>
    <w:p w14:paraId="7FE8192B">
      <w:pPr>
        <w:widowControl/>
        <w:shd w:val="clear"/>
        <w:jc w:val="center"/>
        <w:rPr>
          <w:rFonts w:hint="eastAsia" w:ascii="仿宋" w:hAnsi="仿宋" w:eastAsia="仿宋" w:cs="仿宋"/>
          <w:color w:val="auto"/>
          <w:sz w:val="32"/>
          <w:szCs w:val="36"/>
          <w:highlight w:val="none"/>
        </w:rPr>
      </w:pPr>
    </w:p>
    <w:p w14:paraId="6BF6A0B8">
      <w:pPr>
        <w:widowControl/>
        <w:shd w:val="clear"/>
        <w:jc w:val="center"/>
        <w:rPr>
          <w:rFonts w:hint="eastAsia" w:ascii="仿宋" w:hAnsi="仿宋" w:eastAsia="仿宋" w:cs="仿宋"/>
          <w:color w:val="auto"/>
          <w:sz w:val="32"/>
          <w:szCs w:val="36"/>
          <w:highlight w:val="none"/>
        </w:rPr>
      </w:pPr>
    </w:p>
    <w:p w14:paraId="36856CA2">
      <w:pPr>
        <w:widowControl/>
        <w:shd w:val="clear"/>
        <w:jc w:val="center"/>
        <w:rPr>
          <w:rFonts w:hint="eastAsia" w:ascii="仿宋" w:hAnsi="仿宋" w:eastAsia="仿宋" w:cs="仿宋"/>
          <w:color w:val="auto"/>
          <w:sz w:val="32"/>
          <w:szCs w:val="36"/>
          <w:highlight w:val="none"/>
        </w:rPr>
      </w:pPr>
    </w:p>
    <w:p w14:paraId="26058865">
      <w:pPr>
        <w:widowControl/>
        <w:shd w:val="clear"/>
        <w:jc w:val="center"/>
        <w:rPr>
          <w:rFonts w:hint="eastAsia" w:ascii="仿宋" w:hAnsi="仿宋" w:eastAsia="仿宋" w:cs="仿宋"/>
          <w:color w:val="auto"/>
          <w:sz w:val="32"/>
          <w:szCs w:val="36"/>
          <w:highlight w:val="none"/>
        </w:rPr>
      </w:pPr>
    </w:p>
    <w:p w14:paraId="58022234">
      <w:pPr>
        <w:widowControl/>
        <w:shd w:val="clear"/>
        <w:jc w:val="center"/>
        <w:rPr>
          <w:rFonts w:hint="eastAsia" w:ascii="仿宋" w:hAnsi="仿宋" w:eastAsia="仿宋" w:cs="仿宋"/>
          <w:color w:val="auto"/>
          <w:sz w:val="32"/>
          <w:szCs w:val="36"/>
          <w:highlight w:val="none"/>
        </w:rPr>
      </w:pPr>
    </w:p>
    <w:p w14:paraId="55BDA48C">
      <w:pPr>
        <w:widowControl/>
        <w:shd w:val="clear"/>
        <w:jc w:val="center"/>
        <w:rPr>
          <w:rFonts w:hint="eastAsia" w:ascii="仿宋" w:hAnsi="仿宋" w:eastAsia="仿宋" w:cs="仿宋"/>
          <w:color w:val="auto"/>
          <w:sz w:val="32"/>
          <w:szCs w:val="36"/>
          <w:highlight w:val="none"/>
        </w:rPr>
      </w:pPr>
    </w:p>
    <w:p w14:paraId="3D50DA8A">
      <w:pPr>
        <w:widowControl/>
        <w:shd w:val="clear"/>
        <w:jc w:val="center"/>
        <w:rPr>
          <w:rFonts w:hint="eastAsia" w:ascii="仿宋" w:hAnsi="仿宋" w:eastAsia="仿宋" w:cs="仿宋"/>
          <w:color w:val="auto"/>
          <w:sz w:val="32"/>
          <w:szCs w:val="36"/>
          <w:highlight w:val="none"/>
        </w:rPr>
      </w:pPr>
    </w:p>
    <w:p w14:paraId="4F6B8BC7">
      <w:pPr>
        <w:widowControl/>
        <w:shd w:val="clear"/>
        <w:jc w:val="center"/>
        <w:rPr>
          <w:rFonts w:hint="eastAsia" w:ascii="仿宋" w:hAnsi="仿宋" w:eastAsia="仿宋" w:cs="仿宋"/>
          <w:color w:val="auto"/>
          <w:sz w:val="32"/>
          <w:szCs w:val="36"/>
          <w:highlight w:val="none"/>
        </w:rPr>
      </w:pPr>
    </w:p>
    <w:p w14:paraId="735CE45D">
      <w:pPr>
        <w:widowControl/>
        <w:shd w:val="clear"/>
        <w:jc w:val="center"/>
        <w:rPr>
          <w:rFonts w:hint="eastAsia" w:ascii="仿宋" w:hAnsi="仿宋" w:eastAsia="仿宋" w:cs="仿宋"/>
          <w:color w:val="auto"/>
          <w:sz w:val="32"/>
          <w:szCs w:val="36"/>
          <w:highlight w:val="none"/>
        </w:rPr>
      </w:pPr>
    </w:p>
    <w:p w14:paraId="69E8503A">
      <w:pPr>
        <w:widowControl/>
        <w:shd w:val="clear"/>
        <w:jc w:val="center"/>
        <w:rPr>
          <w:rFonts w:hint="eastAsia" w:ascii="仿宋" w:hAnsi="仿宋" w:eastAsia="仿宋" w:cs="仿宋"/>
          <w:color w:val="auto"/>
          <w:sz w:val="32"/>
          <w:szCs w:val="36"/>
          <w:highlight w:val="none"/>
        </w:rPr>
      </w:pPr>
    </w:p>
    <w:p w14:paraId="4D1ECA6C">
      <w:pPr>
        <w:widowControl/>
        <w:shd w:val="clear"/>
        <w:jc w:val="center"/>
        <w:rPr>
          <w:rFonts w:hint="eastAsia" w:ascii="仿宋" w:hAnsi="仿宋" w:eastAsia="仿宋" w:cs="仿宋"/>
          <w:color w:val="auto"/>
          <w:sz w:val="32"/>
          <w:szCs w:val="36"/>
          <w:highlight w:val="none"/>
        </w:rPr>
      </w:pPr>
    </w:p>
    <w:p w14:paraId="316458CA">
      <w:pPr>
        <w:widowControl/>
        <w:shd w:val="clear"/>
        <w:jc w:val="center"/>
        <w:rPr>
          <w:rFonts w:hint="eastAsia" w:ascii="仿宋" w:hAnsi="仿宋" w:eastAsia="仿宋" w:cs="仿宋"/>
          <w:color w:val="auto"/>
          <w:sz w:val="32"/>
          <w:szCs w:val="36"/>
          <w:highlight w:val="none"/>
        </w:rPr>
      </w:pPr>
    </w:p>
    <w:p w14:paraId="57611C3E">
      <w:pPr>
        <w:widowControl/>
        <w:shd w:val="clear"/>
        <w:jc w:val="center"/>
        <w:rPr>
          <w:rFonts w:hint="eastAsia" w:ascii="仿宋" w:hAnsi="仿宋" w:eastAsia="仿宋" w:cs="仿宋"/>
          <w:color w:val="auto"/>
          <w:sz w:val="32"/>
          <w:szCs w:val="36"/>
          <w:highlight w:val="none"/>
        </w:rPr>
      </w:pPr>
    </w:p>
    <w:p w14:paraId="55566459">
      <w:pPr>
        <w:widowControl/>
        <w:shd w:val="clear"/>
        <w:jc w:val="center"/>
        <w:rPr>
          <w:rFonts w:hint="eastAsia" w:ascii="仿宋" w:hAnsi="仿宋" w:eastAsia="仿宋" w:cs="仿宋"/>
          <w:color w:val="auto"/>
          <w:sz w:val="32"/>
          <w:szCs w:val="36"/>
          <w:highlight w:val="none"/>
        </w:rPr>
      </w:pPr>
    </w:p>
    <w:p w14:paraId="5232EAEA">
      <w:pPr>
        <w:widowControl/>
        <w:shd w:val="clear"/>
        <w:jc w:val="center"/>
        <w:rPr>
          <w:rFonts w:hint="eastAsia" w:ascii="仿宋" w:hAnsi="仿宋" w:eastAsia="仿宋" w:cs="仿宋"/>
          <w:color w:val="auto"/>
          <w:sz w:val="32"/>
          <w:szCs w:val="36"/>
          <w:highlight w:val="none"/>
        </w:rPr>
      </w:pPr>
    </w:p>
    <w:p w14:paraId="24EA38F6">
      <w:pPr>
        <w:widowControl/>
        <w:shd w:val="clear"/>
        <w:jc w:val="center"/>
        <w:rPr>
          <w:rFonts w:hint="eastAsia" w:ascii="仿宋" w:hAnsi="仿宋" w:eastAsia="仿宋" w:cs="仿宋"/>
          <w:color w:val="auto"/>
          <w:sz w:val="32"/>
          <w:szCs w:val="36"/>
          <w:highlight w:val="none"/>
        </w:rPr>
      </w:pPr>
    </w:p>
    <w:p w14:paraId="18717685">
      <w:pPr>
        <w:keepNext/>
        <w:keepLines/>
        <w:shd w:val="clear"/>
        <w:spacing w:line="560" w:lineRule="exact"/>
        <w:jc w:val="center"/>
        <w:outlineLvl w:val="2"/>
        <w:rPr>
          <w:rFonts w:hint="eastAsia" w:ascii="仿宋" w:hAnsi="仿宋" w:eastAsia="仿宋" w:cs="仿宋"/>
          <w:bCs/>
          <w:color w:val="auto"/>
          <w:sz w:val="32"/>
          <w:szCs w:val="32"/>
          <w:highlight w:val="none"/>
          <w:lang w:val="en-US" w:eastAsia="zh-CN"/>
        </w:rPr>
      </w:pPr>
      <w:r>
        <w:rPr>
          <w:rFonts w:hint="eastAsia" w:ascii="仿宋" w:hAnsi="仿宋" w:eastAsia="仿宋" w:cs="仿宋"/>
          <w:bCs/>
          <w:color w:val="auto"/>
          <w:sz w:val="32"/>
          <w:szCs w:val="32"/>
          <w:highlight w:val="none"/>
          <w:lang w:val="en-US" w:eastAsia="zh-CN"/>
        </w:rPr>
        <w:t>投标人在“社会消防技术服务信息系统”（https://shhxf.119.gov.cn/）中“服务类型”包含消防设施维护保养检测的查询截图</w:t>
      </w:r>
    </w:p>
    <w:p w14:paraId="0FC39944">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51B4F3E7">
      <w:pPr>
        <w:keepNext/>
        <w:keepLines/>
        <w:shd w:val="clear"/>
        <w:spacing w:line="560" w:lineRule="exact"/>
        <w:jc w:val="center"/>
        <w:outlineLvl w:val="2"/>
        <w:rPr>
          <w:rFonts w:hint="eastAsia" w:ascii="仿宋" w:hAnsi="仿宋" w:eastAsia="仿宋" w:cs="仿宋"/>
          <w:bCs/>
          <w:color w:val="auto"/>
          <w:sz w:val="32"/>
          <w:szCs w:val="32"/>
          <w:highlight w:val="none"/>
          <w:lang w:val="en-US" w:eastAsia="zh-CN"/>
        </w:rPr>
      </w:pPr>
    </w:p>
    <w:p w14:paraId="2959AC1F">
      <w:pPr>
        <w:shd w:val="clear"/>
        <w:jc w:val="center"/>
        <w:rPr>
          <w:rFonts w:hint="eastAsia" w:ascii="仿宋" w:hAnsi="仿宋" w:eastAsia="仿宋" w:cs="仿宋"/>
          <w:color w:val="auto"/>
          <w:highlight w:val="none"/>
        </w:rPr>
      </w:pPr>
    </w:p>
    <w:p w14:paraId="1B1765AD">
      <w:pPr>
        <w:shd w:val="clear"/>
        <w:jc w:val="center"/>
        <w:rPr>
          <w:rFonts w:hint="eastAsia" w:ascii="仿宋" w:hAnsi="仿宋" w:eastAsia="仿宋" w:cs="仿宋"/>
          <w:color w:val="auto"/>
          <w:highlight w:val="none"/>
        </w:rPr>
      </w:pPr>
    </w:p>
    <w:p w14:paraId="7427F16F">
      <w:pPr>
        <w:shd w:val="clear"/>
        <w:jc w:val="center"/>
        <w:rPr>
          <w:rFonts w:hint="eastAsia" w:ascii="仿宋" w:hAnsi="仿宋" w:eastAsia="仿宋" w:cs="仿宋"/>
          <w:color w:val="auto"/>
          <w:highlight w:val="none"/>
        </w:rPr>
      </w:pPr>
    </w:p>
    <w:p w14:paraId="607C2F0B">
      <w:pPr>
        <w:shd w:val="clear"/>
        <w:jc w:val="center"/>
        <w:rPr>
          <w:rFonts w:hint="eastAsia" w:ascii="仿宋" w:hAnsi="仿宋" w:eastAsia="仿宋" w:cs="仿宋"/>
          <w:color w:val="auto"/>
          <w:highlight w:val="none"/>
        </w:rPr>
      </w:pPr>
    </w:p>
    <w:p w14:paraId="5B56C85C">
      <w:pPr>
        <w:shd w:val="clear"/>
        <w:jc w:val="center"/>
        <w:rPr>
          <w:rFonts w:hint="eastAsia" w:ascii="仿宋" w:hAnsi="仿宋" w:eastAsia="仿宋" w:cs="仿宋"/>
          <w:color w:val="auto"/>
          <w:highlight w:val="none"/>
        </w:rPr>
      </w:pPr>
    </w:p>
    <w:p w14:paraId="67FBCA46">
      <w:pPr>
        <w:shd w:val="clear"/>
        <w:jc w:val="center"/>
        <w:rPr>
          <w:rFonts w:hint="eastAsia" w:ascii="仿宋" w:hAnsi="仿宋" w:eastAsia="仿宋" w:cs="仿宋"/>
          <w:color w:val="auto"/>
          <w:highlight w:val="none"/>
        </w:rPr>
      </w:pPr>
    </w:p>
    <w:p w14:paraId="5BFAE080">
      <w:pPr>
        <w:shd w:val="clear"/>
        <w:jc w:val="center"/>
        <w:rPr>
          <w:rFonts w:hint="eastAsia" w:ascii="仿宋" w:hAnsi="仿宋" w:eastAsia="仿宋" w:cs="仿宋"/>
          <w:color w:val="auto"/>
          <w:highlight w:val="none"/>
        </w:rPr>
      </w:pPr>
    </w:p>
    <w:p w14:paraId="4CB80FAF">
      <w:pPr>
        <w:shd w:val="clear"/>
        <w:jc w:val="center"/>
        <w:rPr>
          <w:rFonts w:hint="eastAsia" w:ascii="仿宋" w:hAnsi="仿宋" w:eastAsia="仿宋" w:cs="仿宋"/>
          <w:color w:val="auto"/>
          <w:highlight w:val="none"/>
        </w:rPr>
      </w:pPr>
    </w:p>
    <w:p w14:paraId="1A95AB6A">
      <w:pPr>
        <w:shd w:val="clear"/>
        <w:jc w:val="center"/>
        <w:rPr>
          <w:rFonts w:hint="eastAsia" w:ascii="仿宋" w:hAnsi="仿宋" w:eastAsia="仿宋" w:cs="仿宋"/>
          <w:color w:val="auto"/>
          <w:highlight w:val="none"/>
        </w:rPr>
      </w:pPr>
    </w:p>
    <w:p w14:paraId="3B12E262">
      <w:pPr>
        <w:shd w:val="clear"/>
        <w:jc w:val="center"/>
        <w:rPr>
          <w:rFonts w:hint="eastAsia" w:ascii="仿宋" w:hAnsi="仿宋" w:eastAsia="仿宋" w:cs="仿宋"/>
          <w:color w:val="auto"/>
          <w:highlight w:val="none"/>
        </w:rPr>
      </w:pPr>
    </w:p>
    <w:p w14:paraId="7D085D88">
      <w:pPr>
        <w:shd w:val="clear"/>
        <w:jc w:val="center"/>
        <w:rPr>
          <w:rFonts w:hint="eastAsia" w:ascii="仿宋" w:hAnsi="仿宋" w:eastAsia="仿宋" w:cs="仿宋"/>
          <w:color w:val="auto"/>
          <w:highlight w:val="none"/>
        </w:rPr>
      </w:pPr>
    </w:p>
    <w:p w14:paraId="6EB753C7">
      <w:pPr>
        <w:shd w:val="clear"/>
        <w:jc w:val="center"/>
        <w:rPr>
          <w:rFonts w:hint="eastAsia" w:ascii="仿宋" w:hAnsi="仿宋" w:eastAsia="仿宋" w:cs="仿宋"/>
          <w:color w:val="auto"/>
          <w:highlight w:val="none"/>
        </w:rPr>
      </w:pPr>
    </w:p>
    <w:p w14:paraId="06470B19">
      <w:pPr>
        <w:shd w:val="clear"/>
        <w:jc w:val="center"/>
        <w:rPr>
          <w:rFonts w:hint="eastAsia" w:ascii="仿宋" w:hAnsi="仿宋" w:eastAsia="仿宋" w:cs="仿宋"/>
          <w:color w:val="auto"/>
          <w:highlight w:val="none"/>
        </w:rPr>
      </w:pPr>
    </w:p>
    <w:p w14:paraId="362C3D91">
      <w:pPr>
        <w:shd w:val="clear"/>
        <w:jc w:val="center"/>
        <w:rPr>
          <w:rFonts w:hint="eastAsia" w:ascii="仿宋" w:hAnsi="仿宋" w:eastAsia="仿宋" w:cs="仿宋"/>
          <w:color w:val="auto"/>
          <w:highlight w:val="none"/>
        </w:rPr>
      </w:pPr>
    </w:p>
    <w:p w14:paraId="5ED480BF">
      <w:pPr>
        <w:shd w:val="clear"/>
        <w:jc w:val="center"/>
        <w:rPr>
          <w:rFonts w:hint="eastAsia" w:ascii="仿宋" w:hAnsi="仿宋" w:eastAsia="仿宋" w:cs="仿宋"/>
          <w:color w:val="auto"/>
          <w:highlight w:val="none"/>
        </w:rPr>
      </w:pPr>
    </w:p>
    <w:p w14:paraId="51D93D92">
      <w:pPr>
        <w:shd w:val="clear"/>
        <w:jc w:val="center"/>
        <w:rPr>
          <w:rFonts w:hint="eastAsia" w:ascii="仿宋" w:hAnsi="仿宋" w:eastAsia="仿宋" w:cs="仿宋"/>
          <w:color w:val="auto"/>
          <w:highlight w:val="none"/>
        </w:rPr>
      </w:pPr>
    </w:p>
    <w:p w14:paraId="4C0938FC">
      <w:pPr>
        <w:shd w:val="clear"/>
        <w:jc w:val="center"/>
        <w:rPr>
          <w:rFonts w:hint="eastAsia" w:ascii="仿宋" w:hAnsi="仿宋" w:eastAsia="仿宋" w:cs="仿宋"/>
          <w:color w:val="auto"/>
          <w:highlight w:val="none"/>
        </w:rPr>
      </w:pPr>
    </w:p>
    <w:p w14:paraId="65DB1D7A">
      <w:pPr>
        <w:shd w:val="clear"/>
        <w:jc w:val="center"/>
        <w:rPr>
          <w:rFonts w:hint="eastAsia" w:ascii="仿宋" w:hAnsi="仿宋" w:eastAsia="仿宋" w:cs="仿宋"/>
          <w:color w:val="auto"/>
          <w:highlight w:val="none"/>
        </w:rPr>
      </w:pPr>
    </w:p>
    <w:p w14:paraId="03316236">
      <w:pPr>
        <w:shd w:val="clear"/>
        <w:jc w:val="center"/>
        <w:rPr>
          <w:rFonts w:hint="eastAsia" w:ascii="仿宋" w:hAnsi="仿宋" w:eastAsia="仿宋" w:cs="仿宋"/>
          <w:color w:val="auto"/>
          <w:highlight w:val="none"/>
        </w:rPr>
      </w:pPr>
    </w:p>
    <w:p w14:paraId="139BD0ED">
      <w:pPr>
        <w:shd w:val="clear"/>
        <w:jc w:val="center"/>
        <w:rPr>
          <w:rFonts w:hint="eastAsia" w:ascii="仿宋" w:hAnsi="仿宋" w:eastAsia="仿宋" w:cs="仿宋"/>
          <w:color w:val="auto"/>
          <w:highlight w:val="none"/>
        </w:rPr>
      </w:pPr>
    </w:p>
    <w:p w14:paraId="70DCAA1F">
      <w:pPr>
        <w:shd w:val="clear"/>
        <w:jc w:val="center"/>
        <w:rPr>
          <w:rFonts w:hint="eastAsia" w:ascii="仿宋" w:hAnsi="仿宋" w:eastAsia="仿宋" w:cs="仿宋"/>
          <w:color w:val="auto"/>
          <w:highlight w:val="none"/>
        </w:rPr>
      </w:pPr>
    </w:p>
    <w:p w14:paraId="24D5C274">
      <w:pPr>
        <w:shd w:val="clear"/>
        <w:jc w:val="center"/>
        <w:rPr>
          <w:rFonts w:hint="eastAsia" w:ascii="仿宋" w:hAnsi="仿宋" w:eastAsia="仿宋" w:cs="仿宋"/>
          <w:color w:val="auto"/>
          <w:highlight w:val="none"/>
        </w:rPr>
      </w:pPr>
    </w:p>
    <w:p w14:paraId="7A4339D3">
      <w:pPr>
        <w:shd w:val="clear"/>
        <w:jc w:val="center"/>
        <w:rPr>
          <w:rFonts w:hint="eastAsia" w:ascii="仿宋" w:hAnsi="仿宋" w:eastAsia="仿宋" w:cs="仿宋"/>
          <w:color w:val="auto"/>
          <w:highlight w:val="none"/>
        </w:rPr>
      </w:pPr>
    </w:p>
    <w:p w14:paraId="025B3EE4">
      <w:pPr>
        <w:shd w:val="clear"/>
        <w:jc w:val="center"/>
        <w:rPr>
          <w:rFonts w:hint="eastAsia" w:ascii="仿宋" w:hAnsi="仿宋" w:eastAsia="仿宋" w:cs="仿宋"/>
          <w:color w:val="auto"/>
          <w:highlight w:val="none"/>
        </w:rPr>
      </w:pPr>
    </w:p>
    <w:p w14:paraId="68F62081">
      <w:pPr>
        <w:shd w:val="clear"/>
        <w:jc w:val="center"/>
        <w:rPr>
          <w:rFonts w:hint="eastAsia" w:ascii="仿宋" w:hAnsi="仿宋" w:eastAsia="仿宋" w:cs="仿宋"/>
          <w:color w:val="auto"/>
          <w:highlight w:val="none"/>
        </w:rPr>
      </w:pPr>
    </w:p>
    <w:p w14:paraId="471C3C8D">
      <w:pPr>
        <w:shd w:val="clear"/>
        <w:jc w:val="center"/>
        <w:rPr>
          <w:rFonts w:hint="eastAsia" w:ascii="仿宋" w:hAnsi="仿宋" w:eastAsia="仿宋" w:cs="仿宋"/>
          <w:color w:val="auto"/>
          <w:highlight w:val="none"/>
        </w:rPr>
      </w:pPr>
    </w:p>
    <w:p w14:paraId="6B8E4103">
      <w:pPr>
        <w:shd w:val="clear"/>
        <w:jc w:val="center"/>
        <w:rPr>
          <w:rFonts w:hint="eastAsia" w:ascii="仿宋" w:hAnsi="仿宋" w:eastAsia="仿宋" w:cs="仿宋"/>
          <w:color w:val="auto"/>
          <w:highlight w:val="none"/>
        </w:rPr>
      </w:pPr>
    </w:p>
    <w:p w14:paraId="60D22693">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bookmarkStart w:id="16" w:name="_Toc521936044"/>
      <w:bookmarkStart w:id="17" w:name="_Toc522526782"/>
    </w:p>
    <w:p w14:paraId="6DB645AA">
      <w:pPr>
        <w:keepNext/>
        <w:keepLines/>
        <w:shd w:val="clear"/>
        <w:spacing w:line="560" w:lineRule="exact"/>
        <w:jc w:val="center"/>
        <w:outlineLvl w:val="2"/>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法定代表人/单位负责人身份证明书</w:t>
      </w:r>
    </w:p>
    <w:p w14:paraId="4192D133">
      <w:pPr>
        <w:shd w:val="clear"/>
        <w:jc w:val="center"/>
        <w:rPr>
          <w:rFonts w:hint="eastAsia" w:ascii="仿宋" w:hAnsi="仿宋" w:eastAsia="仿宋" w:cs="仿宋"/>
          <w:color w:val="auto"/>
          <w:highlight w:val="none"/>
        </w:rPr>
      </w:pPr>
    </w:p>
    <w:p w14:paraId="57CDDDD5">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致</w:t>
      </w:r>
      <w:r>
        <w:rPr>
          <w:rFonts w:hint="eastAsia" w:ascii="仿宋" w:hAnsi="仿宋" w:eastAsia="仿宋" w:cs="仿宋"/>
          <w:color w:val="auto"/>
          <w:kern w:val="0"/>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3F883803">
      <w:pPr>
        <w:shd w:val="clear"/>
        <w:spacing w:line="560" w:lineRule="exact"/>
        <w:ind w:firstLine="600" w:firstLineChars="200"/>
        <w:rPr>
          <w:rFonts w:hint="eastAsia" w:ascii="仿宋" w:hAnsi="仿宋" w:eastAsia="仿宋" w:cs="仿宋"/>
          <w:color w:val="auto"/>
          <w:kern w:val="0"/>
          <w:sz w:val="30"/>
          <w:szCs w:val="30"/>
          <w:highlight w:val="none"/>
        </w:rPr>
      </w:pPr>
    </w:p>
    <w:p w14:paraId="52C7B4F9">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u w:val="single"/>
        </w:rPr>
        <w:t>（姓名、性别、年龄、身份证号码）</w:t>
      </w:r>
      <w:r>
        <w:rPr>
          <w:rFonts w:hint="eastAsia" w:ascii="仿宋" w:hAnsi="仿宋" w:eastAsia="仿宋" w:cs="仿宋"/>
          <w:color w:val="auto"/>
          <w:kern w:val="0"/>
          <w:sz w:val="30"/>
          <w:szCs w:val="30"/>
          <w:highlight w:val="none"/>
        </w:rPr>
        <w:t>在我单位任</w:t>
      </w:r>
      <w:r>
        <w:rPr>
          <w:rFonts w:hint="eastAsia" w:ascii="仿宋" w:hAnsi="仿宋" w:eastAsia="仿宋" w:cs="仿宋"/>
          <w:color w:val="auto"/>
          <w:kern w:val="0"/>
          <w:sz w:val="30"/>
          <w:szCs w:val="30"/>
          <w:highlight w:val="none"/>
          <w:u w:val="single"/>
        </w:rPr>
        <w:t>（董事长、总经理等）</w:t>
      </w:r>
      <w:r>
        <w:rPr>
          <w:rFonts w:hint="eastAsia" w:ascii="仿宋" w:hAnsi="仿宋" w:eastAsia="仿宋" w:cs="仿宋"/>
          <w:color w:val="auto"/>
          <w:kern w:val="0"/>
          <w:sz w:val="30"/>
          <w:szCs w:val="30"/>
          <w:highlight w:val="none"/>
        </w:rPr>
        <w:t>职务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是我单位的法定代表人/</w:t>
      </w:r>
      <w:r>
        <w:rPr>
          <w:rFonts w:hint="eastAsia" w:ascii="仿宋" w:hAnsi="仿宋" w:eastAsia="仿宋" w:cs="仿宋"/>
          <w:color w:val="auto"/>
          <w:kern w:val="0"/>
          <w:sz w:val="30"/>
          <w:szCs w:val="30"/>
          <w:highlight w:val="none"/>
          <w:lang w:val="en-US" w:eastAsia="zh-CN"/>
        </w:rPr>
        <w:t>单位</w:t>
      </w:r>
      <w:r>
        <w:rPr>
          <w:rFonts w:hint="eastAsia" w:ascii="仿宋" w:hAnsi="仿宋" w:eastAsia="仿宋" w:cs="仿宋"/>
          <w:color w:val="auto"/>
          <w:kern w:val="0"/>
          <w:sz w:val="30"/>
          <w:szCs w:val="30"/>
          <w:highlight w:val="none"/>
        </w:rPr>
        <w:t>负责人。</w:t>
      </w:r>
    </w:p>
    <w:p w14:paraId="1607EC30">
      <w:pPr>
        <w:shd w:val="clear"/>
        <w:spacing w:line="560" w:lineRule="exact"/>
        <w:ind w:firstLine="600" w:firstLineChars="200"/>
        <w:rPr>
          <w:rFonts w:hint="eastAsia" w:ascii="仿宋" w:hAnsi="仿宋" w:eastAsia="仿宋" w:cs="仿宋"/>
          <w:color w:val="auto"/>
          <w:kern w:val="0"/>
          <w:sz w:val="30"/>
          <w:szCs w:val="30"/>
          <w:highlight w:val="none"/>
        </w:rPr>
      </w:pPr>
    </w:p>
    <w:p w14:paraId="6530E8E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特此证明。</w:t>
      </w:r>
    </w:p>
    <w:p w14:paraId="37E43D76">
      <w:pPr>
        <w:shd w:val="clear"/>
        <w:spacing w:line="560" w:lineRule="exact"/>
        <w:ind w:firstLine="600" w:firstLineChars="200"/>
        <w:rPr>
          <w:rFonts w:hint="eastAsia" w:ascii="仿宋" w:hAnsi="仿宋" w:eastAsia="仿宋" w:cs="仿宋"/>
          <w:color w:val="auto"/>
          <w:kern w:val="0"/>
          <w:sz w:val="30"/>
          <w:szCs w:val="30"/>
          <w:highlight w:val="none"/>
        </w:rPr>
      </w:pPr>
    </w:p>
    <w:p w14:paraId="36162A81">
      <w:pPr>
        <w:shd w:val="clear"/>
        <w:spacing w:line="560" w:lineRule="exact"/>
        <w:ind w:firstLine="600" w:firstLineChars="200"/>
        <w:rPr>
          <w:rFonts w:hint="eastAsia" w:ascii="仿宋" w:hAnsi="仿宋" w:eastAsia="仿宋" w:cs="仿宋"/>
          <w:color w:val="auto"/>
          <w:kern w:val="0"/>
          <w:sz w:val="30"/>
          <w:szCs w:val="30"/>
          <w:highlight w:val="none"/>
        </w:rPr>
      </w:pPr>
    </w:p>
    <w:p w14:paraId="08458653">
      <w:pPr>
        <w:shd w:val="clear"/>
        <w:jc w:val="center"/>
        <w:rPr>
          <w:rFonts w:hint="eastAsia" w:ascii="仿宋" w:hAnsi="仿宋" w:eastAsia="仿宋" w:cs="仿宋"/>
          <w:color w:val="auto"/>
          <w:highlight w:val="none"/>
        </w:rPr>
      </w:pPr>
    </w:p>
    <w:p w14:paraId="38EE8EBD">
      <w:pPr>
        <w:shd w:val="clear"/>
        <w:jc w:val="center"/>
        <w:rPr>
          <w:rFonts w:hint="eastAsia" w:ascii="仿宋" w:hAnsi="仿宋" w:eastAsia="仿宋" w:cs="仿宋"/>
          <w:color w:val="auto"/>
          <w:highlight w:val="none"/>
        </w:rPr>
      </w:pPr>
    </w:p>
    <w:p w14:paraId="43C50262">
      <w:pPr>
        <w:shd w:val="clear"/>
        <w:jc w:val="center"/>
        <w:rPr>
          <w:rFonts w:hint="eastAsia" w:ascii="仿宋" w:hAnsi="仿宋" w:eastAsia="仿宋" w:cs="仿宋"/>
          <w:color w:val="auto"/>
          <w:highlight w:val="none"/>
        </w:rPr>
      </w:pPr>
    </w:p>
    <w:p w14:paraId="66304B65">
      <w:pPr>
        <w:shd w:val="clear"/>
        <w:jc w:val="center"/>
        <w:rPr>
          <w:rFonts w:hint="eastAsia" w:ascii="仿宋" w:hAnsi="仿宋" w:eastAsia="仿宋" w:cs="仿宋"/>
          <w:color w:val="auto"/>
          <w:highlight w:val="none"/>
        </w:rPr>
      </w:pPr>
    </w:p>
    <w:p w14:paraId="32890510">
      <w:pPr>
        <w:shd w:val="clear"/>
        <w:jc w:val="center"/>
        <w:rPr>
          <w:rFonts w:hint="eastAsia" w:ascii="仿宋" w:hAnsi="仿宋" w:eastAsia="仿宋" w:cs="仿宋"/>
          <w:color w:val="auto"/>
          <w:highlight w:val="none"/>
        </w:rPr>
      </w:pPr>
    </w:p>
    <w:p w14:paraId="0E4B0542">
      <w:pPr>
        <w:shd w:val="clear"/>
        <w:jc w:val="center"/>
        <w:rPr>
          <w:rFonts w:hint="eastAsia" w:ascii="仿宋" w:hAnsi="仿宋" w:eastAsia="仿宋" w:cs="仿宋"/>
          <w:color w:val="auto"/>
          <w:highlight w:val="none"/>
        </w:rPr>
      </w:pPr>
    </w:p>
    <w:p w14:paraId="2CCFE326">
      <w:pPr>
        <w:shd w:val="clear"/>
        <w:jc w:val="center"/>
        <w:rPr>
          <w:rFonts w:hint="eastAsia" w:ascii="仿宋" w:hAnsi="仿宋" w:eastAsia="仿宋" w:cs="仿宋"/>
          <w:color w:val="auto"/>
          <w:highlight w:val="none"/>
        </w:rPr>
      </w:pPr>
    </w:p>
    <w:p w14:paraId="721FEE21">
      <w:pPr>
        <w:shd w:val="clear"/>
        <w:jc w:val="center"/>
        <w:rPr>
          <w:rFonts w:hint="eastAsia" w:ascii="仿宋" w:hAnsi="仿宋" w:eastAsia="仿宋" w:cs="仿宋"/>
          <w:color w:val="auto"/>
          <w:highlight w:val="none"/>
        </w:rPr>
      </w:pPr>
    </w:p>
    <w:p w14:paraId="740CFA53">
      <w:pPr>
        <w:shd w:val="clear"/>
        <w:jc w:val="center"/>
        <w:rPr>
          <w:rFonts w:hint="eastAsia" w:ascii="仿宋" w:hAnsi="仿宋" w:eastAsia="仿宋" w:cs="仿宋"/>
          <w:color w:val="auto"/>
          <w:highlight w:val="none"/>
        </w:rPr>
      </w:pPr>
    </w:p>
    <w:p w14:paraId="52590D22">
      <w:pPr>
        <w:shd w:val="clear"/>
        <w:spacing w:line="520" w:lineRule="exact"/>
        <w:ind w:firstLine="3900" w:firstLineChars="1300"/>
        <w:jc w:val="right"/>
        <w:rPr>
          <w:rFonts w:hint="eastAsia" w:ascii="仿宋" w:hAnsi="仿宋" w:eastAsia="仿宋" w:cs="仿宋"/>
          <w:color w:val="auto"/>
          <w:sz w:val="30"/>
          <w:szCs w:val="30"/>
          <w:highlight w:val="none"/>
        </w:rPr>
      </w:pPr>
    </w:p>
    <w:p w14:paraId="2E3EB9EE">
      <w:pPr>
        <w:shd w:val="clear"/>
        <w:rPr>
          <w:rFonts w:hint="eastAsia" w:ascii="仿宋" w:hAnsi="仿宋" w:eastAsia="仿宋" w:cs="仿宋"/>
          <w:color w:val="auto"/>
          <w:highlight w:val="none"/>
        </w:rPr>
      </w:pPr>
    </w:p>
    <w:p w14:paraId="2E4C68B5">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55E8E41C">
      <w:pPr>
        <w:shd w:val="clear"/>
        <w:jc w:val="center"/>
        <w:rPr>
          <w:rFonts w:hint="eastAsia" w:ascii="仿宋" w:hAnsi="仿宋" w:eastAsia="仿宋" w:cs="仿宋"/>
          <w:color w:val="auto"/>
          <w:highlight w:val="none"/>
        </w:rPr>
      </w:pPr>
    </w:p>
    <w:p w14:paraId="32CF9F29">
      <w:pPr>
        <w:shd w:val="clear"/>
        <w:jc w:val="center"/>
        <w:rPr>
          <w:rFonts w:hint="eastAsia" w:ascii="仿宋" w:hAnsi="仿宋" w:eastAsia="仿宋" w:cs="仿宋"/>
          <w:color w:val="auto"/>
          <w:highlight w:val="none"/>
        </w:rPr>
      </w:pPr>
    </w:p>
    <w:p w14:paraId="0844F967">
      <w:pPr>
        <w:shd w:val="clear"/>
        <w:jc w:val="center"/>
        <w:rPr>
          <w:rFonts w:hint="eastAsia" w:ascii="仿宋" w:hAnsi="仿宋" w:eastAsia="仿宋" w:cs="仿宋"/>
          <w:color w:val="auto"/>
          <w:highlight w:val="none"/>
        </w:rPr>
      </w:pPr>
    </w:p>
    <w:p w14:paraId="043BCFFF">
      <w:pPr>
        <w:shd w:val="clear"/>
        <w:jc w:val="center"/>
        <w:rPr>
          <w:rFonts w:hint="eastAsia" w:ascii="仿宋" w:hAnsi="仿宋" w:eastAsia="仿宋" w:cs="仿宋"/>
          <w:bCs/>
          <w:color w:val="auto"/>
          <w:sz w:val="32"/>
          <w:szCs w:val="32"/>
          <w:highlight w:val="none"/>
        </w:rPr>
        <w:sectPr>
          <w:headerReference r:id="rId14" w:type="default"/>
          <w:footerReference r:id="rId15" w:type="default"/>
          <w:pgSz w:w="11906" w:h="16838"/>
          <w:pgMar w:top="1440" w:right="1083" w:bottom="1440" w:left="1083" w:header="851" w:footer="992" w:gutter="0"/>
          <w:pgNumType w:fmt="decimal"/>
          <w:cols w:space="0" w:num="1"/>
          <w:rtlGutter w:val="0"/>
          <w:docGrid w:type="lines" w:linePitch="312" w:charSpace="0"/>
        </w:sectPr>
      </w:pPr>
    </w:p>
    <w:p w14:paraId="2D99FC17">
      <w:pPr>
        <w:keepNext/>
        <w:keepLines/>
        <w:shd w:val="clear"/>
        <w:spacing w:line="560" w:lineRule="exact"/>
        <w:jc w:val="center"/>
        <w:outlineLvl w:val="2"/>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法人授权委托书</w:t>
      </w:r>
      <w:bookmarkEnd w:id="16"/>
      <w:bookmarkEnd w:id="17"/>
    </w:p>
    <w:p w14:paraId="6A634B2D">
      <w:pPr>
        <w:shd w:val="clear"/>
        <w:rPr>
          <w:rFonts w:hint="eastAsia" w:ascii="仿宋" w:hAnsi="仿宋" w:eastAsia="仿宋" w:cs="仿宋"/>
          <w:color w:val="auto"/>
          <w:highlight w:val="none"/>
        </w:rPr>
      </w:pPr>
    </w:p>
    <w:p w14:paraId="0614E851">
      <w:pPr>
        <w:shd w:val="clear"/>
        <w:spacing w:line="480" w:lineRule="exact"/>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本授权书声明：注册于</w:t>
      </w:r>
      <w:r>
        <w:rPr>
          <w:rFonts w:hint="eastAsia" w:ascii="仿宋" w:hAnsi="仿宋" w:eastAsia="仿宋" w:cs="仿宋"/>
          <w:color w:val="auto"/>
          <w:sz w:val="30"/>
          <w:szCs w:val="30"/>
          <w:highlight w:val="none"/>
          <w:u w:val="single"/>
        </w:rPr>
        <w:t xml:space="preserve">   （国家或地区的名称）  </w:t>
      </w:r>
      <w:r>
        <w:rPr>
          <w:rFonts w:hint="eastAsia" w:ascii="仿宋" w:hAnsi="仿宋" w:eastAsia="仿宋" w:cs="仿宋"/>
          <w:color w:val="auto"/>
          <w:sz w:val="30"/>
          <w:szCs w:val="30"/>
          <w:highlight w:val="none"/>
        </w:rPr>
        <w:t>的</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u w:val="single"/>
          <w:lang w:val="en-US" w:eastAsia="zh-CN"/>
        </w:rPr>
        <w:t>单位</w:t>
      </w:r>
      <w:r>
        <w:rPr>
          <w:rFonts w:hint="eastAsia" w:ascii="仿宋" w:hAnsi="仿宋" w:eastAsia="仿宋" w:cs="仿宋"/>
          <w:color w:val="auto"/>
          <w:sz w:val="30"/>
          <w:szCs w:val="30"/>
          <w:highlight w:val="none"/>
          <w:u w:val="single"/>
        </w:rPr>
        <w:t xml:space="preserve">名称）  </w:t>
      </w:r>
      <w:r>
        <w:rPr>
          <w:rFonts w:hint="eastAsia" w:ascii="仿宋" w:hAnsi="仿宋" w:eastAsia="仿宋" w:cs="仿宋"/>
          <w:color w:val="auto"/>
          <w:sz w:val="30"/>
          <w:szCs w:val="30"/>
          <w:highlight w:val="none"/>
        </w:rPr>
        <w:t>的</w:t>
      </w:r>
      <w:r>
        <w:rPr>
          <w:rFonts w:hint="eastAsia" w:ascii="仿宋" w:hAnsi="仿宋" w:eastAsia="仿宋" w:cs="仿宋"/>
          <w:color w:val="auto"/>
          <w:sz w:val="30"/>
          <w:szCs w:val="30"/>
          <w:highlight w:val="none"/>
          <w:u w:val="single"/>
        </w:rPr>
        <w:t xml:space="preserve"> （</w:t>
      </w:r>
      <w:r>
        <w:rPr>
          <w:rFonts w:hint="eastAsia" w:ascii="仿宋" w:hAnsi="仿宋" w:eastAsia="仿宋" w:cs="仿宋"/>
          <w:color w:val="auto"/>
          <w:sz w:val="30"/>
          <w:szCs w:val="30"/>
          <w:highlight w:val="none"/>
          <w:u w:val="single"/>
          <w:lang w:val="en-US" w:eastAsia="zh-CN"/>
        </w:rPr>
        <w:t>法定代表人/单位负责人</w:t>
      </w:r>
      <w:r>
        <w:rPr>
          <w:rFonts w:hint="eastAsia" w:ascii="仿宋" w:hAnsi="仿宋" w:eastAsia="仿宋" w:cs="仿宋"/>
          <w:color w:val="auto"/>
          <w:sz w:val="30"/>
          <w:szCs w:val="30"/>
          <w:highlight w:val="none"/>
          <w:u w:val="single"/>
        </w:rPr>
        <w:t xml:space="preserve">姓名、职务）  </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代表本</w:t>
      </w:r>
      <w:r>
        <w:rPr>
          <w:rFonts w:hint="eastAsia" w:ascii="仿宋" w:hAnsi="仿宋" w:eastAsia="仿宋" w:cs="仿宋"/>
          <w:color w:val="auto"/>
          <w:sz w:val="30"/>
          <w:szCs w:val="30"/>
          <w:highlight w:val="none"/>
          <w:lang w:val="en-US" w:eastAsia="zh-CN"/>
        </w:rPr>
        <w:t>单位</w:t>
      </w:r>
      <w:r>
        <w:rPr>
          <w:rFonts w:hint="eastAsia" w:ascii="仿宋" w:hAnsi="仿宋" w:eastAsia="仿宋" w:cs="仿宋"/>
          <w:color w:val="auto"/>
          <w:sz w:val="30"/>
          <w:szCs w:val="30"/>
          <w:highlight w:val="none"/>
        </w:rPr>
        <w:t>授权</w:t>
      </w:r>
      <w:r>
        <w:rPr>
          <w:rFonts w:hint="eastAsia" w:ascii="仿宋" w:hAnsi="仿宋" w:eastAsia="仿宋" w:cs="仿宋"/>
          <w:color w:val="auto"/>
          <w:sz w:val="30"/>
          <w:szCs w:val="30"/>
          <w:highlight w:val="none"/>
          <w:u w:val="single"/>
        </w:rPr>
        <w:t xml:space="preserve">  （被授权单位名称）  </w:t>
      </w:r>
      <w:r>
        <w:rPr>
          <w:rFonts w:hint="eastAsia" w:ascii="仿宋" w:hAnsi="仿宋" w:eastAsia="仿宋" w:cs="仿宋"/>
          <w:color w:val="auto"/>
          <w:sz w:val="30"/>
          <w:szCs w:val="30"/>
          <w:highlight w:val="none"/>
        </w:rPr>
        <w:t>的</w:t>
      </w:r>
      <w:r>
        <w:rPr>
          <w:rFonts w:hint="eastAsia" w:ascii="仿宋" w:hAnsi="仿宋" w:eastAsia="仿宋" w:cs="仿宋"/>
          <w:color w:val="auto"/>
          <w:sz w:val="30"/>
          <w:szCs w:val="30"/>
          <w:highlight w:val="none"/>
          <w:u w:val="single"/>
        </w:rPr>
        <w:t>（被授权人的姓名、职务）</w:t>
      </w:r>
      <w:r>
        <w:rPr>
          <w:rFonts w:hint="eastAsia" w:ascii="仿宋" w:hAnsi="仿宋" w:eastAsia="仿宋" w:cs="仿宋"/>
          <w:color w:val="auto"/>
          <w:sz w:val="30"/>
          <w:szCs w:val="30"/>
          <w:highlight w:val="none"/>
        </w:rPr>
        <w:t>为本</w:t>
      </w:r>
      <w:r>
        <w:rPr>
          <w:rFonts w:hint="eastAsia" w:ascii="仿宋" w:hAnsi="仿宋" w:eastAsia="仿宋" w:cs="仿宋"/>
          <w:color w:val="auto"/>
          <w:sz w:val="30"/>
          <w:szCs w:val="30"/>
          <w:highlight w:val="none"/>
          <w:lang w:val="en-US" w:eastAsia="zh-CN"/>
        </w:rPr>
        <w:t>单位</w:t>
      </w:r>
      <w:r>
        <w:rPr>
          <w:rFonts w:hint="eastAsia" w:ascii="仿宋" w:hAnsi="仿宋" w:eastAsia="仿宋" w:cs="仿宋"/>
          <w:color w:val="auto"/>
          <w:sz w:val="30"/>
          <w:szCs w:val="30"/>
          <w:highlight w:val="none"/>
        </w:rPr>
        <w:t>的合法代理人</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参加编号为</w:t>
      </w:r>
      <w:r>
        <w:rPr>
          <w:rFonts w:hint="eastAsia" w:ascii="仿宋" w:hAnsi="仿宋" w:eastAsia="仿宋" w:cs="仿宋"/>
          <w:color w:val="auto"/>
          <w:kern w:val="0"/>
          <w:sz w:val="30"/>
          <w:szCs w:val="30"/>
          <w:highlight w:val="none"/>
          <w:lang w:eastAsia="zh-CN"/>
        </w:rPr>
        <w:t>WHJTCZ2026-0009</w:t>
      </w:r>
      <w:r>
        <w:rPr>
          <w:rFonts w:hint="eastAsia" w:ascii="仿宋" w:hAnsi="仿宋" w:eastAsia="仿宋" w:cs="仿宋"/>
          <w:color w:val="auto"/>
          <w:sz w:val="30"/>
          <w:szCs w:val="30"/>
          <w:highlight w:val="none"/>
        </w:rPr>
        <w:t>号的公开招标采购活动</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以本</w:t>
      </w:r>
      <w:r>
        <w:rPr>
          <w:rFonts w:hint="eastAsia" w:ascii="仿宋" w:hAnsi="仿宋" w:eastAsia="仿宋" w:cs="仿宋"/>
          <w:color w:val="auto"/>
          <w:sz w:val="30"/>
          <w:szCs w:val="30"/>
          <w:highlight w:val="none"/>
          <w:lang w:val="en-US" w:eastAsia="zh-CN"/>
        </w:rPr>
        <w:t>单位</w:t>
      </w:r>
      <w:r>
        <w:rPr>
          <w:rFonts w:hint="eastAsia" w:ascii="仿宋" w:hAnsi="仿宋" w:eastAsia="仿宋" w:cs="仿宋"/>
          <w:color w:val="auto"/>
          <w:sz w:val="30"/>
          <w:szCs w:val="30"/>
          <w:highlight w:val="none"/>
        </w:rPr>
        <w:t>名义处理一切与之有关的事宜。</w:t>
      </w:r>
    </w:p>
    <w:p w14:paraId="7C1530BA">
      <w:pPr>
        <w:shd w:val="clear"/>
        <w:spacing w:line="48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如果本</w:t>
      </w:r>
      <w:r>
        <w:rPr>
          <w:rFonts w:hint="eastAsia" w:ascii="仿宋" w:hAnsi="仿宋" w:eastAsia="仿宋" w:cs="仿宋"/>
          <w:color w:val="auto"/>
          <w:kern w:val="0"/>
          <w:sz w:val="30"/>
          <w:szCs w:val="30"/>
          <w:highlight w:val="none"/>
          <w:lang w:val="en-US" w:eastAsia="zh-CN"/>
        </w:rPr>
        <w:t>单位</w:t>
      </w:r>
      <w:r>
        <w:rPr>
          <w:rFonts w:hint="eastAsia" w:ascii="仿宋" w:hAnsi="仿宋" w:eastAsia="仿宋" w:cs="仿宋"/>
          <w:color w:val="auto"/>
          <w:kern w:val="0"/>
          <w:sz w:val="30"/>
          <w:szCs w:val="30"/>
          <w:highlight w:val="none"/>
        </w:rPr>
        <w:t>在此次采购活动中中标</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被授权人有权代表本</w:t>
      </w:r>
      <w:r>
        <w:rPr>
          <w:rFonts w:hint="eastAsia" w:ascii="仿宋" w:hAnsi="仿宋" w:eastAsia="仿宋" w:cs="仿宋"/>
          <w:color w:val="auto"/>
          <w:kern w:val="0"/>
          <w:sz w:val="30"/>
          <w:szCs w:val="30"/>
          <w:highlight w:val="none"/>
          <w:lang w:val="en-US" w:eastAsia="zh-CN"/>
        </w:rPr>
        <w:t>单位</w:t>
      </w:r>
      <w:r>
        <w:rPr>
          <w:rFonts w:hint="eastAsia" w:ascii="仿宋" w:hAnsi="仿宋" w:eastAsia="仿宋" w:cs="仿宋"/>
          <w:color w:val="auto"/>
          <w:kern w:val="0"/>
          <w:sz w:val="30"/>
          <w:szCs w:val="30"/>
          <w:highlight w:val="none"/>
        </w:rPr>
        <w:t>签署采购合同。</w:t>
      </w:r>
    </w:p>
    <w:p w14:paraId="2B95AFC4">
      <w:pPr>
        <w:shd w:val="clear"/>
        <w:spacing w:line="48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本授权书于</w:t>
      </w:r>
      <w:r>
        <w:rPr>
          <w:rFonts w:hint="eastAsia" w:ascii="仿宋" w:hAnsi="仿宋" w:eastAsia="仿宋" w:cs="仿宋"/>
          <w:color w:val="auto"/>
          <w:kern w:val="0"/>
          <w:sz w:val="30"/>
          <w:szCs w:val="30"/>
          <w:highlight w:val="none"/>
          <w:u w:val="single"/>
        </w:rPr>
        <w:t xml:space="preserve">      </w:t>
      </w:r>
      <w:r>
        <w:rPr>
          <w:rFonts w:hint="eastAsia" w:ascii="仿宋" w:hAnsi="仿宋" w:eastAsia="仿宋" w:cs="仿宋"/>
          <w:color w:val="auto"/>
          <w:kern w:val="0"/>
          <w:sz w:val="30"/>
          <w:szCs w:val="30"/>
          <w:highlight w:val="none"/>
        </w:rPr>
        <w:t>年</w:t>
      </w:r>
      <w:r>
        <w:rPr>
          <w:rFonts w:hint="eastAsia" w:ascii="仿宋" w:hAnsi="仿宋" w:eastAsia="仿宋" w:cs="仿宋"/>
          <w:color w:val="auto"/>
          <w:kern w:val="0"/>
          <w:sz w:val="30"/>
          <w:szCs w:val="30"/>
          <w:highlight w:val="none"/>
          <w:u w:val="single"/>
        </w:rPr>
        <w:t xml:space="preserve">    </w:t>
      </w:r>
      <w:r>
        <w:rPr>
          <w:rFonts w:hint="eastAsia" w:ascii="仿宋" w:hAnsi="仿宋" w:eastAsia="仿宋" w:cs="仿宋"/>
          <w:color w:val="auto"/>
          <w:kern w:val="0"/>
          <w:sz w:val="30"/>
          <w:szCs w:val="30"/>
          <w:highlight w:val="none"/>
        </w:rPr>
        <w:t>月</w:t>
      </w:r>
      <w:r>
        <w:rPr>
          <w:rFonts w:hint="eastAsia" w:ascii="仿宋" w:hAnsi="仿宋" w:eastAsia="仿宋" w:cs="仿宋"/>
          <w:color w:val="auto"/>
          <w:kern w:val="0"/>
          <w:sz w:val="30"/>
          <w:szCs w:val="30"/>
          <w:highlight w:val="none"/>
          <w:u w:val="single"/>
        </w:rPr>
        <w:t xml:space="preserve">    </w:t>
      </w:r>
      <w:r>
        <w:rPr>
          <w:rFonts w:hint="eastAsia" w:ascii="仿宋" w:hAnsi="仿宋" w:eastAsia="仿宋" w:cs="仿宋"/>
          <w:color w:val="auto"/>
          <w:kern w:val="0"/>
          <w:sz w:val="30"/>
          <w:szCs w:val="30"/>
          <w:highlight w:val="none"/>
        </w:rPr>
        <w:t>日法定代表人/</w:t>
      </w:r>
      <w:r>
        <w:rPr>
          <w:rFonts w:hint="eastAsia" w:ascii="仿宋" w:hAnsi="仿宋" w:eastAsia="仿宋" w:cs="仿宋"/>
          <w:color w:val="auto"/>
          <w:kern w:val="0"/>
          <w:sz w:val="30"/>
          <w:szCs w:val="30"/>
          <w:highlight w:val="none"/>
          <w:lang w:val="en-US" w:eastAsia="zh-CN"/>
        </w:rPr>
        <w:t>单位</w:t>
      </w:r>
      <w:r>
        <w:rPr>
          <w:rFonts w:hint="eastAsia" w:ascii="仿宋" w:hAnsi="仿宋" w:eastAsia="仿宋" w:cs="仿宋"/>
          <w:color w:val="auto"/>
          <w:kern w:val="0"/>
          <w:sz w:val="30"/>
          <w:szCs w:val="30"/>
          <w:highlight w:val="none"/>
        </w:rPr>
        <w:t>负责人签章并由被授权人签字、单位盖章生效</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特此声明。</w:t>
      </w:r>
    </w:p>
    <w:p w14:paraId="0FAAF55D">
      <w:pPr>
        <w:shd w:val="clear"/>
        <w:spacing w:line="48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被授权人无转委托权。</w:t>
      </w:r>
    </w:p>
    <w:p w14:paraId="324DF221">
      <w:pPr>
        <w:shd w:val="clear"/>
        <w:spacing w:line="480" w:lineRule="exact"/>
        <w:ind w:firstLine="600" w:firstLineChars="200"/>
        <w:jc w:val="lef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法定代表人/</w:t>
      </w:r>
      <w:r>
        <w:rPr>
          <w:rFonts w:hint="eastAsia" w:ascii="仿宋" w:hAnsi="仿宋" w:eastAsia="仿宋" w:cs="仿宋"/>
          <w:color w:val="auto"/>
          <w:kern w:val="0"/>
          <w:sz w:val="30"/>
          <w:szCs w:val="30"/>
          <w:highlight w:val="none"/>
          <w:lang w:val="en-US" w:eastAsia="zh-CN"/>
        </w:rPr>
        <w:t>单位</w:t>
      </w:r>
      <w:r>
        <w:rPr>
          <w:rFonts w:hint="eastAsia" w:ascii="仿宋" w:hAnsi="仿宋" w:eastAsia="仿宋" w:cs="仿宋"/>
          <w:color w:val="auto"/>
          <w:kern w:val="0"/>
          <w:sz w:val="30"/>
          <w:szCs w:val="30"/>
          <w:highlight w:val="none"/>
        </w:rPr>
        <w:t>负责人签章：</w:t>
      </w:r>
    </w:p>
    <w:p w14:paraId="2D18E31E">
      <w:pPr>
        <w:shd w:val="clear"/>
        <w:spacing w:line="480" w:lineRule="exact"/>
        <w:ind w:firstLine="600" w:firstLineChars="200"/>
        <w:jc w:val="lef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被 授 权人签字：</w:t>
      </w:r>
    </w:p>
    <w:p w14:paraId="56F4DC55">
      <w:pPr>
        <w:shd w:val="clear"/>
        <w:spacing w:line="480" w:lineRule="exact"/>
        <w:ind w:firstLine="600" w:firstLineChars="200"/>
        <w:jc w:val="lef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投标人  公  章：</w:t>
      </w:r>
    </w:p>
    <w:tbl>
      <w:tblPr>
        <w:tblStyle w:val="30"/>
        <w:tblpPr w:leftFromText="180" w:rightFromText="180" w:vertAnchor="text" w:horzAnchor="margin" w:tblpY="817"/>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11DC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4644" w:type="dxa"/>
            <w:noWrap w:val="0"/>
            <w:vAlign w:val="center"/>
          </w:tcPr>
          <w:p w14:paraId="3D3C3B42">
            <w:pPr>
              <w:widowControl/>
              <w:shd w:val="clear"/>
              <w:spacing w:beforeAutospacing="1" w:afterAutospacing="1" w:line="360" w:lineRule="auto"/>
              <w:ind w:firstLine="150" w:firstLineChars="50"/>
              <w:rPr>
                <w:rFonts w:hint="eastAsia" w:ascii="仿宋" w:hAnsi="仿宋" w:eastAsia="仿宋" w:cs="仿宋"/>
                <w:color w:val="auto"/>
                <w:kern w:val="0"/>
                <w:sz w:val="30"/>
                <w:szCs w:val="30"/>
                <w:highlight w:val="none"/>
              </w:rPr>
            </w:pPr>
            <w:r>
              <w:rPr>
                <w:rFonts w:hint="eastAsia" w:ascii="仿宋" w:hAnsi="仿宋" w:eastAsia="仿宋" w:cs="仿宋"/>
                <w:color w:val="auto"/>
                <w:sz w:val="30"/>
                <w:szCs w:val="30"/>
                <w:highlight w:val="none"/>
              </w:rPr>
              <w:t>被授权人身份证</w:t>
            </w:r>
            <w:r>
              <w:rPr>
                <w:rFonts w:hint="eastAsia" w:ascii="仿宋" w:hAnsi="仿宋" w:eastAsia="仿宋" w:cs="仿宋"/>
                <w:color w:val="auto"/>
                <w:sz w:val="30"/>
                <w:szCs w:val="30"/>
                <w:highlight w:val="none"/>
                <w:lang w:eastAsia="zh-CN"/>
              </w:rPr>
              <w:t>扫描件</w:t>
            </w:r>
            <w:r>
              <w:rPr>
                <w:rFonts w:hint="eastAsia" w:ascii="仿宋" w:hAnsi="仿宋" w:eastAsia="仿宋" w:cs="仿宋"/>
                <w:color w:val="auto"/>
                <w:sz w:val="30"/>
                <w:szCs w:val="30"/>
                <w:highlight w:val="none"/>
              </w:rPr>
              <w:t>正面</w:t>
            </w:r>
          </w:p>
        </w:tc>
      </w:tr>
    </w:tbl>
    <w:p w14:paraId="7C813737">
      <w:pPr>
        <w:shd w:val="clear"/>
        <w:spacing w:line="480" w:lineRule="exact"/>
        <w:jc w:val="left"/>
        <w:rPr>
          <w:rFonts w:hint="eastAsia" w:ascii="仿宋" w:hAnsi="仿宋" w:eastAsia="仿宋" w:cs="仿宋"/>
          <w:color w:val="auto"/>
          <w:kern w:val="0"/>
          <w:sz w:val="30"/>
          <w:szCs w:val="30"/>
          <w:highlight w:val="none"/>
        </w:rPr>
      </w:pPr>
    </w:p>
    <w:p w14:paraId="5642675D">
      <w:pPr>
        <w:shd w:val="clear"/>
        <w:rPr>
          <w:rFonts w:hint="eastAsia" w:ascii="仿宋" w:hAnsi="仿宋" w:eastAsia="仿宋" w:cs="仿宋"/>
          <w:vanish/>
          <w:color w:val="auto"/>
          <w:sz w:val="30"/>
          <w:szCs w:val="30"/>
          <w:highlight w:val="none"/>
        </w:rPr>
      </w:pPr>
    </w:p>
    <w:tbl>
      <w:tblPr>
        <w:tblStyle w:val="30"/>
        <w:tblpPr w:leftFromText="180" w:rightFromText="180" w:vertAnchor="text" w:horzAnchor="page" w:tblpX="6632" w:tblpY="383"/>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3E9A1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2" w:hRule="atLeast"/>
        </w:trPr>
        <w:tc>
          <w:tcPr>
            <w:tcW w:w="4644" w:type="dxa"/>
            <w:noWrap w:val="0"/>
            <w:vAlign w:val="center"/>
          </w:tcPr>
          <w:p w14:paraId="42052C85">
            <w:pPr>
              <w:widowControl/>
              <w:shd w:val="clear"/>
              <w:spacing w:beforeAutospacing="1" w:afterAutospacing="1" w:line="360" w:lineRule="auto"/>
              <w:jc w:val="center"/>
              <w:rPr>
                <w:rFonts w:hint="eastAsia" w:ascii="仿宋" w:hAnsi="仿宋" w:eastAsia="仿宋" w:cs="仿宋"/>
                <w:color w:val="auto"/>
                <w:kern w:val="0"/>
                <w:sz w:val="30"/>
                <w:szCs w:val="30"/>
                <w:highlight w:val="none"/>
              </w:rPr>
            </w:pPr>
            <w:r>
              <w:rPr>
                <w:rFonts w:hint="eastAsia" w:ascii="仿宋" w:hAnsi="仿宋" w:eastAsia="仿宋" w:cs="仿宋"/>
                <w:color w:val="auto"/>
                <w:sz w:val="30"/>
                <w:szCs w:val="30"/>
                <w:highlight w:val="none"/>
              </w:rPr>
              <w:t>被授权人身份证</w:t>
            </w:r>
            <w:r>
              <w:rPr>
                <w:rFonts w:hint="eastAsia" w:ascii="仿宋" w:hAnsi="仿宋" w:eastAsia="仿宋" w:cs="仿宋"/>
                <w:color w:val="auto"/>
                <w:sz w:val="30"/>
                <w:szCs w:val="30"/>
                <w:highlight w:val="none"/>
                <w:lang w:eastAsia="zh-CN"/>
              </w:rPr>
              <w:t>扫描件</w:t>
            </w:r>
            <w:r>
              <w:rPr>
                <w:rFonts w:hint="eastAsia" w:ascii="仿宋" w:hAnsi="仿宋" w:eastAsia="仿宋" w:cs="仿宋"/>
                <w:color w:val="auto"/>
                <w:sz w:val="30"/>
                <w:szCs w:val="30"/>
                <w:highlight w:val="none"/>
              </w:rPr>
              <w:t>反面</w:t>
            </w:r>
          </w:p>
        </w:tc>
      </w:tr>
    </w:tbl>
    <w:p w14:paraId="4D537B21">
      <w:pPr>
        <w:shd w:val="clear"/>
        <w:rPr>
          <w:rFonts w:hint="eastAsia" w:ascii="仿宋" w:hAnsi="仿宋" w:eastAsia="仿宋" w:cs="仿宋"/>
          <w:color w:val="auto"/>
          <w:sz w:val="30"/>
          <w:szCs w:val="30"/>
          <w:highlight w:val="none"/>
        </w:rPr>
      </w:pPr>
    </w:p>
    <w:p w14:paraId="6E52650B">
      <w:pPr>
        <w:bidi w:val="0"/>
        <w:rPr>
          <w:rFonts w:hint="eastAsia" w:ascii="仿宋" w:hAnsi="仿宋" w:eastAsia="仿宋" w:cs="仿宋"/>
          <w:kern w:val="2"/>
          <w:sz w:val="30"/>
          <w:szCs w:val="30"/>
          <w:highlight w:val="none"/>
          <w:lang w:val="en-US" w:eastAsia="zh-CN" w:bidi="ar-SA"/>
        </w:rPr>
      </w:pPr>
    </w:p>
    <w:p w14:paraId="2269B6ED">
      <w:pPr>
        <w:bidi w:val="0"/>
        <w:rPr>
          <w:rFonts w:hint="eastAsia" w:ascii="仿宋" w:hAnsi="仿宋" w:eastAsia="仿宋" w:cs="仿宋"/>
          <w:sz w:val="30"/>
          <w:szCs w:val="30"/>
          <w:highlight w:val="none"/>
          <w:lang w:val="en-US" w:eastAsia="zh-CN"/>
        </w:rPr>
      </w:pPr>
    </w:p>
    <w:p w14:paraId="55399C39">
      <w:pPr>
        <w:bidi w:val="0"/>
        <w:rPr>
          <w:rFonts w:hint="eastAsia" w:ascii="仿宋" w:hAnsi="仿宋" w:eastAsia="仿宋" w:cs="仿宋"/>
          <w:sz w:val="30"/>
          <w:szCs w:val="30"/>
          <w:highlight w:val="none"/>
          <w:lang w:val="en-US" w:eastAsia="zh-CN"/>
        </w:rPr>
      </w:pPr>
    </w:p>
    <w:p w14:paraId="617BAA65">
      <w:pPr>
        <w:bidi w:val="0"/>
        <w:rPr>
          <w:rFonts w:hint="eastAsia" w:ascii="仿宋" w:hAnsi="仿宋" w:eastAsia="仿宋" w:cs="仿宋"/>
          <w:sz w:val="30"/>
          <w:szCs w:val="30"/>
          <w:highlight w:val="none"/>
          <w:lang w:val="en-US" w:eastAsia="zh-CN"/>
        </w:rPr>
      </w:pPr>
    </w:p>
    <w:p w14:paraId="70FABB9B">
      <w:pPr>
        <w:shd w:val="clear"/>
        <w:spacing w:line="480" w:lineRule="exact"/>
        <w:jc w:val="left"/>
        <w:rPr>
          <w:rFonts w:hint="eastAsia" w:ascii="仿宋" w:hAnsi="仿宋" w:eastAsia="仿宋" w:cs="仿宋"/>
          <w:color w:val="auto"/>
          <w:kern w:val="0"/>
          <w:sz w:val="30"/>
          <w:szCs w:val="30"/>
          <w:highlight w:val="none"/>
          <w:lang w:val="en-US" w:eastAsia="zh-CN"/>
        </w:rPr>
      </w:pPr>
    </w:p>
    <w:p w14:paraId="0BB403A0">
      <w:pPr>
        <w:shd w:val="clear"/>
        <w:spacing w:line="480" w:lineRule="exact"/>
        <w:jc w:val="left"/>
        <w:rPr>
          <w:rFonts w:hint="eastAsia" w:ascii="仿宋" w:hAnsi="仿宋" w:eastAsia="仿宋" w:cs="仿宋"/>
          <w:b/>
          <w:bCs/>
          <w:color w:val="auto"/>
          <w:sz w:val="30"/>
          <w:szCs w:val="30"/>
          <w:highlight w:val="none"/>
        </w:rPr>
      </w:pPr>
      <w:r>
        <w:rPr>
          <w:rFonts w:hint="eastAsia" w:ascii="仿宋" w:hAnsi="仿宋" w:eastAsia="仿宋" w:cs="仿宋"/>
          <w:b/>
          <w:bCs/>
          <w:color w:val="auto"/>
          <w:kern w:val="0"/>
          <w:sz w:val="30"/>
          <w:szCs w:val="30"/>
          <w:highlight w:val="none"/>
          <w:lang w:val="en-US" w:eastAsia="zh-CN"/>
        </w:rPr>
        <w:t>附被授权人</w:t>
      </w:r>
      <w:r>
        <w:rPr>
          <w:rFonts w:hint="eastAsia" w:ascii="仿宋" w:hAnsi="仿宋" w:eastAsia="仿宋" w:cs="仿宋"/>
          <w:b/>
          <w:bCs/>
          <w:color w:val="auto"/>
          <w:kern w:val="0"/>
          <w:sz w:val="30"/>
          <w:szCs w:val="30"/>
          <w:highlight w:val="none"/>
        </w:rPr>
        <w:t>社保证明</w:t>
      </w:r>
      <w:r>
        <w:rPr>
          <w:rFonts w:hint="eastAsia" w:ascii="仿宋" w:hAnsi="仿宋" w:eastAsia="仿宋" w:cs="仿宋"/>
          <w:b/>
          <w:bCs/>
          <w:color w:val="auto"/>
          <w:kern w:val="0"/>
          <w:sz w:val="30"/>
          <w:szCs w:val="30"/>
          <w:highlight w:val="none"/>
          <w:lang w:val="en-US" w:eastAsia="zh-CN"/>
        </w:rPr>
        <w:t>扫描件</w:t>
      </w:r>
      <w:r>
        <w:rPr>
          <w:rFonts w:hint="eastAsia" w:ascii="仿宋" w:hAnsi="仿宋" w:eastAsia="仿宋" w:cs="仿宋"/>
          <w:b/>
          <w:bCs/>
          <w:color w:val="auto"/>
          <w:kern w:val="0"/>
          <w:sz w:val="30"/>
          <w:szCs w:val="30"/>
          <w:highlight w:val="none"/>
        </w:rPr>
        <w:t>。（社保证明指开标前二个月中任意一个月，不含开标当月（若为退休人员可提供退休及返聘证明材料））</w:t>
      </w:r>
    </w:p>
    <w:p w14:paraId="10FC09AA">
      <w:pPr>
        <w:keepNext/>
        <w:keepLines/>
        <w:shd w:val="clear"/>
        <w:spacing w:line="560" w:lineRule="exact"/>
        <w:jc w:val="center"/>
        <w:outlineLvl w:val="2"/>
        <w:rPr>
          <w:rFonts w:hint="eastAsia" w:ascii="仿宋" w:hAnsi="仿宋" w:eastAsia="仿宋" w:cs="仿宋"/>
          <w:bCs/>
          <w:color w:val="auto"/>
          <w:sz w:val="32"/>
          <w:szCs w:val="32"/>
          <w:highlight w:val="none"/>
        </w:rPr>
      </w:pPr>
      <w:r>
        <w:rPr>
          <w:rFonts w:hint="eastAsia" w:ascii="仿宋" w:hAnsi="仿宋" w:eastAsia="仿宋" w:cs="仿宋"/>
          <w:b/>
          <w:bCs/>
          <w:color w:val="auto"/>
          <w:kern w:val="0"/>
          <w:sz w:val="30"/>
          <w:szCs w:val="30"/>
          <w:highlight w:val="none"/>
          <w:lang w:val="en-US" w:eastAsia="zh-CN"/>
        </w:rPr>
        <w:t>若投标单位代表为企业法定代表人/单位负责人的，则只需提供企业法定代表人/单位负责人身份证扫描件（加盖投标单位公章）。</w:t>
      </w:r>
      <w:r>
        <w:rPr>
          <w:rFonts w:hint="eastAsia" w:ascii="仿宋" w:hAnsi="仿宋" w:eastAsia="仿宋" w:cs="仿宋"/>
          <w:b/>
          <w:bCs/>
          <w:color w:val="auto"/>
          <w:sz w:val="30"/>
          <w:szCs w:val="30"/>
          <w:highlight w:val="none"/>
        </w:rPr>
        <w:br w:type="page"/>
      </w:r>
      <w:r>
        <w:rPr>
          <w:rFonts w:hint="eastAsia" w:ascii="仿宋" w:hAnsi="仿宋" w:eastAsia="仿宋" w:cs="仿宋"/>
          <w:bCs/>
          <w:color w:val="auto"/>
          <w:sz w:val="32"/>
          <w:szCs w:val="32"/>
          <w:highlight w:val="none"/>
          <w:lang w:val="en-US" w:eastAsia="zh-CN"/>
        </w:rPr>
        <w:t>投标人</w:t>
      </w:r>
      <w:r>
        <w:rPr>
          <w:rFonts w:hint="eastAsia" w:ascii="仿宋" w:hAnsi="仿宋" w:eastAsia="仿宋" w:cs="仿宋"/>
          <w:bCs/>
          <w:color w:val="auto"/>
          <w:sz w:val="32"/>
          <w:szCs w:val="32"/>
          <w:highlight w:val="none"/>
        </w:rPr>
        <w:t>具有良好的商业信誉和财务会计制度声明</w:t>
      </w:r>
    </w:p>
    <w:p w14:paraId="4699D005">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37DAF9B7">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我单位自愿参加本项目采购活动，现郑重声明：具有良好的商业信誉和财务会计制度。</w:t>
      </w:r>
    </w:p>
    <w:p w14:paraId="22B32AE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7D113EF9">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3479CC90">
      <w:pPr>
        <w:shd w:val="clear"/>
        <w:jc w:val="center"/>
        <w:rPr>
          <w:rFonts w:hint="eastAsia" w:ascii="仿宋" w:hAnsi="仿宋" w:eastAsia="仿宋" w:cs="仿宋"/>
          <w:color w:val="auto"/>
          <w:sz w:val="28"/>
          <w:szCs w:val="28"/>
          <w:highlight w:val="none"/>
        </w:rPr>
      </w:pPr>
    </w:p>
    <w:p w14:paraId="039FF17B">
      <w:pPr>
        <w:shd w:val="clear"/>
        <w:jc w:val="center"/>
        <w:rPr>
          <w:rFonts w:hint="eastAsia" w:ascii="仿宋" w:hAnsi="仿宋" w:eastAsia="仿宋" w:cs="仿宋"/>
          <w:color w:val="auto"/>
          <w:sz w:val="28"/>
          <w:szCs w:val="28"/>
          <w:highlight w:val="none"/>
        </w:rPr>
      </w:pPr>
    </w:p>
    <w:p w14:paraId="67625EF7">
      <w:pPr>
        <w:shd w:val="clear"/>
        <w:jc w:val="center"/>
        <w:rPr>
          <w:rFonts w:hint="eastAsia" w:ascii="仿宋" w:hAnsi="仿宋" w:eastAsia="仿宋" w:cs="仿宋"/>
          <w:color w:val="auto"/>
          <w:sz w:val="28"/>
          <w:szCs w:val="28"/>
          <w:highlight w:val="none"/>
        </w:rPr>
      </w:pPr>
    </w:p>
    <w:p w14:paraId="1204B892">
      <w:pPr>
        <w:shd w:val="clear"/>
        <w:spacing w:line="520" w:lineRule="exact"/>
        <w:ind w:firstLine="3900" w:firstLineChars="1300"/>
        <w:jc w:val="right"/>
        <w:rPr>
          <w:rFonts w:hint="eastAsia" w:ascii="仿宋" w:hAnsi="仿宋" w:eastAsia="仿宋" w:cs="仿宋"/>
          <w:color w:val="auto"/>
          <w:sz w:val="30"/>
          <w:szCs w:val="30"/>
          <w:highlight w:val="none"/>
        </w:rPr>
      </w:pPr>
    </w:p>
    <w:p w14:paraId="70693076">
      <w:pPr>
        <w:shd w:val="clear"/>
        <w:rPr>
          <w:rFonts w:hint="eastAsia" w:ascii="仿宋" w:hAnsi="仿宋" w:eastAsia="仿宋" w:cs="仿宋"/>
          <w:color w:val="auto"/>
          <w:highlight w:val="none"/>
        </w:rPr>
      </w:pPr>
    </w:p>
    <w:p w14:paraId="705B10E8">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44720DA0">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0BC6D190">
      <w:pPr>
        <w:keepNext/>
        <w:keepLines/>
        <w:shd w:val="clear"/>
        <w:spacing w:line="560" w:lineRule="exact"/>
        <w:jc w:val="center"/>
        <w:outlineLvl w:val="2"/>
        <w:rPr>
          <w:rFonts w:hint="eastAsia" w:ascii="仿宋" w:hAnsi="仿宋" w:eastAsia="仿宋" w:cs="仿宋"/>
          <w:bCs/>
          <w:color w:val="auto"/>
          <w:sz w:val="32"/>
          <w:szCs w:val="32"/>
          <w:highlight w:val="none"/>
          <w:lang w:eastAsia="zh-CN"/>
        </w:rPr>
      </w:pPr>
      <w:r>
        <w:rPr>
          <w:rFonts w:hint="eastAsia" w:ascii="仿宋" w:hAnsi="仿宋" w:eastAsia="仿宋" w:cs="仿宋"/>
          <w:b/>
          <w:bCs/>
          <w:color w:val="auto"/>
          <w:sz w:val="32"/>
          <w:szCs w:val="32"/>
          <w:highlight w:val="none"/>
        </w:rPr>
        <w:br w:type="page"/>
      </w:r>
      <w:r>
        <w:rPr>
          <w:rFonts w:hint="eastAsia" w:ascii="仿宋" w:hAnsi="仿宋" w:eastAsia="仿宋" w:cs="仿宋"/>
          <w:bCs/>
          <w:color w:val="auto"/>
          <w:sz w:val="32"/>
          <w:szCs w:val="32"/>
          <w:highlight w:val="none"/>
          <w:lang w:val="en-US" w:eastAsia="zh-CN"/>
        </w:rPr>
        <w:t>投标人</w:t>
      </w:r>
      <w:r>
        <w:rPr>
          <w:rFonts w:hint="eastAsia" w:ascii="仿宋" w:hAnsi="仿宋" w:eastAsia="仿宋" w:cs="仿宋"/>
          <w:bCs/>
          <w:color w:val="auto"/>
          <w:sz w:val="32"/>
          <w:szCs w:val="32"/>
          <w:highlight w:val="none"/>
        </w:rPr>
        <w:t>具有履行合同所必</w:t>
      </w:r>
      <w:r>
        <w:rPr>
          <w:rFonts w:hint="eastAsia" w:ascii="仿宋" w:hAnsi="仿宋" w:eastAsia="仿宋" w:cs="仿宋"/>
          <w:bCs/>
          <w:color w:val="auto"/>
          <w:sz w:val="32"/>
          <w:szCs w:val="32"/>
          <w:highlight w:val="none"/>
          <w:lang w:val="en-US" w:eastAsia="zh-CN"/>
        </w:rPr>
        <w:t>须</w:t>
      </w:r>
      <w:r>
        <w:rPr>
          <w:rFonts w:hint="eastAsia" w:ascii="仿宋" w:hAnsi="仿宋" w:eastAsia="仿宋" w:cs="仿宋"/>
          <w:bCs/>
          <w:color w:val="auto"/>
          <w:sz w:val="32"/>
          <w:szCs w:val="32"/>
          <w:highlight w:val="none"/>
        </w:rPr>
        <w:t>设备和专业技术能力</w:t>
      </w:r>
      <w:r>
        <w:rPr>
          <w:rFonts w:hint="eastAsia" w:ascii="仿宋" w:hAnsi="仿宋" w:eastAsia="仿宋" w:cs="仿宋"/>
          <w:bCs/>
          <w:color w:val="auto"/>
          <w:sz w:val="32"/>
          <w:szCs w:val="32"/>
          <w:highlight w:val="none"/>
          <w:lang w:eastAsia="zh-CN"/>
        </w:rPr>
        <w:t>，并能提供优质的</w:t>
      </w:r>
    </w:p>
    <w:p w14:paraId="3C3BC001">
      <w:pPr>
        <w:keepNext/>
        <w:keepLines/>
        <w:shd w:val="clear"/>
        <w:spacing w:line="560" w:lineRule="exact"/>
        <w:jc w:val="center"/>
        <w:outlineLvl w:val="2"/>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lang w:eastAsia="zh-CN"/>
        </w:rPr>
        <w:t>服务</w:t>
      </w:r>
      <w:r>
        <w:rPr>
          <w:rFonts w:hint="eastAsia" w:ascii="仿宋" w:hAnsi="仿宋" w:eastAsia="仿宋" w:cs="仿宋"/>
          <w:bCs/>
          <w:color w:val="auto"/>
          <w:sz w:val="32"/>
          <w:szCs w:val="32"/>
          <w:highlight w:val="none"/>
        </w:rPr>
        <w:t>声明</w:t>
      </w:r>
    </w:p>
    <w:p w14:paraId="646ECF5E">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486F96FF">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我单位自愿参加本项目采购活动，现郑重声明：具有履行合同所必</w:t>
      </w:r>
      <w:r>
        <w:rPr>
          <w:rFonts w:hint="eastAsia" w:ascii="仿宋" w:hAnsi="仿宋" w:eastAsia="仿宋" w:cs="仿宋"/>
          <w:color w:val="auto"/>
          <w:kern w:val="0"/>
          <w:sz w:val="30"/>
          <w:szCs w:val="30"/>
          <w:highlight w:val="none"/>
          <w:u w:val="none"/>
          <w:lang w:val="en-US" w:eastAsia="zh-CN"/>
        </w:rPr>
        <w:t>须</w:t>
      </w:r>
      <w:r>
        <w:rPr>
          <w:rFonts w:hint="eastAsia" w:ascii="仿宋" w:hAnsi="仿宋" w:eastAsia="仿宋" w:cs="仿宋"/>
          <w:color w:val="auto"/>
          <w:kern w:val="0"/>
          <w:sz w:val="30"/>
          <w:szCs w:val="30"/>
          <w:highlight w:val="none"/>
          <w:u w:val="none"/>
        </w:rPr>
        <w:t>设备和专业技术能力</w:t>
      </w:r>
      <w:r>
        <w:rPr>
          <w:rFonts w:hint="eastAsia" w:ascii="仿宋" w:hAnsi="仿宋" w:eastAsia="仿宋" w:cs="仿宋"/>
          <w:color w:val="auto"/>
          <w:kern w:val="0"/>
          <w:sz w:val="30"/>
          <w:szCs w:val="30"/>
          <w:highlight w:val="none"/>
          <w:u w:val="none"/>
          <w:lang w:eastAsia="zh-CN"/>
        </w:rPr>
        <w:t>，并能提供优质的服务</w:t>
      </w:r>
      <w:r>
        <w:rPr>
          <w:rFonts w:hint="eastAsia" w:ascii="仿宋" w:hAnsi="仿宋" w:eastAsia="仿宋" w:cs="仿宋"/>
          <w:color w:val="auto"/>
          <w:kern w:val="0"/>
          <w:sz w:val="30"/>
          <w:szCs w:val="30"/>
          <w:highlight w:val="none"/>
          <w:u w:val="none"/>
        </w:rPr>
        <w:t>。</w:t>
      </w:r>
    </w:p>
    <w:p w14:paraId="17C740DA">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EB39842">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48D0C294">
      <w:pPr>
        <w:shd w:val="clear"/>
        <w:jc w:val="center"/>
        <w:rPr>
          <w:rFonts w:hint="eastAsia" w:ascii="仿宋" w:hAnsi="仿宋" w:eastAsia="仿宋" w:cs="仿宋"/>
          <w:color w:val="auto"/>
          <w:sz w:val="28"/>
          <w:szCs w:val="28"/>
          <w:highlight w:val="none"/>
        </w:rPr>
      </w:pPr>
    </w:p>
    <w:p w14:paraId="5DDBFD5E">
      <w:pPr>
        <w:shd w:val="clear"/>
        <w:jc w:val="center"/>
        <w:rPr>
          <w:rFonts w:hint="eastAsia" w:ascii="仿宋" w:hAnsi="仿宋" w:eastAsia="仿宋" w:cs="仿宋"/>
          <w:color w:val="auto"/>
          <w:sz w:val="28"/>
          <w:szCs w:val="28"/>
          <w:highlight w:val="none"/>
        </w:rPr>
      </w:pPr>
    </w:p>
    <w:p w14:paraId="29A3A7AB">
      <w:pPr>
        <w:shd w:val="clear"/>
        <w:jc w:val="center"/>
        <w:rPr>
          <w:rFonts w:hint="eastAsia" w:ascii="仿宋" w:hAnsi="仿宋" w:eastAsia="仿宋" w:cs="仿宋"/>
          <w:color w:val="auto"/>
          <w:sz w:val="28"/>
          <w:szCs w:val="28"/>
          <w:highlight w:val="none"/>
        </w:rPr>
      </w:pPr>
    </w:p>
    <w:p w14:paraId="4EDD99EE">
      <w:pPr>
        <w:shd w:val="clear"/>
        <w:spacing w:line="520" w:lineRule="exact"/>
        <w:ind w:firstLine="3900" w:firstLineChars="1300"/>
        <w:jc w:val="right"/>
        <w:rPr>
          <w:rFonts w:hint="eastAsia" w:ascii="仿宋" w:hAnsi="仿宋" w:eastAsia="仿宋" w:cs="仿宋"/>
          <w:color w:val="auto"/>
          <w:sz w:val="30"/>
          <w:szCs w:val="30"/>
          <w:highlight w:val="none"/>
        </w:rPr>
      </w:pPr>
    </w:p>
    <w:p w14:paraId="156F07B9">
      <w:pPr>
        <w:shd w:val="clear"/>
        <w:rPr>
          <w:rFonts w:hint="eastAsia" w:ascii="仿宋" w:hAnsi="仿宋" w:eastAsia="仿宋" w:cs="仿宋"/>
          <w:color w:val="auto"/>
          <w:highlight w:val="none"/>
        </w:rPr>
      </w:pPr>
    </w:p>
    <w:p w14:paraId="74C943AD">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1D3DB0E8">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2DF415B4">
      <w:pPr>
        <w:keepNext/>
        <w:keepLines/>
        <w:shd w:val="clear"/>
        <w:spacing w:line="560" w:lineRule="exact"/>
        <w:jc w:val="center"/>
        <w:outlineLvl w:val="2"/>
        <w:rPr>
          <w:rFonts w:hint="eastAsia" w:ascii="仿宋" w:hAnsi="仿宋" w:eastAsia="仿宋" w:cs="仿宋"/>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仿宋" w:hAnsi="仿宋" w:eastAsia="仿宋" w:cs="仿宋"/>
          <w:bCs/>
          <w:color w:val="auto"/>
          <w:sz w:val="32"/>
          <w:szCs w:val="32"/>
          <w:highlight w:val="none"/>
          <w:lang w:val="en-US" w:eastAsia="zh-CN"/>
        </w:rPr>
        <w:t>投标人具有</w:t>
      </w:r>
      <w:r>
        <w:rPr>
          <w:rFonts w:hint="eastAsia" w:ascii="仿宋" w:hAnsi="仿宋" w:eastAsia="仿宋" w:cs="仿宋"/>
          <w:bCs/>
          <w:color w:val="auto"/>
          <w:sz w:val="32"/>
          <w:szCs w:val="32"/>
          <w:highlight w:val="none"/>
        </w:rPr>
        <w:t>依法缴纳税收和社会保障资金</w:t>
      </w:r>
      <w:r>
        <w:rPr>
          <w:rFonts w:hint="eastAsia" w:ascii="仿宋" w:hAnsi="仿宋" w:eastAsia="仿宋" w:cs="仿宋"/>
          <w:bCs/>
          <w:color w:val="auto"/>
          <w:sz w:val="32"/>
          <w:szCs w:val="32"/>
          <w:highlight w:val="none"/>
          <w:lang w:val="en-US" w:eastAsia="zh-CN"/>
        </w:rPr>
        <w:t>的良好记录</w:t>
      </w:r>
      <w:r>
        <w:rPr>
          <w:rFonts w:hint="eastAsia" w:ascii="仿宋" w:hAnsi="仿宋" w:eastAsia="仿宋" w:cs="仿宋"/>
          <w:bCs/>
          <w:color w:val="auto"/>
          <w:sz w:val="32"/>
          <w:szCs w:val="32"/>
          <w:highlight w:val="none"/>
        </w:rPr>
        <w:t>声明</w:t>
      </w:r>
    </w:p>
    <w:p w14:paraId="477EBFF7">
      <w:pPr>
        <w:shd w:val="clear"/>
        <w:spacing w:line="560" w:lineRule="exact"/>
        <w:ind w:firstLine="600" w:firstLineChars="200"/>
        <w:rPr>
          <w:rFonts w:hint="eastAsia" w:ascii="仿宋" w:hAnsi="仿宋" w:eastAsia="仿宋" w:cs="仿宋"/>
          <w:color w:val="auto"/>
          <w:kern w:val="0"/>
          <w:sz w:val="30"/>
          <w:szCs w:val="30"/>
          <w:highlight w:val="none"/>
          <w:u w:val="none"/>
        </w:rPr>
      </w:pPr>
      <w:bookmarkStart w:id="18" w:name="_Toc522526785"/>
    </w:p>
    <w:p w14:paraId="7E2C7C96">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w:t>
      </w:r>
      <w:r>
        <w:rPr>
          <w:rFonts w:hint="eastAsia" w:ascii="仿宋" w:hAnsi="仿宋" w:eastAsia="仿宋" w:cs="仿宋"/>
          <w:color w:val="auto"/>
          <w:kern w:val="0"/>
          <w:sz w:val="30"/>
          <w:szCs w:val="30"/>
          <w:highlight w:val="none"/>
          <w:u w:val="none"/>
          <w:lang w:val="en-US" w:eastAsia="zh-CN"/>
        </w:rPr>
        <w:t>已依法缴纳税收和社会保障资金</w:t>
      </w:r>
      <w:r>
        <w:rPr>
          <w:rFonts w:hint="eastAsia" w:ascii="仿宋" w:hAnsi="仿宋" w:eastAsia="仿宋" w:cs="仿宋"/>
          <w:color w:val="auto"/>
          <w:kern w:val="0"/>
          <w:sz w:val="30"/>
          <w:szCs w:val="30"/>
          <w:highlight w:val="none"/>
          <w:u w:val="none"/>
        </w:rPr>
        <w:t>。</w:t>
      </w:r>
    </w:p>
    <w:p w14:paraId="5B1F8F38">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9E89B0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7232C49F">
      <w:pPr>
        <w:shd w:val="clear"/>
        <w:jc w:val="center"/>
        <w:rPr>
          <w:rFonts w:hint="eastAsia" w:ascii="仿宋" w:hAnsi="仿宋" w:eastAsia="仿宋" w:cs="仿宋"/>
          <w:color w:val="auto"/>
          <w:sz w:val="28"/>
          <w:szCs w:val="28"/>
          <w:highlight w:val="none"/>
        </w:rPr>
      </w:pPr>
    </w:p>
    <w:p w14:paraId="1CCB6983">
      <w:pPr>
        <w:shd w:val="clear"/>
        <w:jc w:val="center"/>
        <w:rPr>
          <w:rFonts w:hint="eastAsia" w:ascii="仿宋" w:hAnsi="仿宋" w:eastAsia="仿宋" w:cs="仿宋"/>
          <w:color w:val="auto"/>
          <w:sz w:val="28"/>
          <w:szCs w:val="28"/>
          <w:highlight w:val="none"/>
        </w:rPr>
      </w:pPr>
    </w:p>
    <w:p w14:paraId="1CDD76B0">
      <w:pPr>
        <w:shd w:val="clear"/>
        <w:jc w:val="center"/>
        <w:rPr>
          <w:rFonts w:hint="eastAsia" w:ascii="仿宋" w:hAnsi="仿宋" w:eastAsia="仿宋" w:cs="仿宋"/>
          <w:color w:val="auto"/>
          <w:sz w:val="28"/>
          <w:szCs w:val="28"/>
          <w:highlight w:val="none"/>
        </w:rPr>
      </w:pPr>
    </w:p>
    <w:p w14:paraId="149C0173">
      <w:pPr>
        <w:shd w:val="clear"/>
        <w:spacing w:line="520" w:lineRule="exact"/>
        <w:ind w:firstLine="3900" w:firstLineChars="1300"/>
        <w:jc w:val="right"/>
        <w:rPr>
          <w:rFonts w:hint="eastAsia" w:ascii="仿宋" w:hAnsi="仿宋" w:eastAsia="仿宋" w:cs="仿宋"/>
          <w:color w:val="auto"/>
          <w:sz w:val="30"/>
          <w:szCs w:val="30"/>
          <w:highlight w:val="none"/>
        </w:rPr>
      </w:pPr>
    </w:p>
    <w:p w14:paraId="6D30BCE5">
      <w:pPr>
        <w:shd w:val="clear"/>
        <w:rPr>
          <w:rFonts w:hint="eastAsia" w:ascii="仿宋" w:hAnsi="仿宋" w:eastAsia="仿宋" w:cs="仿宋"/>
          <w:color w:val="auto"/>
          <w:highlight w:val="none"/>
        </w:rPr>
      </w:pPr>
    </w:p>
    <w:p w14:paraId="2D3A4D00">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7B7B8202">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51C49953">
      <w:pPr>
        <w:shd w:val="clear"/>
        <w:jc w:val="center"/>
        <w:rPr>
          <w:rFonts w:hint="eastAsia" w:ascii="仿宋" w:hAnsi="仿宋" w:eastAsia="仿宋" w:cs="仿宋"/>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仿宋" w:hAnsi="仿宋" w:eastAsia="仿宋" w:cs="仿宋"/>
          <w:bCs/>
          <w:color w:val="auto"/>
          <w:sz w:val="32"/>
          <w:szCs w:val="32"/>
          <w:highlight w:val="none"/>
        </w:rPr>
        <w:t>无重大违法记录声明</w:t>
      </w:r>
    </w:p>
    <w:p w14:paraId="358AF443">
      <w:pPr>
        <w:shd w:val="clear"/>
        <w:spacing w:line="480" w:lineRule="auto"/>
        <w:rPr>
          <w:rFonts w:hint="eastAsia" w:ascii="仿宋" w:hAnsi="仿宋" w:eastAsia="仿宋" w:cs="仿宋"/>
          <w:bCs/>
          <w:color w:val="auto"/>
          <w:sz w:val="28"/>
          <w:szCs w:val="28"/>
          <w:highlight w:val="none"/>
        </w:rPr>
      </w:pPr>
    </w:p>
    <w:p w14:paraId="00B036E0">
      <w:pPr>
        <w:shd w:val="clear"/>
        <w:spacing w:line="48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lang w:eastAsia="zh-CN"/>
        </w:rPr>
        <w:t>山东志诚工程咨询管理有限公司</w:t>
      </w:r>
      <w:r>
        <w:rPr>
          <w:rFonts w:hint="eastAsia" w:ascii="仿宋" w:hAnsi="仿宋" w:eastAsia="仿宋" w:cs="仿宋"/>
          <w:bCs/>
          <w:color w:val="auto"/>
          <w:sz w:val="28"/>
          <w:szCs w:val="28"/>
          <w:highlight w:val="none"/>
        </w:rPr>
        <w:t>：</w:t>
      </w:r>
    </w:p>
    <w:p w14:paraId="51700C8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现郑重声明</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自参加本项目采购活动前三年内</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 xml:space="preserve">无因违法经营受到刑事处罚或者责令停产停业的、吊销许可证或者执照的、较大数额罚款等行政处罚。  </w:t>
      </w:r>
    </w:p>
    <w:p w14:paraId="4692796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如有瞒报、虚报</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自行承担因此产生的所有法律责任。</w:t>
      </w:r>
    </w:p>
    <w:p w14:paraId="2FAD8728">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特此声明！</w:t>
      </w:r>
    </w:p>
    <w:p w14:paraId="447A24DE">
      <w:pPr>
        <w:shd w:val="clear"/>
        <w:spacing w:line="480" w:lineRule="auto"/>
        <w:ind w:left="1747" w:leftChars="832"/>
        <w:rPr>
          <w:rFonts w:hint="eastAsia" w:ascii="仿宋" w:hAnsi="仿宋" w:eastAsia="仿宋" w:cs="仿宋"/>
          <w:bCs/>
          <w:color w:val="auto"/>
          <w:sz w:val="28"/>
          <w:szCs w:val="28"/>
          <w:highlight w:val="none"/>
        </w:rPr>
      </w:pPr>
    </w:p>
    <w:p w14:paraId="7CE9D1C5">
      <w:pPr>
        <w:shd w:val="clear"/>
        <w:spacing w:line="480" w:lineRule="auto"/>
        <w:ind w:left="1747" w:leftChars="832"/>
        <w:rPr>
          <w:rFonts w:hint="eastAsia" w:ascii="仿宋" w:hAnsi="仿宋" w:eastAsia="仿宋" w:cs="仿宋"/>
          <w:bCs/>
          <w:color w:val="auto"/>
          <w:sz w:val="28"/>
          <w:szCs w:val="28"/>
          <w:highlight w:val="none"/>
        </w:rPr>
      </w:pPr>
    </w:p>
    <w:p w14:paraId="0AD4F1FA">
      <w:pPr>
        <w:shd w:val="clear"/>
        <w:spacing w:line="480" w:lineRule="auto"/>
        <w:ind w:left="1747" w:leftChars="832"/>
        <w:rPr>
          <w:rFonts w:hint="eastAsia" w:ascii="仿宋" w:hAnsi="仿宋" w:eastAsia="仿宋" w:cs="仿宋"/>
          <w:bCs/>
          <w:color w:val="auto"/>
          <w:sz w:val="28"/>
          <w:szCs w:val="28"/>
          <w:highlight w:val="none"/>
        </w:rPr>
      </w:pPr>
    </w:p>
    <w:p w14:paraId="7ECCFEEA">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w:t>
      </w:r>
      <w:r>
        <w:rPr>
          <w:rFonts w:hint="eastAsia" w:ascii="仿宋" w:hAnsi="仿宋" w:eastAsia="仿宋" w:cs="仿宋"/>
          <w:color w:val="auto"/>
          <w:kern w:val="0"/>
          <w:sz w:val="28"/>
          <w:szCs w:val="28"/>
          <w:highlight w:val="none"/>
          <w:lang w:val="en-US" w:eastAsia="zh-CN"/>
        </w:rPr>
        <w:t>签</w:t>
      </w:r>
      <w:r>
        <w:rPr>
          <w:rFonts w:hint="eastAsia" w:ascii="仿宋" w:hAnsi="仿宋" w:eastAsia="仿宋" w:cs="仿宋"/>
          <w:color w:val="auto"/>
          <w:kern w:val="0"/>
          <w:sz w:val="28"/>
          <w:szCs w:val="28"/>
          <w:highlight w:val="none"/>
        </w:rPr>
        <w:t xml:space="preserve">章）：        </w:t>
      </w:r>
    </w:p>
    <w:p w14:paraId="7FC62A20">
      <w:pPr>
        <w:keepNext/>
        <w:keepLines/>
        <w:shd w:val="clear"/>
        <w:spacing w:line="560" w:lineRule="exact"/>
        <w:jc w:val="center"/>
        <w:outlineLvl w:val="2"/>
        <w:rPr>
          <w:rFonts w:hint="eastAsia" w:ascii="仿宋" w:hAnsi="仿宋" w:eastAsia="仿宋" w:cs="仿宋"/>
          <w:bCs/>
          <w:color w:val="auto"/>
          <w:sz w:val="32"/>
          <w:szCs w:val="32"/>
          <w:highlight w:val="none"/>
        </w:rPr>
      </w:pPr>
      <w:r>
        <w:rPr>
          <w:rFonts w:hint="eastAsia" w:ascii="仿宋" w:hAnsi="仿宋" w:eastAsia="仿宋" w:cs="仿宋"/>
          <w:b/>
          <w:color w:val="auto"/>
          <w:sz w:val="28"/>
          <w:szCs w:val="28"/>
          <w:highlight w:val="none"/>
        </w:rPr>
        <w:br w:type="page"/>
      </w:r>
      <w:bookmarkEnd w:id="18"/>
      <w:bookmarkStart w:id="19" w:name="_Toc521936050"/>
      <w:bookmarkStart w:id="20" w:name="_Toc522526789"/>
      <w:r>
        <w:rPr>
          <w:rFonts w:hint="eastAsia" w:ascii="仿宋" w:hAnsi="仿宋" w:eastAsia="仿宋" w:cs="仿宋"/>
          <w:bCs/>
          <w:color w:val="auto"/>
          <w:sz w:val="32"/>
          <w:szCs w:val="32"/>
          <w:highlight w:val="none"/>
        </w:rPr>
        <w:t>投标人及其法定代表人/单位负责人、被授权人未被最高人民法院列为失信被执行人网站查询结果截图</w:t>
      </w:r>
    </w:p>
    <w:p w14:paraId="287B6E4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F8208A2">
      <w:pPr>
        <w:shd w:val="clear"/>
        <w:snapToGrid w:val="0"/>
        <w:spacing w:line="560" w:lineRule="exact"/>
        <w:ind w:firstLine="56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查询路径见投标须知前附表</w:t>
      </w:r>
      <w:r>
        <w:rPr>
          <w:rFonts w:hint="eastAsia" w:ascii="仿宋" w:hAnsi="仿宋" w:eastAsia="仿宋" w:cs="仿宋"/>
          <w:color w:val="auto"/>
          <w:sz w:val="28"/>
          <w:szCs w:val="28"/>
          <w:highlight w:val="none"/>
          <w:lang w:eastAsia="zh-CN"/>
        </w:rPr>
        <w:t>。</w:t>
      </w:r>
    </w:p>
    <w:p w14:paraId="4CF29271">
      <w:pPr>
        <w:shd w:val="clear"/>
        <w:snapToGrid w:val="0"/>
        <w:spacing w:line="560" w:lineRule="exact"/>
        <w:ind w:firstLine="562" w:firstLineChars="201"/>
        <w:rPr>
          <w:rFonts w:hint="eastAsia" w:ascii="仿宋" w:hAnsi="仿宋" w:eastAsia="仿宋" w:cs="仿宋"/>
          <w:color w:val="auto"/>
          <w:sz w:val="28"/>
          <w:szCs w:val="28"/>
          <w:highlight w:val="none"/>
        </w:rPr>
      </w:pPr>
    </w:p>
    <w:p w14:paraId="7B295FF5">
      <w:pPr>
        <w:pStyle w:val="10"/>
        <w:shd w:val="clear"/>
        <w:rPr>
          <w:rFonts w:hint="eastAsia" w:ascii="仿宋" w:hAnsi="仿宋" w:eastAsia="仿宋" w:cs="仿宋"/>
          <w:color w:val="auto"/>
          <w:highlight w:val="none"/>
        </w:rPr>
      </w:pPr>
    </w:p>
    <w:p w14:paraId="7065D2E2">
      <w:pPr>
        <w:shd w:val="clear"/>
        <w:snapToGrid w:val="0"/>
        <w:spacing w:line="560" w:lineRule="exact"/>
        <w:ind w:firstLine="562" w:firstLineChars="201"/>
        <w:rPr>
          <w:rFonts w:hint="eastAsia" w:ascii="仿宋" w:hAnsi="仿宋" w:eastAsia="仿宋" w:cs="仿宋"/>
          <w:color w:val="auto"/>
          <w:sz w:val="28"/>
          <w:szCs w:val="28"/>
          <w:highlight w:val="none"/>
        </w:rPr>
      </w:pPr>
    </w:p>
    <w:p w14:paraId="48F06331">
      <w:pPr>
        <w:shd w:val="clear"/>
        <w:snapToGrid w:val="0"/>
        <w:spacing w:line="560" w:lineRule="exact"/>
        <w:ind w:firstLine="562" w:firstLineChars="201"/>
        <w:rPr>
          <w:rFonts w:hint="eastAsia" w:ascii="仿宋" w:hAnsi="仿宋" w:eastAsia="仿宋" w:cs="仿宋"/>
          <w:color w:val="auto"/>
          <w:sz w:val="28"/>
          <w:szCs w:val="28"/>
          <w:highlight w:val="none"/>
        </w:rPr>
      </w:pPr>
    </w:p>
    <w:p w14:paraId="2CDB4A0F">
      <w:pPr>
        <w:shd w:val="clear"/>
        <w:jc w:val="center"/>
        <w:rPr>
          <w:rFonts w:hint="eastAsia" w:ascii="仿宋" w:hAnsi="仿宋" w:eastAsia="仿宋" w:cs="仿宋"/>
          <w:b/>
          <w:color w:val="auto"/>
          <w:sz w:val="28"/>
          <w:szCs w:val="28"/>
          <w:highlight w:val="none"/>
        </w:rPr>
      </w:pPr>
    </w:p>
    <w:p w14:paraId="72B250E8">
      <w:pPr>
        <w:shd w:val="clear"/>
        <w:jc w:val="center"/>
        <w:rPr>
          <w:rFonts w:hint="eastAsia" w:ascii="仿宋" w:hAnsi="仿宋" w:eastAsia="仿宋" w:cs="仿宋"/>
          <w:b/>
          <w:color w:val="auto"/>
          <w:sz w:val="28"/>
          <w:szCs w:val="28"/>
          <w:highlight w:val="none"/>
        </w:rPr>
      </w:pPr>
    </w:p>
    <w:p w14:paraId="54193184">
      <w:pPr>
        <w:shd w:val="clear"/>
        <w:jc w:val="center"/>
        <w:rPr>
          <w:rFonts w:hint="eastAsia" w:ascii="仿宋" w:hAnsi="仿宋" w:eastAsia="仿宋" w:cs="仿宋"/>
          <w:b/>
          <w:color w:val="auto"/>
          <w:sz w:val="28"/>
          <w:szCs w:val="28"/>
          <w:highlight w:val="none"/>
        </w:rPr>
      </w:pPr>
    </w:p>
    <w:p w14:paraId="4871CB68">
      <w:pPr>
        <w:shd w:val="clear"/>
        <w:jc w:val="center"/>
        <w:rPr>
          <w:rFonts w:hint="eastAsia" w:ascii="仿宋" w:hAnsi="仿宋" w:eastAsia="仿宋" w:cs="仿宋"/>
          <w:b/>
          <w:color w:val="auto"/>
          <w:sz w:val="28"/>
          <w:szCs w:val="28"/>
          <w:highlight w:val="none"/>
        </w:rPr>
      </w:pPr>
    </w:p>
    <w:p w14:paraId="176C4AD0">
      <w:pPr>
        <w:shd w:val="clear"/>
        <w:jc w:val="center"/>
        <w:rPr>
          <w:rFonts w:hint="eastAsia" w:ascii="仿宋" w:hAnsi="仿宋" w:eastAsia="仿宋" w:cs="仿宋"/>
          <w:b/>
          <w:color w:val="auto"/>
          <w:sz w:val="28"/>
          <w:szCs w:val="28"/>
          <w:highlight w:val="none"/>
        </w:rPr>
      </w:pPr>
    </w:p>
    <w:p w14:paraId="4FAEC067">
      <w:pPr>
        <w:shd w:val="clear"/>
        <w:snapToGrid w:val="0"/>
        <w:spacing w:line="560" w:lineRule="exact"/>
        <w:ind w:firstLine="643" w:firstLineChars="201"/>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3244A8E5">
      <w:pPr>
        <w:keepNext/>
        <w:keepLines/>
        <w:shd w:val="clear"/>
        <w:spacing w:line="560" w:lineRule="exact"/>
        <w:jc w:val="center"/>
        <w:outlineLvl w:val="2"/>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投标人近一年在“信用中国”或“信用中国（山东）”无严重失信记录，附通过网站查询的信用报告</w:t>
      </w:r>
    </w:p>
    <w:p w14:paraId="25CC3D41">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06D1ED3">
      <w:pPr>
        <w:shd w:val="clear"/>
        <w:snapToGrid w:val="0"/>
        <w:spacing w:line="560" w:lineRule="exact"/>
        <w:ind w:firstLine="562" w:firstLineChars="201"/>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查询路径见投标须知前附表</w:t>
      </w:r>
      <w:r>
        <w:rPr>
          <w:rFonts w:hint="eastAsia" w:ascii="仿宋" w:hAnsi="仿宋" w:eastAsia="仿宋" w:cs="仿宋"/>
          <w:color w:val="auto"/>
          <w:sz w:val="28"/>
          <w:szCs w:val="28"/>
          <w:highlight w:val="none"/>
          <w:lang w:eastAsia="zh-CN"/>
        </w:rPr>
        <w:t>。</w:t>
      </w:r>
    </w:p>
    <w:p w14:paraId="56B97B7D">
      <w:pPr>
        <w:shd w:val="clear"/>
        <w:snapToGrid w:val="0"/>
        <w:spacing w:line="560" w:lineRule="exact"/>
        <w:ind w:firstLine="562" w:firstLineChars="201"/>
        <w:rPr>
          <w:rFonts w:hint="eastAsia" w:ascii="仿宋" w:hAnsi="仿宋" w:eastAsia="仿宋" w:cs="仿宋"/>
          <w:color w:val="auto"/>
          <w:sz w:val="28"/>
          <w:szCs w:val="28"/>
          <w:highlight w:val="none"/>
        </w:rPr>
      </w:pPr>
    </w:p>
    <w:p w14:paraId="66B11F40">
      <w:pPr>
        <w:shd w:val="clear"/>
        <w:snapToGrid w:val="0"/>
        <w:spacing w:line="560" w:lineRule="exact"/>
        <w:ind w:firstLine="562" w:firstLineChars="201"/>
        <w:rPr>
          <w:rFonts w:hint="eastAsia" w:ascii="仿宋" w:hAnsi="仿宋" w:eastAsia="仿宋" w:cs="仿宋"/>
          <w:color w:val="auto"/>
          <w:sz w:val="28"/>
          <w:szCs w:val="28"/>
          <w:highlight w:val="none"/>
        </w:rPr>
      </w:pPr>
    </w:p>
    <w:p w14:paraId="0AE8EBDF">
      <w:pPr>
        <w:shd w:val="clear"/>
        <w:snapToGrid w:val="0"/>
        <w:spacing w:line="560" w:lineRule="exact"/>
        <w:ind w:firstLine="562" w:firstLineChars="201"/>
        <w:rPr>
          <w:rFonts w:hint="eastAsia" w:ascii="仿宋" w:hAnsi="仿宋" w:eastAsia="仿宋" w:cs="仿宋"/>
          <w:color w:val="auto"/>
          <w:sz w:val="28"/>
          <w:szCs w:val="28"/>
          <w:highlight w:val="none"/>
        </w:rPr>
      </w:pPr>
    </w:p>
    <w:p w14:paraId="19A60995">
      <w:pPr>
        <w:shd w:val="clea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40D2292A">
      <w:pPr>
        <w:shd w:val="clear"/>
        <w:snapToGrid w:val="0"/>
        <w:spacing w:line="560" w:lineRule="exact"/>
        <w:ind w:firstLine="562" w:firstLineChars="201"/>
        <w:rPr>
          <w:rFonts w:hint="eastAsia" w:ascii="仿宋" w:hAnsi="仿宋" w:eastAsia="仿宋" w:cs="仿宋"/>
          <w:color w:val="auto"/>
          <w:sz w:val="28"/>
          <w:szCs w:val="28"/>
          <w:highlight w:val="none"/>
        </w:rPr>
      </w:pPr>
    </w:p>
    <w:p w14:paraId="3F37C497">
      <w:pPr>
        <w:shd w:val="clear"/>
        <w:snapToGrid w:val="0"/>
        <w:spacing w:line="560" w:lineRule="exact"/>
        <w:ind w:firstLine="562" w:firstLineChars="201"/>
        <w:rPr>
          <w:rFonts w:hint="eastAsia" w:ascii="仿宋" w:hAnsi="仿宋" w:eastAsia="仿宋" w:cs="仿宋"/>
          <w:color w:val="auto"/>
          <w:sz w:val="28"/>
          <w:szCs w:val="28"/>
          <w:highlight w:val="none"/>
        </w:rPr>
      </w:pPr>
    </w:p>
    <w:p w14:paraId="390F3EA6">
      <w:pPr>
        <w:shd w:val="clear"/>
        <w:snapToGrid w:val="0"/>
        <w:spacing w:line="560" w:lineRule="exact"/>
        <w:ind w:firstLine="562" w:firstLineChars="201"/>
        <w:rPr>
          <w:rFonts w:hint="eastAsia" w:ascii="仿宋" w:hAnsi="仿宋" w:eastAsia="仿宋" w:cs="仿宋"/>
          <w:color w:val="auto"/>
          <w:sz w:val="28"/>
          <w:szCs w:val="28"/>
          <w:highlight w:val="none"/>
        </w:rPr>
      </w:pPr>
    </w:p>
    <w:p w14:paraId="2DE5CDDC">
      <w:pPr>
        <w:shd w:val="clear"/>
        <w:jc w:val="center"/>
        <w:rPr>
          <w:rFonts w:hint="eastAsia" w:ascii="仿宋" w:hAnsi="仿宋" w:eastAsia="仿宋" w:cs="仿宋"/>
          <w:b/>
          <w:color w:val="auto"/>
          <w:sz w:val="28"/>
          <w:szCs w:val="28"/>
          <w:highlight w:val="none"/>
        </w:rPr>
      </w:pPr>
    </w:p>
    <w:p w14:paraId="5D4A0609">
      <w:pPr>
        <w:shd w:val="clear"/>
        <w:jc w:val="center"/>
        <w:rPr>
          <w:rFonts w:hint="eastAsia" w:ascii="仿宋" w:hAnsi="仿宋" w:eastAsia="仿宋" w:cs="仿宋"/>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bookmarkEnd w:id="19"/>
    <w:bookmarkEnd w:id="20"/>
    <w:p w14:paraId="18B65156">
      <w:pPr>
        <w:keepNext/>
        <w:keepLines/>
        <w:shd w:val="clear"/>
        <w:spacing w:line="560" w:lineRule="exact"/>
        <w:jc w:val="center"/>
        <w:outlineLvl w:val="2"/>
        <w:rPr>
          <w:rFonts w:hint="eastAsia" w:ascii="仿宋" w:hAnsi="仿宋" w:eastAsia="仿宋" w:cs="仿宋"/>
          <w:bCs/>
          <w:color w:val="auto"/>
          <w:sz w:val="32"/>
          <w:szCs w:val="32"/>
          <w:highlight w:val="none"/>
          <w:lang w:val="en-US" w:eastAsia="zh-CN"/>
        </w:rPr>
      </w:pPr>
      <w:r>
        <w:rPr>
          <w:rFonts w:hint="eastAsia" w:ascii="仿宋" w:hAnsi="仿宋" w:eastAsia="仿宋" w:cs="仿宋"/>
          <w:bCs/>
          <w:color w:val="auto"/>
          <w:sz w:val="32"/>
          <w:szCs w:val="32"/>
          <w:highlight w:val="none"/>
          <w:lang w:val="en-US" w:eastAsia="zh-CN"/>
        </w:rPr>
        <w:t>承诺函</w:t>
      </w:r>
    </w:p>
    <w:p w14:paraId="2A549398">
      <w:pPr>
        <w:shd w:val="clear"/>
        <w:spacing w:line="48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lang w:eastAsia="zh-CN"/>
        </w:rPr>
        <w:t>山东志诚工程咨询管理有限公司</w:t>
      </w:r>
      <w:r>
        <w:rPr>
          <w:rFonts w:hint="eastAsia" w:ascii="仿宋" w:hAnsi="仿宋" w:eastAsia="仿宋" w:cs="仿宋"/>
          <w:bCs/>
          <w:color w:val="auto"/>
          <w:sz w:val="28"/>
          <w:szCs w:val="28"/>
          <w:highlight w:val="none"/>
        </w:rPr>
        <w:t>：</w:t>
      </w:r>
    </w:p>
    <w:p w14:paraId="3A3924FC">
      <w:pPr>
        <w:keepNext w:val="0"/>
        <w:keepLines w:val="0"/>
        <w:pageBreakBefore w:val="0"/>
        <w:widowControl/>
        <w:shd w:val="clear"/>
        <w:kinsoku/>
        <w:wordWrap/>
        <w:overflowPunct/>
        <w:topLinePunct w:val="0"/>
        <w:autoSpaceDE/>
        <w:autoSpaceDN/>
        <w:bidi w:val="0"/>
        <w:adjustRightInd w:val="0"/>
        <w:spacing w:line="560" w:lineRule="exact"/>
        <w:ind w:firstLine="600" w:firstLineChars="200"/>
        <w:jc w:val="both"/>
        <w:textAlignment w:val="auto"/>
        <w:rPr>
          <w:rFonts w:hint="eastAsia" w:ascii="仿宋" w:hAnsi="仿宋" w:eastAsia="仿宋" w:cs="仿宋"/>
          <w:color w:val="auto"/>
          <w:kern w:val="0"/>
          <w:sz w:val="30"/>
          <w:szCs w:val="30"/>
          <w:highlight w:val="none"/>
          <w:u w:val="none"/>
          <w:lang w:val="en-US" w:eastAsia="zh-CN"/>
        </w:rPr>
      </w:pPr>
      <w:r>
        <w:rPr>
          <w:rFonts w:hint="eastAsia" w:ascii="仿宋" w:hAnsi="仿宋" w:eastAsia="仿宋" w:cs="仿宋"/>
          <w:color w:val="auto"/>
          <w:kern w:val="0"/>
          <w:sz w:val="30"/>
          <w:szCs w:val="30"/>
          <w:highlight w:val="none"/>
          <w:u w:val="none"/>
        </w:rPr>
        <w:t>我单位自愿参加本项目采购活动，现</w:t>
      </w:r>
      <w:r>
        <w:rPr>
          <w:rFonts w:hint="eastAsia" w:ascii="仿宋" w:hAnsi="仿宋" w:eastAsia="仿宋" w:cs="仿宋"/>
          <w:color w:val="auto"/>
          <w:kern w:val="0"/>
          <w:sz w:val="30"/>
          <w:szCs w:val="30"/>
          <w:highlight w:val="none"/>
          <w:u w:val="none"/>
          <w:lang w:val="en-US" w:eastAsia="zh-CN"/>
        </w:rPr>
        <w:t>承诺如下：</w:t>
      </w:r>
    </w:p>
    <w:p w14:paraId="0BC066C1">
      <w:pPr>
        <w:shd w:val="clear"/>
        <w:spacing w:line="480" w:lineRule="auto"/>
        <w:ind w:firstLine="560" w:firstLineChars="200"/>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1.我单位</w:t>
      </w:r>
      <w:r>
        <w:rPr>
          <w:rFonts w:hint="eastAsia" w:ascii="仿宋" w:hAnsi="仿宋" w:eastAsia="仿宋" w:cs="仿宋"/>
          <w:color w:val="auto"/>
          <w:sz w:val="28"/>
          <w:szCs w:val="28"/>
          <w:highlight w:val="none"/>
          <w:lang w:val="en-US" w:eastAsia="zh-CN"/>
        </w:rPr>
        <w:t>满足中华人民共和国应急管理部令(第7号)《社会消防技术服务管理规定》第五条“从事消防设施维护保养检测的消防技术服务机构”的要求；</w:t>
      </w:r>
    </w:p>
    <w:p w14:paraId="11817D4D">
      <w:pPr>
        <w:shd w:val="clear"/>
        <w:spacing w:line="480" w:lineRule="auto"/>
        <w:ind w:firstLine="560" w:firstLineChars="200"/>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2.我单位本次投标非</w:t>
      </w:r>
      <w:r>
        <w:rPr>
          <w:rFonts w:hint="eastAsia" w:ascii="仿宋" w:hAnsi="仿宋" w:eastAsia="仿宋" w:cs="仿宋"/>
          <w:bCs/>
          <w:color w:val="auto"/>
          <w:sz w:val="28"/>
          <w:szCs w:val="28"/>
          <w:highlight w:val="none"/>
        </w:rPr>
        <w:t>联合体投标</w:t>
      </w:r>
      <w:r>
        <w:rPr>
          <w:rFonts w:hint="eastAsia" w:ascii="仿宋" w:hAnsi="仿宋" w:eastAsia="仿宋" w:cs="仿宋"/>
          <w:bCs/>
          <w:color w:val="auto"/>
          <w:sz w:val="28"/>
          <w:szCs w:val="28"/>
          <w:highlight w:val="none"/>
          <w:lang w:eastAsia="zh-CN"/>
        </w:rPr>
        <w:t>；</w:t>
      </w:r>
    </w:p>
    <w:p w14:paraId="21FE6BFB">
      <w:pPr>
        <w:shd w:val="clear"/>
        <w:spacing w:line="480" w:lineRule="auto"/>
        <w:ind w:firstLine="592" w:firstLineChars="200"/>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3.我单位</w:t>
      </w:r>
      <w:r>
        <w:rPr>
          <w:rFonts w:hint="eastAsia" w:ascii="仿宋" w:hAnsi="仿宋" w:eastAsia="仿宋" w:cs="仿宋"/>
          <w:color w:val="auto"/>
          <w:spacing w:val="8"/>
          <w:kern w:val="0"/>
          <w:sz w:val="28"/>
          <w:szCs w:val="28"/>
          <w:highlight w:val="none"/>
        </w:rPr>
        <w:t>不存在招标文件24.1条规定的资格审查不通过的情形。</w:t>
      </w:r>
    </w:p>
    <w:p w14:paraId="23860FE9">
      <w:pPr>
        <w:shd w:val="clear"/>
        <w:spacing w:line="480" w:lineRule="auto"/>
        <w:ind w:firstLine="560" w:firstLineChars="200"/>
        <w:rPr>
          <w:rFonts w:hint="eastAsia" w:ascii="仿宋" w:hAnsi="仿宋" w:eastAsia="仿宋" w:cs="仿宋"/>
          <w:bCs/>
          <w:color w:val="auto"/>
          <w:sz w:val="28"/>
          <w:szCs w:val="28"/>
          <w:highlight w:val="none"/>
        </w:rPr>
      </w:pPr>
    </w:p>
    <w:p w14:paraId="41F16B64">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特此</w:t>
      </w:r>
      <w:r>
        <w:rPr>
          <w:rFonts w:hint="eastAsia" w:ascii="仿宋" w:hAnsi="仿宋" w:eastAsia="仿宋" w:cs="仿宋"/>
          <w:bCs/>
          <w:color w:val="auto"/>
          <w:sz w:val="28"/>
          <w:szCs w:val="28"/>
          <w:highlight w:val="none"/>
          <w:lang w:val="en-US" w:eastAsia="zh-CN"/>
        </w:rPr>
        <w:t>承诺</w:t>
      </w:r>
      <w:r>
        <w:rPr>
          <w:rFonts w:hint="eastAsia" w:ascii="仿宋" w:hAnsi="仿宋" w:eastAsia="仿宋" w:cs="仿宋"/>
          <w:bCs/>
          <w:color w:val="auto"/>
          <w:sz w:val="28"/>
          <w:szCs w:val="28"/>
          <w:highlight w:val="none"/>
        </w:rPr>
        <w:t>！</w:t>
      </w:r>
    </w:p>
    <w:p w14:paraId="521C6F9B">
      <w:pPr>
        <w:shd w:val="clear"/>
        <w:spacing w:line="480" w:lineRule="auto"/>
        <w:ind w:firstLine="592" w:firstLineChars="200"/>
        <w:rPr>
          <w:rFonts w:hint="eastAsia" w:ascii="仿宋" w:hAnsi="仿宋" w:eastAsia="仿宋" w:cs="仿宋"/>
          <w:color w:val="auto"/>
          <w:spacing w:val="8"/>
          <w:kern w:val="0"/>
          <w:sz w:val="28"/>
          <w:szCs w:val="28"/>
          <w:highlight w:val="none"/>
        </w:rPr>
      </w:pPr>
    </w:p>
    <w:p w14:paraId="1DF5EE94">
      <w:pPr>
        <w:shd w:val="clear"/>
        <w:spacing w:line="480" w:lineRule="auto"/>
        <w:ind w:firstLine="560" w:firstLineChars="200"/>
        <w:rPr>
          <w:rFonts w:hint="eastAsia" w:ascii="仿宋" w:hAnsi="仿宋" w:eastAsia="仿宋" w:cs="仿宋"/>
          <w:bCs/>
          <w:color w:val="auto"/>
          <w:sz w:val="28"/>
          <w:szCs w:val="28"/>
          <w:highlight w:val="none"/>
        </w:rPr>
      </w:pPr>
    </w:p>
    <w:p w14:paraId="570920D9">
      <w:pPr>
        <w:shd w:val="clear"/>
        <w:spacing w:line="480" w:lineRule="auto"/>
        <w:ind w:firstLine="560" w:firstLineChars="200"/>
        <w:rPr>
          <w:rFonts w:hint="eastAsia" w:ascii="仿宋" w:hAnsi="仿宋" w:eastAsia="仿宋" w:cs="仿宋"/>
          <w:bCs/>
          <w:color w:val="auto"/>
          <w:sz w:val="28"/>
          <w:szCs w:val="28"/>
          <w:highlight w:val="none"/>
        </w:rPr>
      </w:pPr>
    </w:p>
    <w:p w14:paraId="1B6B01C3">
      <w:pPr>
        <w:shd w:val="clear"/>
        <w:spacing w:line="480" w:lineRule="auto"/>
        <w:ind w:firstLine="560" w:firstLineChars="200"/>
        <w:rPr>
          <w:rFonts w:hint="eastAsia" w:ascii="仿宋" w:hAnsi="仿宋" w:eastAsia="仿宋" w:cs="仿宋"/>
          <w:bCs/>
          <w:color w:val="auto"/>
          <w:sz w:val="28"/>
          <w:szCs w:val="28"/>
          <w:highlight w:val="none"/>
        </w:rPr>
      </w:pPr>
    </w:p>
    <w:p w14:paraId="79389039">
      <w:pPr>
        <w:shd w:val="clear"/>
        <w:spacing w:line="480" w:lineRule="auto"/>
        <w:ind w:firstLine="5880" w:firstLineChars="2100"/>
        <w:rPr>
          <w:rFonts w:hint="eastAsia" w:ascii="仿宋" w:hAnsi="仿宋" w:eastAsia="仿宋" w:cs="仿宋"/>
          <w:bCs/>
          <w:color w:val="auto"/>
          <w:sz w:val="28"/>
          <w:szCs w:val="28"/>
          <w:highlight w:val="none"/>
        </w:rPr>
      </w:pPr>
      <w:r>
        <w:rPr>
          <w:rFonts w:hint="eastAsia" w:ascii="仿宋" w:hAnsi="仿宋" w:eastAsia="仿宋" w:cs="仿宋"/>
          <w:color w:val="auto"/>
          <w:kern w:val="0"/>
          <w:sz w:val="28"/>
          <w:szCs w:val="28"/>
          <w:highlight w:val="none"/>
        </w:rPr>
        <w:t>投标人（</w:t>
      </w:r>
      <w:r>
        <w:rPr>
          <w:rFonts w:hint="eastAsia" w:ascii="仿宋" w:hAnsi="仿宋" w:eastAsia="仿宋" w:cs="仿宋"/>
          <w:color w:val="auto"/>
          <w:kern w:val="0"/>
          <w:sz w:val="28"/>
          <w:szCs w:val="28"/>
          <w:highlight w:val="none"/>
          <w:lang w:val="en-US" w:eastAsia="zh-CN"/>
        </w:rPr>
        <w:t>签</w:t>
      </w:r>
      <w:r>
        <w:rPr>
          <w:rFonts w:hint="eastAsia" w:ascii="仿宋" w:hAnsi="仿宋" w:eastAsia="仿宋" w:cs="仿宋"/>
          <w:color w:val="auto"/>
          <w:kern w:val="0"/>
          <w:sz w:val="28"/>
          <w:szCs w:val="28"/>
          <w:highlight w:val="none"/>
        </w:rPr>
        <w:t xml:space="preserve">章）：  </w:t>
      </w:r>
    </w:p>
    <w:p w14:paraId="5E40B3F8">
      <w:pPr>
        <w:shd w:val="clear"/>
        <w:spacing w:line="480" w:lineRule="auto"/>
        <w:ind w:firstLine="560" w:firstLineChars="200"/>
        <w:rPr>
          <w:rFonts w:hint="eastAsia" w:ascii="仿宋" w:hAnsi="仿宋" w:eastAsia="仿宋" w:cs="仿宋"/>
          <w:bCs/>
          <w:color w:val="auto"/>
          <w:sz w:val="28"/>
          <w:szCs w:val="28"/>
          <w:highlight w:val="none"/>
        </w:rPr>
      </w:pPr>
    </w:p>
    <w:p w14:paraId="5D7F772F">
      <w:pPr>
        <w:shd w:val="clear"/>
        <w:spacing w:line="480" w:lineRule="auto"/>
        <w:ind w:firstLine="560" w:firstLineChars="200"/>
        <w:rPr>
          <w:rFonts w:hint="eastAsia" w:ascii="仿宋" w:hAnsi="仿宋" w:eastAsia="仿宋" w:cs="仿宋"/>
          <w:bCs/>
          <w:color w:val="auto"/>
          <w:sz w:val="28"/>
          <w:szCs w:val="28"/>
          <w:highlight w:val="none"/>
        </w:rPr>
      </w:pPr>
    </w:p>
    <w:p w14:paraId="65C44082">
      <w:pPr>
        <w:shd w:val="clear"/>
        <w:spacing w:line="480" w:lineRule="auto"/>
        <w:ind w:firstLine="560" w:firstLineChars="200"/>
        <w:rPr>
          <w:rFonts w:hint="eastAsia" w:ascii="仿宋" w:hAnsi="仿宋" w:eastAsia="仿宋" w:cs="仿宋"/>
          <w:bCs/>
          <w:color w:val="auto"/>
          <w:sz w:val="28"/>
          <w:szCs w:val="28"/>
          <w:highlight w:val="none"/>
        </w:rPr>
      </w:pPr>
    </w:p>
    <w:p w14:paraId="53273E3F">
      <w:pPr>
        <w:shd w:val="clear"/>
        <w:spacing w:line="480" w:lineRule="auto"/>
        <w:ind w:firstLine="560" w:firstLineChars="200"/>
        <w:rPr>
          <w:rFonts w:hint="eastAsia" w:ascii="仿宋" w:hAnsi="仿宋" w:eastAsia="仿宋" w:cs="仿宋"/>
          <w:bCs/>
          <w:color w:val="auto"/>
          <w:sz w:val="28"/>
          <w:szCs w:val="28"/>
          <w:highlight w:val="none"/>
        </w:rPr>
      </w:pPr>
    </w:p>
    <w:p w14:paraId="1F28F409">
      <w:pPr>
        <w:shd w:val="clear"/>
        <w:spacing w:line="480" w:lineRule="auto"/>
        <w:ind w:firstLine="560" w:firstLineChars="200"/>
        <w:rPr>
          <w:rFonts w:hint="eastAsia" w:ascii="仿宋" w:hAnsi="仿宋" w:eastAsia="仿宋" w:cs="仿宋"/>
          <w:bCs/>
          <w:color w:val="auto"/>
          <w:sz w:val="28"/>
          <w:szCs w:val="28"/>
          <w:highlight w:val="none"/>
        </w:rPr>
      </w:pPr>
    </w:p>
    <w:p w14:paraId="563DC7A3">
      <w:pPr>
        <w:shd w:val="clear"/>
        <w:spacing w:line="480" w:lineRule="auto"/>
        <w:ind w:firstLine="560" w:firstLineChars="200"/>
        <w:rPr>
          <w:rFonts w:hint="eastAsia" w:ascii="仿宋" w:hAnsi="仿宋" w:eastAsia="仿宋" w:cs="仿宋"/>
          <w:bCs/>
          <w:color w:val="auto"/>
          <w:sz w:val="28"/>
          <w:szCs w:val="28"/>
          <w:highlight w:val="none"/>
        </w:rPr>
      </w:pPr>
    </w:p>
    <w:p w14:paraId="6EFC4BB9">
      <w:pPr>
        <w:shd w:val="clear"/>
        <w:spacing w:line="480" w:lineRule="auto"/>
        <w:ind w:firstLine="560" w:firstLineChars="200"/>
        <w:rPr>
          <w:rFonts w:hint="eastAsia" w:ascii="仿宋" w:hAnsi="仿宋" w:eastAsia="仿宋" w:cs="仿宋"/>
          <w:bCs/>
          <w:color w:val="auto"/>
          <w:sz w:val="28"/>
          <w:szCs w:val="28"/>
          <w:highlight w:val="none"/>
        </w:rPr>
      </w:pPr>
    </w:p>
    <w:p w14:paraId="48A652AD">
      <w:pPr>
        <w:shd w:val="clear"/>
        <w:spacing w:line="480" w:lineRule="auto"/>
        <w:rPr>
          <w:rFonts w:hint="eastAsia" w:ascii="仿宋" w:hAnsi="仿宋" w:eastAsia="仿宋" w:cs="仿宋"/>
          <w:bCs/>
          <w:color w:val="auto"/>
          <w:sz w:val="28"/>
          <w:szCs w:val="28"/>
          <w:highlight w:val="none"/>
        </w:rPr>
      </w:pPr>
    </w:p>
    <w:p w14:paraId="7969FB97">
      <w:pPr>
        <w:keepNext/>
        <w:keepLines/>
        <w:shd w:val="clear"/>
        <w:spacing w:line="560" w:lineRule="exact"/>
        <w:jc w:val="center"/>
        <w:outlineLvl w:val="2"/>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其他资质资格证明文件</w:t>
      </w:r>
    </w:p>
    <w:p w14:paraId="79EF4B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1D446294">
      <w:pPr>
        <w:shd w:val="clear"/>
        <w:rPr>
          <w:rFonts w:hint="eastAsia" w:ascii="仿宋" w:hAnsi="仿宋" w:eastAsia="仿宋" w:cs="仿宋"/>
          <w:color w:val="auto"/>
          <w:highlight w:val="none"/>
        </w:rPr>
      </w:pPr>
    </w:p>
    <w:p w14:paraId="709D1E81">
      <w:pPr>
        <w:shd w:val="clear"/>
        <w:jc w:val="center"/>
        <w:rPr>
          <w:rFonts w:hint="eastAsia" w:ascii="仿宋" w:hAnsi="仿宋" w:eastAsia="仿宋" w:cs="仿宋"/>
          <w:color w:val="auto"/>
          <w:highlight w:val="none"/>
        </w:rPr>
      </w:pPr>
    </w:p>
    <w:p w14:paraId="06786767">
      <w:pPr>
        <w:shd w:val="clear"/>
        <w:jc w:val="center"/>
        <w:rPr>
          <w:rFonts w:hint="eastAsia" w:ascii="仿宋" w:hAnsi="仿宋" w:eastAsia="仿宋" w:cs="仿宋"/>
          <w:color w:val="auto"/>
          <w:highlight w:val="none"/>
        </w:rPr>
      </w:pPr>
    </w:p>
    <w:p w14:paraId="3F42AD44">
      <w:pPr>
        <w:shd w:val="clear"/>
        <w:jc w:val="center"/>
        <w:rPr>
          <w:rFonts w:hint="eastAsia" w:ascii="仿宋" w:hAnsi="仿宋" w:eastAsia="仿宋" w:cs="仿宋"/>
          <w:color w:val="auto"/>
          <w:highlight w:val="none"/>
        </w:rPr>
      </w:pPr>
    </w:p>
    <w:p w14:paraId="4CAEB7D6">
      <w:pPr>
        <w:shd w:val="clear"/>
        <w:jc w:val="center"/>
        <w:rPr>
          <w:rFonts w:hint="eastAsia" w:ascii="仿宋" w:hAnsi="仿宋" w:eastAsia="仿宋" w:cs="仿宋"/>
          <w:color w:val="auto"/>
          <w:highlight w:val="none"/>
        </w:rPr>
      </w:pPr>
    </w:p>
    <w:p w14:paraId="1698C1FD">
      <w:pPr>
        <w:shd w:val="clear"/>
        <w:jc w:val="center"/>
        <w:rPr>
          <w:rFonts w:hint="eastAsia" w:ascii="仿宋" w:hAnsi="仿宋" w:eastAsia="仿宋" w:cs="仿宋"/>
          <w:color w:val="auto"/>
          <w:highlight w:val="none"/>
        </w:rPr>
      </w:pPr>
    </w:p>
    <w:p w14:paraId="003FFA6D">
      <w:pPr>
        <w:shd w:val="clear"/>
        <w:jc w:val="center"/>
        <w:rPr>
          <w:rFonts w:hint="eastAsia" w:ascii="仿宋" w:hAnsi="仿宋" w:eastAsia="仿宋" w:cs="仿宋"/>
          <w:color w:val="auto"/>
          <w:highlight w:val="none"/>
        </w:rPr>
      </w:pPr>
    </w:p>
    <w:p w14:paraId="091D57FE">
      <w:pPr>
        <w:shd w:val="clear"/>
        <w:jc w:val="center"/>
        <w:rPr>
          <w:rFonts w:hint="eastAsia" w:ascii="仿宋" w:hAnsi="仿宋" w:eastAsia="仿宋" w:cs="仿宋"/>
          <w:color w:val="auto"/>
          <w:highlight w:val="none"/>
        </w:rPr>
      </w:pPr>
    </w:p>
    <w:p w14:paraId="57862241">
      <w:pPr>
        <w:shd w:val="clear"/>
        <w:jc w:val="center"/>
        <w:rPr>
          <w:rFonts w:hint="eastAsia" w:ascii="仿宋" w:hAnsi="仿宋" w:eastAsia="仿宋" w:cs="仿宋"/>
          <w:color w:val="auto"/>
          <w:highlight w:val="none"/>
        </w:rPr>
      </w:pPr>
    </w:p>
    <w:p w14:paraId="0C5F5FD5">
      <w:pPr>
        <w:shd w:val="clear"/>
        <w:jc w:val="center"/>
        <w:rPr>
          <w:rFonts w:hint="eastAsia" w:ascii="仿宋" w:hAnsi="仿宋" w:eastAsia="仿宋" w:cs="仿宋"/>
          <w:color w:val="auto"/>
          <w:highlight w:val="none"/>
        </w:rPr>
      </w:pPr>
    </w:p>
    <w:p w14:paraId="0D71A54A">
      <w:pPr>
        <w:shd w:val="clear"/>
        <w:jc w:val="center"/>
        <w:rPr>
          <w:rFonts w:hint="eastAsia" w:ascii="仿宋" w:hAnsi="仿宋" w:eastAsia="仿宋" w:cs="仿宋"/>
          <w:color w:val="auto"/>
          <w:highlight w:val="none"/>
        </w:rPr>
      </w:pPr>
    </w:p>
    <w:p w14:paraId="799D6DAD">
      <w:pPr>
        <w:shd w:val="clear"/>
        <w:jc w:val="center"/>
        <w:rPr>
          <w:rFonts w:hint="eastAsia" w:ascii="仿宋" w:hAnsi="仿宋" w:eastAsia="仿宋" w:cs="仿宋"/>
          <w:color w:val="auto"/>
          <w:highlight w:val="none"/>
        </w:rPr>
      </w:pPr>
    </w:p>
    <w:p w14:paraId="48A309FE">
      <w:pPr>
        <w:shd w:val="clear"/>
        <w:jc w:val="center"/>
        <w:rPr>
          <w:rFonts w:hint="eastAsia" w:ascii="仿宋" w:hAnsi="仿宋" w:eastAsia="仿宋" w:cs="仿宋"/>
          <w:color w:val="auto"/>
          <w:highlight w:val="none"/>
        </w:rPr>
      </w:pPr>
    </w:p>
    <w:p w14:paraId="59D6AF43">
      <w:pPr>
        <w:shd w:val="clear"/>
        <w:jc w:val="center"/>
        <w:rPr>
          <w:rFonts w:hint="eastAsia" w:ascii="仿宋" w:hAnsi="仿宋" w:eastAsia="仿宋" w:cs="仿宋"/>
          <w:color w:val="auto"/>
          <w:highlight w:val="none"/>
        </w:rPr>
      </w:pPr>
    </w:p>
    <w:p w14:paraId="72AF74F5">
      <w:pPr>
        <w:shd w:val="clear"/>
        <w:jc w:val="center"/>
        <w:rPr>
          <w:rFonts w:hint="eastAsia" w:ascii="仿宋" w:hAnsi="仿宋" w:eastAsia="仿宋" w:cs="仿宋"/>
          <w:color w:val="auto"/>
          <w:highlight w:val="none"/>
        </w:rPr>
      </w:pPr>
    </w:p>
    <w:p w14:paraId="3BCD2492">
      <w:pPr>
        <w:shd w:val="clear"/>
        <w:jc w:val="center"/>
        <w:rPr>
          <w:rFonts w:hint="eastAsia" w:ascii="仿宋" w:hAnsi="仿宋" w:eastAsia="仿宋" w:cs="仿宋"/>
          <w:color w:val="auto"/>
          <w:highlight w:val="none"/>
        </w:rPr>
      </w:pPr>
    </w:p>
    <w:p w14:paraId="7BBAB7BF">
      <w:pPr>
        <w:shd w:val="clear"/>
        <w:jc w:val="center"/>
        <w:rPr>
          <w:rFonts w:hint="eastAsia" w:ascii="仿宋" w:hAnsi="仿宋" w:eastAsia="仿宋" w:cs="仿宋"/>
          <w:color w:val="auto"/>
          <w:highlight w:val="none"/>
        </w:rPr>
      </w:pPr>
    </w:p>
    <w:p w14:paraId="416E02FF">
      <w:pPr>
        <w:shd w:val="clear"/>
        <w:jc w:val="center"/>
        <w:rPr>
          <w:rFonts w:hint="eastAsia" w:ascii="仿宋" w:hAnsi="仿宋" w:eastAsia="仿宋" w:cs="仿宋"/>
          <w:color w:val="auto"/>
          <w:highlight w:val="none"/>
        </w:rPr>
      </w:pPr>
    </w:p>
    <w:p w14:paraId="640F2997">
      <w:pPr>
        <w:shd w:val="clear"/>
        <w:jc w:val="center"/>
        <w:rPr>
          <w:rFonts w:hint="eastAsia" w:ascii="仿宋" w:hAnsi="仿宋" w:eastAsia="仿宋" w:cs="仿宋"/>
          <w:color w:val="auto"/>
          <w:highlight w:val="none"/>
        </w:rPr>
      </w:pPr>
    </w:p>
    <w:p w14:paraId="54259544">
      <w:pPr>
        <w:shd w:val="clear"/>
        <w:jc w:val="center"/>
        <w:rPr>
          <w:rFonts w:hint="eastAsia" w:ascii="仿宋" w:hAnsi="仿宋" w:eastAsia="仿宋" w:cs="仿宋"/>
          <w:color w:val="auto"/>
          <w:highlight w:val="none"/>
        </w:rPr>
      </w:pPr>
    </w:p>
    <w:p w14:paraId="0CAE8469">
      <w:pPr>
        <w:shd w:val="clear"/>
        <w:jc w:val="center"/>
        <w:rPr>
          <w:rFonts w:hint="eastAsia" w:ascii="仿宋" w:hAnsi="仿宋" w:eastAsia="仿宋" w:cs="仿宋"/>
          <w:color w:val="auto"/>
          <w:highlight w:val="none"/>
        </w:rPr>
      </w:pPr>
    </w:p>
    <w:p w14:paraId="2098A977">
      <w:pPr>
        <w:shd w:val="clear"/>
        <w:jc w:val="center"/>
        <w:rPr>
          <w:rFonts w:hint="eastAsia" w:ascii="仿宋" w:hAnsi="仿宋" w:eastAsia="仿宋" w:cs="仿宋"/>
          <w:color w:val="auto"/>
          <w:highlight w:val="none"/>
        </w:rPr>
      </w:pPr>
    </w:p>
    <w:p w14:paraId="5500C8DD">
      <w:pPr>
        <w:shd w:val="clear"/>
        <w:jc w:val="center"/>
        <w:rPr>
          <w:rFonts w:hint="eastAsia" w:ascii="仿宋" w:hAnsi="仿宋" w:eastAsia="仿宋" w:cs="仿宋"/>
          <w:color w:val="auto"/>
          <w:highlight w:val="none"/>
        </w:rPr>
      </w:pPr>
    </w:p>
    <w:p w14:paraId="37184F9D">
      <w:pPr>
        <w:shd w:val="clear"/>
        <w:jc w:val="center"/>
        <w:rPr>
          <w:rFonts w:hint="eastAsia" w:ascii="仿宋" w:hAnsi="仿宋" w:eastAsia="仿宋" w:cs="仿宋"/>
          <w:color w:val="auto"/>
          <w:highlight w:val="none"/>
        </w:rPr>
      </w:pPr>
    </w:p>
    <w:p w14:paraId="7356B103">
      <w:pPr>
        <w:shd w:val="clear"/>
        <w:jc w:val="center"/>
        <w:rPr>
          <w:rFonts w:hint="eastAsia" w:ascii="仿宋" w:hAnsi="仿宋" w:eastAsia="仿宋" w:cs="仿宋"/>
          <w:color w:val="auto"/>
          <w:highlight w:val="none"/>
        </w:rPr>
      </w:pPr>
    </w:p>
    <w:p w14:paraId="234DA0BC">
      <w:pPr>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1B54F2C1">
      <w:pPr>
        <w:shd w:val="clear"/>
        <w:jc w:val="center"/>
        <w:rPr>
          <w:rFonts w:hint="eastAsia" w:ascii="仿宋" w:hAnsi="仿宋" w:eastAsia="仿宋" w:cs="仿宋"/>
          <w:color w:val="auto"/>
          <w:highlight w:val="none"/>
        </w:rPr>
      </w:pPr>
    </w:p>
    <w:p w14:paraId="66A612FB">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br w:type="page"/>
      </w:r>
      <w:bookmarkStart w:id="21" w:name="_Toc522526790"/>
      <w:bookmarkStart w:id="22" w:name="_Toc521936051"/>
    </w:p>
    <w:p w14:paraId="32EE5A96">
      <w:pPr>
        <w:shd w:val="clea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投标人基本情况表</w:t>
      </w:r>
    </w:p>
    <w:p w14:paraId="445E28F5">
      <w:pPr>
        <w:shd w:val="clear"/>
        <w:rPr>
          <w:rFonts w:hint="eastAsia" w:ascii="仿宋" w:hAnsi="仿宋" w:eastAsia="仿宋" w:cs="仿宋"/>
          <w:highlight w:val="none"/>
        </w:rPr>
      </w:pPr>
    </w:p>
    <w:tbl>
      <w:tblPr>
        <w:tblStyle w:val="30"/>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1769"/>
        <w:gridCol w:w="882"/>
        <w:gridCol w:w="1174"/>
        <w:gridCol w:w="1041"/>
        <w:gridCol w:w="234"/>
        <w:gridCol w:w="1554"/>
        <w:gridCol w:w="179"/>
        <w:gridCol w:w="290"/>
        <w:gridCol w:w="2211"/>
      </w:tblGrid>
      <w:tr w14:paraId="37DA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1193" w:type="pct"/>
            <w:gridSpan w:val="2"/>
            <w:noWrap w:val="0"/>
            <w:vAlign w:val="center"/>
          </w:tcPr>
          <w:p w14:paraId="69747B6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1559" w:type="pct"/>
            <w:gridSpan w:val="3"/>
            <w:noWrap w:val="0"/>
            <w:vAlign w:val="center"/>
          </w:tcPr>
          <w:p w14:paraId="1905E04E">
            <w:pPr>
              <w:shd w:val="clear"/>
              <w:spacing w:line="440" w:lineRule="exact"/>
              <w:jc w:val="center"/>
              <w:rPr>
                <w:rFonts w:hint="eastAsia" w:ascii="仿宋" w:hAnsi="仿宋" w:eastAsia="仿宋" w:cs="仿宋"/>
                <w:color w:val="auto"/>
                <w:sz w:val="28"/>
                <w:szCs w:val="28"/>
                <w:highlight w:val="none"/>
              </w:rPr>
            </w:pPr>
          </w:p>
        </w:tc>
        <w:tc>
          <w:tcPr>
            <w:tcW w:w="1136" w:type="pct"/>
            <w:gridSpan w:val="4"/>
            <w:noWrap w:val="0"/>
            <w:vAlign w:val="center"/>
          </w:tcPr>
          <w:p w14:paraId="0FFD20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110" w:type="pct"/>
            <w:noWrap w:val="0"/>
            <w:vAlign w:val="center"/>
          </w:tcPr>
          <w:p w14:paraId="3CDD02E4">
            <w:pPr>
              <w:shd w:val="clear"/>
              <w:spacing w:line="440" w:lineRule="exact"/>
              <w:jc w:val="center"/>
              <w:rPr>
                <w:rFonts w:hint="eastAsia" w:ascii="仿宋" w:hAnsi="仿宋" w:eastAsia="仿宋" w:cs="仿宋"/>
                <w:color w:val="auto"/>
                <w:sz w:val="28"/>
                <w:szCs w:val="28"/>
                <w:highlight w:val="none"/>
              </w:rPr>
            </w:pPr>
          </w:p>
        </w:tc>
      </w:tr>
      <w:tr w14:paraId="324A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1193" w:type="pct"/>
            <w:gridSpan w:val="2"/>
            <w:noWrap w:val="0"/>
            <w:vAlign w:val="center"/>
          </w:tcPr>
          <w:p w14:paraId="2E3419E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1559" w:type="pct"/>
            <w:gridSpan w:val="3"/>
            <w:noWrap w:val="0"/>
            <w:vAlign w:val="center"/>
          </w:tcPr>
          <w:p w14:paraId="08047A93">
            <w:pPr>
              <w:shd w:val="clear"/>
              <w:spacing w:line="440" w:lineRule="exact"/>
              <w:jc w:val="center"/>
              <w:rPr>
                <w:rFonts w:hint="eastAsia" w:ascii="仿宋" w:hAnsi="仿宋" w:eastAsia="仿宋" w:cs="仿宋"/>
                <w:color w:val="auto"/>
                <w:sz w:val="28"/>
                <w:szCs w:val="28"/>
                <w:highlight w:val="none"/>
              </w:rPr>
            </w:pPr>
          </w:p>
        </w:tc>
        <w:tc>
          <w:tcPr>
            <w:tcW w:w="1136" w:type="pct"/>
            <w:gridSpan w:val="4"/>
            <w:noWrap w:val="0"/>
            <w:vAlign w:val="center"/>
          </w:tcPr>
          <w:p w14:paraId="313781C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110" w:type="pct"/>
            <w:noWrap w:val="0"/>
            <w:vAlign w:val="center"/>
          </w:tcPr>
          <w:p w14:paraId="671916FB">
            <w:pPr>
              <w:shd w:val="clear"/>
              <w:spacing w:line="440" w:lineRule="exact"/>
              <w:jc w:val="center"/>
              <w:rPr>
                <w:rFonts w:hint="eastAsia" w:ascii="仿宋" w:hAnsi="仿宋" w:eastAsia="仿宋" w:cs="仿宋"/>
                <w:color w:val="auto"/>
                <w:sz w:val="28"/>
                <w:szCs w:val="28"/>
                <w:highlight w:val="none"/>
              </w:rPr>
            </w:pPr>
          </w:p>
        </w:tc>
      </w:tr>
      <w:tr w14:paraId="43950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1193" w:type="pct"/>
            <w:gridSpan w:val="2"/>
            <w:noWrap w:val="0"/>
            <w:vAlign w:val="center"/>
          </w:tcPr>
          <w:p w14:paraId="60684FA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所属/主管部门</w:t>
            </w:r>
          </w:p>
        </w:tc>
        <w:tc>
          <w:tcPr>
            <w:tcW w:w="3806" w:type="pct"/>
            <w:gridSpan w:val="8"/>
            <w:noWrap w:val="0"/>
            <w:vAlign w:val="center"/>
          </w:tcPr>
          <w:p w14:paraId="72E5454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7F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1193" w:type="pct"/>
            <w:gridSpan w:val="2"/>
            <w:noWrap w:val="0"/>
            <w:vAlign w:val="center"/>
          </w:tcPr>
          <w:p w14:paraId="03A9A5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1035" w:type="pct"/>
            <w:gridSpan w:val="2"/>
            <w:noWrap w:val="0"/>
            <w:vAlign w:val="center"/>
          </w:tcPr>
          <w:p w14:paraId="48E53C84">
            <w:pPr>
              <w:shd w:val="clear"/>
              <w:spacing w:line="440" w:lineRule="exact"/>
              <w:jc w:val="center"/>
              <w:rPr>
                <w:rFonts w:hint="eastAsia" w:ascii="仿宋" w:hAnsi="仿宋" w:eastAsia="仿宋" w:cs="仿宋"/>
                <w:color w:val="auto"/>
                <w:sz w:val="28"/>
                <w:szCs w:val="28"/>
                <w:highlight w:val="none"/>
              </w:rPr>
            </w:pPr>
          </w:p>
        </w:tc>
        <w:tc>
          <w:tcPr>
            <w:tcW w:w="1514" w:type="pct"/>
            <w:gridSpan w:val="4"/>
            <w:noWrap w:val="0"/>
            <w:vAlign w:val="center"/>
          </w:tcPr>
          <w:p w14:paraId="67BC82D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固定办公面积（平米）</w:t>
            </w:r>
          </w:p>
        </w:tc>
        <w:tc>
          <w:tcPr>
            <w:tcW w:w="1257" w:type="pct"/>
            <w:gridSpan w:val="2"/>
            <w:noWrap w:val="0"/>
            <w:vAlign w:val="center"/>
          </w:tcPr>
          <w:p w14:paraId="137263E3">
            <w:pPr>
              <w:shd w:val="clear"/>
              <w:spacing w:line="440" w:lineRule="exact"/>
              <w:jc w:val="center"/>
              <w:rPr>
                <w:rFonts w:hint="eastAsia" w:ascii="仿宋" w:hAnsi="仿宋" w:eastAsia="仿宋" w:cs="仿宋"/>
                <w:color w:val="auto"/>
                <w:sz w:val="28"/>
                <w:szCs w:val="28"/>
                <w:highlight w:val="none"/>
              </w:rPr>
            </w:pPr>
          </w:p>
        </w:tc>
      </w:tr>
      <w:tr w14:paraId="46DC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303" w:type="pct"/>
            <w:vMerge w:val="restart"/>
            <w:noWrap w:val="0"/>
            <w:vAlign w:val="center"/>
          </w:tcPr>
          <w:p w14:paraId="42E877A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1334" w:type="pct"/>
            <w:gridSpan w:val="2"/>
            <w:noWrap w:val="0"/>
            <w:vAlign w:val="center"/>
          </w:tcPr>
          <w:p w14:paraId="5EBC760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tc>
        <w:tc>
          <w:tcPr>
            <w:tcW w:w="3362" w:type="pct"/>
            <w:gridSpan w:val="7"/>
            <w:noWrap w:val="0"/>
            <w:vAlign w:val="center"/>
          </w:tcPr>
          <w:p w14:paraId="0865FA1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DD7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303" w:type="pct"/>
            <w:vMerge w:val="continue"/>
            <w:noWrap w:val="0"/>
            <w:textDirection w:val="tbRlV"/>
            <w:vAlign w:val="center"/>
          </w:tcPr>
          <w:p w14:paraId="35144A25">
            <w:pPr>
              <w:shd w:val="clear"/>
              <w:spacing w:line="440" w:lineRule="exact"/>
              <w:jc w:val="center"/>
              <w:rPr>
                <w:rFonts w:hint="eastAsia" w:ascii="仿宋" w:hAnsi="仿宋" w:eastAsia="仿宋" w:cs="仿宋"/>
                <w:color w:val="auto"/>
                <w:sz w:val="28"/>
                <w:szCs w:val="28"/>
                <w:highlight w:val="none"/>
              </w:rPr>
            </w:pPr>
          </w:p>
        </w:tc>
        <w:tc>
          <w:tcPr>
            <w:tcW w:w="1334" w:type="pct"/>
            <w:gridSpan w:val="2"/>
            <w:noWrap w:val="0"/>
            <w:vAlign w:val="center"/>
          </w:tcPr>
          <w:p w14:paraId="0D8741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3362" w:type="pct"/>
            <w:gridSpan w:val="7"/>
            <w:noWrap w:val="0"/>
            <w:vAlign w:val="center"/>
          </w:tcPr>
          <w:p w14:paraId="78333C5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0DB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 w:hRule="atLeast"/>
          <w:jc w:val="center"/>
        </w:trPr>
        <w:tc>
          <w:tcPr>
            <w:tcW w:w="303" w:type="pct"/>
            <w:vMerge w:val="continue"/>
            <w:noWrap w:val="0"/>
            <w:textDirection w:val="tbRlV"/>
            <w:vAlign w:val="center"/>
          </w:tcPr>
          <w:p w14:paraId="135D28E8">
            <w:pPr>
              <w:shd w:val="clear"/>
              <w:spacing w:line="440" w:lineRule="exact"/>
              <w:jc w:val="center"/>
              <w:rPr>
                <w:rFonts w:hint="eastAsia" w:ascii="仿宋" w:hAnsi="仿宋" w:eastAsia="仿宋" w:cs="仿宋"/>
                <w:color w:val="auto"/>
                <w:sz w:val="28"/>
                <w:szCs w:val="28"/>
                <w:highlight w:val="none"/>
              </w:rPr>
            </w:pPr>
          </w:p>
        </w:tc>
        <w:tc>
          <w:tcPr>
            <w:tcW w:w="1334" w:type="pct"/>
            <w:gridSpan w:val="2"/>
            <w:noWrap w:val="0"/>
            <w:vAlign w:val="center"/>
          </w:tcPr>
          <w:p w14:paraId="608FAD4C">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/单位负责人</w:t>
            </w:r>
          </w:p>
        </w:tc>
        <w:tc>
          <w:tcPr>
            <w:tcW w:w="1233" w:type="pct"/>
            <w:gridSpan w:val="3"/>
            <w:noWrap w:val="0"/>
            <w:vAlign w:val="center"/>
          </w:tcPr>
          <w:p w14:paraId="43BE5C8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2" w:type="pct"/>
            <w:noWrap w:val="0"/>
            <w:vAlign w:val="center"/>
          </w:tcPr>
          <w:p w14:paraId="4CD588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1345" w:type="pct"/>
            <w:gridSpan w:val="3"/>
            <w:noWrap w:val="0"/>
            <w:vAlign w:val="center"/>
          </w:tcPr>
          <w:p w14:paraId="0D9EA63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2FF0A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303" w:type="pct"/>
            <w:vMerge w:val="continue"/>
            <w:noWrap w:val="0"/>
            <w:textDirection w:val="tbRlV"/>
            <w:vAlign w:val="center"/>
          </w:tcPr>
          <w:p w14:paraId="04CB3022">
            <w:pPr>
              <w:shd w:val="clear"/>
              <w:spacing w:line="440" w:lineRule="exact"/>
              <w:jc w:val="center"/>
              <w:rPr>
                <w:rFonts w:hint="eastAsia" w:ascii="仿宋" w:hAnsi="仿宋" w:eastAsia="仿宋" w:cs="仿宋"/>
                <w:color w:val="auto"/>
                <w:sz w:val="28"/>
                <w:szCs w:val="28"/>
                <w:highlight w:val="none"/>
              </w:rPr>
            </w:pPr>
          </w:p>
        </w:tc>
        <w:tc>
          <w:tcPr>
            <w:tcW w:w="1334" w:type="pct"/>
            <w:gridSpan w:val="2"/>
            <w:noWrap w:val="0"/>
            <w:vAlign w:val="center"/>
          </w:tcPr>
          <w:p w14:paraId="47EFCD7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1233" w:type="pct"/>
            <w:gridSpan w:val="3"/>
            <w:noWrap w:val="0"/>
            <w:vAlign w:val="center"/>
          </w:tcPr>
          <w:p w14:paraId="3C8ED41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2" w:type="pct"/>
            <w:noWrap w:val="0"/>
            <w:vAlign w:val="center"/>
          </w:tcPr>
          <w:p w14:paraId="0292EB6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1345" w:type="pct"/>
            <w:gridSpan w:val="3"/>
            <w:noWrap w:val="0"/>
            <w:vAlign w:val="center"/>
          </w:tcPr>
          <w:p w14:paraId="268DD9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09AB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303" w:type="pct"/>
            <w:vMerge w:val="continue"/>
            <w:noWrap w:val="0"/>
            <w:textDirection w:val="tbRlV"/>
            <w:vAlign w:val="center"/>
          </w:tcPr>
          <w:p w14:paraId="697449B5">
            <w:pPr>
              <w:shd w:val="clear"/>
              <w:spacing w:line="440" w:lineRule="exact"/>
              <w:jc w:val="center"/>
              <w:rPr>
                <w:rFonts w:hint="eastAsia" w:ascii="仿宋" w:hAnsi="仿宋" w:eastAsia="仿宋" w:cs="仿宋"/>
                <w:color w:val="auto"/>
                <w:sz w:val="28"/>
                <w:szCs w:val="28"/>
                <w:highlight w:val="none"/>
              </w:rPr>
            </w:pPr>
          </w:p>
        </w:tc>
        <w:tc>
          <w:tcPr>
            <w:tcW w:w="1334" w:type="pct"/>
            <w:gridSpan w:val="2"/>
            <w:noWrap w:val="0"/>
            <w:vAlign w:val="center"/>
          </w:tcPr>
          <w:p w14:paraId="0C8FFA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3362" w:type="pct"/>
            <w:gridSpan w:val="7"/>
            <w:noWrap w:val="0"/>
            <w:vAlign w:val="center"/>
          </w:tcPr>
          <w:p w14:paraId="447BF5FA">
            <w:pPr>
              <w:shd w:val="clear"/>
              <w:spacing w:line="440" w:lineRule="exact"/>
              <w:jc w:val="center"/>
              <w:rPr>
                <w:rFonts w:hint="eastAsia" w:ascii="仿宋" w:hAnsi="仿宋" w:eastAsia="仿宋" w:cs="仿宋"/>
                <w:color w:val="auto"/>
                <w:sz w:val="28"/>
                <w:szCs w:val="28"/>
                <w:highlight w:val="none"/>
              </w:rPr>
            </w:pPr>
          </w:p>
        </w:tc>
      </w:tr>
      <w:tr w14:paraId="11F8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5000" w:type="pct"/>
            <w:gridSpan w:val="10"/>
            <w:noWrap w:val="0"/>
            <w:vAlign w:val="center"/>
          </w:tcPr>
          <w:p w14:paraId="05919F4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4AFB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4" w:hRule="atLeast"/>
          <w:jc w:val="center"/>
        </w:trPr>
        <w:tc>
          <w:tcPr>
            <w:tcW w:w="5000" w:type="pct"/>
            <w:gridSpan w:val="10"/>
            <w:noWrap w:val="0"/>
            <w:vAlign w:val="top"/>
          </w:tcPr>
          <w:p w14:paraId="2FFC6233">
            <w:pPr>
              <w:shd w:val="clear"/>
              <w:spacing w:line="44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bl>
    <w:p w14:paraId="2DDF69E8">
      <w:pPr>
        <w:shd w:val="clear"/>
        <w:jc w:val="center"/>
        <w:rPr>
          <w:rFonts w:hint="eastAsia" w:ascii="仿宋" w:hAnsi="仿宋" w:eastAsia="仿宋" w:cs="仿宋"/>
          <w:b/>
          <w:color w:val="auto"/>
          <w:sz w:val="44"/>
          <w:szCs w:val="44"/>
          <w:highlight w:val="none"/>
        </w:rPr>
      </w:pPr>
    </w:p>
    <w:p w14:paraId="17535285">
      <w:pPr>
        <w:shd w:val="clear"/>
        <w:rPr>
          <w:rFonts w:hint="eastAsia" w:ascii="仿宋" w:hAnsi="仿宋" w:eastAsia="仿宋" w:cs="仿宋"/>
          <w:color w:val="auto"/>
          <w:highlight w:val="none"/>
        </w:rPr>
      </w:pPr>
    </w:p>
    <w:p w14:paraId="1613E5F7">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0AFE9D45">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42A49FD9">
      <w:pPr>
        <w:keepNext/>
        <w:keepLines/>
        <w:shd w:val="clear"/>
        <w:spacing w:before="120" w:after="120" w:line="560" w:lineRule="exact"/>
        <w:jc w:val="center"/>
        <w:outlineLvl w:val="2"/>
        <w:rPr>
          <w:rFonts w:hint="eastAsia" w:ascii="仿宋" w:hAnsi="仿宋" w:eastAsia="仿宋" w:cs="仿宋"/>
          <w:b/>
          <w:bCs/>
          <w:color w:val="auto"/>
          <w:sz w:val="44"/>
          <w:szCs w:val="44"/>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44"/>
          <w:szCs w:val="44"/>
          <w:highlight w:val="none"/>
        </w:rPr>
        <w:t>同类项目业绩表</w:t>
      </w:r>
    </w:p>
    <w:p w14:paraId="26B3CCF1">
      <w:pPr>
        <w:shd w:val="clear"/>
        <w:rPr>
          <w:rFonts w:hint="eastAsia" w:ascii="仿宋" w:hAnsi="仿宋" w:eastAsia="仿宋" w:cs="仿宋"/>
          <w:highlight w:val="none"/>
        </w:rPr>
      </w:pP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4"/>
        <w:gridCol w:w="1489"/>
        <w:gridCol w:w="1489"/>
        <w:gridCol w:w="864"/>
        <w:gridCol w:w="1177"/>
        <w:gridCol w:w="2112"/>
        <w:gridCol w:w="1957"/>
      </w:tblGrid>
      <w:tr w14:paraId="252E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34" w:type="pct"/>
            <w:noWrap/>
            <w:vAlign w:val="center"/>
          </w:tcPr>
          <w:p w14:paraId="1E50084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748" w:type="pct"/>
            <w:noWrap/>
            <w:vAlign w:val="center"/>
          </w:tcPr>
          <w:p w14:paraId="6BC864F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48" w:type="pct"/>
            <w:noWrap/>
            <w:vAlign w:val="center"/>
          </w:tcPr>
          <w:p w14:paraId="0C1C83E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用户名称</w:t>
            </w:r>
          </w:p>
        </w:tc>
        <w:tc>
          <w:tcPr>
            <w:tcW w:w="434" w:type="pct"/>
            <w:noWrap/>
            <w:vAlign w:val="center"/>
          </w:tcPr>
          <w:p w14:paraId="3672B8A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标的</w:t>
            </w:r>
          </w:p>
        </w:tc>
        <w:tc>
          <w:tcPr>
            <w:tcW w:w="591" w:type="pct"/>
            <w:noWrap/>
            <w:vAlign w:val="center"/>
          </w:tcPr>
          <w:p w14:paraId="65E60C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061" w:type="pct"/>
            <w:noWrap/>
            <w:vAlign w:val="center"/>
          </w:tcPr>
          <w:p w14:paraId="67A5E32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合同签订时间</w:t>
            </w:r>
          </w:p>
        </w:tc>
        <w:tc>
          <w:tcPr>
            <w:tcW w:w="983" w:type="pct"/>
            <w:noWrap/>
            <w:vAlign w:val="center"/>
          </w:tcPr>
          <w:p w14:paraId="5E9B15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7EF1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951E95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0CB1E79">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C7CE344">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131AADB">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8C54CF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47D228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2DBB135D">
            <w:pPr>
              <w:shd w:val="clear"/>
              <w:spacing w:line="440" w:lineRule="exact"/>
              <w:jc w:val="center"/>
              <w:rPr>
                <w:rFonts w:hint="eastAsia" w:ascii="仿宋" w:hAnsi="仿宋" w:eastAsia="仿宋" w:cs="仿宋"/>
                <w:color w:val="auto"/>
                <w:sz w:val="28"/>
                <w:szCs w:val="28"/>
                <w:highlight w:val="none"/>
              </w:rPr>
            </w:pPr>
          </w:p>
        </w:tc>
      </w:tr>
      <w:tr w14:paraId="653A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0E74387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28156F2">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F4B5C52">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6B11F66">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972272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3FA3FABF">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D706F5">
            <w:pPr>
              <w:shd w:val="clear"/>
              <w:spacing w:line="440" w:lineRule="exact"/>
              <w:jc w:val="center"/>
              <w:rPr>
                <w:rFonts w:hint="eastAsia" w:ascii="仿宋" w:hAnsi="仿宋" w:eastAsia="仿宋" w:cs="仿宋"/>
                <w:color w:val="auto"/>
                <w:sz w:val="28"/>
                <w:szCs w:val="28"/>
                <w:highlight w:val="none"/>
              </w:rPr>
            </w:pPr>
          </w:p>
        </w:tc>
      </w:tr>
      <w:tr w14:paraId="4568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37962CD4">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3FDFA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67F4A1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AC59769">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C04FA09">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E27BF6E">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23596F3">
            <w:pPr>
              <w:shd w:val="clear"/>
              <w:spacing w:line="440" w:lineRule="exact"/>
              <w:jc w:val="center"/>
              <w:rPr>
                <w:rFonts w:hint="eastAsia" w:ascii="仿宋" w:hAnsi="仿宋" w:eastAsia="仿宋" w:cs="仿宋"/>
                <w:color w:val="auto"/>
                <w:sz w:val="28"/>
                <w:szCs w:val="28"/>
                <w:highlight w:val="none"/>
              </w:rPr>
            </w:pPr>
          </w:p>
        </w:tc>
      </w:tr>
      <w:tr w14:paraId="7339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11C18CE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A9271C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79E84B1C">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1712C53">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5F0EA8A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5B521B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F4E3134">
            <w:pPr>
              <w:shd w:val="clear"/>
              <w:spacing w:line="440" w:lineRule="exact"/>
              <w:jc w:val="center"/>
              <w:rPr>
                <w:rFonts w:hint="eastAsia" w:ascii="仿宋" w:hAnsi="仿宋" w:eastAsia="仿宋" w:cs="仿宋"/>
                <w:color w:val="auto"/>
                <w:sz w:val="28"/>
                <w:szCs w:val="28"/>
                <w:highlight w:val="none"/>
              </w:rPr>
            </w:pPr>
          </w:p>
        </w:tc>
      </w:tr>
      <w:tr w14:paraId="64B9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DCCB82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D02E98">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BA0A4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E4345F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5627F4F">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765F1C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0E19427">
            <w:pPr>
              <w:shd w:val="clear"/>
              <w:spacing w:line="440" w:lineRule="exact"/>
              <w:jc w:val="center"/>
              <w:rPr>
                <w:rFonts w:hint="eastAsia" w:ascii="仿宋" w:hAnsi="仿宋" w:eastAsia="仿宋" w:cs="仿宋"/>
                <w:color w:val="auto"/>
                <w:sz w:val="28"/>
                <w:szCs w:val="28"/>
                <w:highlight w:val="none"/>
              </w:rPr>
            </w:pPr>
          </w:p>
        </w:tc>
      </w:tr>
      <w:tr w14:paraId="605E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9A627F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B5B8B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54E46A">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54C88482">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576D6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2BCF5A8C">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15C05D3E">
            <w:pPr>
              <w:shd w:val="clear"/>
              <w:spacing w:line="440" w:lineRule="exact"/>
              <w:jc w:val="center"/>
              <w:rPr>
                <w:rFonts w:hint="eastAsia" w:ascii="仿宋" w:hAnsi="仿宋" w:eastAsia="仿宋" w:cs="仿宋"/>
                <w:color w:val="auto"/>
                <w:sz w:val="28"/>
                <w:szCs w:val="28"/>
                <w:highlight w:val="none"/>
              </w:rPr>
            </w:pPr>
          </w:p>
        </w:tc>
      </w:tr>
      <w:tr w14:paraId="587F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24D9E9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9F9940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2A336A7">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CFAC9C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3EDC2D4">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D798F2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E761D4A">
            <w:pPr>
              <w:shd w:val="clear"/>
              <w:spacing w:line="440" w:lineRule="exact"/>
              <w:jc w:val="center"/>
              <w:rPr>
                <w:rFonts w:hint="eastAsia" w:ascii="仿宋" w:hAnsi="仿宋" w:eastAsia="仿宋" w:cs="仿宋"/>
                <w:color w:val="auto"/>
                <w:sz w:val="28"/>
                <w:szCs w:val="28"/>
                <w:highlight w:val="none"/>
              </w:rPr>
            </w:pPr>
          </w:p>
        </w:tc>
      </w:tr>
      <w:tr w14:paraId="04CA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6623A1C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5C52B2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6682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F2B29D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0328CB88">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7A7FA2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4F76303">
            <w:pPr>
              <w:shd w:val="clear"/>
              <w:spacing w:line="440" w:lineRule="exact"/>
              <w:jc w:val="center"/>
              <w:rPr>
                <w:rFonts w:hint="eastAsia" w:ascii="仿宋" w:hAnsi="仿宋" w:eastAsia="仿宋" w:cs="仿宋"/>
                <w:color w:val="auto"/>
                <w:sz w:val="28"/>
                <w:szCs w:val="28"/>
                <w:highlight w:val="none"/>
              </w:rPr>
            </w:pPr>
          </w:p>
        </w:tc>
      </w:tr>
      <w:tr w14:paraId="475F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8A2CFC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F902A1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1218DAB">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DC0751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FB12E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1D5549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1BA3BB8">
            <w:pPr>
              <w:shd w:val="clear"/>
              <w:spacing w:line="440" w:lineRule="exact"/>
              <w:jc w:val="center"/>
              <w:rPr>
                <w:rFonts w:hint="eastAsia" w:ascii="仿宋" w:hAnsi="仿宋" w:eastAsia="仿宋" w:cs="仿宋"/>
                <w:color w:val="auto"/>
                <w:sz w:val="28"/>
                <w:szCs w:val="28"/>
                <w:highlight w:val="none"/>
              </w:rPr>
            </w:pPr>
          </w:p>
        </w:tc>
      </w:tr>
      <w:tr w14:paraId="42D1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450C04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BCF2EA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4783D6">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2EE6DF5">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1E7148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ADADE3B">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3C3B71">
            <w:pPr>
              <w:shd w:val="clear"/>
              <w:spacing w:line="440" w:lineRule="exact"/>
              <w:jc w:val="center"/>
              <w:rPr>
                <w:rFonts w:hint="eastAsia" w:ascii="仿宋" w:hAnsi="仿宋" w:eastAsia="仿宋" w:cs="仿宋"/>
                <w:color w:val="auto"/>
                <w:sz w:val="28"/>
                <w:szCs w:val="28"/>
                <w:highlight w:val="none"/>
              </w:rPr>
            </w:pPr>
          </w:p>
        </w:tc>
      </w:tr>
      <w:tr w14:paraId="020C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33E50F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03A033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1D017FB8">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5CF0A0C">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FD9F587">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D6A0EE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EE7A5C0">
            <w:pPr>
              <w:shd w:val="clear"/>
              <w:spacing w:line="440" w:lineRule="exact"/>
              <w:jc w:val="center"/>
              <w:rPr>
                <w:rFonts w:hint="eastAsia" w:ascii="仿宋" w:hAnsi="仿宋" w:eastAsia="仿宋" w:cs="仿宋"/>
                <w:color w:val="auto"/>
                <w:sz w:val="28"/>
                <w:szCs w:val="28"/>
                <w:highlight w:val="none"/>
              </w:rPr>
            </w:pPr>
          </w:p>
        </w:tc>
      </w:tr>
    </w:tbl>
    <w:p w14:paraId="6B8FBD5D">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备注：此表应认真填写，不得提供虚假业绩。后附证明材料扫描件。</w:t>
      </w:r>
    </w:p>
    <w:p w14:paraId="73719163">
      <w:pPr>
        <w:shd w:val="clear"/>
        <w:tabs>
          <w:tab w:val="left" w:pos="5580"/>
        </w:tabs>
        <w:wordWrap w:val="0"/>
        <w:spacing w:line="560" w:lineRule="exact"/>
        <w:ind w:firstLine="560" w:firstLineChars="200"/>
        <w:jc w:val="right"/>
        <w:rPr>
          <w:rFonts w:hint="eastAsia" w:ascii="仿宋" w:hAnsi="仿宋" w:eastAsia="仿宋" w:cs="仿宋"/>
          <w:kern w:val="0"/>
          <w:sz w:val="28"/>
          <w:szCs w:val="28"/>
          <w:highlight w:val="none"/>
        </w:rPr>
      </w:pPr>
    </w:p>
    <w:p w14:paraId="7311E446">
      <w:pPr>
        <w:shd w:val="clear"/>
        <w:rPr>
          <w:rFonts w:hint="eastAsia" w:ascii="仿宋" w:hAnsi="仿宋" w:eastAsia="仿宋" w:cs="仿宋"/>
          <w:color w:val="auto"/>
          <w:highlight w:val="none"/>
        </w:rPr>
      </w:pPr>
    </w:p>
    <w:p w14:paraId="2D738116">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645D7B88">
      <w:pPr>
        <w:widowControl/>
        <w:shd w:val="clear"/>
        <w:jc w:val="center"/>
        <w:rPr>
          <w:rFonts w:hint="eastAsia" w:ascii="仿宋" w:hAnsi="仿宋" w:eastAsia="仿宋" w:cs="仿宋"/>
          <w:b/>
          <w:bCs/>
          <w:color w:val="auto"/>
          <w:sz w:val="44"/>
          <w:szCs w:val="44"/>
          <w:highlight w:val="none"/>
        </w:rPr>
      </w:pPr>
    </w:p>
    <w:p w14:paraId="08B88CAC">
      <w:pPr>
        <w:widowControl/>
        <w:shd w:val="clear"/>
        <w:jc w:val="center"/>
        <w:rPr>
          <w:rFonts w:hint="eastAsia" w:ascii="仿宋" w:hAnsi="仿宋" w:eastAsia="仿宋" w:cs="仿宋"/>
          <w:b/>
          <w:bCs/>
          <w:color w:val="auto"/>
          <w:sz w:val="44"/>
          <w:szCs w:val="44"/>
          <w:highlight w:val="none"/>
        </w:rPr>
      </w:pPr>
    </w:p>
    <w:p w14:paraId="0050103B">
      <w:pPr>
        <w:widowControl/>
        <w:shd w:val="clear"/>
        <w:jc w:val="center"/>
        <w:rPr>
          <w:rFonts w:hint="eastAsia" w:ascii="仿宋" w:hAnsi="仿宋" w:eastAsia="仿宋" w:cs="仿宋"/>
          <w:b/>
          <w:bCs/>
          <w:color w:val="auto"/>
          <w:sz w:val="44"/>
          <w:szCs w:val="44"/>
          <w:highlight w:val="none"/>
        </w:rPr>
      </w:pPr>
    </w:p>
    <w:p w14:paraId="556EBA98">
      <w:pPr>
        <w:widowControl/>
        <w:shd w:val="clear"/>
        <w:jc w:val="center"/>
        <w:rPr>
          <w:rFonts w:hint="eastAsia" w:ascii="仿宋" w:hAnsi="仿宋" w:eastAsia="仿宋" w:cs="仿宋"/>
          <w:b/>
          <w:bCs/>
          <w:color w:val="auto"/>
          <w:sz w:val="44"/>
          <w:szCs w:val="44"/>
          <w:highlight w:val="none"/>
        </w:rPr>
      </w:pPr>
    </w:p>
    <w:p w14:paraId="56373BBC">
      <w:pPr>
        <w:widowControl/>
        <w:shd w:val="clear"/>
        <w:jc w:val="center"/>
        <w:rPr>
          <w:rFonts w:hint="eastAsia" w:ascii="仿宋" w:hAnsi="仿宋" w:eastAsia="仿宋" w:cs="仿宋"/>
          <w:b/>
          <w:bCs/>
          <w:color w:val="auto"/>
          <w:sz w:val="44"/>
          <w:szCs w:val="44"/>
          <w:highlight w:val="none"/>
        </w:rPr>
      </w:pPr>
    </w:p>
    <w:p w14:paraId="39B3B101">
      <w:pPr>
        <w:widowControl/>
        <w:shd w:val="clear"/>
        <w:jc w:val="center"/>
        <w:rPr>
          <w:rFonts w:hint="eastAsia" w:ascii="仿宋" w:hAnsi="仿宋" w:eastAsia="仿宋" w:cs="仿宋"/>
          <w:b/>
          <w:bCs/>
          <w:color w:val="auto"/>
          <w:sz w:val="44"/>
          <w:szCs w:val="44"/>
          <w:highlight w:val="none"/>
        </w:rPr>
      </w:pPr>
    </w:p>
    <w:p w14:paraId="41868BC0">
      <w:pPr>
        <w:keepNext/>
        <w:keepLines/>
        <w:shd w:val="clear"/>
        <w:spacing w:before="120" w:after="120" w:line="560" w:lineRule="exact"/>
        <w:jc w:val="center"/>
        <w:outlineLvl w:val="2"/>
        <w:rPr>
          <w:rFonts w:hint="eastAsia" w:ascii="仿宋" w:hAnsi="仿宋" w:eastAsia="仿宋" w:cs="仿宋"/>
          <w:b/>
          <w:bCs/>
          <w:color w:val="auto"/>
          <w:sz w:val="44"/>
          <w:szCs w:val="44"/>
          <w:highlight w:val="none"/>
          <w:lang w:val="en-US" w:eastAsia="zh-CN"/>
        </w:rPr>
      </w:pPr>
      <w:r>
        <w:rPr>
          <w:rFonts w:hint="eastAsia" w:ascii="仿宋" w:hAnsi="仿宋" w:eastAsia="仿宋" w:cs="仿宋"/>
          <w:b/>
          <w:bCs/>
          <w:color w:val="auto"/>
          <w:sz w:val="44"/>
          <w:szCs w:val="44"/>
          <w:highlight w:val="none"/>
          <w:lang w:val="en-US" w:eastAsia="zh-CN"/>
        </w:rPr>
        <w:t>拟派服务人员情况表</w:t>
      </w:r>
    </w:p>
    <w:p w14:paraId="7AEBB1C4">
      <w:pPr>
        <w:pStyle w:val="2"/>
        <w:rPr>
          <w:rFonts w:hint="eastAsia" w:ascii="仿宋" w:hAnsi="仿宋" w:eastAsia="仿宋" w:cs="仿宋"/>
          <w:highlight w:val="none"/>
          <w:lang w:val="en-US" w:eastAsia="zh-CN"/>
        </w:rPr>
      </w:pPr>
    </w:p>
    <w:tbl>
      <w:tblPr>
        <w:tblStyle w:val="30"/>
        <w:tblW w:w="47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099"/>
        <w:gridCol w:w="1455"/>
        <w:gridCol w:w="2539"/>
        <w:gridCol w:w="1549"/>
        <w:gridCol w:w="1676"/>
      </w:tblGrid>
      <w:tr w14:paraId="4F5F9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060" w:type="dxa"/>
            <w:noWrap/>
            <w:vAlign w:val="center"/>
          </w:tcPr>
          <w:p w14:paraId="61C155BA">
            <w:pPr>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1099" w:type="dxa"/>
            <w:noWrap/>
            <w:vAlign w:val="center"/>
          </w:tcPr>
          <w:p w14:paraId="3758862E">
            <w:pPr>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性别</w:t>
            </w:r>
          </w:p>
        </w:tc>
        <w:tc>
          <w:tcPr>
            <w:tcW w:w="1455" w:type="dxa"/>
            <w:noWrap/>
            <w:vAlign w:val="center"/>
          </w:tcPr>
          <w:p w14:paraId="5EE6F701">
            <w:pPr>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年龄</w:t>
            </w:r>
          </w:p>
        </w:tc>
        <w:tc>
          <w:tcPr>
            <w:tcW w:w="2539" w:type="dxa"/>
            <w:noWrap/>
            <w:vAlign w:val="center"/>
          </w:tcPr>
          <w:p w14:paraId="1299B3BC">
            <w:pPr>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拟在本项目中担任职务</w:t>
            </w:r>
          </w:p>
        </w:tc>
        <w:tc>
          <w:tcPr>
            <w:tcW w:w="1549" w:type="dxa"/>
            <w:noWrap/>
            <w:vAlign w:val="center"/>
          </w:tcPr>
          <w:p w14:paraId="5A1778E9">
            <w:pPr>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资格证书</w:t>
            </w:r>
          </w:p>
        </w:tc>
        <w:tc>
          <w:tcPr>
            <w:tcW w:w="1676" w:type="dxa"/>
            <w:noWrap/>
            <w:vAlign w:val="center"/>
          </w:tcPr>
          <w:p w14:paraId="4AB05003">
            <w:pPr>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从事该工作时间</w:t>
            </w:r>
          </w:p>
        </w:tc>
      </w:tr>
      <w:tr w14:paraId="0193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0" w:type="dxa"/>
            <w:noWrap/>
            <w:vAlign w:val="center"/>
          </w:tcPr>
          <w:p w14:paraId="2B5C2D09">
            <w:pPr>
              <w:shd w:val="clear"/>
              <w:spacing w:line="440" w:lineRule="exact"/>
              <w:jc w:val="center"/>
              <w:rPr>
                <w:rFonts w:hint="eastAsia" w:ascii="仿宋" w:hAnsi="仿宋" w:eastAsia="仿宋" w:cs="仿宋"/>
                <w:color w:val="auto"/>
                <w:sz w:val="28"/>
                <w:szCs w:val="28"/>
                <w:highlight w:val="none"/>
              </w:rPr>
            </w:pPr>
          </w:p>
        </w:tc>
        <w:tc>
          <w:tcPr>
            <w:tcW w:w="1099" w:type="dxa"/>
            <w:noWrap/>
            <w:vAlign w:val="center"/>
          </w:tcPr>
          <w:p w14:paraId="030D1E58">
            <w:pPr>
              <w:shd w:val="clear"/>
              <w:spacing w:line="440" w:lineRule="exact"/>
              <w:jc w:val="center"/>
              <w:rPr>
                <w:rFonts w:hint="eastAsia" w:ascii="仿宋" w:hAnsi="仿宋" w:eastAsia="仿宋" w:cs="仿宋"/>
                <w:color w:val="auto"/>
                <w:sz w:val="28"/>
                <w:szCs w:val="28"/>
                <w:highlight w:val="none"/>
              </w:rPr>
            </w:pPr>
          </w:p>
        </w:tc>
        <w:tc>
          <w:tcPr>
            <w:tcW w:w="1455" w:type="dxa"/>
            <w:noWrap/>
            <w:vAlign w:val="center"/>
          </w:tcPr>
          <w:p w14:paraId="164B4370">
            <w:pPr>
              <w:shd w:val="clear"/>
              <w:spacing w:line="440" w:lineRule="exact"/>
              <w:jc w:val="center"/>
              <w:rPr>
                <w:rFonts w:hint="eastAsia" w:ascii="仿宋" w:hAnsi="仿宋" w:eastAsia="仿宋" w:cs="仿宋"/>
                <w:color w:val="auto"/>
                <w:sz w:val="28"/>
                <w:szCs w:val="28"/>
                <w:highlight w:val="none"/>
              </w:rPr>
            </w:pPr>
          </w:p>
        </w:tc>
        <w:tc>
          <w:tcPr>
            <w:tcW w:w="2539" w:type="dxa"/>
            <w:noWrap/>
            <w:vAlign w:val="center"/>
          </w:tcPr>
          <w:p w14:paraId="0BBBADCA">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项目负责人</w:t>
            </w:r>
          </w:p>
        </w:tc>
        <w:tc>
          <w:tcPr>
            <w:tcW w:w="1549" w:type="dxa"/>
            <w:noWrap/>
            <w:vAlign w:val="center"/>
          </w:tcPr>
          <w:p w14:paraId="77B82101">
            <w:pPr>
              <w:shd w:val="clear"/>
              <w:spacing w:line="440" w:lineRule="exact"/>
              <w:jc w:val="center"/>
              <w:rPr>
                <w:rFonts w:hint="eastAsia" w:ascii="仿宋" w:hAnsi="仿宋" w:eastAsia="仿宋" w:cs="仿宋"/>
                <w:color w:val="auto"/>
                <w:sz w:val="28"/>
                <w:szCs w:val="28"/>
                <w:highlight w:val="none"/>
              </w:rPr>
            </w:pPr>
          </w:p>
        </w:tc>
        <w:tc>
          <w:tcPr>
            <w:tcW w:w="1676" w:type="dxa"/>
            <w:noWrap/>
            <w:vAlign w:val="center"/>
          </w:tcPr>
          <w:p w14:paraId="38E70688">
            <w:pPr>
              <w:shd w:val="clear"/>
              <w:spacing w:line="440" w:lineRule="exact"/>
              <w:jc w:val="center"/>
              <w:rPr>
                <w:rFonts w:hint="eastAsia" w:ascii="仿宋" w:hAnsi="仿宋" w:eastAsia="仿宋" w:cs="仿宋"/>
                <w:color w:val="auto"/>
                <w:sz w:val="28"/>
                <w:szCs w:val="28"/>
                <w:highlight w:val="none"/>
              </w:rPr>
            </w:pPr>
          </w:p>
        </w:tc>
      </w:tr>
      <w:tr w14:paraId="4612A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0" w:type="dxa"/>
            <w:noWrap/>
            <w:vAlign w:val="center"/>
          </w:tcPr>
          <w:p w14:paraId="267F94D3">
            <w:pPr>
              <w:shd w:val="clear"/>
              <w:spacing w:line="440" w:lineRule="exact"/>
              <w:jc w:val="center"/>
              <w:rPr>
                <w:rFonts w:hint="eastAsia" w:ascii="仿宋" w:hAnsi="仿宋" w:eastAsia="仿宋" w:cs="仿宋"/>
                <w:color w:val="auto"/>
                <w:sz w:val="28"/>
                <w:szCs w:val="28"/>
                <w:highlight w:val="none"/>
              </w:rPr>
            </w:pPr>
          </w:p>
        </w:tc>
        <w:tc>
          <w:tcPr>
            <w:tcW w:w="1099" w:type="dxa"/>
            <w:noWrap/>
            <w:vAlign w:val="center"/>
          </w:tcPr>
          <w:p w14:paraId="6FFEAC8F">
            <w:pPr>
              <w:shd w:val="clear"/>
              <w:spacing w:line="440" w:lineRule="exact"/>
              <w:jc w:val="center"/>
              <w:rPr>
                <w:rFonts w:hint="eastAsia" w:ascii="仿宋" w:hAnsi="仿宋" w:eastAsia="仿宋" w:cs="仿宋"/>
                <w:color w:val="auto"/>
                <w:sz w:val="28"/>
                <w:szCs w:val="28"/>
                <w:highlight w:val="none"/>
              </w:rPr>
            </w:pPr>
          </w:p>
        </w:tc>
        <w:tc>
          <w:tcPr>
            <w:tcW w:w="1455" w:type="dxa"/>
            <w:noWrap/>
            <w:vAlign w:val="center"/>
          </w:tcPr>
          <w:p w14:paraId="72175065">
            <w:pPr>
              <w:shd w:val="clear"/>
              <w:spacing w:line="440" w:lineRule="exact"/>
              <w:jc w:val="center"/>
              <w:rPr>
                <w:rFonts w:hint="eastAsia" w:ascii="仿宋" w:hAnsi="仿宋" w:eastAsia="仿宋" w:cs="仿宋"/>
                <w:color w:val="auto"/>
                <w:sz w:val="28"/>
                <w:szCs w:val="28"/>
                <w:highlight w:val="none"/>
              </w:rPr>
            </w:pPr>
          </w:p>
        </w:tc>
        <w:tc>
          <w:tcPr>
            <w:tcW w:w="2539" w:type="dxa"/>
            <w:noWrap/>
            <w:vAlign w:val="center"/>
          </w:tcPr>
          <w:p w14:paraId="01CD50B5">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p>
        </w:tc>
        <w:tc>
          <w:tcPr>
            <w:tcW w:w="1549" w:type="dxa"/>
            <w:noWrap/>
            <w:vAlign w:val="center"/>
          </w:tcPr>
          <w:p w14:paraId="7E356A0E">
            <w:pPr>
              <w:shd w:val="clear"/>
              <w:spacing w:line="440" w:lineRule="exact"/>
              <w:jc w:val="center"/>
              <w:rPr>
                <w:rFonts w:hint="eastAsia" w:ascii="仿宋" w:hAnsi="仿宋" w:eastAsia="仿宋" w:cs="仿宋"/>
                <w:color w:val="auto"/>
                <w:sz w:val="28"/>
                <w:szCs w:val="28"/>
                <w:highlight w:val="none"/>
              </w:rPr>
            </w:pPr>
          </w:p>
        </w:tc>
        <w:tc>
          <w:tcPr>
            <w:tcW w:w="1676" w:type="dxa"/>
            <w:noWrap/>
            <w:vAlign w:val="center"/>
          </w:tcPr>
          <w:p w14:paraId="6B04275D">
            <w:pPr>
              <w:shd w:val="clear"/>
              <w:spacing w:line="440" w:lineRule="exact"/>
              <w:jc w:val="center"/>
              <w:rPr>
                <w:rFonts w:hint="eastAsia" w:ascii="仿宋" w:hAnsi="仿宋" w:eastAsia="仿宋" w:cs="仿宋"/>
                <w:color w:val="auto"/>
                <w:sz w:val="28"/>
                <w:szCs w:val="28"/>
                <w:highlight w:val="none"/>
              </w:rPr>
            </w:pPr>
          </w:p>
        </w:tc>
      </w:tr>
      <w:tr w14:paraId="23826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0" w:type="dxa"/>
            <w:noWrap/>
            <w:vAlign w:val="center"/>
          </w:tcPr>
          <w:p w14:paraId="6FCEC539">
            <w:pPr>
              <w:shd w:val="clear"/>
              <w:spacing w:line="440" w:lineRule="exact"/>
              <w:jc w:val="center"/>
              <w:rPr>
                <w:rFonts w:hint="eastAsia" w:ascii="仿宋" w:hAnsi="仿宋" w:eastAsia="仿宋" w:cs="仿宋"/>
                <w:color w:val="auto"/>
                <w:sz w:val="28"/>
                <w:szCs w:val="28"/>
                <w:highlight w:val="none"/>
              </w:rPr>
            </w:pPr>
          </w:p>
        </w:tc>
        <w:tc>
          <w:tcPr>
            <w:tcW w:w="1099" w:type="dxa"/>
            <w:noWrap/>
            <w:vAlign w:val="center"/>
          </w:tcPr>
          <w:p w14:paraId="24863297">
            <w:pPr>
              <w:shd w:val="clear"/>
              <w:spacing w:line="440" w:lineRule="exact"/>
              <w:jc w:val="center"/>
              <w:rPr>
                <w:rFonts w:hint="eastAsia" w:ascii="仿宋" w:hAnsi="仿宋" w:eastAsia="仿宋" w:cs="仿宋"/>
                <w:color w:val="auto"/>
                <w:sz w:val="28"/>
                <w:szCs w:val="28"/>
                <w:highlight w:val="none"/>
              </w:rPr>
            </w:pPr>
          </w:p>
        </w:tc>
        <w:tc>
          <w:tcPr>
            <w:tcW w:w="1455" w:type="dxa"/>
            <w:noWrap/>
            <w:vAlign w:val="center"/>
          </w:tcPr>
          <w:p w14:paraId="21F95294">
            <w:pPr>
              <w:shd w:val="clear"/>
              <w:spacing w:line="440" w:lineRule="exact"/>
              <w:jc w:val="center"/>
              <w:rPr>
                <w:rFonts w:hint="eastAsia" w:ascii="仿宋" w:hAnsi="仿宋" w:eastAsia="仿宋" w:cs="仿宋"/>
                <w:color w:val="auto"/>
                <w:sz w:val="28"/>
                <w:szCs w:val="28"/>
                <w:highlight w:val="none"/>
              </w:rPr>
            </w:pPr>
          </w:p>
        </w:tc>
        <w:tc>
          <w:tcPr>
            <w:tcW w:w="2539" w:type="dxa"/>
            <w:noWrap/>
            <w:vAlign w:val="center"/>
          </w:tcPr>
          <w:p w14:paraId="70886F31">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p>
        </w:tc>
        <w:tc>
          <w:tcPr>
            <w:tcW w:w="1549" w:type="dxa"/>
            <w:noWrap/>
            <w:vAlign w:val="center"/>
          </w:tcPr>
          <w:p w14:paraId="5A1E9F7C">
            <w:pPr>
              <w:shd w:val="clear"/>
              <w:spacing w:line="440" w:lineRule="exact"/>
              <w:jc w:val="center"/>
              <w:rPr>
                <w:rFonts w:hint="eastAsia" w:ascii="仿宋" w:hAnsi="仿宋" w:eastAsia="仿宋" w:cs="仿宋"/>
                <w:color w:val="auto"/>
                <w:sz w:val="28"/>
                <w:szCs w:val="28"/>
                <w:highlight w:val="none"/>
              </w:rPr>
            </w:pPr>
          </w:p>
        </w:tc>
        <w:tc>
          <w:tcPr>
            <w:tcW w:w="1676" w:type="dxa"/>
            <w:noWrap/>
            <w:vAlign w:val="center"/>
          </w:tcPr>
          <w:p w14:paraId="3E13A862">
            <w:pPr>
              <w:shd w:val="clear"/>
              <w:spacing w:line="440" w:lineRule="exact"/>
              <w:jc w:val="center"/>
              <w:rPr>
                <w:rFonts w:hint="eastAsia" w:ascii="仿宋" w:hAnsi="仿宋" w:eastAsia="仿宋" w:cs="仿宋"/>
                <w:color w:val="auto"/>
                <w:sz w:val="28"/>
                <w:szCs w:val="28"/>
                <w:highlight w:val="none"/>
              </w:rPr>
            </w:pPr>
          </w:p>
        </w:tc>
      </w:tr>
      <w:tr w14:paraId="1CA10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0" w:type="dxa"/>
            <w:noWrap/>
            <w:vAlign w:val="center"/>
          </w:tcPr>
          <w:p w14:paraId="1C3C911E">
            <w:pPr>
              <w:shd w:val="clear"/>
              <w:spacing w:line="440" w:lineRule="exact"/>
              <w:jc w:val="center"/>
              <w:rPr>
                <w:rFonts w:hint="eastAsia" w:ascii="仿宋" w:hAnsi="仿宋" w:eastAsia="仿宋" w:cs="仿宋"/>
                <w:color w:val="auto"/>
                <w:sz w:val="28"/>
                <w:szCs w:val="28"/>
                <w:highlight w:val="none"/>
              </w:rPr>
            </w:pPr>
          </w:p>
        </w:tc>
        <w:tc>
          <w:tcPr>
            <w:tcW w:w="1099" w:type="dxa"/>
            <w:noWrap/>
            <w:vAlign w:val="center"/>
          </w:tcPr>
          <w:p w14:paraId="1A5CA484">
            <w:pPr>
              <w:shd w:val="clear"/>
              <w:spacing w:line="440" w:lineRule="exact"/>
              <w:jc w:val="center"/>
              <w:rPr>
                <w:rFonts w:hint="eastAsia" w:ascii="仿宋" w:hAnsi="仿宋" w:eastAsia="仿宋" w:cs="仿宋"/>
                <w:color w:val="auto"/>
                <w:sz w:val="28"/>
                <w:szCs w:val="28"/>
                <w:highlight w:val="none"/>
              </w:rPr>
            </w:pPr>
          </w:p>
        </w:tc>
        <w:tc>
          <w:tcPr>
            <w:tcW w:w="1455" w:type="dxa"/>
            <w:noWrap/>
            <w:vAlign w:val="center"/>
          </w:tcPr>
          <w:p w14:paraId="60884A49">
            <w:pPr>
              <w:shd w:val="clear"/>
              <w:spacing w:line="440" w:lineRule="exact"/>
              <w:jc w:val="center"/>
              <w:rPr>
                <w:rFonts w:hint="eastAsia" w:ascii="仿宋" w:hAnsi="仿宋" w:eastAsia="仿宋" w:cs="仿宋"/>
                <w:color w:val="auto"/>
                <w:sz w:val="28"/>
                <w:szCs w:val="28"/>
                <w:highlight w:val="none"/>
              </w:rPr>
            </w:pPr>
          </w:p>
        </w:tc>
        <w:tc>
          <w:tcPr>
            <w:tcW w:w="2539" w:type="dxa"/>
            <w:noWrap/>
            <w:vAlign w:val="center"/>
          </w:tcPr>
          <w:p w14:paraId="6B4B9214">
            <w:pPr>
              <w:shd w:val="clear"/>
              <w:spacing w:line="440" w:lineRule="exact"/>
              <w:jc w:val="center"/>
              <w:rPr>
                <w:rFonts w:hint="eastAsia" w:ascii="仿宋" w:hAnsi="仿宋" w:eastAsia="仿宋" w:cs="仿宋"/>
                <w:color w:val="auto"/>
                <w:sz w:val="28"/>
                <w:szCs w:val="28"/>
                <w:highlight w:val="none"/>
              </w:rPr>
            </w:pPr>
          </w:p>
        </w:tc>
        <w:tc>
          <w:tcPr>
            <w:tcW w:w="1549" w:type="dxa"/>
            <w:noWrap/>
            <w:vAlign w:val="center"/>
          </w:tcPr>
          <w:p w14:paraId="09B4CB5E">
            <w:pPr>
              <w:shd w:val="clear"/>
              <w:spacing w:line="440" w:lineRule="exact"/>
              <w:jc w:val="center"/>
              <w:rPr>
                <w:rFonts w:hint="eastAsia" w:ascii="仿宋" w:hAnsi="仿宋" w:eastAsia="仿宋" w:cs="仿宋"/>
                <w:color w:val="auto"/>
                <w:sz w:val="28"/>
                <w:szCs w:val="28"/>
                <w:highlight w:val="none"/>
              </w:rPr>
            </w:pPr>
          </w:p>
        </w:tc>
        <w:tc>
          <w:tcPr>
            <w:tcW w:w="1676" w:type="dxa"/>
            <w:noWrap/>
            <w:vAlign w:val="center"/>
          </w:tcPr>
          <w:p w14:paraId="3BC70FB8">
            <w:pPr>
              <w:shd w:val="clear"/>
              <w:spacing w:line="440" w:lineRule="exact"/>
              <w:jc w:val="center"/>
              <w:rPr>
                <w:rFonts w:hint="eastAsia" w:ascii="仿宋" w:hAnsi="仿宋" w:eastAsia="仿宋" w:cs="仿宋"/>
                <w:color w:val="auto"/>
                <w:sz w:val="28"/>
                <w:szCs w:val="28"/>
                <w:highlight w:val="none"/>
              </w:rPr>
            </w:pPr>
          </w:p>
        </w:tc>
      </w:tr>
      <w:tr w14:paraId="12D7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0" w:type="dxa"/>
            <w:noWrap/>
            <w:vAlign w:val="center"/>
          </w:tcPr>
          <w:p w14:paraId="70C81D34">
            <w:pPr>
              <w:shd w:val="clear"/>
              <w:spacing w:line="440" w:lineRule="exact"/>
              <w:jc w:val="center"/>
              <w:rPr>
                <w:rFonts w:hint="eastAsia" w:ascii="仿宋" w:hAnsi="仿宋" w:eastAsia="仿宋" w:cs="仿宋"/>
                <w:color w:val="auto"/>
                <w:sz w:val="28"/>
                <w:szCs w:val="28"/>
                <w:highlight w:val="none"/>
              </w:rPr>
            </w:pPr>
          </w:p>
        </w:tc>
        <w:tc>
          <w:tcPr>
            <w:tcW w:w="1099" w:type="dxa"/>
            <w:noWrap/>
            <w:vAlign w:val="center"/>
          </w:tcPr>
          <w:p w14:paraId="5369CEE9">
            <w:pPr>
              <w:shd w:val="clear"/>
              <w:spacing w:line="440" w:lineRule="exact"/>
              <w:jc w:val="center"/>
              <w:rPr>
                <w:rFonts w:hint="eastAsia" w:ascii="仿宋" w:hAnsi="仿宋" w:eastAsia="仿宋" w:cs="仿宋"/>
                <w:color w:val="auto"/>
                <w:sz w:val="28"/>
                <w:szCs w:val="28"/>
                <w:highlight w:val="none"/>
              </w:rPr>
            </w:pPr>
          </w:p>
        </w:tc>
        <w:tc>
          <w:tcPr>
            <w:tcW w:w="1455" w:type="dxa"/>
            <w:noWrap/>
            <w:vAlign w:val="center"/>
          </w:tcPr>
          <w:p w14:paraId="16DE5C2B">
            <w:pPr>
              <w:shd w:val="clear"/>
              <w:spacing w:line="440" w:lineRule="exact"/>
              <w:jc w:val="center"/>
              <w:rPr>
                <w:rFonts w:hint="eastAsia" w:ascii="仿宋" w:hAnsi="仿宋" w:eastAsia="仿宋" w:cs="仿宋"/>
                <w:color w:val="auto"/>
                <w:sz w:val="28"/>
                <w:szCs w:val="28"/>
                <w:highlight w:val="none"/>
              </w:rPr>
            </w:pPr>
          </w:p>
        </w:tc>
        <w:tc>
          <w:tcPr>
            <w:tcW w:w="2539" w:type="dxa"/>
            <w:noWrap/>
            <w:vAlign w:val="center"/>
          </w:tcPr>
          <w:p w14:paraId="6B062175">
            <w:pPr>
              <w:shd w:val="clear"/>
              <w:spacing w:line="440" w:lineRule="exact"/>
              <w:jc w:val="center"/>
              <w:rPr>
                <w:rFonts w:hint="eastAsia" w:ascii="仿宋" w:hAnsi="仿宋" w:eastAsia="仿宋" w:cs="仿宋"/>
                <w:color w:val="auto"/>
                <w:sz w:val="28"/>
                <w:szCs w:val="28"/>
                <w:highlight w:val="none"/>
              </w:rPr>
            </w:pPr>
          </w:p>
        </w:tc>
        <w:tc>
          <w:tcPr>
            <w:tcW w:w="1549" w:type="dxa"/>
            <w:noWrap/>
            <w:vAlign w:val="center"/>
          </w:tcPr>
          <w:p w14:paraId="30644B73">
            <w:pPr>
              <w:shd w:val="clear"/>
              <w:spacing w:line="440" w:lineRule="exact"/>
              <w:jc w:val="center"/>
              <w:rPr>
                <w:rFonts w:hint="eastAsia" w:ascii="仿宋" w:hAnsi="仿宋" w:eastAsia="仿宋" w:cs="仿宋"/>
                <w:color w:val="auto"/>
                <w:sz w:val="28"/>
                <w:szCs w:val="28"/>
                <w:highlight w:val="none"/>
              </w:rPr>
            </w:pPr>
          </w:p>
        </w:tc>
        <w:tc>
          <w:tcPr>
            <w:tcW w:w="1676" w:type="dxa"/>
            <w:noWrap/>
            <w:vAlign w:val="center"/>
          </w:tcPr>
          <w:p w14:paraId="2538C151">
            <w:pPr>
              <w:shd w:val="clear"/>
              <w:spacing w:line="440" w:lineRule="exact"/>
              <w:jc w:val="center"/>
              <w:rPr>
                <w:rFonts w:hint="eastAsia" w:ascii="仿宋" w:hAnsi="仿宋" w:eastAsia="仿宋" w:cs="仿宋"/>
                <w:color w:val="auto"/>
                <w:sz w:val="28"/>
                <w:szCs w:val="28"/>
                <w:highlight w:val="none"/>
              </w:rPr>
            </w:pPr>
          </w:p>
        </w:tc>
      </w:tr>
      <w:tr w14:paraId="4C383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0" w:type="dxa"/>
            <w:noWrap/>
            <w:vAlign w:val="center"/>
          </w:tcPr>
          <w:p w14:paraId="283D3D9A">
            <w:pPr>
              <w:shd w:val="clear"/>
              <w:spacing w:line="440" w:lineRule="exact"/>
              <w:jc w:val="center"/>
              <w:rPr>
                <w:rFonts w:hint="eastAsia" w:ascii="仿宋" w:hAnsi="仿宋" w:eastAsia="仿宋" w:cs="仿宋"/>
                <w:color w:val="auto"/>
                <w:sz w:val="28"/>
                <w:szCs w:val="28"/>
                <w:highlight w:val="none"/>
              </w:rPr>
            </w:pPr>
          </w:p>
        </w:tc>
        <w:tc>
          <w:tcPr>
            <w:tcW w:w="1099" w:type="dxa"/>
            <w:noWrap/>
            <w:vAlign w:val="center"/>
          </w:tcPr>
          <w:p w14:paraId="5CF64E7C">
            <w:pPr>
              <w:shd w:val="clear"/>
              <w:spacing w:line="440" w:lineRule="exact"/>
              <w:jc w:val="center"/>
              <w:rPr>
                <w:rFonts w:hint="eastAsia" w:ascii="仿宋" w:hAnsi="仿宋" w:eastAsia="仿宋" w:cs="仿宋"/>
                <w:color w:val="auto"/>
                <w:sz w:val="28"/>
                <w:szCs w:val="28"/>
                <w:highlight w:val="none"/>
              </w:rPr>
            </w:pPr>
          </w:p>
        </w:tc>
        <w:tc>
          <w:tcPr>
            <w:tcW w:w="1455" w:type="dxa"/>
            <w:noWrap/>
            <w:vAlign w:val="center"/>
          </w:tcPr>
          <w:p w14:paraId="0D1C8405">
            <w:pPr>
              <w:shd w:val="clear"/>
              <w:spacing w:line="440" w:lineRule="exact"/>
              <w:jc w:val="center"/>
              <w:rPr>
                <w:rFonts w:hint="eastAsia" w:ascii="仿宋" w:hAnsi="仿宋" w:eastAsia="仿宋" w:cs="仿宋"/>
                <w:color w:val="auto"/>
                <w:sz w:val="28"/>
                <w:szCs w:val="28"/>
                <w:highlight w:val="none"/>
              </w:rPr>
            </w:pPr>
          </w:p>
        </w:tc>
        <w:tc>
          <w:tcPr>
            <w:tcW w:w="2539" w:type="dxa"/>
            <w:noWrap/>
            <w:vAlign w:val="center"/>
          </w:tcPr>
          <w:p w14:paraId="0161E62F">
            <w:pPr>
              <w:shd w:val="clear"/>
              <w:spacing w:line="440" w:lineRule="exact"/>
              <w:jc w:val="center"/>
              <w:rPr>
                <w:rFonts w:hint="eastAsia" w:ascii="仿宋" w:hAnsi="仿宋" w:eastAsia="仿宋" w:cs="仿宋"/>
                <w:color w:val="auto"/>
                <w:sz w:val="28"/>
                <w:szCs w:val="28"/>
                <w:highlight w:val="none"/>
              </w:rPr>
            </w:pPr>
          </w:p>
        </w:tc>
        <w:tc>
          <w:tcPr>
            <w:tcW w:w="1549" w:type="dxa"/>
            <w:noWrap/>
            <w:vAlign w:val="center"/>
          </w:tcPr>
          <w:p w14:paraId="6288C946">
            <w:pPr>
              <w:shd w:val="clear"/>
              <w:spacing w:line="440" w:lineRule="exact"/>
              <w:jc w:val="center"/>
              <w:rPr>
                <w:rFonts w:hint="eastAsia" w:ascii="仿宋" w:hAnsi="仿宋" w:eastAsia="仿宋" w:cs="仿宋"/>
                <w:color w:val="auto"/>
                <w:sz w:val="28"/>
                <w:szCs w:val="28"/>
                <w:highlight w:val="none"/>
              </w:rPr>
            </w:pPr>
          </w:p>
        </w:tc>
        <w:tc>
          <w:tcPr>
            <w:tcW w:w="1676" w:type="dxa"/>
            <w:noWrap/>
            <w:vAlign w:val="center"/>
          </w:tcPr>
          <w:p w14:paraId="214955B1">
            <w:pPr>
              <w:shd w:val="clear"/>
              <w:spacing w:line="440" w:lineRule="exact"/>
              <w:jc w:val="center"/>
              <w:rPr>
                <w:rFonts w:hint="eastAsia" w:ascii="仿宋" w:hAnsi="仿宋" w:eastAsia="仿宋" w:cs="仿宋"/>
                <w:color w:val="auto"/>
                <w:sz w:val="28"/>
                <w:szCs w:val="28"/>
                <w:highlight w:val="none"/>
              </w:rPr>
            </w:pPr>
          </w:p>
        </w:tc>
      </w:tr>
      <w:tr w14:paraId="7AAF6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0" w:type="dxa"/>
            <w:noWrap/>
            <w:vAlign w:val="center"/>
          </w:tcPr>
          <w:p w14:paraId="34559C56">
            <w:pPr>
              <w:shd w:val="clear"/>
              <w:spacing w:line="440" w:lineRule="exact"/>
              <w:jc w:val="center"/>
              <w:rPr>
                <w:rFonts w:hint="eastAsia" w:ascii="仿宋" w:hAnsi="仿宋" w:eastAsia="仿宋" w:cs="仿宋"/>
                <w:color w:val="auto"/>
                <w:sz w:val="28"/>
                <w:szCs w:val="28"/>
                <w:highlight w:val="none"/>
              </w:rPr>
            </w:pPr>
          </w:p>
        </w:tc>
        <w:tc>
          <w:tcPr>
            <w:tcW w:w="1099" w:type="dxa"/>
            <w:noWrap/>
            <w:vAlign w:val="center"/>
          </w:tcPr>
          <w:p w14:paraId="778DB076">
            <w:pPr>
              <w:shd w:val="clear"/>
              <w:spacing w:line="440" w:lineRule="exact"/>
              <w:jc w:val="center"/>
              <w:rPr>
                <w:rFonts w:hint="eastAsia" w:ascii="仿宋" w:hAnsi="仿宋" w:eastAsia="仿宋" w:cs="仿宋"/>
                <w:color w:val="auto"/>
                <w:sz w:val="28"/>
                <w:szCs w:val="28"/>
                <w:highlight w:val="none"/>
              </w:rPr>
            </w:pPr>
          </w:p>
        </w:tc>
        <w:tc>
          <w:tcPr>
            <w:tcW w:w="1455" w:type="dxa"/>
            <w:noWrap/>
            <w:vAlign w:val="center"/>
          </w:tcPr>
          <w:p w14:paraId="73F162B2">
            <w:pPr>
              <w:shd w:val="clear"/>
              <w:spacing w:line="440" w:lineRule="exact"/>
              <w:jc w:val="center"/>
              <w:rPr>
                <w:rFonts w:hint="eastAsia" w:ascii="仿宋" w:hAnsi="仿宋" w:eastAsia="仿宋" w:cs="仿宋"/>
                <w:color w:val="auto"/>
                <w:sz w:val="28"/>
                <w:szCs w:val="28"/>
                <w:highlight w:val="none"/>
              </w:rPr>
            </w:pPr>
          </w:p>
        </w:tc>
        <w:tc>
          <w:tcPr>
            <w:tcW w:w="2539" w:type="dxa"/>
            <w:noWrap/>
            <w:vAlign w:val="center"/>
          </w:tcPr>
          <w:p w14:paraId="122C8673">
            <w:pPr>
              <w:shd w:val="clear"/>
              <w:spacing w:line="440" w:lineRule="exact"/>
              <w:jc w:val="center"/>
              <w:rPr>
                <w:rFonts w:hint="eastAsia" w:ascii="仿宋" w:hAnsi="仿宋" w:eastAsia="仿宋" w:cs="仿宋"/>
                <w:color w:val="auto"/>
                <w:sz w:val="28"/>
                <w:szCs w:val="28"/>
                <w:highlight w:val="none"/>
              </w:rPr>
            </w:pPr>
          </w:p>
        </w:tc>
        <w:tc>
          <w:tcPr>
            <w:tcW w:w="1549" w:type="dxa"/>
            <w:noWrap/>
            <w:vAlign w:val="center"/>
          </w:tcPr>
          <w:p w14:paraId="5674E64A">
            <w:pPr>
              <w:shd w:val="clear"/>
              <w:spacing w:line="440" w:lineRule="exact"/>
              <w:jc w:val="center"/>
              <w:rPr>
                <w:rFonts w:hint="eastAsia" w:ascii="仿宋" w:hAnsi="仿宋" w:eastAsia="仿宋" w:cs="仿宋"/>
                <w:color w:val="auto"/>
                <w:sz w:val="28"/>
                <w:szCs w:val="28"/>
                <w:highlight w:val="none"/>
              </w:rPr>
            </w:pPr>
          </w:p>
        </w:tc>
        <w:tc>
          <w:tcPr>
            <w:tcW w:w="1676" w:type="dxa"/>
            <w:noWrap/>
            <w:vAlign w:val="center"/>
          </w:tcPr>
          <w:p w14:paraId="115E8B36">
            <w:pPr>
              <w:shd w:val="clear"/>
              <w:spacing w:line="440" w:lineRule="exact"/>
              <w:jc w:val="center"/>
              <w:rPr>
                <w:rFonts w:hint="eastAsia" w:ascii="仿宋" w:hAnsi="仿宋" w:eastAsia="仿宋" w:cs="仿宋"/>
                <w:color w:val="auto"/>
                <w:sz w:val="28"/>
                <w:szCs w:val="28"/>
                <w:highlight w:val="none"/>
              </w:rPr>
            </w:pPr>
          </w:p>
        </w:tc>
      </w:tr>
      <w:tr w14:paraId="3BE7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0" w:type="dxa"/>
            <w:noWrap/>
            <w:vAlign w:val="center"/>
          </w:tcPr>
          <w:p w14:paraId="1F169977">
            <w:pPr>
              <w:shd w:val="clear"/>
              <w:spacing w:line="440" w:lineRule="exact"/>
              <w:jc w:val="center"/>
              <w:rPr>
                <w:rFonts w:hint="eastAsia" w:ascii="仿宋" w:hAnsi="仿宋" w:eastAsia="仿宋" w:cs="仿宋"/>
                <w:color w:val="auto"/>
                <w:sz w:val="28"/>
                <w:szCs w:val="28"/>
                <w:highlight w:val="none"/>
              </w:rPr>
            </w:pPr>
          </w:p>
        </w:tc>
        <w:tc>
          <w:tcPr>
            <w:tcW w:w="1099" w:type="dxa"/>
            <w:noWrap/>
            <w:vAlign w:val="center"/>
          </w:tcPr>
          <w:p w14:paraId="0BA11B0D">
            <w:pPr>
              <w:shd w:val="clear"/>
              <w:spacing w:line="440" w:lineRule="exact"/>
              <w:jc w:val="center"/>
              <w:rPr>
                <w:rFonts w:hint="eastAsia" w:ascii="仿宋" w:hAnsi="仿宋" w:eastAsia="仿宋" w:cs="仿宋"/>
                <w:color w:val="auto"/>
                <w:sz w:val="28"/>
                <w:szCs w:val="28"/>
                <w:highlight w:val="none"/>
              </w:rPr>
            </w:pPr>
          </w:p>
        </w:tc>
        <w:tc>
          <w:tcPr>
            <w:tcW w:w="1455" w:type="dxa"/>
            <w:noWrap/>
            <w:vAlign w:val="center"/>
          </w:tcPr>
          <w:p w14:paraId="143233A1">
            <w:pPr>
              <w:shd w:val="clear"/>
              <w:spacing w:line="440" w:lineRule="exact"/>
              <w:jc w:val="center"/>
              <w:rPr>
                <w:rFonts w:hint="eastAsia" w:ascii="仿宋" w:hAnsi="仿宋" w:eastAsia="仿宋" w:cs="仿宋"/>
                <w:color w:val="auto"/>
                <w:sz w:val="28"/>
                <w:szCs w:val="28"/>
                <w:highlight w:val="none"/>
              </w:rPr>
            </w:pPr>
          </w:p>
        </w:tc>
        <w:tc>
          <w:tcPr>
            <w:tcW w:w="2539" w:type="dxa"/>
            <w:noWrap/>
            <w:vAlign w:val="center"/>
          </w:tcPr>
          <w:p w14:paraId="1AD2A7E2">
            <w:pPr>
              <w:shd w:val="clear"/>
              <w:spacing w:line="440" w:lineRule="exact"/>
              <w:jc w:val="center"/>
              <w:rPr>
                <w:rFonts w:hint="eastAsia" w:ascii="仿宋" w:hAnsi="仿宋" w:eastAsia="仿宋" w:cs="仿宋"/>
                <w:color w:val="auto"/>
                <w:sz w:val="28"/>
                <w:szCs w:val="28"/>
                <w:highlight w:val="none"/>
              </w:rPr>
            </w:pPr>
          </w:p>
        </w:tc>
        <w:tc>
          <w:tcPr>
            <w:tcW w:w="1549" w:type="dxa"/>
            <w:noWrap/>
            <w:vAlign w:val="center"/>
          </w:tcPr>
          <w:p w14:paraId="67DB1D8F">
            <w:pPr>
              <w:shd w:val="clear"/>
              <w:spacing w:line="440" w:lineRule="exact"/>
              <w:jc w:val="center"/>
              <w:rPr>
                <w:rFonts w:hint="eastAsia" w:ascii="仿宋" w:hAnsi="仿宋" w:eastAsia="仿宋" w:cs="仿宋"/>
                <w:color w:val="auto"/>
                <w:sz w:val="28"/>
                <w:szCs w:val="28"/>
                <w:highlight w:val="none"/>
              </w:rPr>
            </w:pPr>
          </w:p>
        </w:tc>
        <w:tc>
          <w:tcPr>
            <w:tcW w:w="1676" w:type="dxa"/>
            <w:noWrap/>
            <w:vAlign w:val="center"/>
          </w:tcPr>
          <w:p w14:paraId="380A9BD7">
            <w:pPr>
              <w:shd w:val="clear"/>
              <w:spacing w:line="440" w:lineRule="exact"/>
              <w:jc w:val="center"/>
              <w:rPr>
                <w:rFonts w:hint="eastAsia" w:ascii="仿宋" w:hAnsi="仿宋" w:eastAsia="仿宋" w:cs="仿宋"/>
                <w:color w:val="auto"/>
                <w:sz w:val="28"/>
                <w:szCs w:val="28"/>
                <w:highlight w:val="none"/>
              </w:rPr>
            </w:pPr>
          </w:p>
        </w:tc>
      </w:tr>
      <w:tr w14:paraId="70E7C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0" w:type="dxa"/>
            <w:noWrap/>
            <w:vAlign w:val="center"/>
          </w:tcPr>
          <w:p w14:paraId="20755C9E">
            <w:pPr>
              <w:shd w:val="clear"/>
              <w:spacing w:line="440" w:lineRule="exact"/>
              <w:jc w:val="center"/>
              <w:rPr>
                <w:rFonts w:hint="eastAsia" w:ascii="仿宋" w:hAnsi="仿宋" w:eastAsia="仿宋" w:cs="仿宋"/>
                <w:color w:val="auto"/>
                <w:sz w:val="28"/>
                <w:szCs w:val="28"/>
                <w:highlight w:val="none"/>
              </w:rPr>
            </w:pPr>
          </w:p>
        </w:tc>
        <w:tc>
          <w:tcPr>
            <w:tcW w:w="1099" w:type="dxa"/>
            <w:noWrap/>
            <w:vAlign w:val="center"/>
          </w:tcPr>
          <w:p w14:paraId="365894AD">
            <w:pPr>
              <w:shd w:val="clear"/>
              <w:spacing w:line="440" w:lineRule="exact"/>
              <w:jc w:val="center"/>
              <w:rPr>
                <w:rFonts w:hint="eastAsia" w:ascii="仿宋" w:hAnsi="仿宋" w:eastAsia="仿宋" w:cs="仿宋"/>
                <w:color w:val="auto"/>
                <w:sz w:val="28"/>
                <w:szCs w:val="28"/>
                <w:highlight w:val="none"/>
              </w:rPr>
            </w:pPr>
          </w:p>
        </w:tc>
        <w:tc>
          <w:tcPr>
            <w:tcW w:w="1455" w:type="dxa"/>
            <w:noWrap/>
            <w:vAlign w:val="center"/>
          </w:tcPr>
          <w:p w14:paraId="4E7033D7">
            <w:pPr>
              <w:shd w:val="clear"/>
              <w:spacing w:line="440" w:lineRule="exact"/>
              <w:jc w:val="center"/>
              <w:rPr>
                <w:rFonts w:hint="eastAsia" w:ascii="仿宋" w:hAnsi="仿宋" w:eastAsia="仿宋" w:cs="仿宋"/>
                <w:color w:val="auto"/>
                <w:sz w:val="28"/>
                <w:szCs w:val="28"/>
                <w:highlight w:val="none"/>
              </w:rPr>
            </w:pPr>
          </w:p>
        </w:tc>
        <w:tc>
          <w:tcPr>
            <w:tcW w:w="2539" w:type="dxa"/>
            <w:noWrap/>
            <w:vAlign w:val="center"/>
          </w:tcPr>
          <w:p w14:paraId="124CB7C7">
            <w:pPr>
              <w:shd w:val="clear"/>
              <w:spacing w:line="440" w:lineRule="exact"/>
              <w:jc w:val="center"/>
              <w:rPr>
                <w:rFonts w:hint="eastAsia" w:ascii="仿宋" w:hAnsi="仿宋" w:eastAsia="仿宋" w:cs="仿宋"/>
                <w:color w:val="auto"/>
                <w:sz w:val="28"/>
                <w:szCs w:val="28"/>
                <w:highlight w:val="none"/>
              </w:rPr>
            </w:pPr>
          </w:p>
        </w:tc>
        <w:tc>
          <w:tcPr>
            <w:tcW w:w="1549" w:type="dxa"/>
            <w:noWrap/>
            <w:vAlign w:val="center"/>
          </w:tcPr>
          <w:p w14:paraId="6C2F0FF8">
            <w:pPr>
              <w:shd w:val="clear"/>
              <w:spacing w:line="440" w:lineRule="exact"/>
              <w:jc w:val="center"/>
              <w:rPr>
                <w:rFonts w:hint="eastAsia" w:ascii="仿宋" w:hAnsi="仿宋" w:eastAsia="仿宋" w:cs="仿宋"/>
                <w:color w:val="auto"/>
                <w:sz w:val="28"/>
                <w:szCs w:val="28"/>
                <w:highlight w:val="none"/>
              </w:rPr>
            </w:pPr>
          </w:p>
        </w:tc>
        <w:tc>
          <w:tcPr>
            <w:tcW w:w="1676" w:type="dxa"/>
            <w:noWrap/>
            <w:vAlign w:val="center"/>
          </w:tcPr>
          <w:p w14:paraId="7BA2BEAC">
            <w:pPr>
              <w:shd w:val="clear"/>
              <w:spacing w:line="440" w:lineRule="exact"/>
              <w:jc w:val="center"/>
              <w:rPr>
                <w:rFonts w:hint="eastAsia" w:ascii="仿宋" w:hAnsi="仿宋" w:eastAsia="仿宋" w:cs="仿宋"/>
                <w:color w:val="auto"/>
                <w:sz w:val="28"/>
                <w:szCs w:val="28"/>
                <w:highlight w:val="none"/>
              </w:rPr>
            </w:pPr>
          </w:p>
        </w:tc>
      </w:tr>
      <w:tr w14:paraId="3971E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060" w:type="dxa"/>
            <w:noWrap/>
            <w:vAlign w:val="center"/>
          </w:tcPr>
          <w:p w14:paraId="458CD946">
            <w:pPr>
              <w:shd w:val="clear"/>
              <w:spacing w:line="440" w:lineRule="exact"/>
              <w:jc w:val="center"/>
              <w:rPr>
                <w:rFonts w:hint="eastAsia" w:ascii="仿宋" w:hAnsi="仿宋" w:eastAsia="仿宋" w:cs="仿宋"/>
                <w:color w:val="auto"/>
                <w:sz w:val="28"/>
                <w:szCs w:val="28"/>
                <w:highlight w:val="none"/>
              </w:rPr>
            </w:pPr>
          </w:p>
        </w:tc>
        <w:tc>
          <w:tcPr>
            <w:tcW w:w="1099" w:type="dxa"/>
            <w:noWrap/>
            <w:vAlign w:val="center"/>
          </w:tcPr>
          <w:p w14:paraId="2D3F3EAC">
            <w:pPr>
              <w:shd w:val="clear"/>
              <w:spacing w:line="440" w:lineRule="exact"/>
              <w:jc w:val="center"/>
              <w:rPr>
                <w:rFonts w:hint="eastAsia" w:ascii="仿宋" w:hAnsi="仿宋" w:eastAsia="仿宋" w:cs="仿宋"/>
                <w:color w:val="auto"/>
                <w:sz w:val="28"/>
                <w:szCs w:val="28"/>
                <w:highlight w:val="none"/>
              </w:rPr>
            </w:pPr>
          </w:p>
        </w:tc>
        <w:tc>
          <w:tcPr>
            <w:tcW w:w="1455" w:type="dxa"/>
            <w:noWrap/>
            <w:vAlign w:val="center"/>
          </w:tcPr>
          <w:p w14:paraId="3CE8B14C">
            <w:pPr>
              <w:shd w:val="clear"/>
              <w:spacing w:line="440" w:lineRule="exact"/>
              <w:jc w:val="center"/>
              <w:rPr>
                <w:rFonts w:hint="eastAsia" w:ascii="仿宋" w:hAnsi="仿宋" w:eastAsia="仿宋" w:cs="仿宋"/>
                <w:color w:val="auto"/>
                <w:sz w:val="28"/>
                <w:szCs w:val="28"/>
                <w:highlight w:val="none"/>
              </w:rPr>
            </w:pPr>
          </w:p>
        </w:tc>
        <w:tc>
          <w:tcPr>
            <w:tcW w:w="2539" w:type="dxa"/>
            <w:noWrap/>
            <w:vAlign w:val="center"/>
          </w:tcPr>
          <w:p w14:paraId="7EB41012">
            <w:pPr>
              <w:shd w:val="clear"/>
              <w:spacing w:line="440" w:lineRule="exact"/>
              <w:jc w:val="center"/>
              <w:rPr>
                <w:rFonts w:hint="eastAsia" w:ascii="仿宋" w:hAnsi="仿宋" w:eastAsia="仿宋" w:cs="仿宋"/>
                <w:color w:val="auto"/>
                <w:sz w:val="28"/>
                <w:szCs w:val="28"/>
                <w:highlight w:val="none"/>
              </w:rPr>
            </w:pPr>
          </w:p>
        </w:tc>
        <w:tc>
          <w:tcPr>
            <w:tcW w:w="1549" w:type="dxa"/>
            <w:noWrap/>
            <w:vAlign w:val="center"/>
          </w:tcPr>
          <w:p w14:paraId="6299FD15">
            <w:pPr>
              <w:shd w:val="clear"/>
              <w:spacing w:line="440" w:lineRule="exact"/>
              <w:jc w:val="center"/>
              <w:rPr>
                <w:rFonts w:hint="eastAsia" w:ascii="仿宋" w:hAnsi="仿宋" w:eastAsia="仿宋" w:cs="仿宋"/>
                <w:color w:val="auto"/>
                <w:sz w:val="28"/>
                <w:szCs w:val="28"/>
                <w:highlight w:val="none"/>
              </w:rPr>
            </w:pPr>
          </w:p>
        </w:tc>
        <w:tc>
          <w:tcPr>
            <w:tcW w:w="1676" w:type="dxa"/>
            <w:noWrap/>
            <w:vAlign w:val="center"/>
          </w:tcPr>
          <w:p w14:paraId="423DB3F3">
            <w:pPr>
              <w:shd w:val="clear"/>
              <w:spacing w:line="440" w:lineRule="exact"/>
              <w:jc w:val="center"/>
              <w:rPr>
                <w:rFonts w:hint="eastAsia" w:ascii="仿宋" w:hAnsi="仿宋" w:eastAsia="仿宋" w:cs="仿宋"/>
                <w:color w:val="auto"/>
                <w:sz w:val="28"/>
                <w:szCs w:val="28"/>
                <w:highlight w:val="none"/>
              </w:rPr>
            </w:pPr>
          </w:p>
        </w:tc>
      </w:tr>
      <w:tr w14:paraId="7745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60" w:type="dxa"/>
            <w:noWrap/>
            <w:vAlign w:val="center"/>
          </w:tcPr>
          <w:p w14:paraId="3228BD57">
            <w:pPr>
              <w:shd w:val="clear"/>
              <w:spacing w:line="440" w:lineRule="exact"/>
              <w:jc w:val="center"/>
              <w:rPr>
                <w:rFonts w:hint="eastAsia" w:ascii="仿宋" w:hAnsi="仿宋" w:eastAsia="仿宋" w:cs="仿宋"/>
                <w:color w:val="auto"/>
                <w:sz w:val="28"/>
                <w:szCs w:val="28"/>
                <w:highlight w:val="none"/>
              </w:rPr>
            </w:pPr>
          </w:p>
        </w:tc>
        <w:tc>
          <w:tcPr>
            <w:tcW w:w="1099" w:type="dxa"/>
            <w:noWrap/>
            <w:vAlign w:val="center"/>
          </w:tcPr>
          <w:p w14:paraId="6B38FA21">
            <w:pPr>
              <w:shd w:val="clear"/>
              <w:spacing w:line="440" w:lineRule="exact"/>
              <w:jc w:val="center"/>
              <w:rPr>
                <w:rFonts w:hint="eastAsia" w:ascii="仿宋" w:hAnsi="仿宋" w:eastAsia="仿宋" w:cs="仿宋"/>
                <w:color w:val="auto"/>
                <w:sz w:val="28"/>
                <w:szCs w:val="28"/>
                <w:highlight w:val="none"/>
              </w:rPr>
            </w:pPr>
          </w:p>
        </w:tc>
        <w:tc>
          <w:tcPr>
            <w:tcW w:w="1455" w:type="dxa"/>
            <w:noWrap/>
            <w:vAlign w:val="center"/>
          </w:tcPr>
          <w:p w14:paraId="6C2F508A">
            <w:pPr>
              <w:shd w:val="clear"/>
              <w:spacing w:line="440" w:lineRule="exact"/>
              <w:jc w:val="center"/>
              <w:rPr>
                <w:rFonts w:hint="eastAsia" w:ascii="仿宋" w:hAnsi="仿宋" w:eastAsia="仿宋" w:cs="仿宋"/>
                <w:color w:val="auto"/>
                <w:sz w:val="28"/>
                <w:szCs w:val="28"/>
                <w:highlight w:val="none"/>
              </w:rPr>
            </w:pPr>
          </w:p>
        </w:tc>
        <w:tc>
          <w:tcPr>
            <w:tcW w:w="2539" w:type="dxa"/>
            <w:noWrap/>
            <w:vAlign w:val="center"/>
          </w:tcPr>
          <w:p w14:paraId="24AD6E55">
            <w:pPr>
              <w:shd w:val="clear"/>
              <w:spacing w:line="440" w:lineRule="exact"/>
              <w:jc w:val="center"/>
              <w:rPr>
                <w:rFonts w:hint="eastAsia" w:ascii="仿宋" w:hAnsi="仿宋" w:eastAsia="仿宋" w:cs="仿宋"/>
                <w:color w:val="auto"/>
                <w:sz w:val="28"/>
                <w:szCs w:val="28"/>
                <w:highlight w:val="none"/>
              </w:rPr>
            </w:pPr>
          </w:p>
        </w:tc>
        <w:tc>
          <w:tcPr>
            <w:tcW w:w="1549" w:type="dxa"/>
            <w:noWrap/>
            <w:vAlign w:val="center"/>
          </w:tcPr>
          <w:p w14:paraId="2B672DB5">
            <w:pPr>
              <w:shd w:val="clear"/>
              <w:spacing w:line="440" w:lineRule="exact"/>
              <w:jc w:val="center"/>
              <w:rPr>
                <w:rFonts w:hint="eastAsia" w:ascii="仿宋" w:hAnsi="仿宋" w:eastAsia="仿宋" w:cs="仿宋"/>
                <w:color w:val="auto"/>
                <w:sz w:val="28"/>
                <w:szCs w:val="28"/>
                <w:highlight w:val="none"/>
              </w:rPr>
            </w:pPr>
          </w:p>
        </w:tc>
        <w:tc>
          <w:tcPr>
            <w:tcW w:w="1676" w:type="dxa"/>
            <w:noWrap/>
            <w:vAlign w:val="center"/>
          </w:tcPr>
          <w:p w14:paraId="54CB0B65">
            <w:pPr>
              <w:shd w:val="clear"/>
              <w:spacing w:line="440" w:lineRule="exact"/>
              <w:jc w:val="center"/>
              <w:rPr>
                <w:rFonts w:hint="eastAsia" w:ascii="仿宋" w:hAnsi="仿宋" w:eastAsia="仿宋" w:cs="仿宋"/>
                <w:color w:val="auto"/>
                <w:sz w:val="28"/>
                <w:szCs w:val="28"/>
                <w:highlight w:val="none"/>
              </w:rPr>
            </w:pPr>
          </w:p>
        </w:tc>
      </w:tr>
    </w:tbl>
    <w:p w14:paraId="73A812A3">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备注：此表应认真填写。</w:t>
      </w:r>
    </w:p>
    <w:p w14:paraId="7A57C2F6">
      <w:pPr>
        <w:shd w:val="clear"/>
        <w:tabs>
          <w:tab w:val="left" w:pos="5580"/>
        </w:tabs>
        <w:wordWrap w:val="0"/>
        <w:spacing w:line="560" w:lineRule="exact"/>
        <w:ind w:firstLine="560" w:firstLineChars="200"/>
        <w:jc w:val="right"/>
        <w:rPr>
          <w:rFonts w:hint="eastAsia" w:ascii="仿宋" w:hAnsi="仿宋" w:eastAsia="仿宋" w:cs="仿宋"/>
          <w:kern w:val="0"/>
          <w:sz w:val="28"/>
          <w:szCs w:val="28"/>
          <w:highlight w:val="none"/>
        </w:rPr>
      </w:pPr>
    </w:p>
    <w:p w14:paraId="78FE85C3">
      <w:pPr>
        <w:shd w:val="clear"/>
        <w:rPr>
          <w:rFonts w:hint="eastAsia" w:ascii="仿宋" w:hAnsi="仿宋" w:eastAsia="仿宋" w:cs="仿宋"/>
          <w:color w:val="auto"/>
          <w:highlight w:val="none"/>
        </w:rPr>
      </w:pPr>
    </w:p>
    <w:p w14:paraId="1988F8EC">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08BC3CCC">
      <w:pPr>
        <w:widowControl/>
        <w:shd w:val="clear"/>
        <w:jc w:val="center"/>
        <w:rPr>
          <w:rFonts w:hint="eastAsia" w:ascii="仿宋" w:hAnsi="仿宋" w:eastAsia="仿宋" w:cs="仿宋"/>
          <w:b/>
          <w:bCs/>
          <w:color w:val="auto"/>
          <w:sz w:val="44"/>
          <w:szCs w:val="44"/>
          <w:highlight w:val="none"/>
        </w:rPr>
      </w:pPr>
    </w:p>
    <w:p w14:paraId="566F45C7">
      <w:pPr>
        <w:widowControl/>
        <w:shd w:val="clear"/>
        <w:jc w:val="center"/>
        <w:rPr>
          <w:rFonts w:hint="eastAsia" w:ascii="仿宋" w:hAnsi="仿宋" w:eastAsia="仿宋" w:cs="仿宋"/>
          <w:b/>
          <w:bCs/>
          <w:color w:val="auto"/>
          <w:sz w:val="44"/>
          <w:szCs w:val="44"/>
          <w:highlight w:val="none"/>
        </w:rPr>
      </w:pPr>
    </w:p>
    <w:p w14:paraId="72DCBE81">
      <w:pPr>
        <w:widowControl/>
        <w:shd w:val="clear"/>
        <w:jc w:val="center"/>
        <w:rPr>
          <w:rFonts w:hint="eastAsia" w:ascii="仿宋" w:hAnsi="仿宋" w:eastAsia="仿宋" w:cs="仿宋"/>
          <w:b/>
          <w:bCs/>
          <w:color w:val="auto"/>
          <w:sz w:val="44"/>
          <w:szCs w:val="44"/>
          <w:highlight w:val="none"/>
        </w:rPr>
      </w:pPr>
    </w:p>
    <w:p w14:paraId="67D33471">
      <w:pPr>
        <w:widowControl/>
        <w:shd w:val="clear"/>
        <w:jc w:val="center"/>
        <w:rPr>
          <w:rFonts w:hint="eastAsia" w:ascii="仿宋" w:hAnsi="仿宋" w:eastAsia="仿宋" w:cs="仿宋"/>
          <w:b/>
          <w:bCs/>
          <w:color w:val="auto"/>
          <w:sz w:val="44"/>
          <w:szCs w:val="44"/>
          <w:highlight w:val="none"/>
        </w:rPr>
      </w:pPr>
    </w:p>
    <w:p w14:paraId="508FE198">
      <w:pPr>
        <w:pStyle w:val="2"/>
        <w:rPr>
          <w:rFonts w:hint="eastAsia" w:ascii="仿宋" w:hAnsi="仿宋" w:eastAsia="仿宋" w:cs="仿宋"/>
          <w:highlight w:val="none"/>
        </w:rPr>
      </w:pPr>
    </w:p>
    <w:p w14:paraId="54CCAE83">
      <w:pPr>
        <w:keepNext/>
        <w:keepLines/>
        <w:shd w:val="clear"/>
        <w:spacing w:before="120" w:after="120" w:line="560" w:lineRule="exact"/>
        <w:jc w:val="center"/>
        <w:outlineLvl w:val="2"/>
        <w:rPr>
          <w:rFonts w:hint="eastAsia" w:ascii="仿宋" w:hAnsi="仿宋" w:eastAsia="仿宋" w:cs="仿宋"/>
          <w:b/>
          <w:bCs/>
          <w:color w:val="auto"/>
          <w:sz w:val="44"/>
          <w:szCs w:val="44"/>
          <w:highlight w:val="none"/>
          <w:lang w:val="en-US" w:eastAsia="zh-CN"/>
        </w:rPr>
      </w:pPr>
      <w:r>
        <w:rPr>
          <w:rFonts w:hint="eastAsia" w:ascii="仿宋" w:hAnsi="仿宋" w:eastAsia="仿宋" w:cs="仿宋"/>
          <w:b/>
          <w:bCs/>
          <w:color w:val="auto"/>
          <w:sz w:val="44"/>
          <w:szCs w:val="44"/>
          <w:highlight w:val="none"/>
          <w:lang w:val="en-US" w:eastAsia="zh-CN"/>
        </w:rPr>
        <w:t>拟派项目负责人情况表</w:t>
      </w:r>
    </w:p>
    <w:p w14:paraId="3D7DA22D">
      <w:pPr>
        <w:pStyle w:val="2"/>
        <w:rPr>
          <w:rFonts w:hint="eastAsia" w:ascii="仿宋" w:hAnsi="仿宋" w:eastAsia="仿宋" w:cs="仿宋"/>
          <w:highlight w:val="none"/>
          <w:lang w:val="en-US" w:eastAsia="zh-CN"/>
        </w:rPr>
      </w:pPr>
    </w:p>
    <w:tbl>
      <w:tblPr>
        <w:tblStyle w:val="30"/>
        <w:tblW w:w="8956"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384"/>
        <w:gridCol w:w="846"/>
        <w:gridCol w:w="727"/>
        <w:gridCol w:w="1397"/>
        <w:gridCol w:w="1476"/>
        <w:gridCol w:w="903"/>
        <w:gridCol w:w="1278"/>
      </w:tblGrid>
      <w:tr w14:paraId="00A57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956" w:type="dxa"/>
            <w:gridSpan w:val="8"/>
            <w:noWrap w:val="0"/>
            <w:vAlign w:val="center"/>
          </w:tcPr>
          <w:p w14:paraId="2F195E14">
            <w:pPr>
              <w:pStyle w:val="14"/>
              <w:spacing w:line="360" w:lineRule="auto"/>
              <w:ind w:leftChars="-1" w:hanging="2" w:hangingChars="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1.简况</w:t>
            </w:r>
          </w:p>
        </w:tc>
      </w:tr>
      <w:tr w14:paraId="54D21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45" w:type="dxa"/>
            <w:noWrap w:val="0"/>
            <w:vAlign w:val="center"/>
          </w:tcPr>
          <w:p w14:paraId="37E35343">
            <w:pPr>
              <w:pStyle w:val="14"/>
              <w:spacing w:line="360" w:lineRule="auto"/>
              <w:ind w:leftChars="-1" w:hanging="2" w:hangingChars="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1384" w:type="dxa"/>
            <w:noWrap w:val="0"/>
            <w:vAlign w:val="center"/>
          </w:tcPr>
          <w:p w14:paraId="356C1BCB">
            <w:pPr>
              <w:pStyle w:val="14"/>
              <w:spacing w:line="360" w:lineRule="auto"/>
              <w:ind w:firstLine="560" w:firstLineChars="200"/>
              <w:rPr>
                <w:rFonts w:hint="eastAsia" w:ascii="仿宋" w:hAnsi="仿宋" w:eastAsia="仿宋" w:cs="仿宋"/>
                <w:color w:val="auto"/>
                <w:sz w:val="28"/>
                <w:szCs w:val="28"/>
                <w:highlight w:val="none"/>
              </w:rPr>
            </w:pPr>
          </w:p>
        </w:tc>
        <w:tc>
          <w:tcPr>
            <w:tcW w:w="846" w:type="dxa"/>
            <w:noWrap w:val="0"/>
            <w:vAlign w:val="center"/>
          </w:tcPr>
          <w:p w14:paraId="5F103DF2">
            <w:pPr>
              <w:pStyle w:val="14"/>
              <w:spacing w:line="360" w:lineRule="auto"/>
              <w:ind w:firstLine="14" w:firstLineChars="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年龄</w:t>
            </w:r>
          </w:p>
        </w:tc>
        <w:tc>
          <w:tcPr>
            <w:tcW w:w="727" w:type="dxa"/>
            <w:noWrap w:val="0"/>
            <w:vAlign w:val="center"/>
          </w:tcPr>
          <w:p w14:paraId="50481BD6">
            <w:pPr>
              <w:pStyle w:val="14"/>
              <w:spacing w:line="360" w:lineRule="auto"/>
              <w:ind w:firstLine="560" w:firstLineChars="200"/>
              <w:rPr>
                <w:rFonts w:hint="eastAsia" w:ascii="仿宋" w:hAnsi="仿宋" w:eastAsia="仿宋" w:cs="仿宋"/>
                <w:color w:val="auto"/>
                <w:sz w:val="28"/>
                <w:szCs w:val="28"/>
                <w:highlight w:val="none"/>
              </w:rPr>
            </w:pPr>
          </w:p>
        </w:tc>
        <w:tc>
          <w:tcPr>
            <w:tcW w:w="1397" w:type="dxa"/>
            <w:noWrap w:val="0"/>
            <w:vAlign w:val="center"/>
          </w:tcPr>
          <w:p w14:paraId="191E0A0E">
            <w:pPr>
              <w:pStyle w:val="14"/>
              <w:spacing w:line="360" w:lineRule="auto"/>
              <w:ind w:firstLine="44" w:firstLineChars="16"/>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资格证书</w:t>
            </w:r>
          </w:p>
        </w:tc>
        <w:tc>
          <w:tcPr>
            <w:tcW w:w="1476" w:type="dxa"/>
            <w:noWrap w:val="0"/>
            <w:vAlign w:val="center"/>
          </w:tcPr>
          <w:p w14:paraId="1B0DE339">
            <w:pPr>
              <w:pStyle w:val="14"/>
              <w:spacing w:line="360" w:lineRule="auto"/>
              <w:ind w:firstLine="560" w:firstLineChars="200"/>
              <w:rPr>
                <w:rFonts w:hint="eastAsia" w:ascii="仿宋" w:hAnsi="仿宋" w:eastAsia="仿宋" w:cs="仿宋"/>
                <w:color w:val="auto"/>
                <w:sz w:val="28"/>
                <w:szCs w:val="28"/>
                <w:highlight w:val="none"/>
              </w:rPr>
            </w:pPr>
          </w:p>
        </w:tc>
        <w:tc>
          <w:tcPr>
            <w:tcW w:w="903" w:type="dxa"/>
            <w:noWrap w:val="0"/>
            <w:vAlign w:val="center"/>
          </w:tcPr>
          <w:p w14:paraId="4246FE87">
            <w:pPr>
              <w:pStyle w:val="14"/>
              <w:spacing w:line="360" w:lineRule="auto"/>
              <w:ind w:firstLine="100" w:firstLineChars="3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职称</w:t>
            </w:r>
          </w:p>
        </w:tc>
        <w:tc>
          <w:tcPr>
            <w:tcW w:w="1278" w:type="dxa"/>
            <w:noWrap w:val="0"/>
            <w:vAlign w:val="center"/>
          </w:tcPr>
          <w:p w14:paraId="625A25F5">
            <w:pPr>
              <w:pStyle w:val="14"/>
              <w:spacing w:line="360" w:lineRule="auto"/>
              <w:ind w:firstLine="560" w:firstLineChars="200"/>
              <w:rPr>
                <w:rFonts w:hint="eastAsia" w:ascii="仿宋" w:hAnsi="仿宋" w:eastAsia="仿宋" w:cs="仿宋"/>
                <w:color w:val="auto"/>
                <w:sz w:val="28"/>
                <w:szCs w:val="28"/>
                <w:highlight w:val="none"/>
              </w:rPr>
            </w:pPr>
          </w:p>
        </w:tc>
      </w:tr>
      <w:tr w14:paraId="51B6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2329" w:type="dxa"/>
            <w:gridSpan w:val="2"/>
            <w:noWrap w:val="0"/>
            <w:vAlign w:val="center"/>
          </w:tcPr>
          <w:p w14:paraId="12FD9131">
            <w:pPr>
              <w:pStyle w:val="14"/>
              <w:spacing w:line="360" w:lineRule="auto"/>
              <w:ind w:leftChars="-1" w:hanging="2" w:hangingChars="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毕业院校及时间</w:t>
            </w:r>
          </w:p>
        </w:tc>
        <w:tc>
          <w:tcPr>
            <w:tcW w:w="2970" w:type="dxa"/>
            <w:gridSpan w:val="3"/>
            <w:noWrap w:val="0"/>
            <w:vAlign w:val="center"/>
          </w:tcPr>
          <w:p w14:paraId="4393EF3C">
            <w:pPr>
              <w:pStyle w:val="14"/>
              <w:spacing w:line="360" w:lineRule="auto"/>
              <w:ind w:firstLine="560" w:firstLineChars="200"/>
              <w:rPr>
                <w:rFonts w:hint="eastAsia" w:ascii="仿宋" w:hAnsi="仿宋" w:eastAsia="仿宋" w:cs="仿宋"/>
                <w:color w:val="auto"/>
                <w:sz w:val="28"/>
                <w:szCs w:val="28"/>
                <w:highlight w:val="none"/>
              </w:rPr>
            </w:pPr>
          </w:p>
        </w:tc>
        <w:tc>
          <w:tcPr>
            <w:tcW w:w="1476" w:type="dxa"/>
            <w:noWrap w:val="0"/>
            <w:vAlign w:val="center"/>
          </w:tcPr>
          <w:p w14:paraId="4A42F40D">
            <w:pPr>
              <w:pStyle w:val="14"/>
              <w:spacing w:line="360" w:lineRule="auto"/>
              <w:ind w:firstLine="44" w:firstLineChars="1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所学专业</w:t>
            </w:r>
          </w:p>
        </w:tc>
        <w:tc>
          <w:tcPr>
            <w:tcW w:w="2181" w:type="dxa"/>
            <w:gridSpan w:val="2"/>
            <w:noWrap w:val="0"/>
            <w:vAlign w:val="center"/>
          </w:tcPr>
          <w:p w14:paraId="2465952F">
            <w:pPr>
              <w:pStyle w:val="14"/>
              <w:spacing w:line="360" w:lineRule="auto"/>
              <w:ind w:firstLine="560" w:firstLineChars="200"/>
              <w:rPr>
                <w:rFonts w:hint="eastAsia" w:ascii="仿宋" w:hAnsi="仿宋" w:eastAsia="仿宋" w:cs="仿宋"/>
                <w:color w:val="auto"/>
                <w:sz w:val="28"/>
                <w:szCs w:val="28"/>
                <w:highlight w:val="none"/>
              </w:rPr>
            </w:pPr>
          </w:p>
        </w:tc>
      </w:tr>
      <w:tr w14:paraId="61A9D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956" w:type="dxa"/>
            <w:gridSpan w:val="8"/>
            <w:noWrap w:val="0"/>
            <w:vAlign w:val="center"/>
          </w:tcPr>
          <w:p w14:paraId="791DCC40">
            <w:pPr>
              <w:pStyle w:val="14"/>
              <w:spacing w:line="360" w:lineRule="auto"/>
              <w:ind w:leftChars="-1" w:hanging="2" w:hangingChars="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2.参与的主要项目</w:t>
            </w:r>
          </w:p>
        </w:tc>
      </w:tr>
      <w:tr w14:paraId="4D262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45" w:type="dxa"/>
            <w:noWrap w:val="0"/>
            <w:vAlign w:val="center"/>
          </w:tcPr>
          <w:p w14:paraId="642F21A5">
            <w:pPr>
              <w:pStyle w:val="14"/>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时间</w:t>
            </w:r>
          </w:p>
        </w:tc>
        <w:tc>
          <w:tcPr>
            <w:tcW w:w="2957" w:type="dxa"/>
            <w:gridSpan w:val="3"/>
            <w:noWrap w:val="0"/>
            <w:vAlign w:val="center"/>
          </w:tcPr>
          <w:p w14:paraId="36275C78">
            <w:pPr>
              <w:pStyle w:val="14"/>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2873" w:type="dxa"/>
            <w:gridSpan w:val="2"/>
            <w:noWrap w:val="0"/>
            <w:vAlign w:val="center"/>
          </w:tcPr>
          <w:p w14:paraId="70656B92">
            <w:pPr>
              <w:pStyle w:val="14"/>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在项目中担任的职务</w:t>
            </w:r>
          </w:p>
        </w:tc>
        <w:tc>
          <w:tcPr>
            <w:tcW w:w="2181" w:type="dxa"/>
            <w:gridSpan w:val="2"/>
            <w:noWrap w:val="0"/>
            <w:vAlign w:val="center"/>
          </w:tcPr>
          <w:p w14:paraId="10DE6D43">
            <w:pPr>
              <w:pStyle w:val="14"/>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项目联系人</w:t>
            </w:r>
          </w:p>
          <w:p w14:paraId="299AA117">
            <w:pPr>
              <w:pStyle w:val="14"/>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4147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4" w:hRule="atLeast"/>
        </w:trPr>
        <w:tc>
          <w:tcPr>
            <w:tcW w:w="945" w:type="dxa"/>
            <w:noWrap w:val="0"/>
            <w:vAlign w:val="center"/>
          </w:tcPr>
          <w:p w14:paraId="77BAADF1">
            <w:pPr>
              <w:pStyle w:val="14"/>
              <w:spacing w:line="360" w:lineRule="auto"/>
              <w:ind w:firstLine="560" w:firstLineChars="200"/>
              <w:rPr>
                <w:rFonts w:hint="eastAsia" w:ascii="仿宋" w:hAnsi="仿宋" w:eastAsia="仿宋" w:cs="仿宋"/>
                <w:color w:val="auto"/>
                <w:sz w:val="28"/>
                <w:szCs w:val="28"/>
                <w:highlight w:val="none"/>
              </w:rPr>
            </w:pPr>
          </w:p>
        </w:tc>
        <w:tc>
          <w:tcPr>
            <w:tcW w:w="2957" w:type="dxa"/>
            <w:gridSpan w:val="3"/>
            <w:noWrap w:val="0"/>
            <w:vAlign w:val="center"/>
          </w:tcPr>
          <w:p w14:paraId="090084BE">
            <w:pPr>
              <w:pStyle w:val="14"/>
              <w:spacing w:line="360" w:lineRule="auto"/>
              <w:rPr>
                <w:rFonts w:hint="eastAsia" w:ascii="仿宋" w:hAnsi="仿宋" w:eastAsia="仿宋" w:cs="仿宋"/>
                <w:color w:val="auto"/>
                <w:sz w:val="28"/>
                <w:szCs w:val="28"/>
                <w:highlight w:val="none"/>
              </w:rPr>
            </w:pPr>
          </w:p>
        </w:tc>
        <w:tc>
          <w:tcPr>
            <w:tcW w:w="2873" w:type="dxa"/>
            <w:gridSpan w:val="2"/>
            <w:noWrap w:val="0"/>
            <w:vAlign w:val="center"/>
          </w:tcPr>
          <w:p w14:paraId="74137DCA">
            <w:pPr>
              <w:pStyle w:val="14"/>
              <w:spacing w:line="360" w:lineRule="auto"/>
              <w:rPr>
                <w:rFonts w:hint="eastAsia" w:ascii="仿宋" w:hAnsi="仿宋" w:eastAsia="仿宋" w:cs="仿宋"/>
                <w:color w:val="auto"/>
                <w:sz w:val="28"/>
                <w:szCs w:val="28"/>
                <w:highlight w:val="none"/>
              </w:rPr>
            </w:pPr>
          </w:p>
        </w:tc>
        <w:tc>
          <w:tcPr>
            <w:tcW w:w="2181" w:type="dxa"/>
            <w:gridSpan w:val="2"/>
            <w:noWrap w:val="0"/>
            <w:vAlign w:val="center"/>
          </w:tcPr>
          <w:p w14:paraId="32696D40">
            <w:pPr>
              <w:pStyle w:val="14"/>
              <w:spacing w:line="360" w:lineRule="auto"/>
              <w:rPr>
                <w:rFonts w:hint="eastAsia" w:ascii="仿宋" w:hAnsi="仿宋" w:eastAsia="仿宋" w:cs="仿宋"/>
                <w:color w:val="auto"/>
                <w:sz w:val="28"/>
                <w:szCs w:val="28"/>
                <w:highlight w:val="none"/>
              </w:rPr>
            </w:pPr>
          </w:p>
        </w:tc>
      </w:tr>
      <w:tr w14:paraId="1DD0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9" w:hRule="atLeast"/>
        </w:trPr>
        <w:tc>
          <w:tcPr>
            <w:tcW w:w="945" w:type="dxa"/>
            <w:noWrap w:val="0"/>
            <w:vAlign w:val="center"/>
          </w:tcPr>
          <w:p w14:paraId="41315589">
            <w:pPr>
              <w:pStyle w:val="14"/>
              <w:spacing w:line="360" w:lineRule="auto"/>
              <w:ind w:firstLine="560" w:firstLineChars="200"/>
              <w:rPr>
                <w:rFonts w:hint="eastAsia" w:ascii="仿宋" w:hAnsi="仿宋" w:eastAsia="仿宋" w:cs="仿宋"/>
                <w:color w:val="auto"/>
                <w:sz w:val="28"/>
                <w:szCs w:val="28"/>
                <w:highlight w:val="none"/>
              </w:rPr>
            </w:pPr>
          </w:p>
        </w:tc>
        <w:tc>
          <w:tcPr>
            <w:tcW w:w="2957" w:type="dxa"/>
            <w:gridSpan w:val="3"/>
            <w:noWrap w:val="0"/>
            <w:vAlign w:val="center"/>
          </w:tcPr>
          <w:p w14:paraId="3E3E958E">
            <w:pPr>
              <w:pStyle w:val="14"/>
              <w:spacing w:line="360" w:lineRule="auto"/>
              <w:rPr>
                <w:rFonts w:hint="eastAsia" w:ascii="仿宋" w:hAnsi="仿宋" w:eastAsia="仿宋" w:cs="仿宋"/>
                <w:color w:val="auto"/>
                <w:sz w:val="28"/>
                <w:szCs w:val="28"/>
                <w:highlight w:val="none"/>
              </w:rPr>
            </w:pPr>
          </w:p>
        </w:tc>
        <w:tc>
          <w:tcPr>
            <w:tcW w:w="2873" w:type="dxa"/>
            <w:gridSpan w:val="2"/>
            <w:noWrap w:val="0"/>
            <w:vAlign w:val="center"/>
          </w:tcPr>
          <w:p w14:paraId="7520E72E">
            <w:pPr>
              <w:pStyle w:val="14"/>
              <w:spacing w:line="360" w:lineRule="auto"/>
              <w:rPr>
                <w:rFonts w:hint="eastAsia" w:ascii="仿宋" w:hAnsi="仿宋" w:eastAsia="仿宋" w:cs="仿宋"/>
                <w:color w:val="auto"/>
                <w:sz w:val="28"/>
                <w:szCs w:val="28"/>
                <w:highlight w:val="none"/>
              </w:rPr>
            </w:pPr>
          </w:p>
        </w:tc>
        <w:tc>
          <w:tcPr>
            <w:tcW w:w="2181" w:type="dxa"/>
            <w:gridSpan w:val="2"/>
            <w:noWrap w:val="0"/>
            <w:vAlign w:val="center"/>
          </w:tcPr>
          <w:p w14:paraId="2A1AC228">
            <w:pPr>
              <w:pStyle w:val="14"/>
              <w:spacing w:line="360" w:lineRule="auto"/>
              <w:rPr>
                <w:rFonts w:hint="eastAsia" w:ascii="仿宋" w:hAnsi="仿宋" w:eastAsia="仿宋" w:cs="仿宋"/>
                <w:color w:val="auto"/>
                <w:sz w:val="28"/>
                <w:szCs w:val="28"/>
                <w:highlight w:val="none"/>
              </w:rPr>
            </w:pPr>
          </w:p>
        </w:tc>
      </w:tr>
      <w:tr w14:paraId="7A325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49" w:hRule="atLeast"/>
        </w:trPr>
        <w:tc>
          <w:tcPr>
            <w:tcW w:w="945" w:type="dxa"/>
            <w:noWrap w:val="0"/>
            <w:vAlign w:val="center"/>
          </w:tcPr>
          <w:p w14:paraId="4DB202B4">
            <w:pPr>
              <w:pStyle w:val="14"/>
              <w:spacing w:line="360" w:lineRule="auto"/>
              <w:ind w:firstLine="560" w:firstLineChars="200"/>
              <w:rPr>
                <w:rFonts w:hint="eastAsia" w:ascii="仿宋" w:hAnsi="仿宋" w:eastAsia="仿宋" w:cs="仿宋"/>
                <w:color w:val="auto"/>
                <w:sz w:val="28"/>
                <w:szCs w:val="28"/>
                <w:highlight w:val="none"/>
              </w:rPr>
            </w:pPr>
          </w:p>
        </w:tc>
        <w:tc>
          <w:tcPr>
            <w:tcW w:w="2957" w:type="dxa"/>
            <w:gridSpan w:val="3"/>
            <w:noWrap w:val="0"/>
            <w:vAlign w:val="center"/>
          </w:tcPr>
          <w:p w14:paraId="395CEF91">
            <w:pPr>
              <w:pStyle w:val="14"/>
              <w:spacing w:line="360" w:lineRule="auto"/>
              <w:rPr>
                <w:rFonts w:hint="eastAsia" w:ascii="仿宋" w:hAnsi="仿宋" w:eastAsia="仿宋" w:cs="仿宋"/>
                <w:color w:val="auto"/>
                <w:sz w:val="28"/>
                <w:szCs w:val="28"/>
                <w:highlight w:val="none"/>
              </w:rPr>
            </w:pPr>
          </w:p>
        </w:tc>
        <w:tc>
          <w:tcPr>
            <w:tcW w:w="2873" w:type="dxa"/>
            <w:gridSpan w:val="2"/>
            <w:noWrap w:val="0"/>
            <w:vAlign w:val="center"/>
          </w:tcPr>
          <w:p w14:paraId="158B89EF">
            <w:pPr>
              <w:pStyle w:val="14"/>
              <w:spacing w:line="360" w:lineRule="auto"/>
              <w:rPr>
                <w:rFonts w:hint="eastAsia" w:ascii="仿宋" w:hAnsi="仿宋" w:eastAsia="仿宋" w:cs="仿宋"/>
                <w:color w:val="auto"/>
                <w:sz w:val="28"/>
                <w:szCs w:val="28"/>
                <w:highlight w:val="none"/>
              </w:rPr>
            </w:pPr>
          </w:p>
        </w:tc>
        <w:tc>
          <w:tcPr>
            <w:tcW w:w="2181" w:type="dxa"/>
            <w:gridSpan w:val="2"/>
            <w:noWrap w:val="0"/>
            <w:vAlign w:val="center"/>
          </w:tcPr>
          <w:p w14:paraId="3A288750">
            <w:pPr>
              <w:pStyle w:val="14"/>
              <w:spacing w:line="360" w:lineRule="auto"/>
              <w:rPr>
                <w:rFonts w:hint="eastAsia" w:ascii="仿宋" w:hAnsi="仿宋" w:eastAsia="仿宋" w:cs="仿宋"/>
                <w:color w:val="auto"/>
                <w:sz w:val="28"/>
                <w:szCs w:val="28"/>
                <w:highlight w:val="none"/>
              </w:rPr>
            </w:pPr>
          </w:p>
        </w:tc>
      </w:tr>
    </w:tbl>
    <w:p w14:paraId="3C50A1E7">
      <w:pPr>
        <w:shd w:val="clea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注：后附</w:t>
      </w:r>
      <w:r>
        <w:rPr>
          <w:rFonts w:hint="eastAsia" w:ascii="仿宋" w:hAnsi="仿宋" w:eastAsia="仿宋" w:cs="仿宋"/>
          <w:color w:val="auto"/>
          <w:sz w:val="24"/>
          <w:highlight w:val="none"/>
          <w:lang w:val="en-US" w:eastAsia="zh-CN"/>
        </w:rPr>
        <w:t>人员相关</w:t>
      </w:r>
      <w:r>
        <w:rPr>
          <w:rFonts w:hint="eastAsia" w:ascii="仿宋" w:hAnsi="仿宋" w:eastAsia="仿宋" w:cs="仿宋"/>
          <w:color w:val="auto"/>
          <w:sz w:val="24"/>
          <w:highlight w:val="none"/>
        </w:rPr>
        <w:t>证明材料扫描件</w:t>
      </w:r>
      <w:r>
        <w:rPr>
          <w:rFonts w:hint="eastAsia" w:ascii="仿宋" w:hAnsi="仿宋" w:eastAsia="仿宋" w:cs="仿宋"/>
          <w:color w:val="auto"/>
          <w:sz w:val="24"/>
          <w:highlight w:val="none"/>
          <w:lang w:val="en-US" w:eastAsia="zh-CN"/>
        </w:rPr>
        <w:t>及社保证明扫描件</w:t>
      </w:r>
      <w:r>
        <w:rPr>
          <w:rFonts w:hint="eastAsia" w:ascii="仿宋" w:hAnsi="仿宋" w:eastAsia="仿宋" w:cs="仿宋"/>
          <w:color w:val="auto"/>
          <w:sz w:val="24"/>
          <w:highlight w:val="none"/>
        </w:rPr>
        <w:t>。</w:t>
      </w:r>
    </w:p>
    <w:p w14:paraId="12994A2E">
      <w:pPr>
        <w:spacing w:line="520" w:lineRule="exact"/>
        <w:ind w:firstLine="548" w:firstLineChars="196"/>
        <w:rPr>
          <w:rFonts w:hint="eastAsia" w:ascii="仿宋" w:hAnsi="仿宋" w:eastAsia="仿宋" w:cs="仿宋"/>
          <w:color w:val="auto"/>
          <w:sz w:val="28"/>
          <w:szCs w:val="28"/>
          <w:highlight w:val="none"/>
        </w:rPr>
      </w:pPr>
    </w:p>
    <w:p w14:paraId="09417F9E">
      <w:pPr>
        <w:spacing w:line="460" w:lineRule="exact"/>
        <w:ind w:firstLine="280" w:firstLineChars="100"/>
        <w:rPr>
          <w:rFonts w:hint="eastAsia" w:ascii="仿宋" w:hAnsi="仿宋" w:eastAsia="仿宋" w:cs="仿宋"/>
          <w:color w:val="auto"/>
          <w:sz w:val="28"/>
          <w:szCs w:val="28"/>
          <w:highlight w:val="none"/>
        </w:rPr>
      </w:pPr>
    </w:p>
    <w:p w14:paraId="165CFA14">
      <w:pPr>
        <w:spacing w:line="460" w:lineRule="exact"/>
        <w:ind w:firstLine="280" w:firstLineChars="100"/>
        <w:rPr>
          <w:rFonts w:hint="eastAsia" w:ascii="仿宋" w:hAnsi="仿宋" w:eastAsia="仿宋" w:cs="仿宋"/>
          <w:color w:val="auto"/>
          <w:sz w:val="28"/>
          <w:szCs w:val="28"/>
          <w:highlight w:val="none"/>
        </w:rPr>
      </w:pPr>
    </w:p>
    <w:p w14:paraId="096E5A08">
      <w:pPr>
        <w:spacing w:line="460" w:lineRule="exact"/>
        <w:ind w:firstLine="280" w:firstLineChars="100"/>
        <w:rPr>
          <w:rFonts w:hint="eastAsia" w:ascii="仿宋" w:hAnsi="仿宋" w:eastAsia="仿宋" w:cs="仿宋"/>
          <w:color w:val="auto"/>
          <w:sz w:val="28"/>
          <w:szCs w:val="28"/>
          <w:highlight w:val="none"/>
        </w:rPr>
      </w:pPr>
    </w:p>
    <w:p w14:paraId="1B8E5758">
      <w:pPr>
        <w:spacing w:line="460" w:lineRule="exact"/>
        <w:ind w:firstLine="280" w:firstLineChars="100"/>
        <w:rPr>
          <w:rFonts w:hint="eastAsia" w:ascii="仿宋" w:hAnsi="仿宋" w:eastAsia="仿宋" w:cs="仿宋"/>
          <w:color w:val="auto"/>
          <w:sz w:val="28"/>
          <w:szCs w:val="28"/>
          <w:highlight w:val="none"/>
        </w:rPr>
      </w:pPr>
    </w:p>
    <w:p w14:paraId="0E4FB12E">
      <w:pPr>
        <w:spacing w:line="460" w:lineRule="exact"/>
        <w:ind w:firstLine="5040" w:firstLineChars="1800"/>
        <w:rPr>
          <w:rFonts w:hint="eastAsia" w:ascii="仿宋" w:hAnsi="仿宋" w:eastAsia="仿宋" w:cs="仿宋"/>
          <w:b/>
          <w:bCs/>
          <w:color w:val="auto"/>
          <w:sz w:val="44"/>
          <w:szCs w:val="44"/>
          <w:highlight w:val="none"/>
          <w:lang w:val="en-US" w:eastAsia="zh-CN"/>
        </w:rPr>
      </w:pPr>
      <w:r>
        <w:rPr>
          <w:rFonts w:hint="eastAsia" w:ascii="仿宋" w:hAnsi="仿宋" w:eastAsia="仿宋" w:cs="仿宋"/>
          <w:color w:val="auto"/>
          <w:sz w:val="28"/>
          <w:szCs w:val="28"/>
          <w:highlight w:val="none"/>
        </w:rPr>
        <w:t>投标人（签章）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4"/>
          <w:highlight w:val="none"/>
        </w:rPr>
        <w:br w:type="page"/>
      </w:r>
      <w:r>
        <w:rPr>
          <w:rFonts w:hint="eastAsia" w:ascii="仿宋" w:hAnsi="仿宋" w:eastAsia="仿宋" w:cs="仿宋"/>
          <w:color w:val="auto"/>
          <w:sz w:val="24"/>
          <w:highlight w:val="none"/>
          <w:lang w:val="en-US" w:eastAsia="zh-CN"/>
        </w:rPr>
        <w:t xml:space="preserve">                  </w:t>
      </w:r>
      <w:r>
        <w:rPr>
          <w:rFonts w:hint="eastAsia" w:ascii="仿宋" w:hAnsi="仿宋" w:eastAsia="仿宋" w:cs="仿宋"/>
          <w:b/>
          <w:bCs/>
          <w:color w:val="auto"/>
          <w:sz w:val="44"/>
          <w:szCs w:val="44"/>
          <w:highlight w:val="none"/>
          <w:lang w:val="en-US" w:eastAsia="zh-CN"/>
        </w:rPr>
        <w:t xml:space="preserve"> </w:t>
      </w:r>
      <w:r>
        <w:rPr>
          <w:rFonts w:hint="eastAsia" w:ascii="仿宋" w:hAnsi="仿宋" w:eastAsia="仿宋" w:cs="仿宋"/>
          <w:b/>
          <w:bCs/>
          <w:color w:val="auto"/>
          <w:sz w:val="44"/>
          <w:szCs w:val="44"/>
          <w:highlight w:val="none"/>
          <w:lang w:val="en-US" w:eastAsia="zh-CN"/>
        </w:rPr>
        <w:t xml:space="preserve"> 拟派其他人员情况表</w:t>
      </w:r>
    </w:p>
    <w:p w14:paraId="5DB09047">
      <w:pPr>
        <w:pStyle w:val="2"/>
        <w:rPr>
          <w:rFonts w:hint="eastAsia" w:ascii="仿宋" w:hAnsi="仿宋" w:eastAsia="仿宋" w:cs="仿宋"/>
          <w:highlight w:val="none"/>
        </w:rPr>
      </w:pPr>
    </w:p>
    <w:tbl>
      <w:tblPr>
        <w:tblStyle w:val="30"/>
        <w:tblW w:w="9179" w:type="dxa"/>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401"/>
        <w:gridCol w:w="856"/>
        <w:gridCol w:w="735"/>
        <w:gridCol w:w="598"/>
        <w:gridCol w:w="816"/>
        <w:gridCol w:w="1564"/>
        <w:gridCol w:w="1052"/>
        <w:gridCol w:w="1200"/>
      </w:tblGrid>
      <w:tr w14:paraId="45C4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trPr>
        <w:tc>
          <w:tcPr>
            <w:tcW w:w="9179" w:type="dxa"/>
            <w:gridSpan w:val="9"/>
            <w:noWrap w:val="0"/>
            <w:vAlign w:val="center"/>
          </w:tcPr>
          <w:p w14:paraId="5ED66A21">
            <w:pPr>
              <w:pStyle w:val="14"/>
              <w:spacing w:line="360" w:lineRule="auto"/>
              <w:ind w:leftChars="-1" w:hanging="2" w:hangingChars="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1.简况</w:t>
            </w:r>
          </w:p>
        </w:tc>
      </w:tr>
      <w:tr w14:paraId="641E4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957" w:type="dxa"/>
            <w:noWrap w:val="0"/>
            <w:vAlign w:val="center"/>
          </w:tcPr>
          <w:p w14:paraId="6CFD4031">
            <w:pPr>
              <w:pStyle w:val="14"/>
              <w:spacing w:line="360" w:lineRule="auto"/>
              <w:ind w:leftChars="-1" w:hanging="2" w:hangingChars="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1401" w:type="dxa"/>
            <w:noWrap w:val="0"/>
            <w:vAlign w:val="center"/>
          </w:tcPr>
          <w:p w14:paraId="02246C18">
            <w:pPr>
              <w:pStyle w:val="14"/>
              <w:spacing w:line="360" w:lineRule="auto"/>
              <w:ind w:firstLine="560" w:firstLineChars="200"/>
              <w:rPr>
                <w:rFonts w:hint="eastAsia" w:ascii="仿宋" w:hAnsi="仿宋" w:eastAsia="仿宋" w:cs="仿宋"/>
                <w:color w:val="auto"/>
                <w:sz w:val="28"/>
                <w:szCs w:val="28"/>
                <w:highlight w:val="none"/>
              </w:rPr>
            </w:pPr>
          </w:p>
        </w:tc>
        <w:tc>
          <w:tcPr>
            <w:tcW w:w="856" w:type="dxa"/>
            <w:noWrap w:val="0"/>
            <w:vAlign w:val="center"/>
          </w:tcPr>
          <w:p w14:paraId="76735227">
            <w:pPr>
              <w:pStyle w:val="14"/>
              <w:spacing w:line="360" w:lineRule="auto"/>
              <w:ind w:firstLine="14" w:firstLineChars="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年龄</w:t>
            </w:r>
          </w:p>
        </w:tc>
        <w:tc>
          <w:tcPr>
            <w:tcW w:w="735" w:type="dxa"/>
            <w:noWrap w:val="0"/>
            <w:vAlign w:val="center"/>
          </w:tcPr>
          <w:p w14:paraId="65DDE561">
            <w:pPr>
              <w:pStyle w:val="14"/>
              <w:spacing w:line="360" w:lineRule="auto"/>
              <w:ind w:firstLine="560" w:firstLineChars="200"/>
              <w:rPr>
                <w:rFonts w:hint="eastAsia" w:ascii="仿宋" w:hAnsi="仿宋" w:eastAsia="仿宋" w:cs="仿宋"/>
                <w:color w:val="auto"/>
                <w:sz w:val="28"/>
                <w:szCs w:val="28"/>
                <w:highlight w:val="none"/>
              </w:rPr>
            </w:pPr>
          </w:p>
        </w:tc>
        <w:tc>
          <w:tcPr>
            <w:tcW w:w="1414" w:type="dxa"/>
            <w:gridSpan w:val="2"/>
            <w:noWrap w:val="0"/>
            <w:vAlign w:val="center"/>
          </w:tcPr>
          <w:p w14:paraId="72CFE13D">
            <w:pPr>
              <w:pStyle w:val="14"/>
              <w:spacing w:line="360" w:lineRule="auto"/>
              <w:ind w:firstLine="44" w:firstLineChars="1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执业资格</w:t>
            </w:r>
          </w:p>
        </w:tc>
        <w:tc>
          <w:tcPr>
            <w:tcW w:w="1564" w:type="dxa"/>
            <w:noWrap w:val="0"/>
            <w:vAlign w:val="center"/>
          </w:tcPr>
          <w:p w14:paraId="6292EF37">
            <w:pPr>
              <w:pStyle w:val="14"/>
              <w:spacing w:line="360" w:lineRule="auto"/>
              <w:ind w:firstLine="560" w:firstLineChars="200"/>
              <w:rPr>
                <w:rFonts w:hint="eastAsia" w:ascii="仿宋" w:hAnsi="仿宋" w:eastAsia="仿宋" w:cs="仿宋"/>
                <w:color w:val="auto"/>
                <w:sz w:val="28"/>
                <w:szCs w:val="28"/>
                <w:highlight w:val="none"/>
              </w:rPr>
            </w:pPr>
          </w:p>
        </w:tc>
        <w:tc>
          <w:tcPr>
            <w:tcW w:w="1052" w:type="dxa"/>
            <w:noWrap w:val="0"/>
            <w:vAlign w:val="center"/>
          </w:tcPr>
          <w:p w14:paraId="6EE339F4">
            <w:pPr>
              <w:pStyle w:val="14"/>
              <w:spacing w:line="360" w:lineRule="auto"/>
              <w:ind w:firstLine="100" w:firstLineChars="3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职称</w:t>
            </w:r>
          </w:p>
        </w:tc>
        <w:tc>
          <w:tcPr>
            <w:tcW w:w="1200" w:type="dxa"/>
            <w:noWrap w:val="0"/>
            <w:vAlign w:val="center"/>
          </w:tcPr>
          <w:p w14:paraId="1CB14856">
            <w:pPr>
              <w:pStyle w:val="14"/>
              <w:spacing w:line="360" w:lineRule="auto"/>
              <w:ind w:firstLine="560" w:firstLineChars="200"/>
              <w:rPr>
                <w:rFonts w:hint="eastAsia" w:ascii="仿宋" w:hAnsi="仿宋" w:eastAsia="仿宋" w:cs="仿宋"/>
                <w:color w:val="auto"/>
                <w:sz w:val="28"/>
                <w:szCs w:val="28"/>
                <w:highlight w:val="none"/>
              </w:rPr>
            </w:pPr>
          </w:p>
        </w:tc>
      </w:tr>
      <w:tr w14:paraId="00F90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trPr>
        <w:tc>
          <w:tcPr>
            <w:tcW w:w="2358" w:type="dxa"/>
            <w:gridSpan w:val="2"/>
            <w:noWrap w:val="0"/>
            <w:vAlign w:val="center"/>
          </w:tcPr>
          <w:p w14:paraId="28E88C54">
            <w:pPr>
              <w:pStyle w:val="14"/>
              <w:spacing w:line="360" w:lineRule="auto"/>
              <w:ind w:leftChars="-1" w:hanging="2" w:hangingChars="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毕业院校及时间</w:t>
            </w:r>
          </w:p>
        </w:tc>
        <w:tc>
          <w:tcPr>
            <w:tcW w:w="3005" w:type="dxa"/>
            <w:gridSpan w:val="4"/>
            <w:noWrap w:val="0"/>
            <w:vAlign w:val="center"/>
          </w:tcPr>
          <w:p w14:paraId="245D4B61">
            <w:pPr>
              <w:pStyle w:val="14"/>
              <w:spacing w:line="360" w:lineRule="auto"/>
              <w:ind w:firstLine="560" w:firstLineChars="200"/>
              <w:rPr>
                <w:rFonts w:hint="eastAsia" w:ascii="仿宋" w:hAnsi="仿宋" w:eastAsia="仿宋" w:cs="仿宋"/>
                <w:color w:val="auto"/>
                <w:sz w:val="28"/>
                <w:szCs w:val="28"/>
                <w:highlight w:val="none"/>
              </w:rPr>
            </w:pPr>
          </w:p>
        </w:tc>
        <w:tc>
          <w:tcPr>
            <w:tcW w:w="1564" w:type="dxa"/>
            <w:noWrap w:val="0"/>
            <w:vAlign w:val="center"/>
          </w:tcPr>
          <w:p w14:paraId="3D1A8EE1">
            <w:pPr>
              <w:pStyle w:val="14"/>
              <w:spacing w:line="360" w:lineRule="auto"/>
              <w:ind w:firstLine="44" w:firstLineChars="16"/>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所学专业</w:t>
            </w:r>
          </w:p>
        </w:tc>
        <w:tc>
          <w:tcPr>
            <w:tcW w:w="2252" w:type="dxa"/>
            <w:gridSpan w:val="2"/>
            <w:noWrap w:val="0"/>
            <w:vAlign w:val="center"/>
          </w:tcPr>
          <w:p w14:paraId="4C0FA458">
            <w:pPr>
              <w:pStyle w:val="14"/>
              <w:spacing w:line="360" w:lineRule="auto"/>
              <w:ind w:firstLine="560" w:firstLineChars="200"/>
              <w:rPr>
                <w:rFonts w:hint="eastAsia" w:ascii="仿宋" w:hAnsi="仿宋" w:eastAsia="仿宋" w:cs="仿宋"/>
                <w:color w:val="auto"/>
                <w:sz w:val="28"/>
                <w:szCs w:val="28"/>
                <w:highlight w:val="none"/>
              </w:rPr>
            </w:pPr>
          </w:p>
        </w:tc>
      </w:tr>
      <w:tr w14:paraId="2573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trPr>
        <w:tc>
          <w:tcPr>
            <w:tcW w:w="9179" w:type="dxa"/>
            <w:gridSpan w:val="9"/>
            <w:noWrap w:val="0"/>
            <w:vAlign w:val="center"/>
          </w:tcPr>
          <w:p w14:paraId="0592F90F">
            <w:pPr>
              <w:pStyle w:val="14"/>
              <w:spacing w:line="360" w:lineRule="auto"/>
              <w:ind w:leftChars="-1" w:hanging="2" w:hangingChars="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2.参与的主要项目</w:t>
            </w:r>
          </w:p>
        </w:tc>
      </w:tr>
      <w:tr w14:paraId="4630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6" w:hRule="atLeast"/>
        </w:trPr>
        <w:tc>
          <w:tcPr>
            <w:tcW w:w="957" w:type="dxa"/>
            <w:noWrap w:val="0"/>
            <w:vAlign w:val="center"/>
          </w:tcPr>
          <w:p w14:paraId="09B3BD4D">
            <w:pPr>
              <w:pStyle w:val="14"/>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时间</w:t>
            </w:r>
          </w:p>
        </w:tc>
        <w:tc>
          <w:tcPr>
            <w:tcW w:w="3590" w:type="dxa"/>
            <w:gridSpan w:val="4"/>
            <w:noWrap w:val="0"/>
            <w:vAlign w:val="center"/>
          </w:tcPr>
          <w:p w14:paraId="644E8C5A">
            <w:pPr>
              <w:pStyle w:val="14"/>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2380" w:type="dxa"/>
            <w:gridSpan w:val="2"/>
            <w:noWrap w:val="0"/>
            <w:vAlign w:val="center"/>
          </w:tcPr>
          <w:p w14:paraId="7E0616EA">
            <w:pPr>
              <w:pStyle w:val="14"/>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在项目中担任</w:t>
            </w:r>
          </w:p>
          <w:p w14:paraId="37CB0E13">
            <w:pPr>
              <w:pStyle w:val="14"/>
              <w:spacing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的职务</w:t>
            </w:r>
          </w:p>
        </w:tc>
        <w:tc>
          <w:tcPr>
            <w:tcW w:w="2252" w:type="dxa"/>
            <w:gridSpan w:val="2"/>
            <w:noWrap w:val="0"/>
            <w:vAlign w:val="center"/>
          </w:tcPr>
          <w:p w14:paraId="1BEF8AD6">
            <w:pPr>
              <w:pStyle w:val="14"/>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项目联系人电话、联系人</w:t>
            </w:r>
          </w:p>
        </w:tc>
      </w:tr>
      <w:tr w14:paraId="68EF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5" w:hRule="atLeast"/>
        </w:trPr>
        <w:tc>
          <w:tcPr>
            <w:tcW w:w="957" w:type="dxa"/>
            <w:noWrap w:val="0"/>
            <w:vAlign w:val="center"/>
          </w:tcPr>
          <w:p w14:paraId="20CA56EE">
            <w:pPr>
              <w:pStyle w:val="14"/>
              <w:spacing w:line="360" w:lineRule="auto"/>
              <w:ind w:firstLine="560" w:firstLineChars="200"/>
              <w:rPr>
                <w:rFonts w:hint="eastAsia" w:ascii="仿宋" w:hAnsi="仿宋" w:eastAsia="仿宋" w:cs="仿宋"/>
                <w:color w:val="auto"/>
                <w:sz w:val="28"/>
                <w:szCs w:val="28"/>
                <w:highlight w:val="none"/>
              </w:rPr>
            </w:pPr>
          </w:p>
        </w:tc>
        <w:tc>
          <w:tcPr>
            <w:tcW w:w="3590" w:type="dxa"/>
            <w:gridSpan w:val="4"/>
            <w:noWrap w:val="0"/>
            <w:vAlign w:val="center"/>
          </w:tcPr>
          <w:p w14:paraId="0D6565A7">
            <w:pPr>
              <w:pStyle w:val="14"/>
              <w:spacing w:line="360" w:lineRule="auto"/>
              <w:rPr>
                <w:rFonts w:hint="eastAsia" w:ascii="仿宋" w:hAnsi="仿宋" w:eastAsia="仿宋" w:cs="仿宋"/>
                <w:color w:val="auto"/>
                <w:sz w:val="28"/>
                <w:szCs w:val="28"/>
                <w:highlight w:val="none"/>
              </w:rPr>
            </w:pPr>
          </w:p>
        </w:tc>
        <w:tc>
          <w:tcPr>
            <w:tcW w:w="2380" w:type="dxa"/>
            <w:gridSpan w:val="2"/>
            <w:noWrap w:val="0"/>
            <w:vAlign w:val="center"/>
          </w:tcPr>
          <w:p w14:paraId="225B525A">
            <w:pPr>
              <w:pStyle w:val="14"/>
              <w:spacing w:line="360" w:lineRule="auto"/>
              <w:rPr>
                <w:rFonts w:hint="eastAsia" w:ascii="仿宋" w:hAnsi="仿宋" w:eastAsia="仿宋" w:cs="仿宋"/>
                <w:color w:val="auto"/>
                <w:sz w:val="28"/>
                <w:szCs w:val="28"/>
                <w:highlight w:val="none"/>
              </w:rPr>
            </w:pPr>
          </w:p>
        </w:tc>
        <w:tc>
          <w:tcPr>
            <w:tcW w:w="2252" w:type="dxa"/>
            <w:gridSpan w:val="2"/>
            <w:noWrap w:val="0"/>
            <w:vAlign w:val="center"/>
          </w:tcPr>
          <w:p w14:paraId="68C518F0">
            <w:pPr>
              <w:pStyle w:val="14"/>
              <w:spacing w:line="360" w:lineRule="auto"/>
              <w:rPr>
                <w:rFonts w:hint="eastAsia" w:ascii="仿宋" w:hAnsi="仿宋" w:eastAsia="仿宋" w:cs="仿宋"/>
                <w:color w:val="auto"/>
                <w:sz w:val="28"/>
                <w:szCs w:val="28"/>
                <w:highlight w:val="none"/>
              </w:rPr>
            </w:pPr>
          </w:p>
        </w:tc>
      </w:tr>
      <w:tr w14:paraId="00DA2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0" w:hRule="atLeast"/>
        </w:trPr>
        <w:tc>
          <w:tcPr>
            <w:tcW w:w="957" w:type="dxa"/>
            <w:noWrap w:val="0"/>
            <w:vAlign w:val="center"/>
          </w:tcPr>
          <w:p w14:paraId="42F5F161">
            <w:pPr>
              <w:pStyle w:val="14"/>
              <w:spacing w:line="360" w:lineRule="auto"/>
              <w:ind w:firstLine="560" w:firstLineChars="200"/>
              <w:rPr>
                <w:rFonts w:hint="eastAsia" w:ascii="仿宋" w:hAnsi="仿宋" w:eastAsia="仿宋" w:cs="仿宋"/>
                <w:color w:val="auto"/>
                <w:sz w:val="28"/>
                <w:szCs w:val="28"/>
                <w:highlight w:val="none"/>
              </w:rPr>
            </w:pPr>
          </w:p>
        </w:tc>
        <w:tc>
          <w:tcPr>
            <w:tcW w:w="3590" w:type="dxa"/>
            <w:gridSpan w:val="4"/>
            <w:noWrap w:val="0"/>
            <w:vAlign w:val="center"/>
          </w:tcPr>
          <w:p w14:paraId="5500DC08">
            <w:pPr>
              <w:pStyle w:val="14"/>
              <w:spacing w:line="360" w:lineRule="auto"/>
              <w:rPr>
                <w:rFonts w:hint="eastAsia" w:ascii="仿宋" w:hAnsi="仿宋" w:eastAsia="仿宋" w:cs="仿宋"/>
                <w:color w:val="auto"/>
                <w:sz w:val="28"/>
                <w:szCs w:val="28"/>
                <w:highlight w:val="none"/>
              </w:rPr>
            </w:pPr>
          </w:p>
        </w:tc>
        <w:tc>
          <w:tcPr>
            <w:tcW w:w="2380" w:type="dxa"/>
            <w:gridSpan w:val="2"/>
            <w:noWrap w:val="0"/>
            <w:vAlign w:val="center"/>
          </w:tcPr>
          <w:p w14:paraId="7667DB4E">
            <w:pPr>
              <w:pStyle w:val="14"/>
              <w:spacing w:line="360" w:lineRule="auto"/>
              <w:rPr>
                <w:rFonts w:hint="eastAsia" w:ascii="仿宋" w:hAnsi="仿宋" w:eastAsia="仿宋" w:cs="仿宋"/>
                <w:color w:val="auto"/>
                <w:sz w:val="28"/>
                <w:szCs w:val="28"/>
                <w:highlight w:val="none"/>
              </w:rPr>
            </w:pPr>
          </w:p>
        </w:tc>
        <w:tc>
          <w:tcPr>
            <w:tcW w:w="2252" w:type="dxa"/>
            <w:gridSpan w:val="2"/>
            <w:noWrap w:val="0"/>
            <w:vAlign w:val="center"/>
          </w:tcPr>
          <w:p w14:paraId="3F158BD1">
            <w:pPr>
              <w:pStyle w:val="14"/>
              <w:spacing w:line="360" w:lineRule="auto"/>
              <w:rPr>
                <w:rFonts w:hint="eastAsia" w:ascii="仿宋" w:hAnsi="仿宋" w:eastAsia="仿宋" w:cs="仿宋"/>
                <w:color w:val="auto"/>
                <w:sz w:val="28"/>
                <w:szCs w:val="28"/>
                <w:highlight w:val="none"/>
              </w:rPr>
            </w:pPr>
          </w:p>
        </w:tc>
      </w:tr>
      <w:tr w14:paraId="1BF2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957" w:type="dxa"/>
            <w:noWrap w:val="0"/>
            <w:vAlign w:val="center"/>
          </w:tcPr>
          <w:p w14:paraId="4285D555">
            <w:pPr>
              <w:pStyle w:val="14"/>
              <w:spacing w:line="360" w:lineRule="auto"/>
              <w:ind w:firstLine="560" w:firstLineChars="200"/>
              <w:rPr>
                <w:rFonts w:hint="eastAsia" w:ascii="仿宋" w:hAnsi="仿宋" w:eastAsia="仿宋" w:cs="仿宋"/>
                <w:color w:val="auto"/>
                <w:sz w:val="28"/>
                <w:szCs w:val="28"/>
                <w:highlight w:val="none"/>
              </w:rPr>
            </w:pPr>
          </w:p>
        </w:tc>
        <w:tc>
          <w:tcPr>
            <w:tcW w:w="3590" w:type="dxa"/>
            <w:gridSpan w:val="4"/>
            <w:noWrap w:val="0"/>
            <w:vAlign w:val="center"/>
          </w:tcPr>
          <w:p w14:paraId="3522505C">
            <w:pPr>
              <w:pStyle w:val="14"/>
              <w:spacing w:line="360" w:lineRule="auto"/>
              <w:rPr>
                <w:rFonts w:hint="eastAsia" w:ascii="仿宋" w:hAnsi="仿宋" w:eastAsia="仿宋" w:cs="仿宋"/>
                <w:color w:val="auto"/>
                <w:sz w:val="28"/>
                <w:szCs w:val="28"/>
                <w:highlight w:val="none"/>
              </w:rPr>
            </w:pPr>
          </w:p>
        </w:tc>
        <w:tc>
          <w:tcPr>
            <w:tcW w:w="2380" w:type="dxa"/>
            <w:gridSpan w:val="2"/>
            <w:noWrap w:val="0"/>
            <w:vAlign w:val="center"/>
          </w:tcPr>
          <w:p w14:paraId="15DE90DB">
            <w:pPr>
              <w:pStyle w:val="14"/>
              <w:spacing w:line="360" w:lineRule="auto"/>
              <w:rPr>
                <w:rFonts w:hint="eastAsia" w:ascii="仿宋" w:hAnsi="仿宋" w:eastAsia="仿宋" w:cs="仿宋"/>
                <w:color w:val="auto"/>
                <w:sz w:val="28"/>
                <w:szCs w:val="28"/>
                <w:highlight w:val="none"/>
              </w:rPr>
            </w:pPr>
          </w:p>
        </w:tc>
        <w:tc>
          <w:tcPr>
            <w:tcW w:w="2252" w:type="dxa"/>
            <w:gridSpan w:val="2"/>
            <w:noWrap w:val="0"/>
            <w:vAlign w:val="center"/>
          </w:tcPr>
          <w:p w14:paraId="3C1B027D">
            <w:pPr>
              <w:pStyle w:val="14"/>
              <w:spacing w:line="360" w:lineRule="auto"/>
              <w:rPr>
                <w:rFonts w:hint="eastAsia" w:ascii="仿宋" w:hAnsi="仿宋" w:eastAsia="仿宋" w:cs="仿宋"/>
                <w:color w:val="auto"/>
                <w:sz w:val="28"/>
                <w:szCs w:val="28"/>
                <w:highlight w:val="none"/>
              </w:rPr>
            </w:pPr>
          </w:p>
        </w:tc>
      </w:tr>
    </w:tbl>
    <w:p w14:paraId="1A68F29B">
      <w:pPr>
        <w:shd w:val="clear"/>
        <w:spacing w:line="440" w:lineRule="exact"/>
        <w:rPr>
          <w:rFonts w:hint="eastAsia" w:ascii="仿宋" w:hAnsi="仿宋" w:eastAsia="仿宋" w:cs="仿宋"/>
          <w:color w:val="auto"/>
          <w:sz w:val="24"/>
          <w:highlight w:val="none"/>
        </w:rPr>
      </w:pPr>
      <w:r>
        <w:rPr>
          <w:rFonts w:hint="eastAsia" w:ascii="仿宋" w:hAnsi="仿宋" w:eastAsia="仿宋" w:cs="仿宋"/>
          <w:color w:val="auto"/>
          <w:sz w:val="24"/>
          <w:highlight w:val="none"/>
        </w:rPr>
        <w:t>注：1</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每位拟派人员填写一张，项目负责人已单列，此处不需再列。</w:t>
      </w:r>
    </w:p>
    <w:p w14:paraId="6323DF3A">
      <w:pPr>
        <w:shd w:val="clear"/>
        <w:spacing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后附</w:t>
      </w:r>
      <w:r>
        <w:rPr>
          <w:rFonts w:hint="eastAsia" w:ascii="仿宋" w:hAnsi="仿宋" w:eastAsia="仿宋" w:cs="仿宋"/>
          <w:color w:val="auto"/>
          <w:sz w:val="24"/>
          <w:highlight w:val="none"/>
          <w:lang w:val="en-US" w:eastAsia="zh-CN"/>
        </w:rPr>
        <w:t>人员相关</w:t>
      </w:r>
      <w:r>
        <w:rPr>
          <w:rFonts w:hint="eastAsia" w:ascii="仿宋" w:hAnsi="仿宋" w:eastAsia="仿宋" w:cs="仿宋"/>
          <w:color w:val="auto"/>
          <w:sz w:val="24"/>
          <w:highlight w:val="none"/>
        </w:rPr>
        <w:t>证明材料扫描件</w:t>
      </w:r>
      <w:r>
        <w:rPr>
          <w:rFonts w:hint="eastAsia" w:ascii="仿宋" w:hAnsi="仿宋" w:eastAsia="仿宋" w:cs="仿宋"/>
          <w:color w:val="auto"/>
          <w:sz w:val="24"/>
          <w:highlight w:val="none"/>
          <w:lang w:val="en-US" w:eastAsia="zh-CN"/>
        </w:rPr>
        <w:t>及社保证明扫描件</w:t>
      </w:r>
      <w:r>
        <w:rPr>
          <w:rFonts w:hint="eastAsia" w:ascii="仿宋" w:hAnsi="仿宋" w:eastAsia="仿宋" w:cs="仿宋"/>
          <w:color w:val="auto"/>
          <w:sz w:val="24"/>
          <w:highlight w:val="none"/>
        </w:rPr>
        <w:t xml:space="preserve">。                    </w:t>
      </w:r>
    </w:p>
    <w:p w14:paraId="20AAEA92">
      <w:pPr>
        <w:spacing w:line="360" w:lineRule="auto"/>
        <w:rPr>
          <w:rFonts w:hint="eastAsia" w:ascii="仿宋" w:hAnsi="仿宋" w:eastAsia="仿宋" w:cs="仿宋"/>
          <w:color w:val="auto"/>
          <w:sz w:val="24"/>
          <w:highlight w:val="none"/>
        </w:rPr>
      </w:pPr>
    </w:p>
    <w:p w14:paraId="1E35A935">
      <w:pPr>
        <w:widowControl/>
        <w:shd w:val="clear"/>
        <w:jc w:val="center"/>
        <w:rPr>
          <w:rFonts w:hint="eastAsia" w:ascii="仿宋" w:hAnsi="仿宋" w:eastAsia="仿宋" w:cs="仿宋"/>
          <w:color w:val="auto"/>
          <w:sz w:val="28"/>
          <w:szCs w:val="28"/>
          <w:highlight w:val="none"/>
        </w:rPr>
      </w:pPr>
    </w:p>
    <w:p w14:paraId="564CCF3A">
      <w:pPr>
        <w:widowControl/>
        <w:shd w:val="clear"/>
        <w:jc w:val="center"/>
        <w:rPr>
          <w:rFonts w:hint="eastAsia" w:ascii="仿宋" w:hAnsi="仿宋" w:eastAsia="仿宋" w:cs="仿宋"/>
          <w:color w:val="auto"/>
          <w:sz w:val="28"/>
          <w:szCs w:val="28"/>
          <w:highlight w:val="none"/>
        </w:rPr>
      </w:pPr>
    </w:p>
    <w:p w14:paraId="321634FD">
      <w:pPr>
        <w:widowControl/>
        <w:shd w:val="clear"/>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投标人（签章）</w:t>
      </w:r>
      <w:r>
        <w:rPr>
          <w:rFonts w:hint="eastAsia" w:ascii="仿宋" w:hAnsi="仿宋" w:eastAsia="仿宋" w:cs="仿宋"/>
          <w:color w:val="auto"/>
          <w:sz w:val="28"/>
          <w:szCs w:val="28"/>
          <w:highlight w:val="none"/>
          <w:lang w:eastAsia="zh-CN"/>
        </w:rPr>
        <w:t>：</w:t>
      </w:r>
    </w:p>
    <w:p w14:paraId="5A861979">
      <w:pPr>
        <w:widowControl/>
        <w:shd w:val="clear"/>
        <w:jc w:val="center"/>
        <w:rPr>
          <w:rFonts w:hint="eastAsia" w:ascii="仿宋" w:hAnsi="仿宋" w:eastAsia="仿宋" w:cs="仿宋"/>
          <w:color w:val="auto"/>
          <w:sz w:val="28"/>
          <w:szCs w:val="28"/>
          <w:highlight w:val="none"/>
          <w:lang w:eastAsia="zh-CN"/>
        </w:rPr>
      </w:pPr>
    </w:p>
    <w:p w14:paraId="4A4FDA2E">
      <w:pPr>
        <w:widowControl/>
        <w:shd w:val="clear"/>
        <w:jc w:val="center"/>
        <w:rPr>
          <w:rFonts w:hint="eastAsia" w:ascii="仿宋" w:hAnsi="仿宋" w:eastAsia="仿宋" w:cs="仿宋"/>
          <w:color w:val="auto"/>
          <w:sz w:val="28"/>
          <w:szCs w:val="28"/>
          <w:highlight w:val="none"/>
          <w:lang w:eastAsia="zh-CN"/>
        </w:rPr>
      </w:pPr>
    </w:p>
    <w:p w14:paraId="17F7CF4E">
      <w:pPr>
        <w:widowControl/>
        <w:shd w:val="clear"/>
        <w:jc w:val="center"/>
        <w:rPr>
          <w:rFonts w:hint="eastAsia" w:ascii="仿宋" w:hAnsi="仿宋" w:eastAsia="仿宋" w:cs="仿宋"/>
          <w:color w:val="auto"/>
          <w:sz w:val="28"/>
          <w:szCs w:val="28"/>
          <w:highlight w:val="none"/>
          <w:lang w:eastAsia="zh-CN"/>
        </w:rPr>
      </w:pPr>
    </w:p>
    <w:p w14:paraId="15784CAE">
      <w:pPr>
        <w:widowControl/>
        <w:shd w:val="clear"/>
        <w:jc w:val="center"/>
        <w:rPr>
          <w:rFonts w:hint="eastAsia" w:ascii="仿宋" w:hAnsi="仿宋" w:eastAsia="仿宋" w:cs="仿宋"/>
          <w:b/>
          <w:bCs/>
          <w:color w:val="auto"/>
          <w:sz w:val="44"/>
          <w:szCs w:val="44"/>
          <w:highlight w:val="none"/>
          <w:lang w:val="en-US" w:eastAsia="zh-CN"/>
        </w:rPr>
      </w:pPr>
      <w:r>
        <w:rPr>
          <w:rFonts w:hint="eastAsia" w:ascii="仿宋" w:hAnsi="仿宋" w:eastAsia="仿宋" w:cs="仿宋"/>
          <w:b/>
          <w:bCs/>
          <w:color w:val="auto"/>
          <w:sz w:val="44"/>
          <w:szCs w:val="44"/>
          <w:highlight w:val="none"/>
          <w:lang w:val="en-US" w:eastAsia="zh-CN"/>
        </w:rPr>
        <w:t>在职人员承诺函</w:t>
      </w:r>
    </w:p>
    <w:p w14:paraId="2ACA635E">
      <w:pPr>
        <w:widowControl/>
        <w:shd w:val="clea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28"/>
          <w:szCs w:val="28"/>
          <w:highlight w:val="none"/>
          <w:lang w:val="en-US" w:eastAsia="zh-CN"/>
        </w:rPr>
        <w:t>（格式自拟）</w:t>
      </w:r>
      <w:r>
        <w:rPr>
          <w:rFonts w:hint="eastAsia" w:ascii="仿宋" w:hAnsi="仿宋" w:eastAsia="仿宋" w:cs="仿宋"/>
          <w:b/>
          <w:color w:val="auto"/>
          <w:sz w:val="44"/>
          <w:szCs w:val="44"/>
          <w:highlight w:val="none"/>
        </w:rPr>
        <w:br w:type="page"/>
      </w:r>
    </w:p>
    <w:p w14:paraId="26E001DC">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7FDFF9C8">
      <w:pPr>
        <w:widowControl/>
        <w:shd w:val="clea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技术文件</w:t>
      </w:r>
    </w:p>
    <w:bookmarkEnd w:id="21"/>
    <w:bookmarkEnd w:id="22"/>
    <w:p w14:paraId="2BAB26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23" w:name="_Toc521936062"/>
      <w:bookmarkStart w:id="24" w:name="_Toc522526800"/>
      <w:r>
        <w:rPr>
          <w:rFonts w:hint="eastAsia" w:ascii="仿宋" w:hAnsi="仿宋" w:eastAsia="仿宋" w:cs="仿宋"/>
          <w:color w:val="auto"/>
          <w:sz w:val="28"/>
          <w:szCs w:val="28"/>
          <w:highlight w:val="none"/>
        </w:rPr>
        <w:t>包括但不限于以下内容：</w:t>
      </w:r>
    </w:p>
    <w:p w14:paraId="5F404E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val="en-US" w:eastAsia="zh-CN"/>
        </w:rPr>
        <w:t>维保方案</w:t>
      </w:r>
      <w:r>
        <w:rPr>
          <w:rFonts w:hint="eastAsia" w:ascii="仿宋" w:hAnsi="仿宋" w:eastAsia="仿宋" w:cs="仿宋"/>
          <w:color w:val="auto"/>
          <w:sz w:val="28"/>
          <w:szCs w:val="28"/>
          <w:highlight w:val="none"/>
          <w:lang w:eastAsia="zh-CN"/>
        </w:rPr>
        <w:t>；</w:t>
      </w:r>
    </w:p>
    <w:p w14:paraId="64C890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②服务质量保障措施</w:t>
      </w:r>
      <w:r>
        <w:rPr>
          <w:rFonts w:hint="eastAsia" w:ascii="仿宋" w:hAnsi="仿宋" w:eastAsia="仿宋" w:cs="仿宋"/>
          <w:color w:val="auto"/>
          <w:sz w:val="28"/>
          <w:szCs w:val="28"/>
          <w:highlight w:val="none"/>
          <w:lang w:eastAsia="zh-CN"/>
        </w:rPr>
        <w:t>；</w:t>
      </w:r>
    </w:p>
    <w:p w14:paraId="09EB800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③应急预案</w:t>
      </w:r>
      <w:r>
        <w:rPr>
          <w:rFonts w:hint="eastAsia" w:ascii="仿宋" w:hAnsi="仿宋" w:eastAsia="仿宋" w:cs="仿宋"/>
          <w:color w:val="auto"/>
          <w:sz w:val="28"/>
          <w:szCs w:val="28"/>
          <w:highlight w:val="none"/>
          <w:lang w:eastAsia="zh-CN"/>
        </w:rPr>
        <w:t>；</w:t>
      </w:r>
    </w:p>
    <w:p w14:paraId="68A51CC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④售后服务及承诺</w:t>
      </w:r>
      <w:r>
        <w:rPr>
          <w:rFonts w:hint="eastAsia" w:ascii="仿宋" w:hAnsi="仿宋" w:eastAsia="仿宋" w:cs="仿宋"/>
          <w:color w:val="auto"/>
          <w:sz w:val="28"/>
          <w:szCs w:val="28"/>
          <w:highlight w:val="none"/>
          <w:lang w:eastAsia="zh-CN"/>
        </w:rPr>
        <w:t>；</w:t>
      </w:r>
    </w:p>
    <w:p w14:paraId="4A356C8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⑤</w:t>
      </w:r>
      <w:r>
        <w:rPr>
          <w:rFonts w:hint="eastAsia" w:ascii="仿宋" w:hAnsi="仿宋" w:eastAsia="仿宋" w:cs="仿宋"/>
          <w:color w:val="auto"/>
          <w:sz w:val="28"/>
          <w:szCs w:val="28"/>
          <w:highlight w:val="none"/>
        </w:rPr>
        <w:t>投标人认为需要提交的其他相关技术文件（根据评分标准及项目要求格式自拟）</w:t>
      </w:r>
      <w:r>
        <w:rPr>
          <w:rFonts w:hint="eastAsia" w:ascii="仿宋" w:hAnsi="仿宋" w:eastAsia="仿宋" w:cs="仿宋"/>
          <w:color w:val="auto"/>
          <w:sz w:val="28"/>
          <w:szCs w:val="28"/>
          <w:highlight w:val="none"/>
          <w:lang w:eastAsia="zh-CN"/>
        </w:rPr>
        <w:t>。</w:t>
      </w:r>
    </w:p>
    <w:p w14:paraId="54160787">
      <w:pPr>
        <w:pStyle w:val="10"/>
        <w:rPr>
          <w:rFonts w:hint="eastAsia" w:ascii="仿宋" w:hAnsi="仿宋" w:eastAsia="仿宋" w:cs="仿宋"/>
          <w:color w:val="auto"/>
          <w:sz w:val="28"/>
          <w:szCs w:val="28"/>
          <w:highlight w:val="none"/>
        </w:rPr>
      </w:pPr>
    </w:p>
    <w:p w14:paraId="5B529426">
      <w:pPr>
        <w:rPr>
          <w:rFonts w:hint="eastAsia" w:ascii="仿宋" w:hAnsi="仿宋" w:eastAsia="仿宋" w:cs="仿宋"/>
          <w:color w:val="auto"/>
          <w:sz w:val="28"/>
          <w:szCs w:val="28"/>
          <w:highlight w:val="none"/>
        </w:rPr>
      </w:pPr>
    </w:p>
    <w:p w14:paraId="0F2E7D0C">
      <w:pPr>
        <w:pStyle w:val="10"/>
        <w:rPr>
          <w:rFonts w:hint="eastAsia" w:ascii="仿宋" w:hAnsi="仿宋" w:eastAsia="仿宋" w:cs="仿宋"/>
          <w:color w:val="auto"/>
          <w:sz w:val="28"/>
          <w:szCs w:val="28"/>
          <w:highlight w:val="none"/>
        </w:rPr>
      </w:pPr>
    </w:p>
    <w:p w14:paraId="116BF2DE">
      <w:pPr>
        <w:rPr>
          <w:rFonts w:hint="eastAsia" w:ascii="仿宋" w:hAnsi="仿宋" w:eastAsia="仿宋" w:cs="仿宋"/>
          <w:color w:val="auto"/>
          <w:sz w:val="28"/>
          <w:szCs w:val="28"/>
          <w:highlight w:val="none"/>
        </w:rPr>
      </w:pPr>
    </w:p>
    <w:p w14:paraId="664D1785">
      <w:pPr>
        <w:pStyle w:val="10"/>
        <w:rPr>
          <w:rFonts w:hint="eastAsia" w:ascii="仿宋" w:hAnsi="仿宋" w:eastAsia="仿宋" w:cs="仿宋"/>
          <w:highlight w:val="none"/>
        </w:rPr>
      </w:pPr>
    </w:p>
    <w:p w14:paraId="5BA8868A">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2B8D2C03">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3E724427">
      <w:pPr>
        <w:widowControl/>
        <w:shd w:val="clear"/>
        <w:jc w:val="center"/>
        <w:rPr>
          <w:rFonts w:hint="eastAsia"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投标偏离表</w:t>
      </w:r>
    </w:p>
    <w:p w14:paraId="423DFC3C">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（包括技术规格、参数和商务条款偏离）</w:t>
      </w: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776"/>
        <w:gridCol w:w="2776"/>
        <w:gridCol w:w="1705"/>
        <w:gridCol w:w="1705"/>
      </w:tblGrid>
      <w:tr w14:paraId="3A59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497" w:type="pct"/>
            <w:noWrap w:val="0"/>
            <w:vAlign w:val="center"/>
          </w:tcPr>
          <w:p w14:paraId="066BD820">
            <w:pPr>
              <w:pStyle w:val="14"/>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序号</w:t>
            </w:r>
          </w:p>
        </w:tc>
        <w:tc>
          <w:tcPr>
            <w:tcW w:w="1394" w:type="pct"/>
            <w:noWrap w:val="0"/>
            <w:vAlign w:val="center"/>
          </w:tcPr>
          <w:p w14:paraId="60C67E69">
            <w:pPr>
              <w:pStyle w:val="14"/>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招标文件的内容</w:t>
            </w:r>
          </w:p>
        </w:tc>
        <w:tc>
          <w:tcPr>
            <w:tcW w:w="1394" w:type="pct"/>
            <w:noWrap w:val="0"/>
            <w:vAlign w:val="center"/>
          </w:tcPr>
          <w:p w14:paraId="5A9675AD">
            <w:pPr>
              <w:pStyle w:val="14"/>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投标文件</w:t>
            </w:r>
            <w:r>
              <w:rPr>
                <w:rFonts w:hint="eastAsia" w:ascii="仿宋" w:hAnsi="仿宋" w:eastAsia="仿宋" w:cs="仿宋"/>
                <w:b/>
                <w:bCs/>
                <w:color w:val="auto"/>
                <w:sz w:val="28"/>
                <w:szCs w:val="28"/>
                <w:highlight w:val="none"/>
                <w:lang w:val="en-US" w:eastAsia="zh-CN"/>
              </w:rPr>
              <w:t>的</w:t>
            </w:r>
            <w:r>
              <w:rPr>
                <w:rFonts w:hint="eastAsia" w:ascii="仿宋" w:hAnsi="仿宋" w:eastAsia="仿宋" w:cs="仿宋"/>
                <w:b/>
                <w:bCs/>
                <w:color w:val="auto"/>
                <w:sz w:val="28"/>
                <w:szCs w:val="28"/>
                <w:highlight w:val="none"/>
              </w:rPr>
              <w:t>内容</w:t>
            </w:r>
          </w:p>
        </w:tc>
        <w:tc>
          <w:tcPr>
            <w:tcW w:w="856" w:type="pct"/>
            <w:noWrap w:val="0"/>
            <w:vAlign w:val="center"/>
          </w:tcPr>
          <w:p w14:paraId="676006D4">
            <w:pPr>
              <w:pStyle w:val="14"/>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偏离情况</w:t>
            </w:r>
          </w:p>
        </w:tc>
        <w:tc>
          <w:tcPr>
            <w:tcW w:w="856" w:type="pct"/>
            <w:noWrap w:val="0"/>
            <w:vAlign w:val="center"/>
          </w:tcPr>
          <w:p w14:paraId="41A7E0AC">
            <w:pPr>
              <w:pStyle w:val="14"/>
              <w:shd w:val="clear"/>
              <w:spacing w:line="400" w:lineRule="exact"/>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对应页码</w:t>
            </w:r>
          </w:p>
        </w:tc>
      </w:tr>
      <w:tr w14:paraId="0199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0BCE03C">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51B8DBB5">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1616BC35">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F9B9457">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26E3236">
            <w:pPr>
              <w:pStyle w:val="14"/>
              <w:shd w:val="clear"/>
              <w:spacing w:line="400" w:lineRule="exact"/>
              <w:jc w:val="center"/>
              <w:rPr>
                <w:rFonts w:hint="eastAsia" w:ascii="仿宋" w:hAnsi="仿宋" w:eastAsia="仿宋" w:cs="仿宋"/>
                <w:color w:val="auto"/>
                <w:sz w:val="28"/>
                <w:szCs w:val="28"/>
                <w:highlight w:val="none"/>
              </w:rPr>
            </w:pPr>
          </w:p>
        </w:tc>
      </w:tr>
      <w:tr w14:paraId="5A95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2914379E">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56E9ABA">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DCA2DCA">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7B557EF">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442A646">
            <w:pPr>
              <w:pStyle w:val="14"/>
              <w:shd w:val="clear"/>
              <w:spacing w:line="400" w:lineRule="exact"/>
              <w:jc w:val="center"/>
              <w:rPr>
                <w:rFonts w:hint="eastAsia" w:ascii="仿宋" w:hAnsi="仿宋" w:eastAsia="仿宋" w:cs="仿宋"/>
                <w:color w:val="auto"/>
                <w:sz w:val="28"/>
                <w:szCs w:val="28"/>
                <w:highlight w:val="none"/>
              </w:rPr>
            </w:pPr>
          </w:p>
        </w:tc>
      </w:tr>
      <w:tr w14:paraId="6CFB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16BFC0AE">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8D81643">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424F7F7">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391963D">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5BFC598">
            <w:pPr>
              <w:pStyle w:val="14"/>
              <w:shd w:val="clear"/>
              <w:spacing w:line="400" w:lineRule="exact"/>
              <w:jc w:val="center"/>
              <w:rPr>
                <w:rFonts w:hint="eastAsia" w:ascii="仿宋" w:hAnsi="仿宋" w:eastAsia="仿宋" w:cs="仿宋"/>
                <w:color w:val="auto"/>
                <w:sz w:val="28"/>
                <w:szCs w:val="28"/>
                <w:highlight w:val="none"/>
              </w:rPr>
            </w:pPr>
          </w:p>
        </w:tc>
      </w:tr>
      <w:tr w14:paraId="0F04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4C0E7EAF">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D598E42">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9A52B6D">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57C65A5">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436C65F">
            <w:pPr>
              <w:pStyle w:val="14"/>
              <w:shd w:val="clear"/>
              <w:spacing w:line="400" w:lineRule="exact"/>
              <w:jc w:val="center"/>
              <w:rPr>
                <w:rFonts w:hint="eastAsia" w:ascii="仿宋" w:hAnsi="仿宋" w:eastAsia="仿宋" w:cs="仿宋"/>
                <w:color w:val="auto"/>
                <w:sz w:val="28"/>
                <w:szCs w:val="28"/>
                <w:highlight w:val="none"/>
              </w:rPr>
            </w:pPr>
          </w:p>
        </w:tc>
      </w:tr>
      <w:tr w14:paraId="24F0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06DBFEEF">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46F10963">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ECE0179">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540E5D5">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EDB76F6">
            <w:pPr>
              <w:pStyle w:val="14"/>
              <w:shd w:val="clear"/>
              <w:spacing w:line="400" w:lineRule="exact"/>
              <w:jc w:val="center"/>
              <w:rPr>
                <w:rFonts w:hint="eastAsia" w:ascii="仿宋" w:hAnsi="仿宋" w:eastAsia="仿宋" w:cs="仿宋"/>
                <w:color w:val="auto"/>
                <w:sz w:val="28"/>
                <w:szCs w:val="28"/>
                <w:highlight w:val="none"/>
              </w:rPr>
            </w:pPr>
          </w:p>
        </w:tc>
      </w:tr>
      <w:tr w14:paraId="21B1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142B945">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828F89A">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C964AC3">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E136B51">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B522A35">
            <w:pPr>
              <w:pStyle w:val="14"/>
              <w:shd w:val="clear"/>
              <w:spacing w:line="400" w:lineRule="exact"/>
              <w:jc w:val="center"/>
              <w:rPr>
                <w:rFonts w:hint="eastAsia" w:ascii="仿宋" w:hAnsi="仿宋" w:eastAsia="仿宋" w:cs="仿宋"/>
                <w:color w:val="auto"/>
                <w:sz w:val="28"/>
                <w:szCs w:val="28"/>
                <w:highlight w:val="none"/>
              </w:rPr>
            </w:pPr>
          </w:p>
        </w:tc>
      </w:tr>
      <w:tr w14:paraId="6F51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73D66E41">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B9EA925">
            <w:pPr>
              <w:pStyle w:val="14"/>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B395DFD">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3E0DABCD">
            <w:pPr>
              <w:pStyle w:val="14"/>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6D8FB47">
            <w:pPr>
              <w:pStyle w:val="14"/>
              <w:shd w:val="clear"/>
              <w:spacing w:line="400" w:lineRule="exact"/>
              <w:jc w:val="center"/>
              <w:rPr>
                <w:rFonts w:hint="eastAsia" w:ascii="仿宋" w:hAnsi="仿宋" w:eastAsia="仿宋" w:cs="仿宋"/>
                <w:color w:val="auto"/>
                <w:sz w:val="28"/>
                <w:szCs w:val="28"/>
                <w:highlight w:val="none"/>
              </w:rPr>
            </w:pPr>
          </w:p>
        </w:tc>
      </w:tr>
    </w:tbl>
    <w:p w14:paraId="2029731F">
      <w:pPr>
        <w:shd w:val="clear"/>
        <w:ind w:right="-309" w:rightChars="-14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注：无偏离可填写“无”字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有偏离必须在本表列明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实际存在负偏离而在本表内没有列明的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视为虚假报价。</w:t>
      </w:r>
    </w:p>
    <w:p w14:paraId="2E2E3401">
      <w:pPr>
        <w:shd w:val="clear"/>
        <w:jc w:val="center"/>
        <w:rPr>
          <w:rFonts w:hint="eastAsia" w:ascii="仿宋" w:hAnsi="仿宋" w:eastAsia="仿宋" w:cs="仿宋"/>
          <w:color w:val="auto"/>
          <w:highlight w:val="none"/>
        </w:rPr>
      </w:pPr>
    </w:p>
    <w:p w14:paraId="50195469">
      <w:pPr>
        <w:shd w:val="clear"/>
        <w:rPr>
          <w:rFonts w:hint="eastAsia" w:ascii="仿宋" w:hAnsi="仿宋" w:eastAsia="仿宋" w:cs="仿宋"/>
          <w:color w:val="auto"/>
          <w:highlight w:val="none"/>
        </w:rPr>
      </w:pPr>
    </w:p>
    <w:p w14:paraId="50467986">
      <w:pPr>
        <w:shd w:val="clear"/>
        <w:spacing w:line="520" w:lineRule="exact"/>
        <w:ind w:firstLine="3900" w:firstLineChars="1300"/>
        <w:jc w:val="right"/>
        <w:rPr>
          <w:rFonts w:hint="eastAsia" w:ascii="仿宋" w:hAnsi="仿宋" w:eastAsia="仿宋" w:cs="仿宋"/>
          <w:color w:val="auto"/>
          <w:sz w:val="30"/>
          <w:szCs w:val="30"/>
          <w:highlight w:val="none"/>
        </w:rPr>
      </w:pPr>
    </w:p>
    <w:p w14:paraId="2280F9C1">
      <w:pPr>
        <w:shd w:val="clear"/>
        <w:rPr>
          <w:rFonts w:hint="eastAsia" w:ascii="仿宋" w:hAnsi="仿宋" w:eastAsia="仿宋" w:cs="仿宋"/>
          <w:color w:val="auto"/>
          <w:highlight w:val="none"/>
        </w:rPr>
      </w:pPr>
    </w:p>
    <w:p w14:paraId="22242603">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B95C46C">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3D0C294">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90D6E50">
      <w:pPr>
        <w:shd w:val="clear"/>
        <w:wordWrap w:val="0"/>
        <w:spacing w:line="560" w:lineRule="exact"/>
        <w:jc w:val="righ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p>
    <w:p w14:paraId="5989BA0C">
      <w:pPr>
        <w:shd w:val="clear"/>
        <w:rPr>
          <w:rFonts w:hint="eastAsia" w:ascii="仿宋" w:hAnsi="仿宋" w:eastAsia="仿宋" w:cs="仿宋"/>
          <w:color w:val="auto"/>
          <w:highlight w:val="none"/>
        </w:rPr>
      </w:pPr>
    </w:p>
    <w:p w14:paraId="51E094AA">
      <w:pPr>
        <w:pStyle w:val="26"/>
        <w:shd w:val="clear"/>
        <w:spacing w:before="100" w:beforeAutospacing="1" w:after="100" w:afterAutospacing="1" w:line="415" w:lineRule="auto"/>
        <w:rPr>
          <w:rFonts w:hint="eastAsia" w:ascii="仿宋" w:hAnsi="仿宋" w:eastAsia="仿宋" w:cs="仿宋"/>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bookmarkEnd w:id="23"/>
    <w:bookmarkEnd w:id="24"/>
    <w:p w14:paraId="272AF3A1">
      <w:pPr>
        <w:pStyle w:val="26"/>
        <w:numPr>
          <w:ilvl w:val="0"/>
          <w:numId w:val="2"/>
        </w:numPr>
        <w:shd w:val="clear"/>
        <w:spacing w:before="100" w:beforeAutospacing="1" w:after="100" w:afterAutospacing="1" w:line="415" w:lineRule="auto"/>
        <w:ind w:left="1440" w:leftChars="0" w:hanging="1440" w:firstLineChars="0"/>
        <w:rPr>
          <w:rFonts w:hint="eastAsia" w:ascii="仿宋" w:hAnsi="仿宋" w:eastAsia="仿宋" w:cs="仿宋"/>
          <w:b/>
          <w:bCs/>
          <w:color w:val="auto"/>
          <w:kern w:val="2"/>
          <w:sz w:val="44"/>
          <w:szCs w:val="44"/>
          <w:highlight w:val="none"/>
          <w:lang w:val="en-US" w:eastAsia="zh-CN" w:bidi="ar-SA"/>
        </w:rPr>
      </w:pPr>
      <w:r>
        <w:rPr>
          <w:rFonts w:hint="eastAsia" w:ascii="仿宋" w:hAnsi="仿宋" w:eastAsia="仿宋" w:cs="仿宋"/>
          <w:b/>
          <w:bCs/>
          <w:color w:val="auto"/>
          <w:kern w:val="2"/>
          <w:sz w:val="44"/>
          <w:szCs w:val="44"/>
          <w:highlight w:val="none"/>
          <w:lang w:val="en-US" w:eastAsia="zh-CN" w:bidi="ar-SA"/>
        </w:rPr>
        <w:t xml:space="preserve"> </w:t>
      </w:r>
      <w:bookmarkStart w:id="25" w:name="_Toc18928"/>
      <w:r>
        <w:rPr>
          <w:rFonts w:hint="eastAsia" w:ascii="仿宋" w:hAnsi="仿宋" w:eastAsia="仿宋" w:cs="仿宋"/>
          <w:b/>
          <w:bCs/>
          <w:color w:val="auto"/>
          <w:kern w:val="2"/>
          <w:sz w:val="44"/>
          <w:szCs w:val="44"/>
          <w:highlight w:val="none"/>
          <w:lang w:val="en-US" w:eastAsia="zh-CN" w:bidi="ar-SA"/>
        </w:rPr>
        <w:t>采购合同（范本）</w:t>
      </w:r>
      <w:bookmarkEnd w:id="25"/>
    </w:p>
    <w:p w14:paraId="41CFAC2D">
      <w:pPr>
        <w:widowControl w:val="0"/>
        <w:numPr>
          <w:ilvl w:val="0"/>
          <w:numId w:val="0"/>
        </w:numPr>
        <w:jc w:val="both"/>
        <w:rPr>
          <w:rFonts w:hint="eastAsia" w:ascii="仿宋" w:hAnsi="仿宋" w:eastAsia="仿宋" w:cs="仿宋"/>
          <w:highlight w:val="none"/>
          <w:lang w:val="en-US" w:eastAsia="zh-CN"/>
        </w:rPr>
      </w:pPr>
    </w:p>
    <w:p w14:paraId="1DF8498E">
      <w:pPr>
        <w:keepNext w:val="0"/>
        <w:keepLines w:val="0"/>
        <w:pageBreakBefore w:val="0"/>
        <w:kinsoku/>
        <w:wordWrap/>
        <w:overflowPunct/>
        <w:topLinePunct w:val="0"/>
        <w:autoSpaceDE/>
        <w:autoSpaceDN/>
        <w:bidi w:val="0"/>
        <w:adjustRightInd/>
        <w:snapToGrid/>
        <w:spacing w:line="560" w:lineRule="exact"/>
        <w:ind w:firstLine="5320" w:firstLineChars="1900"/>
        <w:jc w:val="left"/>
        <w:textAlignment w:val="auto"/>
        <w:outlineLvl w:val="0"/>
        <w:rPr>
          <w:rFonts w:hint="eastAsia" w:ascii="仿宋" w:hAnsi="仿宋" w:eastAsia="仿宋" w:cs="仿宋"/>
          <w:b/>
          <w:sz w:val="28"/>
          <w:szCs w:val="28"/>
          <w:highlight w:val="none"/>
          <w:u w:val="single"/>
        </w:rPr>
      </w:pPr>
      <w:bookmarkStart w:id="26" w:name="_Toc15659"/>
      <w:bookmarkStart w:id="27" w:name="_Toc15996_WPSOffice_Level1"/>
      <w:r>
        <w:rPr>
          <w:rFonts w:hint="eastAsia" w:ascii="仿宋" w:hAnsi="仿宋" w:eastAsia="仿宋" w:cs="仿宋"/>
          <w:sz w:val="28"/>
          <w:szCs w:val="28"/>
          <w:highlight w:val="none"/>
          <w:u w:val="single"/>
        </w:rPr>
        <w:t>合同编号：</w:t>
      </w:r>
      <w:bookmarkEnd w:id="26"/>
      <w:bookmarkEnd w:id="27"/>
    </w:p>
    <w:p w14:paraId="3D16E5DC">
      <w:pPr>
        <w:pStyle w:val="14"/>
        <w:keepNext w:val="0"/>
        <w:keepLines w:val="0"/>
        <w:pageBreakBefore w:val="0"/>
        <w:widowControl w:val="0"/>
        <w:kinsoku/>
        <w:wordWrap/>
        <w:overflowPunct/>
        <w:topLinePunct w:val="0"/>
        <w:autoSpaceDE/>
        <w:autoSpaceDN/>
        <w:bidi w:val="0"/>
        <w:adjustRightInd/>
        <w:snapToGrid/>
        <w:spacing w:line="560" w:lineRule="exact"/>
        <w:ind w:left="50" w:firstLine="560" w:firstLineChars="200"/>
        <w:textAlignment w:val="auto"/>
        <w:rPr>
          <w:rFonts w:hint="eastAsia" w:ascii="仿宋" w:hAnsi="仿宋" w:eastAsia="仿宋" w:cs="仿宋"/>
          <w:kern w:val="0"/>
          <w:sz w:val="28"/>
          <w:szCs w:val="28"/>
          <w:highlight w:val="none"/>
          <w:lang w:val="en-US" w:eastAsia="zh-CN" w:bidi="ar-SA"/>
        </w:rPr>
      </w:pPr>
      <w:bookmarkStart w:id="28" w:name="_Toc28308_WPSOffice_Level1"/>
      <w:r>
        <w:rPr>
          <w:rFonts w:hint="eastAsia" w:ascii="仿宋" w:hAnsi="仿宋" w:eastAsia="仿宋" w:cs="仿宋"/>
          <w:sz w:val="28"/>
          <w:szCs w:val="28"/>
          <w:highlight w:val="none"/>
          <w:lang w:val="en-US" w:eastAsia="zh-CN"/>
        </w:rPr>
        <w:t>甲方为</w:t>
      </w:r>
      <w:r>
        <w:rPr>
          <w:rFonts w:hint="eastAsia" w:ascii="仿宋" w:hAnsi="仿宋" w:eastAsia="仿宋" w:cs="仿宋"/>
          <w:sz w:val="28"/>
          <w:szCs w:val="28"/>
          <w:highlight w:val="none"/>
          <w:u w:val="single"/>
          <w:lang w:val="en-US" w:eastAsia="zh-CN"/>
        </w:rPr>
        <w:t>威海交通场站管理有限公司</w:t>
      </w:r>
      <w:r>
        <w:rPr>
          <w:rFonts w:hint="eastAsia" w:ascii="仿宋" w:hAnsi="仿宋" w:eastAsia="仿宋" w:cs="仿宋"/>
          <w:sz w:val="28"/>
          <w:szCs w:val="28"/>
          <w:highlight w:val="none"/>
          <w:lang w:val="en-US" w:eastAsia="zh-CN"/>
        </w:rPr>
        <w:t>、乙方为</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。本合同各方必须遵守《中华人民共和国民法典》,并各自履行应负的全部责任。</w:t>
      </w:r>
    </w:p>
    <w:p w14:paraId="4906D30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rPr>
        <w:t>一、合同</w:t>
      </w:r>
      <w:r>
        <w:rPr>
          <w:rFonts w:hint="eastAsia" w:ascii="仿宋" w:hAnsi="仿宋" w:eastAsia="仿宋" w:cs="仿宋"/>
          <w:b/>
          <w:sz w:val="28"/>
          <w:szCs w:val="28"/>
          <w:highlight w:val="none"/>
          <w:lang w:val="en-US" w:eastAsia="zh-CN"/>
        </w:rPr>
        <w:t>服务内容</w:t>
      </w:r>
    </w:p>
    <w:p w14:paraId="6A2506C1">
      <w:pPr>
        <w:pStyle w:val="14"/>
        <w:keepNext w:val="0"/>
        <w:keepLines w:val="0"/>
        <w:pageBreakBefore w:val="0"/>
        <w:widowControl w:val="0"/>
        <w:kinsoku/>
        <w:wordWrap/>
        <w:overflowPunct/>
        <w:topLinePunct w:val="0"/>
        <w:autoSpaceDE/>
        <w:autoSpaceDN/>
        <w:bidi w:val="0"/>
        <w:adjustRightInd/>
        <w:snapToGrid/>
        <w:spacing w:line="560" w:lineRule="exact"/>
        <w:ind w:left="5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乙方为甲方提供的客运中心威海站、威海北站消防系统维保服务。包括火灾自动报警系统，消防联动系统(含防排烟系统)，自动喷淋灭火系统，防火分隔设施系统，消防控制主机系统，消防给水系统，消防应急照明与疏散指示系统，电气火灾监控系统，统消防广播系统（含消防电话），消火栓系统（含：室内外消火栓），水泵、稳压泵、控制柜、联动柜等维护保养工作。</w:t>
      </w:r>
    </w:p>
    <w:p w14:paraId="5DEB0A44">
      <w:pPr>
        <w:pStyle w:val="14"/>
        <w:keepNext w:val="0"/>
        <w:keepLines w:val="0"/>
        <w:pageBreakBefore w:val="0"/>
        <w:tabs>
          <w:tab w:val="left" w:pos="60"/>
        </w:tabs>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二、</w:t>
      </w:r>
      <w:r>
        <w:rPr>
          <w:rFonts w:hint="eastAsia" w:ascii="仿宋" w:hAnsi="仿宋" w:eastAsia="仿宋" w:cs="仿宋"/>
          <w:b/>
          <w:sz w:val="28"/>
          <w:szCs w:val="28"/>
          <w:highlight w:val="none"/>
        </w:rPr>
        <w:t>价款：</w:t>
      </w:r>
    </w:p>
    <w:p w14:paraId="4B50BE05">
      <w:pPr>
        <w:pStyle w:val="14"/>
        <w:keepNext w:val="0"/>
        <w:keepLines w:val="0"/>
        <w:pageBreakBefore w:val="0"/>
        <w:tabs>
          <w:tab w:val="left" w:pos="60"/>
        </w:tabs>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本合同总价款为人民币元（￥元）。</w:t>
      </w:r>
    </w:p>
    <w:p w14:paraId="0845EF53">
      <w:pPr>
        <w:pStyle w:val="14"/>
        <w:keepNext w:val="0"/>
        <w:keepLines w:val="0"/>
        <w:pageBreakBefore w:val="0"/>
        <w:tabs>
          <w:tab w:val="left" w:pos="60"/>
        </w:tabs>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rPr>
        <w:t>维护保养建筑名称：</w:t>
      </w:r>
      <w:r>
        <w:rPr>
          <w:rFonts w:hint="eastAsia" w:ascii="仿宋" w:hAnsi="仿宋" w:eastAsia="仿宋" w:cs="仿宋"/>
          <w:bCs/>
          <w:sz w:val="28"/>
          <w:szCs w:val="28"/>
          <w:highlight w:val="none"/>
        </w:rPr>
        <w:t>客运中心威海站、威海北站。</w:t>
      </w:r>
    </w:p>
    <w:p w14:paraId="07EFC652">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lang w:val="en-US" w:eastAsia="zh-CN"/>
        </w:rPr>
        <w:t>四、</w:t>
      </w:r>
      <w:r>
        <w:rPr>
          <w:rFonts w:hint="eastAsia" w:ascii="仿宋" w:hAnsi="仿宋" w:eastAsia="仿宋" w:cs="仿宋"/>
          <w:b/>
          <w:sz w:val="28"/>
          <w:szCs w:val="28"/>
          <w:highlight w:val="none"/>
        </w:rPr>
        <w:t>维护保养范围：</w:t>
      </w:r>
      <w:r>
        <w:rPr>
          <w:rFonts w:hint="eastAsia" w:ascii="仿宋" w:hAnsi="仿宋" w:eastAsia="仿宋" w:cs="仿宋"/>
          <w:sz w:val="28"/>
          <w:szCs w:val="28"/>
          <w:highlight w:val="none"/>
        </w:rPr>
        <w:t xml:space="preserve"> </w:t>
      </w:r>
    </w:p>
    <w:p w14:paraId="0C8B575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1.火灾自动报警系统；</w:t>
      </w:r>
    </w:p>
    <w:p w14:paraId="3F37ED6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2.消防联动系统(含防排烟系统)；</w:t>
      </w:r>
    </w:p>
    <w:p w14:paraId="2A4E57D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3.自动喷淋灭火系统；</w:t>
      </w:r>
    </w:p>
    <w:p w14:paraId="23E276C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4.防火分隔设施系统；</w:t>
      </w:r>
    </w:p>
    <w:p w14:paraId="39A715B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5.消防控制主机系统；</w:t>
      </w:r>
    </w:p>
    <w:p w14:paraId="29E3988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6.消防给水系统；</w:t>
      </w:r>
    </w:p>
    <w:p w14:paraId="16E7307B">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7.消防应急照明与疏散指示系统；</w:t>
      </w:r>
    </w:p>
    <w:p w14:paraId="17EAEA6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8.消防广播系统（含消防电话）；</w:t>
      </w:r>
    </w:p>
    <w:p w14:paraId="4101FAF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9.消火栓系统（含：室内外消火栓，消防水炮）；</w:t>
      </w:r>
    </w:p>
    <w:p w14:paraId="63856B8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10.水泵、稳压泵、控制柜、联动柜；</w:t>
      </w:r>
    </w:p>
    <w:p w14:paraId="7E2DC76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11.电气火灾监控系统；</w:t>
      </w:r>
    </w:p>
    <w:p w14:paraId="45BB97C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12.其他按相关规定标准要求进行定期不定期维保。</w:t>
      </w:r>
    </w:p>
    <w:p w14:paraId="22420929">
      <w:pPr>
        <w:pStyle w:val="14"/>
        <w:keepNext w:val="0"/>
        <w:keepLines w:val="0"/>
        <w:pageBreakBefore w:val="0"/>
        <w:tabs>
          <w:tab w:val="left" w:pos="580"/>
        </w:tabs>
        <w:kinsoku/>
        <w:wordWrap/>
        <w:overflowPunct/>
        <w:topLinePunct w:val="0"/>
        <w:autoSpaceDE/>
        <w:autoSpaceDN/>
        <w:bidi w:val="0"/>
        <w:adjustRightInd/>
        <w:snapToGrid/>
        <w:spacing w:line="560" w:lineRule="exact"/>
        <w:ind w:firstLine="557" w:firstLineChars="198"/>
        <w:jc w:val="lef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五</w:t>
      </w:r>
      <w:r>
        <w:rPr>
          <w:rFonts w:hint="eastAsia" w:ascii="仿宋" w:hAnsi="仿宋" w:eastAsia="仿宋" w:cs="仿宋"/>
          <w:b/>
          <w:sz w:val="28"/>
          <w:szCs w:val="28"/>
          <w:highlight w:val="none"/>
        </w:rPr>
        <w:t>、维护保养期限:</w:t>
      </w:r>
    </w:p>
    <w:p w14:paraId="3EE0592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sz w:val="28"/>
          <w:szCs w:val="28"/>
          <w:highlight w:val="none"/>
        </w:rPr>
        <w:t>自</w:t>
      </w:r>
      <w:r>
        <w:rPr>
          <w:rFonts w:hint="eastAsia" w:ascii="仿宋" w:hAnsi="仿宋" w:eastAsia="仿宋" w:cs="仿宋"/>
          <w:sz w:val="28"/>
          <w:szCs w:val="28"/>
          <w:highlight w:val="none"/>
          <w:lang w:val="en-US" w:eastAsia="zh-CN"/>
        </w:rPr>
        <w:t>XX</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XX</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XX</w:t>
      </w:r>
      <w:r>
        <w:rPr>
          <w:rFonts w:hint="eastAsia" w:ascii="仿宋" w:hAnsi="仿宋" w:eastAsia="仿宋" w:cs="仿宋"/>
          <w:sz w:val="28"/>
          <w:szCs w:val="28"/>
          <w:highlight w:val="none"/>
        </w:rPr>
        <w:t>日零时起至</w:t>
      </w:r>
      <w:r>
        <w:rPr>
          <w:rFonts w:hint="eastAsia" w:ascii="仿宋" w:hAnsi="仿宋" w:eastAsia="仿宋" w:cs="仿宋"/>
          <w:sz w:val="28"/>
          <w:szCs w:val="28"/>
          <w:highlight w:val="none"/>
          <w:lang w:val="en-US" w:eastAsia="zh-CN"/>
        </w:rPr>
        <w:t>XX</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XX</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XX</w:t>
      </w:r>
      <w:r>
        <w:rPr>
          <w:rFonts w:hint="eastAsia" w:ascii="仿宋" w:hAnsi="仿宋" w:eastAsia="仿宋" w:cs="仿宋"/>
          <w:sz w:val="28"/>
          <w:szCs w:val="28"/>
          <w:highlight w:val="none"/>
        </w:rPr>
        <w:t>日24时止。在服务期间，因乙方没有履行</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文件、合同所定义务或因维保技术原因而造成设备损坏、不能安全正常运转的，甲方有权随时终止合同。</w:t>
      </w:r>
    </w:p>
    <w:p w14:paraId="30E926D4">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六</w:t>
      </w:r>
      <w:r>
        <w:rPr>
          <w:rFonts w:hint="eastAsia" w:ascii="仿宋" w:hAnsi="仿宋" w:eastAsia="仿宋" w:cs="仿宋"/>
          <w:b/>
          <w:sz w:val="28"/>
          <w:szCs w:val="28"/>
          <w:highlight w:val="none"/>
        </w:rPr>
        <w:t>、甲方的权利、义务：</w:t>
      </w:r>
    </w:p>
    <w:p w14:paraId="5F1C7C8B">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1.认真遵守有关消防法律、法规和标准规范，明确建筑消防设施的维护管理归口部门、管理人员及其工作职责，建立建筑消防设施值班、检测、维护保养、建档等制度;</w:t>
      </w:r>
    </w:p>
    <w:p w14:paraId="35E1DD8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2.制定消防设施操作规程，明确操作人员。负责消防设施操作的人员通过消防行业特有工种职业技能鉴定，持有初级技能以上等级的职业资格证书，能熟练操作消防设施;</w:t>
      </w:r>
    </w:p>
    <w:p w14:paraId="4ACBA7A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3.消防控制室实行24小时值班制度，且值班人员均通过消防行业特有工种职业技能鉴定，持有初级技能以上等级的职业资格证书;</w:t>
      </w:r>
    </w:p>
    <w:p w14:paraId="5742834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4.按照有关规定对消防设施进行值班检查、巡查、检测;</w:t>
      </w:r>
    </w:p>
    <w:p w14:paraId="2394159D">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5.不应擅自关停消防设施。因故障维修等原因需要暂时停用消防系统的，需经单位消防安全责任人批准，并有确保消防安全的有效措施;</w:t>
      </w:r>
    </w:p>
    <w:p w14:paraId="578B50E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6.按照《消防维保单位考核办法》对乙方的维护工作进行考核，乙方不按规定履行维护保养职责、出具虚假维护保养报告的，甲方有权解除维护保养合同。</w:t>
      </w:r>
    </w:p>
    <w:p w14:paraId="322AC16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7.乙方未按照约定解决或者乙方不能及时解决而给甲方造成不利影响的情况，甲方有权委托其他方进行维护保养，因此发生的费用由乙方承担。</w:t>
      </w:r>
    </w:p>
    <w:p w14:paraId="4DC19B7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8.乙方应当协助甲方制定建筑消防事故应急防范措施和救援预案并定期演练。</w:t>
      </w:r>
    </w:p>
    <w:p w14:paraId="7F2AF704">
      <w:pPr>
        <w:pStyle w:val="14"/>
        <w:keepNext w:val="0"/>
        <w:keepLines w:val="0"/>
        <w:pageBreakBefore w:val="0"/>
        <w:tabs>
          <w:tab w:val="left" w:pos="720"/>
          <w:tab w:val="left" w:pos="900"/>
        </w:tabs>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七</w:t>
      </w:r>
      <w:r>
        <w:rPr>
          <w:rFonts w:hint="eastAsia" w:ascii="仿宋" w:hAnsi="仿宋" w:eastAsia="仿宋" w:cs="仿宋"/>
          <w:b/>
          <w:sz w:val="28"/>
          <w:szCs w:val="28"/>
          <w:highlight w:val="none"/>
        </w:rPr>
        <w:t>、乙方的权利、义务：</w:t>
      </w:r>
    </w:p>
    <w:p w14:paraId="365D70F9">
      <w:pPr>
        <w:keepNext w:val="0"/>
        <w:keepLines w:val="0"/>
        <w:pageBreakBefore w:val="0"/>
        <w:kinsoku/>
        <w:wordWrap/>
        <w:overflowPunct/>
        <w:topLinePunct w:val="0"/>
        <w:autoSpaceDE/>
        <w:autoSpaceDN/>
        <w:bidi w:val="0"/>
        <w:adjustRightInd/>
        <w:snapToGrid/>
        <w:spacing w:line="560" w:lineRule="exact"/>
        <w:ind w:left="298" w:leftChars="142" w:firstLine="280" w:firstLineChars="1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1.满足应急管理部印发的《消防技术服务机构从业条件》文件对消防维保机构的相关要求；</w:t>
      </w:r>
    </w:p>
    <w:p w14:paraId="50A3FB2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2.认真贯彻执行有关消防法律、法规和技术规范，遵守科学和职业道德规范，依法开展建筑消防设施维护保养业务，保证维护保养后的建筑消防设施质量满足相关标准要求;</w:t>
      </w:r>
    </w:p>
    <w:p w14:paraId="23D467EC">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3.制定建筑消防设施维护保养计划，现场进行消防维保人员至少有</w:t>
      </w:r>
      <w:r>
        <w:rPr>
          <w:rFonts w:hint="eastAsia" w:ascii="仿宋" w:hAnsi="仿宋" w:eastAsia="仿宋" w:cs="仿宋"/>
          <w:sz w:val="28"/>
          <w:szCs w:val="28"/>
          <w:highlight w:val="none"/>
        </w:rPr>
        <w:t>一级注册消防工程师一名</w:t>
      </w:r>
      <w:r>
        <w:rPr>
          <w:rFonts w:hint="eastAsia" w:ascii="仿宋" w:hAnsi="仿宋" w:eastAsia="仿宋" w:cs="仿宋"/>
          <w:sz w:val="28"/>
          <w:szCs w:val="28"/>
          <w:highlight w:val="none"/>
        </w:rPr>
        <w:t>，中级操作员两名，每月定期维护保养本合同约定的建筑消防设施，如实出具《建筑消防设施维护保养报告书》，并抄送当地消防救援机构备案;</w:t>
      </w:r>
    </w:p>
    <w:p w14:paraId="11B412D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乙方应保持24小时通讯畅通，若发生故障需要应急处理不受时间限制，即乙方提供365天，24小时全天候应急处理服务，1小时内到现场修复存在问题和故障的消防设施，并承担不及时维护所发生的责任;问题无法及时解决的，在取得甲方同意后，可延期。</w:t>
      </w:r>
    </w:p>
    <w:p w14:paraId="7C93F14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5.维护期间确需暂时停用消防系统的，必须报经甲方消防安全责任人批准;故障排除后要进行相应功能试验并报经甲方消防安全管理人检查确认;维修情况要如实记入《建筑消防设施故障维修记录表》;</w:t>
      </w:r>
    </w:p>
    <w:p w14:paraId="25D30BF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6.对消防设施故障零部件提供临时备件</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确需更换的，向甲方提出建议，并出示更换部件报废证明;</w:t>
      </w:r>
    </w:p>
    <w:p w14:paraId="580E9AA8">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7.对甲方值班检查、巡查或管理人员进行专业技术指导，确保满足消防岗位业务要求。</w:t>
      </w:r>
    </w:p>
    <w:p w14:paraId="67882EF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8.对服务期内，因保养不当所造成的零配件及部件损坏，乙方免费予以更换。</w:t>
      </w:r>
    </w:p>
    <w:p w14:paraId="60281848">
      <w:pPr>
        <w:keepNext w:val="0"/>
        <w:keepLines w:val="0"/>
        <w:pageBreakBefore w:val="0"/>
        <w:kinsoku/>
        <w:wordWrap/>
        <w:overflowPunct/>
        <w:topLinePunct w:val="0"/>
        <w:autoSpaceDE/>
        <w:autoSpaceDN/>
        <w:bidi w:val="0"/>
        <w:adjustRightInd/>
        <w:snapToGrid/>
        <w:spacing w:line="560" w:lineRule="exact"/>
        <w:ind w:firstLine="6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9.根据上级检查和甲方施工改造等需要，随时派技术人员配合甲方工作。</w:t>
      </w:r>
    </w:p>
    <w:p w14:paraId="09936405">
      <w:pPr>
        <w:pStyle w:val="2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560" w:firstLineChars="200"/>
        <w:textAlignment w:val="auto"/>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10.参与维保工作人员必须具有作业人员上岗证书，设专人进行现场监管。拆卸、搬迁和安装过程中，不得损坏其它公共设施及个人财产，文明施工，工完场清。维保施工过程中，正确使用各种操作工具，确保维保施工人员和甲方相关工作人员的人身和财产的安全。</w:t>
      </w:r>
    </w:p>
    <w:p w14:paraId="3563D723">
      <w:pPr>
        <w:pStyle w:val="2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560" w:firstLineChars="200"/>
        <w:textAlignment w:val="auto"/>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11.维保过程中，必须设置必要的防护和警示标志。高空施工必需配戴安帽及安全带。</w:t>
      </w:r>
    </w:p>
    <w:p w14:paraId="7C04037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12.维保期内，若乙方未能及时发现和解决甲方消防系统存在的问题、故障，乙方应承担由此引发的一切责任。</w:t>
      </w:r>
    </w:p>
    <w:p w14:paraId="00837D8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13.消防系统维保服务考核办法见附件。</w:t>
      </w:r>
    </w:p>
    <w:p w14:paraId="30A279DB">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八、</w:t>
      </w:r>
      <w:r>
        <w:rPr>
          <w:rFonts w:hint="eastAsia" w:ascii="仿宋" w:hAnsi="仿宋" w:eastAsia="仿宋" w:cs="仿宋"/>
          <w:b/>
          <w:sz w:val="28"/>
          <w:szCs w:val="28"/>
          <w:highlight w:val="none"/>
        </w:rPr>
        <w:t>付款方式:</w:t>
      </w:r>
    </w:p>
    <w:p w14:paraId="11B4245F">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1.本合同以人民币付款。</w:t>
      </w:r>
    </w:p>
    <w:p w14:paraId="64798A4F">
      <w:pPr>
        <w:pStyle w:val="14"/>
        <w:keepNext w:val="0"/>
        <w:keepLines w:val="0"/>
        <w:pageBreakBefore w:val="0"/>
        <w:tabs>
          <w:tab w:val="left" w:pos="580"/>
        </w:tabs>
        <w:kinsoku/>
        <w:wordWrap/>
        <w:overflowPunct/>
        <w:topLinePunct w:val="0"/>
        <w:autoSpaceDE/>
        <w:autoSpaceDN/>
        <w:bidi w:val="0"/>
        <w:adjustRightInd/>
        <w:snapToGrid/>
        <w:spacing w:line="560" w:lineRule="exact"/>
        <w:ind w:firstLine="554" w:firstLineChars="198"/>
        <w:jc w:val="left"/>
        <w:textAlignment w:val="auto"/>
        <w:rPr>
          <w:rFonts w:hint="eastAsia" w:ascii="仿宋" w:hAnsi="仿宋" w:eastAsia="仿宋" w:cs="仿宋"/>
          <w:kern w:val="2"/>
          <w:sz w:val="28"/>
          <w:szCs w:val="28"/>
          <w:highlight w:val="none"/>
        </w:rPr>
      </w:pPr>
      <w:r>
        <w:rPr>
          <w:rFonts w:hint="eastAsia" w:ascii="仿宋" w:hAnsi="仿宋" w:eastAsia="仿宋" w:cs="仿宋"/>
          <w:sz w:val="28"/>
          <w:szCs w:val="28"/>
          <w:highlight w:val="none"/>
        </w:rPr>
        <w:t>2.</w:t>
      </w:r>
      <w:r>
        <w:rPr>
          <w:rFonts w:hint="eastAsia" w:ascii="仿宋" w:hAnsi="仿宋" w:eastAsia="仿宋" w:cs="仿宋"/>
          <w:kern w:val="2"/>
          <w:sz w:val="28"/>
          <w:szCs w:val="28"/>
          <w:highlight w:val="none"/>
        </w:rPr>
        <w:t>合同签订后按季度支付，下一季度第一个月支付上一季度费用。第一季度甲方暂扣乙方</w:t>
      </w:r>
      <w:r>
        <w:rPr>
          <w:rFonts w:hint="eastAsia" w:ascii="仿宋" w:hAnsi="仿宋" w:eastAsia="仿宋" w:cs="仿宋"/>
          <w:kern w:val="2"/>
          <w:sz w:val="28"/>
          <w:szCs w:val="28"/>
          <w:highlight w:val="none"/>
          <w:lang w:val="en-US" w:eastAsia="zh-CN"/>
        </w:rPr>
        <w:t>年度费用</w:t>
      </w:r>
      <w:r>
        <w:rPr>
          <w:rFonts w:hint="eastAsia" w:ascii="仿宋" w:hAnsi="仿宋" w:eastAsia="仿宋" w:cs="仿宋"/>
          <w:kern w:val="2"/>
          <w:sz w:val="28"/>
          <w:szCs w:val="28"/>
          <w:highlight w:val="none"/>
          <w:lang w:val="en-US" w:eastAsia="zh-CN"/>
        </w:rPr>
        <w:t>10</w:t>
      </w:r>
      <w:r>
        <w:rPr>
          <w:rFonts w:hint="eastAsia" w:ascii="仿宋" w:hAnsi="仿宋" w:eastAsia="仿宋" w:cs="仿宋"/>
          <w:kern w:val="2"/>
          <w:sz w:val="28"/>
          <w:szCs w:val="28"/>
          <w:highlight w:val="none"/>
        </w:rPr>
        <w:t>%</w:t>
      </w:r>
      <w:r>
        <w:rPr>
          <w:rFonts w:hint="eastAsia" w:ascii="仿宋" w:hAnsi="仿宋" w:eastAsia="仿宋" w:cs="仿宋"/>
          <w:kern w:val="2"/>
          <w:sz w:val="28"/>
          <w:szCs w:val="28"/>
          <w:highlight w:val="none"/>
          <w:lang w:val="en-US" w:eastAsia="zh-CN"/>
        </w:rPr>
        <w:t>的</w:t>
      </w:r>
      <w:r>
        <w:rPr>
          <w:rFonts w:hint="eastAsia" w:ascii="仿宋" w:hAnsi="仿宋" w:eastAsia="仿宋" w:cs="仿宋"/>
          <w:kern w:val="2"/>
          <w:sz w:val="28"/>
          <w:szCs w:val="28"/>
          <w:highlight w:val="none"/>
        </w:rPr>
        <w:t>保证金，如未出现违反合同、未有考核</w:t>
      </w:r>
      <w:r>
        <w:rPr>
          <w:rFonts w:hint="eastAsia" w:ascii="仿宋" w:hAnsi="仿宋" w:eastAsia="仿宋" w:cs="仿宋"/>
          <w:color w:val="auto"/>
          <w:sz w:val="28"/>
          <w:szCs w:val="28"/>
          <w:highlight w:val="none"/>
          <w:lang w:val="en-US" w:eastAsia="zh-CN"/>
        </w:rPr>
        <w:t>扣除</w:t>
      </w:r>
      <w:r>
        <w:rPr>
          <w:rFonts w:hint="eastAsia" w:ascii="仿宋" w:hAnsi="仿宋" w:eastAsia="仿宋" w:cs="仿宋"/>
          <w:kern w:val="2"/>
          <w:sz w:val="28"/>
          <w:szCs w:val="28"/>
          <w:highlight w:val="none"/>
        </w:rPr>
        <w:t>的情况，在支付第四季度款项时，甲方将保证金无息返还乙方。如遇休息日或节假日，结算日期顺延。甲方付费前乙方必须提交相应金额的发票。</w:t>
      </w:r>
    </w:p>
    <w:p w14:paraId="5DDCA078">
      <w:pPr>
        <w:pStyle w:val="14"/>
        <w:keepNext w:val="0"/>
        <w:keepLines w:val="0"/>
        <w:pageBreakBefore w:val="0"/>
        <w:tabs>
          <w:tab w:val="left" w:pos="580"/>
        </w:tabs>
        <w:kinsoku/>
        <w:wordWrap/>
        <w:overflowPunct/>
        <w:topLinePunct w:val="0"/>
        <w:autoSpaceDE/>
        <w:autoSpaceDN/>
        <w:bidi w:val="0"/>
        <w:adjustRightInd/>
        <w:snapToGrid/>
        <w:spacing w:line="560" w:lineRule="exact"/>
        <w:ind w:firstLine="554" w:firstLineChars="198"/>
        <w:jc w:val="left"/>
        <w:textAlignment w:val="auto"/>
        <w:rPr>
          <w:rFonts w:hint="eastAsia" w:ascii="仿宋" w:hAnsi="仿宋" w:eastAsia="仿宋" w:cs="仿宋"/>
          <w:kern w:val="2"/>
          <w:sz w:val="28"/>
          <w:szCs w:val="28"/>
          <w:highlight w:val="none"/>
        </w:rPr>
      </w:pPr>
      <w:r>
        <w:rPr>
          <w:rFonts w:hint="eastAsia" w:ascii="仿宋" w:hAnsi="仿宋" w:eastAsia="仿宋" w:cs="仿宋"/>
          <w:kern w:val="2"/>
          <w:sz w:val="28"/>
          <w:szCs w:val="28"/>
          <w:highlight w:val="none"/>
        </w:rPr>
        <w:t>特别约定：由于目前资金紧张，待财政资金到位后再由甲方根据实际情况支付上述费用，乙方不得因此停止或不适当履行合同义务，在双方没有就付款时间达成一致前，乙方不得追究甲方延迟付款的违约责任。</w:t>
      </w:r>
    </w:p>
    <w:p w14:paraId="2866F9F7">
      <w:pPr>
        <w:pStyle w:val="14"/>
        <w:keepNext w:val="0"/>
        <w:keepLines w:val="0"/>
        <w:pageBreakBefore w:val="0"/>
        <w:tabs>
          <w:tab w:val="left" w:pos="580"/>
        </w:tabs>
        <w:kinsoku/>
        <w:wordWrap/>
        <w:overflowPunct/>
        <w:topLinePunct w:val="0"/>
        <w:autoSpaceDE/>
        <w:autoSpaceDN/>
        <w:bidi w:val="0"/>
        <w:adjustRightInd/>
        <w:snapToGrid/>
        <w:spacing w:line="560" w:lineRule="exact"/>
        <w:ind w:firstLine="554" w:firstLineChars="198"/>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3.付款按以下资信办理</w:t>
      </w:r>
    </w:p>
    <w:p w14:paraId="136A9796">
      <w:pPr>
        <w:pStyle w:val="14"/>
        <w:keepNext w:val="0"/>
        <w:keepLines w:val="0"/>
        <w:pageBreakBefore w:val="0"/>
        <w:tabs>
          <w:tab w:val="left" w:pos="1040"/>
        </w:tabs>
        <w:kinsoku/>
        <w:wordWrap/>
        <w:overflowPunct/>
        <w:topLinePunct w:val="0"/>
        <w:autoSpaceDE/>
        <w:autoSpaceDN/>
        <w:bidi w:val="0"/>
        <w:adjustRightInd/>
        <w:snapToGrid/>
        <w:spacing w:line="560" w:lineRule="exact"/>
        <w:ind w:left="50" w:leftChars="24" w:firstLine="1209" w:firstLineChars="432"/>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收 款 人：</w:t>
      </w:r>
    </w:p>
    <w:p w14:paraId="49DBED38">
      <w:pPr>
        <w:pStyle w:val="14"/>
        <w:keepNext w:val="0"/>
        <w:keepLines w:val="0"/>
        <w:pageBreakBefore w:val="0"/>
        <w:tabs>
          <w:tab w:val="left" w:pos="1040"/>
        </w:tabs>
        <w:kinsoku/>
        <w:wordWrap/>
        <w:overflowPunct/>
        <w:topLinePunct w:val="0"/>
        <w:autoSpaceDE/>
        <w:autoSpaceDN/>
        <w:bidi w:val="0"/>
        <w:adjustRightInd/>
        <w:snapToGrid/>
        <w:spacing w:line="560" w:lineRule="exact"/>
        <w:ind w:left="50" w:leftChars="24" w:firstLine="1209" w:firstLineChars="432"/>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开户银行：</w:t>
      </w:r>
    </w:p>
    <w:p w14:paraId="5B07A8DD">
      <w:pPr>
        <w:pStyle w:val="14"/>
        <w:keepNext w:val="0"/>
        <w:keepLines w:val="0"/>
        <w:pageBreakBefore w:val="0"/>
        <w:tabs>
          <w:tab w:val="left" w:pos="1040"/>
        </w:tabs>
        <w:kinsoku/>
        <w:wordWrap/>
        <w:overflowPunct/>
        <w:topLinePunct w:val="0"/>
        <w:autoSpaceDE/>
        <w:autoSpaceDN/>
        <w:bidi w:val="0"/>
        <w:adjustRightInd/>
        <w:snapToGrid/>
        <w:spacing w:line="560" w:lineRule="exact"/>
        <w:ind w:left="50" w:leftChars="24" w:firstLine="1209" w:firstLineChars="432"/>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银行账号：</w:t>
      </w:r>
    </w:p>
    <w:p w14:paraId="7CE5066D">
      <w:pPr>
        <w:pStyle w:val="14"/>
        <w:keepNext w:val="0"/>
        <w:keepLines w:val="0"/>
        <w:pageBreakBefore w:val="0"/>
        <w:tabs>
          <w:tab w:val="left" w:pos="1040"/>
        </w:tabs>
        <w:kinsoku/>
        <w:wordWrap/>
        <w:overflowPunct/>
        <w:topLinePunct w:val="0"/>
        <w:autoSpaceDE/>
        <w:autoSpaceDN/>
        <w:bidi w:val="0"/>
        <w:adjustRightInd/>
        <w:snapToGrid/>
        <w:spacing w:line="560" w:lineRule="exact"/>
        <w:ind w:left="53" w:leftChars="25" w:firstLine="1206" w:firstLineChars="431"/>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联 系 人：</w:t>
      </w:r>
    </w:p>
    <w:p w14:paraId="4B4720F6">
      <w:pPr>
        <w:pStyle w:val="14"/>
        <w:keepNext w:val="0"/>
        <w:keepLines w:val="0"/>
        <w:pageBreakBefore w:val="0"/>
        <w:tabs>
          <w:tab w:val="left" w:pos="1040"/>
        </w:tabs>
        <w:kinsoku/>
        <w:wordWrap/>
        <w:overflowPunct/>
        <w:topLinePunct w:val="0"/>
        <w:autoSpaceDE/>
        <w:autoSpaceDN/>
        <w:bidi w:val="0"/>
        <w:adjustRightInd/>
        <w:snapToGrid/>
        <w:spacing w:line="560" w:lineRule="exact"/>
        <w:ind w:left="53" w:leftChars="25" w:firstLine="1206" w:firstLineChars="431"/>
        <w:jc w:val="lef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联系电话：</w:t>
      </w:r>
    </w:p>
    <w:p w14:paraId="72B42F7F">
      <w:pPr>
        <w:keepNext w:val="0"/>
        <w:keepLines w:val="0"/>
        <w:pageBreakBefore w:val="0"/>
        <w:numPr>
          <w:ilvl w:val="0"/>
          <w:numId w:val="0"/>
        </w:numPr>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九、</w:t>
      </w:r>
      <w:r>
        <w:rPr>
          <w:rFonts w:hint="eastAsia" w:ascii="仿宋" w:hAnsi="仿宋" w:eastAsia="仿宋" w:cs="仿宋"/>
          <w:b/>
          <w:sz w:val="28"/>
          <w:szCs w:val="28"/>
          <w:highlight w:val="none"/>
        </w:rPr>
        <w:t>违约责任:</w:t>
      </w:r>
    </w:p>
    <w:p w14:paraId="65E8CC2B">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1.甲方不按时支付维保费用，乙方有权解除合同。</w:t>
      </w:r>
    </w:p>
    <w:p w14:paraId="56E8E234">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乙方的维护保养工作不符合合同约定的维护保养标准或者要求的，或者乙方接到通知未及时抵达现场的，乙方除应当返工或排除障碍外，每发生一次还应按照总维保费的2%支付违约金并赔偿损失。因乙方维护保养不到位造成的损失或事故由乙方完全负责。</w:t>
      </w:r>
    </w:p>
    <w:p w14:paraId="3CDCE22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3.乙方在维修保养、检查测试中弄虚作假或严重不负责任的，甲方有权解除维修保养合同。</w:t>
      </w:r>
    </w:p>
    <w:p w14:paraId="7360544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4.维护保养期内，若因乙方自身原因而提前解除合同的，乙方应返还甲方剩余维保费用，并承担因此对甲方造成的损失。</w:t>
      </w:r>
    </w:p>
    <w:p w14:paraId="3868353B">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sz w:val="28"/>
          <w:szCs w:val="28"/>
          <w:highlight w:val="none"/>
        </w:rPr>
        <w:t>十、双方协商的其他事项:</w:t>
      </w:r>
    </w:p>
    <w:p w14:paraId="7B0BBFD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1.以上费用不包括建筑消防设施及其配件的更换、法定检测以及火灾探测器的清洗费用，维修及更换配件不收取人工费用。</w:t>
      </w:r>
    </w:p>
    <w:p w14:paraId="61964FB7">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2.每月的《建筑消防设施维护保养报告书》应有甲方专业技术人员签字确认后盖章。</w:t>
      </w:r>
    </w:p>
    <w:p w14:paraId="73C5E005">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3.合同签订后将对消防系统进行检测试验，如需整改由甲方担所有费用。</w:t>
      </w:r>
    </w:p>
    <w:p w14:paraId="565FFC8E">
      <w:pPr>
        <w:pStyle w:val="25"/>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560" w:firstLineChars="200"/>
        <w:textAlignment w:val="auto"/>
        <w:rPr>
          <w:rFonts w:hint="eastAsia" w:ascii="仿宋" w:hAnsi="仿宋" w:eastAsia="仿宋" w:cs="仿宋"/>
          <w:color w:val="auto"/>
          <w:kern w:val="2"/>
          <w:sz w:val="28"/>
          <w:szCs w:val="28"/>
          <w:highlight w:val="none"/>
        </w:rPr>
      </w:pPr>
      <w:r>
        <w:rPr>
          <w:rFonts w:hint="eastAsia" w:ascii="仿宋" w:hAnsi="仿宋" w:eastAsia="仿宋" w:cs="仿宋"/>
          <w:color w:val="auto"/>
          <w:sz w:val="28"/>
          <w:szCs w:val="28"/>
          <w:highlight w:val="none"/>
        </w:rPr>
        <w:t>4.乙方应负责为所属维保员工购买相关安全保险，以确保安全作业，因检修、维保造成的相关人身伤等安全事故由乙方负责、与甲方无关。</w:t>
      </w:r>
      <w:r>
        <w:rPr>
          <w:rFonts w:hint="eastAsia" w:ascii="仿宋" w:hAnsi="仿宋" w:eastAsia="仿宋" w:cs="仿宋"/>
          <w:color w:val="auto"/>
          <w:kern w:val="2"/>
          <w:sz w:val="28"/>
          <w:szCs w:val="28"/>
          <w:highlight w:val="none"/>
        </w:rPr>
        <w:t>但维保施工中违规造成甲方相关工作人员的人身和财产损害和损失的。将由维保单位承担一切经济和法律责任。</w:t>
      </w:r>
    </w:p>
    <w:p w14:paraId="57C7C66A">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、争议解决：</w:t>
      </w:r>
    </w:p>
    <w:p w14:paraId="487483E3">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1.合同各方应通过友好协商，解决执行本合同中所发生的或与本合同有关的一切争议，如协商不成，可向合同签约地的人民法院提起诉讼，诉讼费用包括律师费全部由败诉方承担。</w:t>
      </w:r>
    </w:p>
    <w:p w14:paraId="6E3728B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2.在诉讼期间，本合同无争议的部分应继续执行。</w:t>
      </w:r>
    </w:p>
    <w:p w14:paraId="78CB8005">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二</w:t>
      </w:r>
      <w:r>
        <w:rPr>
          <w:rFonts w:hint="eastAsia" w:ascii="仿宋" w:hAnsi="仿宋" w:eastAsia="仿宋" w:cs="仿宋"/>
          <w:b/>
          <w:bCs/>
          <w:sz w:val="28"/>
          <w:szCs w:val="28"/>
          <w:highlight w:val="none"/>
        </w:rPr>
        <w:t>、合同生效：</w:t>
      </w:r>
    </w:p>
    <w:p w14:paraId="7E0AF442">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本合同由各方加盖公章或合同章后生效。</w:t>
      </w:r>
      <w:r>
        <w:rPr>
          <w:rFonts w:hint="eastAsia" w:ascii="仿宋" w:hAnsi="仿宋" w:eastAsia="仿宋" w:cs="仿宋"/>
          <w:sz w:val="28"/>
          <w:szCs w:val="28"/>
          <w:highlight w:val="none"/>
          <w:lang w:val="en-US" w:eastAsia="zh-CN"/>
        </w:rPr>
        <w:t>本合同包含附件一《消防系统维保服务考核办法》、附件二《</w:t>
      </w:r>
      <w:r>
        <w:rPr>
          <w:rFonts w:hint="eastAsia" w:ascii="仿宋" w:hAnsi="仿宋" w:eastAsia="仿宋" w:cs="仿宋"/>
          <w:sz w:val="28"/>
          <w:szCs w:val="28"/>
          <w:highlight w:val="none"/>
          <w:lang w:val="en-US" w:eastAsia="zh-CN"/>
        </w:rPr>
        <w:t>外来施工单位安全管理协议</w:t>
      </w:r>
      <w:r>
        <w:rPr>
          <w:rFonts w:hint="eastAsia" w:ascii="仿宋" w:hAnsi="仿宋" w:eastAsia="仿宋" w:cs="仿宋"/>
          <w:sz w:val="28"/>
          <w:szCs w:val="28"/>
          <w:highlight w:val="none"/>
          <w:lang w:val="en-US" w:eastAsia="zh-CN"/>
        </w:rPr>
        <w:t>》、附件三《消防维保日常考核情况表》。</w:t>
      </w:r>
    </w:p>
    <w:p w14:paraId="37B7FC84">
      <w:pPr>
        <w:keepNext w:val="0"/>
        <w:keepLines w:val="0"/>
        <w:pageBreakBefore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sz w:val="28"/>
          <w:szCs w:val="28"/>
          <w:highlight w:val="none"/>
        </w:rPr>
      </w:pPr>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rPr>
        <w:t>、签约地点：</w:t>
      </w:r>
      <w:r>
        <w:rPr>
          <w:rFonts w:hint="eastAsia" w:ascii="仿宋" w:hAnsi="仿宋" w:eastAsia="仿宋" w:cs="仿宋"/>
          <w:sz w:val="28"/>
          <w:szCs w:val="28"/>
          <w:highlight w:val="none"/>
        </w:rPr>
        <w:t>山东省威海市。</w:t>
      </w:r>
    </w:p>
    <w:p w14:paraId="78F18781">
      <w:pPr>
        <w:pStyle w:val="14"/>
        <w:keepNext w:val="0"/>
        <w:keepLines w:val="0"/>
        <w:pageBreakBefore w:val="0"/>
        <w:kinsoku/>
        <w:wordWrap/>
        <w:overflowPunct/>
        <w:topLinePunct w:val="0"/>
        <w:autoSpaceDE/>
        <w:autoSpaceDN/>
        <w:bidi w:val="0"/>
        <w:adjustRightInd/>
        <w:snapToGrid/>
        <w:spacing w:line="560" w:lineRule="exact"/>
        <w:ind w:left="5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甲方: 威海交通场站管理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乙方: </w:t>
      </w:r>
    </w:p>
    <w:p w14:paraId="2EBEBC37">
      <w:pPr>
        <w:pStyle w:val="14"/>
        <w:keepNext w:val="0"/>
        <w:keepLines w:val="0"/>
        <w:pageBreakBefore w:val="0"/>
        <w:tabs>
          <w:tab w:val="left" w:pos="6200"/>
        </w:tabs>
        <w:kinsoku/>
        <w:wordWrap/>
        <w:overflowPunct/>
        <w:topLinePunct w:val="0"/>
        <w:autoSpaceDE/>
        <w:autoSpaceDN/>
        <w:bidi w:val="0"/>
        <w:adjustRightInd/>
        <w:snapToGrid/>
        <w:spacing w:line="560" w:lineRule="exact"/>
        <w:ind w:left="5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有限公司</w:t>
      </w:r>
    </w:p>
    <w:p w14:paraId="5124DB8A">
      <w:pPr>
        <w:pStyle w:val="14"/>
        <w:keepNext w:val="0"/>
        <w:keepLines w:val="0"/>
        <w:pageBreakBefore w:val="0"/>
        <w:tabs>
          <w:tab w:val="left" w:pos="6200"/>
        </w:tabs>
        <w:kinsoku/>
        <w:wordWrap/>
        <w:overflowPunct/>
        <w:topLinePunct w:val="0"/>
        <w:autoSpaceDE/>
        <w:autoSpaceDN/>
        <w:bidi w:val="0"/>
        <w:adjustRightInd/>
        <w:snapToGrid/>
        <w:spacing w:line="560" w:lineRule="exact"/>
        <w:ind w:left="5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地址：</w:t>
      </w:r>
    </w:p>
    <w:p w14:paraId="3139282B">
      <w:pPr>
        <w:pStyle w:val="14"/>
        <w:keepNext w:val="0"/>
        <w:keepLines w:val="0"/>
        <w:pageBreakBefore w:val="0"/>
        <w:tabs>
          <w:tab w:val="left" w:pos="6200"/>
        </w:tabs>
        <w:kinsoku/>
        <w:wordWrap/>
        <w:overflowPunct/>
        <w:topLinePunct w:val="0"/>
        <w:autoSpaceDE/>
        <w:autoSpaceDN/>
        <w:bidi w:val="0"/>
        <w:adjustRightInd/>
        <w:snapToGrid/>
        <w:spacing w:line="560" w:lineRule="exact"/>
        <w:ind w:left="50" w:leftChars="24" w:firstLine="4760" w:firstLineChars="1700"/>
        <w:textAlignment w:val="auto"/>
        <w:rPr>
          <w:rFonts w:hint="eastAsia" w:ascii="仿宋" w:hAnsi="仿宋" w:eastAsia="仿宋" w:cs="仿宋"/>
          <w:sz w:val="28"/>
          <w:szCs w:val="28"/>
          <w:highlight w:val="none"/>
        </w:rPr>
      </w:pPr>
    </w:p>
    <w:p w14:paraId="540183D4">
      <w:pPr>
        <w:pStyle w:val="14"/>
        <w:keepNext w:val="0"/>
        <w:keepLines w:val="0"/>
        <w:pageBreakBefore w:val="0"/>
        <w:tabs>
          <w:tab w:val="left" w:pos="6200"/>
        </w:tabs>
        <w:kinsoku/>
        <w:wordWrap/>
        <w:overflowPunct/>
        <w:topLinePunct w:val="0"/>
        <w:autoSpaceDE/>
        <w:autoSpaceDN/>
        <w:bidi w:val="0"/>
        <w:adjustRightInd/>
        <w:snapToGrid/>
        <w:spacing w:line="560" w:lineRule="exact"/>
        <w:ind w:left="50" w:firstLine="560" w:firstLineChars="200"/>
        <w:textAlignment w:val="auto"/>
        <w:rPr>
          <w:rFonts w:hint="eastAsia" w:ascii="仿宋" w:hAnsi="仿宋" w:eastAsia="仿宋" w:cs="仿宋"/>
          <w:sz w:val="28"/>
          <w:szCs w:val="28"/>
          <w:highlight w:val="none"/>
        </w:rPr>
      </w:pPr>
    </w:p>
    <w:p w14:paraId="0A6D7899">
      <w:pPr>
        <w:pStyle w:val="14"/>
        <w:keepNext w:val="0"/>
        <w:keepLines w:val="0"/>
        <w:pageBreakBefore w:val="0"/>
        <w:tabs>
          <w:tab w:val="left" w:pos="6200"/>
        </w:tabs>
        <w:kinsoku/>
        <w:wordWrap/>
        <w:overflowPunct/>
        <w:topLinePunct w:val="0"/>
        <w:autoSpaceDE/>
        <w:autoSpaceDN/>
        <w:bidi w:val="0"/>
        <w:adjustRightInd/>
        <w:snapToGrid/>
        <w:spacing w:line="560" w:lineRule="exact"/>
        <w:ind w:left="50" w:leftChars="24"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单位盖章:                   单位盖章:</w:t>
      </w:r>
    </w:p>
    <w:p w14:paraId="290473D9">
      <w:pPr>
        <w:pStyle w:val="14"/>
        <w:keepNext w:val="0"/>
        <w:keepLines w:val="0"/>
        <w:pageBreakBefore w:val="0"/>
        <w:kinsoku/>
        <w:wordWrap/>
        <w:overflowPunct/>
        <w:topLinePunct w:val="0"/>
        <w:autoSpaceDE/>
        <w:autoSpaceDN/>
        <w:bidi w:val="0"/>
        <w:adjustRightInd/>
        <w:snapToGrid/>
        <w:spacing w:line="560" w:lineRule="exact"/>
        <w:ind w:left="50" w:leftChars="24" w:firstLine="560" w:firstLineChars="200"/>
        <w:textAlignment w:val="auto"/>
        <w:rPr>
          <w:rFonts w:hint="eastAsia" w:ascii="仿宋" w:hAnsi="仿宋" w:eastAsia="仿宋" w:cs="仿宋"/>
          <w:sz w:val="28"/>
          <w:szCs w:val="28"/>
          <w:highlight w:val="none"/>
        </w:rPr>
      </w:pPr>
    </w:p>
    <w:p w14:paraId="49AF3723">
      <w:pPr>
        <w:pStyle w:val="14"/>
        <w:keepNext w:val="0"/>
        <w:keepLines w:val="0"/>
        <w:pageBreakBefore w:val="0"/>
        <w:kinsoku/>
        <w:wordWrap/>
        <w:overflowPunct/>
        <w:topLinePunct w:val="0"/>
        <w:autoSpaceDE/>
        <w:autoSpaceDN/>
        <w:bidi w:val="0"/>
        <w:adjustRightInd/>
        <w:snapToGrid/>
        <w:spacing w:line="560" w:lineRule="exact"/>
        <w:ind w:left="50" w:leftChars="24"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代表签字:                   代表签字:</w:t>
      </w:r>
    </w:p>
    <w:bookmarkEnd w:id="28"/>
    <w:p w14:paraId="480B953D">
      <w:pPr>
        <w:keepNext w:val="0"/>
        <w:keepLines w:val="0"/>
        <w:pageBreakBefore w:val="0"/>
        <w:kinsoku/>
        <w:wordWrap/>
        <w:overflowPunct/>
        <w:topLinePunct w:val="0"/>
        <w:autoSpaceDE/>
        <w:autoSpaceDN/>
        <w:bidi w:val="0"/>
        <w:adjustRightInd/>
        <w:snapToGrid/>
        <w:spacing w:line="560" w:lineRule="exact"/>
        <w:ind w:left="50" w:leftChars="24" w:firstLine="560" w:firstLineChars="200"/>
        <w:textAlignment w:val="auto"/>
        <w:rPr>
          <w:rFonts w:hint="eastAsia" w:ascii="仿宋" w:hAnsi="仿宋" w:eastAsia="仿宋" w:cs="仿宋"/>
          <w:sz w:val="28"/>
          <w:szCs w:val="28"/>
          <w:highlight w:val="none"/>
        </w:rPr>
      </w:pPr>
    </w:p>
    <w:p w14:paraId="5390CD6C">
      <w:pPr>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p>
    <w:p w14:paraId="7B7BBD6D">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p>
    <w:p w14:paraId="2CE3E33F">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p>
    <w:p w14:paraId="5B1ACA25">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p>
    <w:p w14:paraId="01356C79">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p>
    <w:p w14:paraId="641FB8DA">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p>
    <w:p w14:paraId="6585F916">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p>
    <w:p w14:paraId="27469065">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p>
    <w:p w14:paraId="54A50ACA">
      <w:pPr>
        <w:pStyle w:val="7"/>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z w:val="28"/>
          <w:szCs w:val="28"/>
          <w:highlight w:val="none"/>
        </w:rPr>
      </w:pPr>
    </w:p>
    <w:p w14:paraId="6CA862A5">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附件一 </w:t>
      </w:r>
    </w:p>
    <w:p w14:paraId="0BDF9DF3">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消防系统维保服务考核办法</w:t>
      </w:r>
    </w:p>
    <w:p w14:paraId="2226E01A">
      <w:pPr>
        <w:keepNext w:val="0"/>
        <w:keepLines w:val="0"/>
        <w:pageBreakBefore w:val="0"/>
        <w:widowControl/>
        <w:numPr>
          <w:ilvl w:val="0"/>
          <w:numId w:val="3"/>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将 10%年度维保费用作为质量保证金，甲方将根据本年度乙方工作情况决定此项费用支付情况。质量保证金扣除完毕，即视为因乙方原因解除合同。</w:t>
      </w:r>
    </w:p>
    <w:p w14:paraId="3D769441">
      <w:pPr>
        <w:keepNext w:val="0"/>
        <w:keepLines w:val="0"/>
        <w:pageBreakBefore w:val="0"/>
        <w:widowControl/>
        <w:numPr>
          <w:ilvl w:val="0"/>
          <w:numId w:val="3"/>
        </w:numPr>
        <w:suppressLineNumbers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本条款中提到的考核均从质量保证金中扣除：</w:t>
      </w:r>
    </w:p>
    <w:p w14:paraId="7844D0F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1.乙方应确保维保电话 24 小时畅通，连续拨打 3 次无法接通的，每次考核乙方 1000 元；因无法联系到维保人员影响设施设备正常运行的，每次考核乙方 2000 元。</w:t>
      </w:r>
    </w:p>
    <w:p w14:paraId="665BC4A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2.维保人员接到报修后，应在 1 小时内到达现场。如因客观原因无法到达现场，需及时通知甲方告知具体情况，并及时派遣其他维保人员到场进行维修。因客观原因无法到场时，未安排其他维保人员到场维修且未向甲方说明情况的，每次考核乙方 500 元。</w:t>
      </w:r>
    </w:p>
    <w:p w14:paraId="27D8298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3.派遣维保人员应与投标文件中维保人员一致，人员更换时，需具有相同资质，并向甲方提供相关证明，违者考核 500 元并责令提供相关资质证明或更换为具有维保资质的人员；无法提供证明或拒不更换维保人员，即视为因乙方原因解除合同。</w:t>
      </w:r>
    </w:p>
    <w:p w14:paraId="174317F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禁止乙方将项目交由第三方负责，如确实需要第三方进行施工，需向甲方进行报备，审核通过后，甲、乙方共同对第三方施工情况进行监督，乙方对第三方施工质量负责。未经允许交第三方施工的，每次考核乙方 1000 元，第三方施工不过关的，考核乙方 2000 元并责令重新施工。</w:t>
      </w:r>
    </w:p>
    <w:p w14:paraId="7ABE4130">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5.维保项目应符合维保合同约定，如有违反考核 2000 元。</w:t>
      </w:r>
    </w:p>
    <w:p w14:paraId="569CB3F5">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6.月度维保应对所有需月度抽检的维保项目进行抽检，且单项数量不得少于全部设备数量的 8.5%，违者考核 1000 元。</w:t>
      </w:r>
    </w:p>
    <w:p w14:paraId="080D9D2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7.现场施工时，如有下列施工内容的，必须按照甲方的规定办理相关手续方可进行施工。对不按规定执行的，每次考核乙方 1000 元。</w:t>
      </w:r>
    </w:p>
    <w:p w14:paraId="043D553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（1）动火作业需向两站安全设备处申请并填写操作票，安全设备处主任上报站长，经批准后方可动火；原则上营业时间对旅客开放区域不得进行动火作业。</w:t>
      </w:r>
    </w:p>
    <w:p w14:paraId="57F31629">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（2）夜间施工需向两站申请，经批准后方可进行，安全设备处夜间值班人员负责现场监督。</w:t>
      </w:r>
    </w:p>
    <w:p w14:paraId="6B4B17E1">
      <w:pPr>
        <w:keepNext w:val="0"/>
        <w:keepLines w:val="0"/>
        <w:pageBreakBefore w:val="0"/>
        <w:widowControl/>
        <w:numPr>
          <w:ilvl w:val="0"/>
          <w:numId w:val="4"/>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高空作业需向两站安全设备处申请并填写操作票，两人以上同时进行，其中至少一人看护，使用安全的作业平台（梯子、升降车等），配备安全带等安全防护装备。</w:t>
      </w:r>
    </w:p>
    <w:p w14:paraId="4B26D44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（4）多工种上下层交叉作业时，必须合理安排施工顺序并采取可靠的安全兼顾措施，以防发生事故。</w:t>
      </w:r>
    </w:p>
    <w:p w14:paraId="1CBE8F1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8.维修方案应与甲方进行沟通，审核通过后方可进行。未告知维修方案的，每次考核乙方 1000 元且由乙方承担维修所需费用，责令停止施工并重新审定方案，以审定通过后的方案进行维保。</w:t>
      </w:r>
    </w:p>
    <w:p w14:paraId="22FAF020">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9.更换零件时如需更改原有设计，需向甲方申请通过后方可进行。未经批准擅自变更原有设计的，每次考核乙方 1000 元并限期恢复原设计。</w:t>
      </w:r>
    </w:p>
    <w:p w14:paraId="6338DF0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10.临时用电、用水等需向甲方申请，经批准后，从指定位置取电、取水，接线应符合安全规范要求，取水不得造成积水，原则上不得影响正常用电、用水，违者考核乙方 500 元。</w:t>
      </w:r>
    </w:p>
    <w:p w14:paraId="743E08FC">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11.维保结束后需清理施工现场，危险品、易燃品应收放至安全可靠处，熄火断电，并清除现场的可燃生活垃圾、建筑垃圾，确保无安全隐患。违者考核乙方 500 元。</w:t>
      </w:r>
    </w:p>
    <w:p w14:paraId="1B32158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12.验收发现维保、施工过程中损坏现有设施设备，考核乙方 1000元，并责令对损坏设施设备进行维修或免费更换。</w:t>
      </w:r>
    </w:p>
    <w:p w14:paraId="48FA4F6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13.维保完毕后由甲方验收，如验收不通过，责令乙方重新维保、施工，若再次验收不通过，考核乙方 1000 元。</w:t>
      </w:r>
    </w:p>
    <w:p w14:paraId="166CF9A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14.如甲方或上级部门检查发现问题原因为乙方造成的，考核乙方2000 元并责令限期整改。</w:t>
      </w:r>
    </w:p>
    <w:p w14:paraId="3FD535A1">
      <w:pPr>
        <w:keepNext w:val="0"/>
        <w:keepLines w:val="0"/>
        <w:pageBreakBefore w:val="0"/>
        <w:widowControl/>
        <w:numPr>
          <w:ilvl w:val="0"/>
          <w:numId w:val="3"/>
        </w:numPr>
        <w:suppressLineNumbers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乙方的维护保养工作不符合合同约定的维护保养标准或者要求的，或者乙方接到通知未及时抵达现场的，乙方除应当返工或排除障碍外，每发生一次还应按照总维保费的 2%支付违约金并赔偿损失。因乙方维护保养不到位造成的损失或事故由乙方完全负责。</w:t>
      </w:r>
    </w:p>
    <w:p w14:paraId="044FBEEA">
      <w:pPr>
        <w:keepNext w:val="0"/>
        <w:keepLines w:val="0"/>
        <w:pageBreakBefore w:val="0"/>
        <w:widowControl/>
        <w:numPr>
          <w:ilvl w:val="0"/>
          <w:numId w:val="3"/>
        </w:numPr>
        <w:suppressLineNumbers w:val="0"/>
        <w:kinsoku/>
        <w:wordWrap/>
        <w:overflowPunct/>
        <w:topLinePunct w:val="0"/>
        <w:autoSpaceDE/>
        <w:autoSpaceDN/>
        <w:bidi w:val="0"/>
        <w:adjustRightInd/>
        <w:snapToGrid/>
        <w:spacing w:line="560" w:lineRule="exact"/>
        <w:ind w:left="0" w:leftChars="0" w:firstLine="560" w:firstLineChars="200"/>
        <w:jc w:val="left"/>
        <w:textAlignment w:val="auto"/>
        <w:rPr>
          <w:rFonts w:hint="eastAsia" w:ascii="仿宋" w:hAnsi="仿宋" w:eastAsia="仿宋" w:cs="仿宋"/>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t>因乙方原因造成安全生产事故或对甲方造成不良社会影响的，扣除本年度质量保证金，按照相关法律对甲方进行赔偿，并解除合同。</w:t>
      </w:r>
    </w:p>
    <w:p w14:paraId="01452165">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37FBC35B">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1E47260F">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6B0B123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0201E7F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2351B482">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7A9FA3A9">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4E205D84">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653394CD">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365C8055">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610EB68E">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06B8F3B9">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231D06A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74557C9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color w:val="000000"/>
          <w:kern w:val="0"/>
          <w:sz w:val="28"/>
          <w:szCs w:val="28"/>
          <w:highlight w:val="none"/>
          <w:lang w:val="en-US" w:eastAsia="zh-CN" w:bidi="ar"/>
        </w:rPr>
      </w:pPr>
    </w:p>
    <w:p w14:paraId="71568306">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附件二</w:t>
      </w:r>
    </w:p>
    <w:p w14:paraId="0B98F658">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center"/>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外来施工单位安全管理协议</w:t>
      </w:r>
    </w:p>
    <w:p w14:paraId="56E019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鉴于乙方承接甲方</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威海站和威海北站</w:t>
      </w:r>
      <w:r>
        <w:rPr>
          <w:rFonts w:hint="eastAsia" w:ascii="仿宋" w:hAnsi="仿宋" w:eastAsia="仿宋" w:cs="仿宋"/>
          <w:color w:val="auto"/>
          <w:sz w:val="28"/>
          <w:szCs w:val="28"/>
          <w:highlight w:val="none"/>
          <w:lang w:val="en-US" w:eastAsia="zh-CN"/>
        </w:rPr>
        <w:t>]</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val="en-US" w:eastAsia="zh-CN"/>
        </w:rPr>
        <w:t>消防维保</w:t>
      </w:r>
      <w:r>
        <w:rPr>
          <w:rFonts w:hint="eastAsia" w:ascii="仿宋" w:hAnsi="仿宋" w:eastAsia="仿宋" w:cs="仿宋"/>
          <w:sz w:val="28"/>
          <w:szCs w:val="28"/>
          <w:highlight w:val="none"/>
        </w:rPr>
        <w:t>服务项目，为确保施工过程中的安全，明确双方的安全责任，根据国家相关法律法规和行业标准，经双方友好协商，达成以下安全协议：</w:t>
      </w:r>
      <w:r>
        <w:rPr>
          <w:rFonts w:hint="eastAsia" w:ascii="仿宋" w:hAnsi="仿宋" w:eastAsia="仿宋" w:cs="仿宋"/>
          <w:sz w:val="28"/>
          <w:szCs w:val="28"/>
          <w:highlight w:val="none"/>
        </w:rPr>
        <w:br w:type="textWrapping"/>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w:t>
      </w:r>
      <w:r>
        <w:rPr>
          <w:rFonts w:hint="eastAsia" w:ascii="仿宋" w:hAnsi="仿宋" w:eastAsia="仿宋" w:cs="仿宋"/>
          <w:sz w:val="28"/>
          <w:szCs w:val="28"/>
          <w:highlight w:val="none"/>
        </w:rPr>
        <w:t>协议期限</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本协议有效期自施工服务合同生效之日起，至</w:t>
      </w:r>
      <w:r>
        <w:rPr>
          <w:rFonts w:hint="eastAsia" w:ascii="仿宋" w:hAnsi="仿宋" w:eastAsia="仿宋" w:cs="仿宋"/>
          <w:sz w:val="28"/>
          <w:szCs w:val="28"/>
          <w:highlight w:val="none"/>
        </w:rPr>
        <w:t>施工</w:t>
      </w:r>
      <w:r>
        <w:rPr>
          <w:rFonts w:hint="eastAsia" w:ascii="仿宋" w:hAnsi="仿宋" w:eastAsia="仿宋" w:cs="仿宋"/>
          <w:sz w:val="28"/>
          <w:szCs w:val="28"/>
          <w:highlight w:val="none"/>
        </w:rPr>
        <w:t>服务结束并验收合格之日止。</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二</w:t>
      </w:r>
      <w:r>
        <w:rPr>
          <w:rFonts w:hint="eastAsia" w:ascii="仿宋" w:hAnsi="仿宋" w:eastAsia="仿宋" w:cs="仿宋"/>
          <w:sz w:val="28"/>
          <w:szCs w:val="28"/>
          <w:highlight w:val="none"/>
        </w:rPr>
        <w:t>、安全责任</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(一)</w:t>
      </w:r>
      <w:r>
        <w:rPr>
          <w:rFonts w:hint="eastAsia" w:ascii="仿宋" w:hAnsi="仿宋" w:eastAsia="仿宋" w:cs="仿宋"/>
          <w:sz w:val="28"/>
          <w:szCs w:val="28"/>
          <w:highlight w:val="none"/>
        </w:rPr>
        <w:t>甲方责任</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1.</w:t>
      </w:r>
      <w:r>
        <w:rPr>
          <w:rFonts w:hint="eastAsia" w:ascii="仿宋" w:hAnsi="仿宋" w:eastAsia="仿宋" w:cs="仿宋"/>
          <w:sz w:val="28"/>
          <w:szCs w:val="28"/>
          <w:highlight w:val="none"/>
        </w:rPr>
        <w:t>向乙方提供施工区域的相关安全管理制度、规定和要求。</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2.</w:t>
      </w:r>
      <w:r>
        <w:rPr>
          <w:rFonts w:hint="eastAsia" w:ascii="仿宋" w:hAnsi="仿宋" w:eastAsia="仿宋" w:cs="仿宋"/>
          <w:sz w:val="28"/>
          <w:szCs w:val="28"/>
          <w:highlight w:val="none"/>
        </w:rPr>
        <w:t>对乙方的施工安全进行监督检查，对发现的安全隐患有权要求乙方整改。</w:t>
      </w:r>
    </w:p>
    <w:p w14:paraId="65EB89FA">
      <w:pPr>
        <w:pStyle w:val="7"/>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协调解决施工过程中与其他相关方的安全问题。</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（二）乙方责任</w:t>
      </w:r>
      <w:r>
        <w:rPr>
          <w:rFonts w:hint="eastAsia" w:ascii="仿宋" w:hAnsi="仿宋" w:eastAsia="仿宋" w:cs="仿宋"/>
          <w:sz w:val="28"/>
          <w:szCs w:val="28"/>
          <w:highlight w:val="none"/>
          <w:lang w:val="en-US" w:eastAsia="zh-CN"/>
        </w:rPr>
        <w:br w:type="textWrapping"/>
      </w:r>
      <w:r>
        <w:rPr>
          <w:rFonts w:hint="eastAsia" w:ascii="仿宋" w:hAnsi="仿宋" w:eastAsia="仿宋" w:cs="仿宋"/>
          <w:sz w:val="28"/>
          <w:szCs w:val="28"/>
          <w:highlight w:val="none"/>
          <w:lang w:val="en-US" w:eastAsia="zh-CN"/>
        </w:rPr>
        <w:t xml:space="preserve">    1.</w:t>
      </w:r>
      <w:r>
        <w:rPr>
          <w:rFonts w:hint="eastAsia" w:ascii="仿宋" w:hAnsi="仿宋" w:eastAsia="仿宋" w:cs="仿宋"/>
          <w:sz w:val="28"/>
          <w:szCs w:val="28"/>
          <w:highlight w:val="none"/>
        </w:rPr>
        <w:t>建立健全安全管理制度，配备专职安全管理人员，对施工人员进行安全教育培训。</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2.</w:t>
      </w:r>
      <w:r>
        <w:rPr>
          <w:rFonts w:hint="eastAsia" w:ascii="仿宋" w:hAnsi="仿宋" w:eastAsia="仿宋" w:cs="仿宋"/>
          <w:sz w:val="28"/>
          <w:szCs w:val="28"/>
          <w:highlight w:val="none"/>
        </w:rPr>
        <w:t>严格遵守甲方的安全管理制度和规定，服从甲方的安全监督管理。</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3.</w:t>
      </w:r>
      <w:r>
        <w:rPr>
          <w:rFonts w:hint="eastAsia" w:ascii="仿宋" w:hAnsi="仿宋" w:eastAsia="仿宋" w:cs="仿宋"/>
          <w:sz w:val="28"/>
          <w:szCs w:val="28"/>
          <w:highlight w:val="none"/>
        </w:rPr>
        <w:t>为施工人员配备符合国家标准的劳动防护用品，并确保其正确使用。</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4.</w:t>
      </w:r>
      <w:r>
        <w:rPr>
          <w:rFonts w:hint="eastAsia" w:ascii="仿宋" w:hAnsi="仿宋" w:eastAsia="仿宋" w:cs="仿宋"/>
          <w:sz w:val="28"/>
          <w:szCs w:val="28"/>
          <w:highlight w:val="none"/>
        </w:rPr>
        <w:t>制定施工安全措施和应急预案，对施工过程中的安全风险进行评估和控制。</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5.</w:t>
      </w:r>
      <w:r>
        <w:rPr>
          <w:rFonts w:hint="eastAsia" w:ascii="仿宋" w:hAnsi="仿宋" w:eastAsia="仿宋" w:cs="仿宋"/>
          <w:sz w:val="28"/>
          <w:szCs w:val="28"/>
          <w:highlight w:val="none"/>
        </w:rPr>
        <w:t>对施工过程中发生的安全事故承担全部责任，并及时报告甲方。</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三</w:t>
      </w:r>
      <w:r>
        <w:rPr>
          <w:rFonts w:hint="eastAsia" w:ascii="仿宋" w:hAnsi="仿宋" w:eastAsia="仿宋" w:cs="仿宋"/>
          <w:sz w:val="28"/>
          <w:szCs w:val="28"/>
          <w:highlight w:val="none"/>
        </w:rPr>
        <w:t>、施工安全管理</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1. 乙方施工人员必须具备相应的资质和技能，特种作业人员必须持证上岗。</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2. 乙方在施工前应编制施工组织设计和安全技术措施，并报甲方审批。</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3. 乙方应在施工现场设置明显的安全警示标志，采取必要的安全防护措施，确保施工区域的安全。</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4. 乙方在施工过程中不得擅自改变施工方案和施工工艺，如确需变更，应经甲方同意并重新制定安全措施。</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5. 乙方在使用甲方提供的设备、设施时，应按照操作规程进行操作，如有损坏应及时通知甲方修复。</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6. 乙方在施工过程中应保持施工现场的整洁和卫生，做到工完料清场地净。</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四</w:t>
      </w:r>
      <w:r>
        <w:rPr>
          <w:rFonts w:hint="eastAsia" w:ascii="仿宋" w:hAnsi="仿宋" w:eastAsia="仿宋" w:cs="仿宋"/>
          <w:sz w:val="28"/>
          <w:szCs w:val="28"/>
          <w:highlight w:val="none"/>
        </w:rPr>
        <w:t>、安全检查与整改</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1. 甲方有权对乙方的施工现场进行安全检查，乙方应积极配合。</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2. 对于甲方提出的安全隐患和整改要求，乙方应及时整改，并将整改情况书面报告甲方。</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3. 因乙方未及时整改安全隐患而导致的安全事故，由乙方承担全部责任。</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rPr>
        <w:t>、安全事故处理</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1. 如在施工过程中发生安全事故，乙方应立即采取应急措施，组织抢救伤员，保护事故现场，并及时报告甲方。</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2. 甲乙双方应按照国家有关规定和“四不放过”原则，对事故进行调查处理，分析事故原因，总结经验教训，制定防范措施。</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3. 因乙方原因导致的安全事故，乙方应承担全部经济损失和法律责任；因甲方原因导致的安全事故，甲方应承担相应的责任。</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六</w:t>
      </w:r>
      <w:r>
        <w:rPr>
          <w:rFonts w:hint="eastAsia" w:ascii="仿宋" w:hAnsi="仿宋" w:eastAsia="仿宋" w:cs="仿宋"/>
          <w:sz w:val="28"/>
          <w:szCs w:val="28"/>
          <w:highlight w:val="none"/>
        </w:rPr>
        <w:t>、违约责任</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1</w:t>
      </w:r>
      <w:r>
        <w:rPr>
          <w:rFonts w:hint="eastAsia" w:ascii="仿宋" w:hAnsi="仿宋" w:eastAsia="仿宋" w:cs="仿宋"/>
          <w:sz w:val="28"/>
          <w:szCs w:val="28"/>
          <w:highlight w:val="none"/>
        </w:rPr>
        <w:t>. 因违约给对方造成损失的，违约方还应承担相应的赔偿责任。</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七</w:t>
      </w:r>
      <w:r>
        <w:rPr>
          <w:rFonts w:hint="eastAsia" w:ascii="仿宋" w:hAnsi="仿宋" w:eastAsia="仿宋" w:cs="仿宋"/>
          <w:sz w:val="28"/>
          <w:szCs w:val="28"/>
          <w:highlight w:val="none"/>
        </w:rPr>
        <w:t>、争议解决</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本协议在履行过程中如发生争议，双方应友好协商解决；协商不成的，可向有管辖权的人民法院提起诉讼。</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八</w:t>
      </w:r>
      <w:r>
        <w:rPr>
          <w:rFonts w:hint="eastAsia" w:ascii="仿宋" w:hAnsi="仿宋" w:eastAsia="仿宋" w:cs="仿宋"/>
          <w:sz w:val="28"/>
          <w:szCs w:val="28"/>
          <w:highlight w:val="none"/>
        </w:rPr>
        <w:t>、其他条款</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1. 本协议是外</w:t>
      </w:r>
      <w:r>
        <w:rPr>
          <w:rFonts w:hint="eastAsia" w:ascii="仿宋" w:hAnsi="仿宋" w:eastAsia="仿宋" w:cs="仿宋"/>
          <w:sz w:val="28"/>
          <w:szCs w:val="28"/>
          <w:highlight w:val="none"/>
          <w:lang w:eastAsia="zh-CN"/>
        </w:rPr>
        <w:t>来</w:t>
      </w:r>
      <w:r>
        <w:rPr>
          <w:rFonts w:hint="eastAsia" w:ascii="仿宋" w:hAnsi="仿宋" w:eastAsia="仿宋" w:cs="仿宋"/>
          <w:sz w:val="28"/>
          <w:szCs w:val="28"/>
          <w:highlight w:val="none"/>
        </w:rPr>
        <w:t>施工服务合同的组成部分，与施工服务合同具有同等法律效力。</w:t>
      </w:r>
      <w:r>
        <w:rPr>
          <w:rFonts w:hint="eastAsia" w:ascii="仿宋" w:hAnsi="仿宋" w:eastAsia="仿宋" w:cs="仿宋"/>
          <w:sz w:val="28"/>
          <w:szCs w:val="28"/>
          <w:highlight w:val="none"/>
        </w:rPr>
        <w:br w:type="textWrapping"/>
      </w:r>
    </w:p>
    <w:p w14:paraId="0FBD8C16">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p>
    <w:p w14:paraId="29443528">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p>
    <w:p w14:paraId="5652588A">
      <w:pPr>
        <w:pStyle w:val="7"/>
        <w:keepNext w:val="0"/>
        <w:keepLines w:val="0"/>
        <w:pageBreakBefore w:val="0"/>
        <w:kinsoku/>
        <w:wordWrap/>
        <w:overflowPunct/>
        <w:topLinePunct w:val="0"/>
        <w:autoSpaceDE/>
        <w:autoSpaceDN/>
        <w:bidi w:val="0"/>
        <w:adjustRightInd/>
        <w:snapToGrid/>
        <w:spacing w:line="560" w:lineRule="exact"/>
        <w:textAlignment w:val="auto"/>
        <w:rPr>
          <w:rFonts w:hint="eastAsia" w:ascii="仿宋" w:hAnsi="仿宋" w:eastAsia="仿宋" w:cs="仿宋"/>
          <w:sz w:val="28"/>
          <w:szCs w:val="28"/>
          <w:highlight w:val="none"/>
        </w:rPr>
      </w:pPr>
    </w:p>
    <w:p w14:paraId="661A4D57">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left"/>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color w:val="000000"/>
          <w:kern w:val="0"/>
          <w:sz w:val="28"/>
          <w:szCs w:val="28"/>
          <w:highlight w:val="none"/>
          <w:lang w:val="en-US" w:eastAsia="zh-CN" w:bidi="ar"/>
        </w:rPr>
        <w:br w:type="page"/>
      </w:r>
      <w:r>
        <w:rPr>
          <w:rFonts w:hint="eastAsia" w:ascii="仿宋" w:hAnsi="仿宋" w:eastAsia="仿宋" w:cs="仿宋"/>
          <w:b/>
          <w:bCs/>
          <w:color w:val="000000"/>
          <w:kern w:val="0"/>
          <w:sz w:val="28"/>
          <w:szCs w:val="28"/>
          <w:highlight w:val="none"/>
          <w:lang w:val="en-US" w:eastAsia="zh-CN" w:bidi="ar"/>
        </w:rPr>
        <w:t>附件三</w:t>
      </w:r>
    </w:p>
    <w:p w14:paraId="3539B189">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leftChars="0"/>
        <w:jc w:val="center"/>
        <w:textAlignment w:val="auto"/>
        <w:rPr>
          <w:rFonts w:hint="eastAsia" w:ascii="仿宋" w:hAnsi="仿宋" w:eastAsia="仿宋" w:cs="仿宋"/>
          <w:highlight w:val="none"/>
          <w:lang w:val="en-US"/>
        </w:rPr>
      </w:pPr>
      <w:r>
        <w:rPr>
          <w:rFonts w:hint="eastAsia" w:ascii="仿宋" w:hAnsi="仿宋" w:eastAsia="仿宋" w:cs="仿宋"/>
          <w:b/>
          <w:bCs/>
          <w:color w:val="000000"/>
          <w:kern w:val="0"/>
          <w:sz w:val="28"/>
          <w:szCs w:val="28"/>
          <w:highlight w:val="none"/>
          <w:lang w:val="en-US" w:eastAsia="zh-CN" w:bidi="ar"/>
        </w:rPr>
        <w:t>消防维保日常考核</w:t>
      </w:r>
      <w:r>
        <w:rPr>
          <w:rFonts w:hint="eastAsia" w:ascii="仿宋" w:hAnsi="仿宋" w:eastAsia="仿宋" w:cs="仿宋"/>
          <w:color w:val="000000"/>
          <w:kern w:val="0"/>
          <w:sz w:val="28"/>
          <w:szCs w:val="28"/>
          <w:highlight w:val="none"/>
          <w:lang w:val="en-US" w:eastAsia="zh-CN" w:bidi="ar"/>
        </w:rPr>
        <w:drawing>
          <wp:anchor distT="0" distB="0" distL="114300" distR="114300" simplePos="0" relativeHeight="251659264" behindDoc="0" locked="0" layoutInCell="1" allowOverlap="1">
            <wp:simplePos x="0" y="0"/>
            <wp:positionH relativeFrom="column">
              <wp:posOffset>-220345</wp:posOffset>
            </wp:positionH>
            <wp:positionV relativeFrom="paragraph">
              <wp:posOffset>440690</wp:posOffset>
            </wp:positionV>
            <wp:extent cx="5939155" cy="5887720"/>
            <wp:effectExtent l="0" t="0" r="4445" b="17780"/>
            <wp:wrapSquare wrapText="bothSides"/>
            <wp:docPr id="1" name="图片 2" descr="DE2F5AD3-534A-4aaa-85EC-77943C8985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DE2F5AD3-534A-4aaa-85EC-77943C8985EE"/>
                    <pic:cNvPicPr>
                      <a:picLocks noChangeAspect="1"/>
                    </pic:cNvPicPr>
                  </pic:nvPicPr>
                  <pic:blipFill>
                    <a:blip r:embed="rId19"/>
                    <a:stretch>
                      <a:fillRect/>
                    </a:stretch>
                  </pic:blipFill>
                  <pic:spPr>
                    <a:xfrm>
                      <a:off x="0" y="0"/>
                      <a:ext cx="5939155" cy="5887720"/>
                    </a:xfrm>
                    <a:prstGeom prst="rect">
                      <a:avLst/>
                    </a:prstGeom>
                    <a:noFill/>
                    <a:ln>
                      <a:noFill/>
                    </a:ln>
                  </pic:spPr>
                </pic:pic>
              </a:graphicData>
            </a:graphic>
          </wp:anchor>
        </w:drawing>
      </w:r>
      <w:r>
        <w:rPr>
          <w:rFonts w:hint="eastAsia" w:ascii="仿宋" w:hAnsi="仿宋" w:eastAsia="仿宋" w:cs="仿宋"/>
          <w:b/>
          <w:bCs/>
          <w:color w:val="000000"/>
          <w:kern w:val="0"/>
          <w:sz w:val="28"/>
          <w:szCs w:val="28"/>
          <w:highlight w:val="none"/>
          <w:lang w:val="en-US" w:eastAsia="zh-CN" w:bidi="ar"/>
        </w:rPr>
        <w:t>情况表</w:t>
      </w:r>
    </w:p>
    <w:sectPr>
      <w:headerReference r:id="rId16" w:type="default"/>
      <w:footerReference r:id="rId17" w:type="default"/>
      <w:pgSz w:w="11906" w:h="16838"/>
      <w:pgMar w:top="1440" w:right="1083" w:bottom="1440" w:left="1083" w:header="851" w:footer="992"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auto"/>
    <w:pitch w:val="default"/>
    <w:sig w:usb0="00000000" w:usb1="00000000" w:usb2="00000012" w:usb3="00000000" w:csb0="00040001" w:csb1="00000000"/>
  </w:font>
  <w:font w:name="方正小标宋简体">
    <w:altName w:val="方正舒体"/>
    <w:panose1 w:val="02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7F" w:usb3="00000000" w:csb0="203F01FF" w:csb1="DFFF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5524B">
    <w:pPr>
      <w:pStyle w:val="18"/>
      <w:jc w:val="center"/>
    </w:pPr>
  </w:p>
  <w:p w14:paraId="42E92BCC">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A38C1">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F6D66C">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52</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0">
                      <a:spAutoFit/>
                    </wps:bodyPr>
                  </wps:wsp>
                </a:graphicData>
              </a:graphic>
            </wp:anchor>
          </w:drawing>
        </mc:Choice>
        <mc:Fallback>
          <w:pict>
            <v:shape id="文本框 104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ctQckBAACcAwAADgAAAGRycy9lMm9Eb2MueG1srVNNrtMwEN4jcQfL&#10;e+q0Qq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LahK0octzjwy/dvlx+/Lj+/kmX1&#10;sijUB6gx8SFgahre+AH3JiuX/YDOTHxQ0eYvUiIYR33PV33lkIjIj9ar9brCkMDYfEEcdnseIqS3&#10;0luSjYZGHGDRlZ/eQxpT55Rczfl7bUwZonF/ORAze9itx2ylYT9Mje99e0Y+Pc6+oQ5XnRLzzqG0&#10;eU1mI87GfjaOIepDV/Yo14Pw+piwidJbrjDCToVxaIXdtGB5K/68l6zbT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4Vy1ByQEAAJwDAAAOAAAAAAAAAAEAIAAAAB4BAABkcnMvZTJvRG9j&#10;LnhtbFBLBQYAAAAABgAGAFkBAABZBQAAAAA=&#10;">
              <v:fill on="f" focussize="0,0"/>
              <v:stroke on="f"/>
              <v:imagedata o:title=""/>
              <o:lock v:ext="edit" aspectratio="f"/>
              <v:textbox inset="0mm,0mm,0mm,0mm" style="mso-fit-shape-to-text:t;">
                <w:txbxContent>
                  <w:p w14:paraId="49F6D66C">
                    <w:pPr>
                      <w:widowControl w:val="0"/>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52</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C35B7">
    <w:pPr>
      <w:pStyle w:val="18"/>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1C8F02">
                          <w:pPr>
                            <w:pStyle w:val="18"/>
                          </w:pPr>
                          <w:r>
                            <w:fldChar w:fldCharType="begin"/>
                          </w:r>
                          <w:r>
                            <w:instrText xml:space="preserve"> PAGE  \* MERGEFORMAT </w:instrText>
                          </w:r>
                          <w:r>
                            <w:fldChar w:fldCharType="separate"/>
                          </w:r>
                          <w:r>
                            <w:t>0</w:t>
                          </w:r>
                          <w:r>
                            <w:fldChar w:fldCharType="end"/>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m4Z0TLAQAAnAMAAA4AAAAAAAAAAQAgAAAAHgEAAGRycy9lMm9E&#10;b2MueG1sUEsFBgAAAAAGAAYAWQEAAFsFAAAAAA==&#10;">
              <v:fill on="f" focussize="0,0"/>
              <v:stroke on="f"/>
              <v:imagedata o:title=""/>
              <o:lock v:ext="edit" aspectratio="f"/>
              <v:textbox inset="0mm,0mm,0mm,0mm" style="mso-fit-shape-to-text:t;">
                <w:txbxContent>
                  <w:p w14:paraId="511C8F02">
                    <w:pPr>
                      <w:pStyle w:val="18"/>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8ADAE">
    <w:pPr>
      <w:pStyle w:val="18"/>
      <w:jc w:val="center"/>
    </w:pPr>
  </w:p>
  <w:p w14:paraId="09650370">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28FE4">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7B914">
    <w:pPr>
      <w:pStyle w:val="18"/>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C6C0AE">
                          <w:pPr>
                            <w:pStyle w:val="18"/>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sLr6jLAQAAnAMAAA4AAAAAAAAAAQAgAAAAHgEAAGRycy9lMm9E&#10;b2MueG1sUEsFBgAAAAAGAAYAWQEAAFsFAAAAAA==&#10;">
              <v:fill on="f" focussize="0,0"/>
              <v:stroke on="f"/>
              <v:imagedata o:title=""/>
              <o:lock v:ext="edit" aspectratio="f"/>
              <v:textbox inset="0mm,0mm,0mm,0mm" style="mso-fit-shape-to-text:t;">
                <w:txbxContent>
                  <w:p w14:paraId="79C6C0AE">
                    <w:pPr>
                      <w:pStyle w:val="1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EB182">
    <w:pPr>
      <w:pStyle w:val="18"/>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2930F6">
                          <w:pPr>
                            <w:pStyle w:val="18"/>
                          </w:pPr>
                          <w:r>
                            <w:fldChar w:fldCharType="begin"/>
                          </w:r>
                          <w:r>
                            <w:instrText xml:space="preserve"> PAGE  \* MERGEFORMAT </w:instrText>
                          </w:r>
                          <w:r>
                            <w:fldChar w:fldCharType="separate"/>
                          </w:r>
                          <w:r>
                            <w:t>17</w:t>
                          </w:r>
                          <w:r>
                            <w:fldChar w:fldCharType="end"/>
                          </w:r>
                        </w:p>
                      </w:txbxContent>
                    </wps:txbx>
                    <wps:bodyPr wrap="none" lIns="0" tIns="0" rIns="0" bIns="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HbdjF7LAQAAnAMAAA4AAAAAAAAAAQAgAAAAHgEAAGRycy9lMm9E&#10;b2MueG1sUEsFBgAAAAAGAAYAWQEAAFsFAAAAAA==&#10;">
              <v:fill on="f" focussize="0,0"/>
              <v:stroke on="f"/>
              <v:imagedata o:title=""/>
              <o:lock v:ext="edit" aspectratio="f"/>
              <v:textbox inset="0mm,0mm,0mm,0mm" style="mso-fit-shape-to-text:t;">
                <w:txbxContent>
                  <w:p w14:paraId="6B2930F6">
                    <w:pPr>
                      <w:pStyle w:val="18"/>
                    </w:pPr>
                    <w:r>
                      <w:fldChar w:fldCharType="begin"/>
                    </w:r>
                    <w:r>
                      <w:instrText xml:space="preserve"> PAGE  \* MERGEFORMAT </w:instrText>
                    </w:r>
                    <w:r>
                      <w:fldChar w:fldCharType="separate"/>
                    </w:r>
                    <w:r>
                      <w:t>17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00E76">
    <w:pPr>
      <w:pStyle w:val="18"/>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0C69082">
                          <w:pPr>
                            <w:pStyle w:val="18"/>
                          </w:pPr>
                          <w:r>
                            <w:fldChar w:fldCharType="begin"/>
                          </w:r>
                          <w:r>
                            <w:instrText xml:space="preserve"> PAGE  \* MERGEFORMAT </w:instrText>
                          </w:r>
                          <w:r>
                            <w:fldChar w:fldCharType="separate"/>
                          </w:r>
                          <w:r>
                            <w:t>46</w:t>
                          </w:r>
                          <w:r>
                            <w:fldChar w:fldCharType="end"/>
                          </w:r>
                        </w:p>
                      </w:txbxContent>
                    </wps:txbx>
                    <wps:bodyPr wrap="none" lIns="0" tIns="0" rIns="0" bIns="0" upright="0">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nNUF7LAQAAnAMAAA4AAAAAAAAAAQAgAAAAHgEAAGRycy9lMm9E&#10;b2MueG1sUEsFBgAAAAAGAAYAWQEAAFsFAAAAAA==&#10;">
              <v:fill on="f" focussize="0,0"/>
              <v:stroke on="f"/>
              <v:imagedata o:title=""/>
              <o:lock v:ext="edit" aspectratio="f"/>
              <v:textbox inset="0mm,0mm,0mm,0mm" style="mso-fit-shape-to-text:t;">
                <w:txbxContent>
                  <w:p w14:paraId="60C69082">
                    <w:pPr>
                      <w:pStyle w:val="18"/>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F1BA9">
    <w:pPr>
      <w:pStyle w:val="18"/>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EFAC3D">
                          <w:pPr>
                            <w:pStyle w:val="18"/>
                          </w:pPr>
                          <w:r>
                            <w:fldChar w:fldCharType="begin"/>
                          </w:r>
                          <w:r>
                            <w:instrText xml:space="preserve"> PAGE  \* MERGEFORMAT </w:instrText>
                          </w:r>
                          <w:r>
                            <w:fldChar w:fldCharType="separate"/>
                          </w:r>
                          <w:r>
                            <w:t>50</w:t>
                          </w:r>
                          <w:r>
                            <w:fldChar w:fldCharType="end"/>
                          </w:r>
                        </w:p>
                      </w:txbxContent>
                    </wps:txbx>
                    <wps:bodyPr wrap="none" lIns="0" tIns="0" rIns="0" bIns="0" upright="0">
                      <a:spAutoFit/>
                    </wps:bodyPr>
                  </wps:wsp>
                </a:graphicData>
              </a:graphic>
            </wp:anchor>
          </w:drawing>
        </mc:Choice>
        <mc:Fallback>
          <w:pict>
            <v:shape id="文本框 1037"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PAy+jLAQAAnAMAAA4AAAAAAAAAAQAgAAAAHgEAAGRycy9lMm9E&#10;b2MueG1sUEsFBgAAAAAGAAYAWQEAAFsFAAAAAA==&#10;">
              <v:fill on="f" focussize="0,0"/>
              <v:stroke on="f"/>
              <v:imagedata o:title=""/>
              <o:lock v:ext="edit" aspectratio="f"/>
              <v:textbox inset="0mm,0mm,0mm,0mm" style="mso-fit-shape-to-text:t;">
                <w:txbxContent>
                  <w:p w14:paraId="50EFAC3D">
                    <w:pPr>
                      <w:pStyle w:val="18"/>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F6ACA">
    <w:pPr>
      <w:pStyle w:val="18"/>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0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0271BC">
                          <w:pPr>
                            <w:pStyle w:val="18"/>
                          </w:pPr>
                          <w:r>
                            <w:fldChar w:fldCharType="begin"/>
                          </w:r>
                          <w:r>
                            <w:instrText xml:space="preserve"> PAGE  \* MERGEFORMAT </w:instrText>
                          </w:r>
                          <w:r>
                            <w:fldChar w:fldCharType="separate"/>
                          </w:r>
                          <w:r>
                            <w:t>57</w:t>
                          </w:r>
                          <w:r>
                            <w:fldChar w:fldCharType="end"/>
                          </w:r>
                        </w:p>
                      </w:txbxContent>
                    </wps:txbx>
                    <wps:bodyPr wrap="none" lIns="0" tIns="0" rIns="0" bIns="0" upright="0">
                      <a:spAutoFit/>
                    </wps:bodyPr>
                  </wps:wsp>
                </a:graphicData>
              </a:graphic>
            </wp:anchor>
          </w:drawing>
        </mc:Choice>
        <mc:Fallback>
          <w:pict>
            <v:shape id="文本框 1038"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MCQZ+vLAQAAnAMAAA4AAAAAAAAAAQAgAAAAHgEAAGRycy9lMm9E&#10;b2MueG1sUEsFBgAAAAAGAAYAWQEAAFsFAAAAAA==&#10;">
              <v:fill on="f" focussize="0,0"/>
              <v:stroke on="f"/>
              <v:imagedata o:title=""/>
              <o:lock v:ext="edit" aspectratio="f"/>
              <v:textbox inset="0mm,0mm,0mm,0mm" style="mso-fit-shape-to-text:t;">
                <w:txbxContent>
                  <w:p w14:paraId="4A0271BC">
                    <w:pPr>
                      <w:pStyle w:val="18"/>
                    </w:pPr>
                    <w:r>
                      <w:fldChar w:fldCharType="begin"/>
                    </w:r>
                    <w:r>
                      <w:instrText xml:space="preserve"> PAGE  \* MERGEFORMAT </w:instrText>
                    </w:r>
                    <w:r>
                      <w:fldChar w:fldCharType="separate"/>
                    </w:r>
                    <w:r>
                      <w:t>57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49850">
    <w:pPr>
      <w:pStyle w:val="19"/>
      <w:pBdr>
        <w:top w:val="none" w:color="auto" w:sz="0" w:space="0"/>
        <w:left w:val="none" w:color="auto" w:sz="0" w:space="0"/>
        <w:bottom w:val="none" w:color="auto" w:sz="0" w:space="1"/>
        <w:right w:val="none" w:color="auto" w:sz="0" w:space="0"/>
        <w:between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FF7F6">
    <w:pPr>
      <w:pStyle w:val="19"/>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210F6">
    <w:pPr>
      <w:pStyle w:val="19"/>
      <w:pBdr>
        <w:top w:val="none" w:color="auto" w:sz="0" w:space="0"/>
        <w:left w:val="none" w:color="auto" w:sz="0" w:space="0"/>
        <w:bottom w:val="none" w:color="auto" w:sz="0" w:space="1"/>
        <w:right w:val="none" w:color="auto" w:sz="0" w:space="0"/>
        <w:between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358F3">
    <w:pPr>
      <w:pStyle w:val="19"/>
      <w:pBdr>
        <w:top w:val="none" w:color="auto" w:sz="0" w:space="0"/>
        <w:left w:val="none" w:color="auto" w:sz="0" w:space="0"/>
        <w:bottom w:val="none" w:color="auto" w:sz="0" w:space="1"/>
        <w:right w:val="none" w:color="auto" w:sz="0" w:space="0"/>
        <w:between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3C1F9">
    <w:pPr>
      <w:widowControl w:val="0"/>
      <w:pBdr>
        <w:bottom w:val="none" w:color="auto" w:sz="0" w:space="1"/>
      </w:pBdr>
      <w:tabs>
        <w:tab w:val="left" w:pos="3019"/>
      </w:tabs>
      <w:snapToGrid w:val="0"/>
      <w:jc w:val="left"/>
      <w:rPr>
        <w:rFonts w:hint="eastAsia"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A57EE9"/>
    <w:multiLevelType w:val="singleLevel"/>
    <w:tmpl w:val="9EA57EE9"/>
    <w:lvl w:ilvl="0" w:tentative="0">
      <w:start w:val="3"/>
      <w:numFmt w:val="decimal"/>
      <w:suff w:val="nothing"/>
      <w:lvlText w:val="（%1）"/>
      <w:lvlJc w:val="left"/>
    </w:lvl>
  </w:abstractNum>
  <w:abstractNum w:abstractNumId="1">
    <w:nsid w:val="C6130D71"/>
    <w:multiLevelType w:val="singleLevel"/>
    <w:tmpl w:val="C6130D71"/>
    <w:lvl w:ilvl="0" w:tentative="0">
      <w:start w:val="1"/>
      <w:numFmt w:val="chineseCounting"/>
      <w:suff w:val="nothing"/>
      <w:lvlText w:val="（%1）"/>
      <w:lvlJc w:val="left"/>
      <w:rPr>
        <w:rFonts w:hint="eastAsia"/>
      </w:rPr>
    </w:lvl>
  </w:abstractNum>
  <w:abstractNum w:abstractNumId="2">
    <w:nsid w:val="29736D29"/>
    <w:multiLevelType w:val="singleLevel"/>
    <w:tmpl w:val="29736D29"/>
    <w:lvl w:ilvl="0" w:tentative="0">
      <w:start w:val="6"/>
      <w:numFmt w:val="chineseCounting"/>
      <w:suff w:val="space"/>
      <w:lvlText w:val="第%1章"/>
      <w:lvlJc w:val="left"/>
      <w:rPr>
        <w:rFonts w:hint="eastAsia"/>
      </w:rPr>
    </w:lvl>
  </w:abstractNum>
  <w:abstractNum w:abstractNumId="3">
    <w:nsid w:val="30B5DBC3"/>
    <w:multiLevelType w:val="singleLevel"/>
    <w:tmpl w:val="30B5DBC3"/>
    <w:lvl w:ilvl="0" w:tentative="0">
      <w:start w:val="1"/>
      <w:numFmt w:val="decimal"/>
      <w:lvlText w:val="%1."/>
      <w:lvlJc w:val="left"/>
      <w:pPr>
        <w:tabs>
          <w:tab w:val="left" w:pos="312"/>
        </w:tabs>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hyphenationZone w:val="360"/>
  <w:drawingGridHorizontalSpacing w:val="210"/>
  <w:drawingGridVerticalSpacing w:val="15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iMmMyOTA3NDRjMjdlMGEwOTRiYzNlMTJjM2RkOWYifQ=="/>
  </w:docVars>
  <w:rsids>
    <w:rsidRoot w:val="00EF492A"/>
    <w:rsid w:val="000002BA"/>
    <w:rsid w:val="00000335"/>
    <w:rsid w:val="00000511"/>
    <w:rsid w:val="00000EA7"/>
    <w:rsid w:val="00000FFE"/>
    <w:rsid w:val="00003E1B"/>
    <w:rsid w:val="00011721"/>
    <w:rsid w:val="000125FB"/>
    <w:rsid w:val="00014002"/>
    <w:rsid w:val="00016D2A"/>
    <w:rsid w:val="00017CF8"/>
    <w:rsid w:val="0002027C"/>
    <w:rsid w:val="00020400"/>
    <w:rsid w:val="0002190F"/>
    <w:rsid w:val="00025156"/>
    <w:rsid w:val="00030ABD"/>
    <w:rsid w:val="000311A8"/>
    <w:rsid w:val="00031B64"/>
    <w:rsid w:val="000339F8"/>
    <w:rsid w:val="00033BEE"/>
    <w:rsid w:val="0003766E"/>
    <w:rsid w:val="0004135A"/>
    <w:rsid w:val="00041C8B"/>
    <w:rsid w:val="00041D07"/>
    <w:rsid w:val="0004293F"/>
    <w:rsid w:val="00043F9F"/>
    <w:rsid w:val="00044ACE"/>
    <w:rsid w:val="00045CC2"/>
    <w:rsid w:val="00047BB8"/>
    <w:rsid w:val="00051160"/>
    <w:rsid w:val="00051A58"/>
    <w:rsid w:val="00052B78"/>
    <w:rsid w:val="0005326C"/>
    <w:rsid w:val="000534D4"/>
    <w:rsid w:val="00053712"/>
    <w:rsid w:val="00054096"/>
    <w:rsid w:val="00057CB4"/>
    <w:rsid w:val="000619F0"/>
    <w:rsid w:val="00061DE2"/>
    <w:rsid w:val="00063CBD"/>
    <w:rsid w:val="000654CC"/>
    <w:rsid w:val="00066330"/>
    <w:rsid w:val="00067E80"/>
    <w:rsid w:val="00070BE8"/>
    <w:rsid w:val="000720DE"/>
    <w:rsid w:val="00072257"/>
    <w:rsid w:val="00077EAD"/>
    <w:rsid w:val="00080F28"/>
    <w:rsid w:val="000814DD"/>
    <w:rsid w:val="000829F0"/>
    <w:rsid w:val="00082E14"/>
    <w:rsid w:val="000856F6"/>
    <w:rsid w:val="00086EDB"/>
    <w:rsid w:val="000873E7"/>
    <w:rsid w:val="000874B5"/>
    <w:rsid w:val="000913EC"/>
    <w:rsid w:val="00091CF0"/>
    <w:rsid w:val="00092563"/>
    <w:rsid w:val="00092907"/>
    <w:rsid w:val="00092DBB"/>
    <w:rsid w:val="000955B7"/>
    <w:rsid w:val="000965B2"/>
    <w:rsid w:val="000A1BD5"/>
    <w:rsid w:val="000A298A"/>
    <w:rsid w:val="000B214F"/>
    <w:rsid w:val="000B2E48"/>
    <w:rsid w:val="000B3598"/>
    <w:rsid w:val="000B393B"/>
    <w:rsid w:val="000B3A93"/>
    <w:rsid w:val="000B4AA1"/>
    <w:rsid w:val="000B592D"/>
    <w:rsid w:val="000B5F41"/>
    <w:rsid w:val="000B6A10"/>
    <w:rsid w:val="000B6E37"/>
    <w:rsid w:val="000B7FC8"/>
    <w:rsid w:val="000C276A"/>
    <w:rsid w:val="000C3246"/>
    <w:rsid w:val="000C7C52"/>
    <w:rsid w:val="000D0CE7"/>
    <w:rsid w:val="000D1EE7"/>
    <w:rsid w:val="000D3539"/>
    <w:rsid w:val="000D3DDE"/>
    <w:rsid w:val="000D4E44"/>
    <w:rsid w:val="000D4F16"/>
    <w:rsid w:val="000D6186"/>
    <w:rsid w:val="000D69C9"/>
    <w:rsid w:val="000D7751"/>
    <w:rsid w:val="000E170A"/>
    <w:rsid w:val="000E2B93"/>
    <w:rsid w:val="000E3603"/>
    <w:rsid w:val="000E370D"/>
    <w:rsid w:val="000E41C3"/>
    <w:rsid w:val="000E4B64"/>
    <w:rsid w:val="000E59BA"/>
    <w:rsid w:val="000E7CFD"/>
    <w:rsid w:val="000F067A"/>
    <w:rsid w:val="000F2C01"/>
    <w:rsid w:val="000F2D7D"/>
    <w:rsid w:val="000F37F9"/>
    <w:rsid w:val="001018A2"/>
    <w:rsid w:val="00102107"/>
    <w:rsid w:val="00103D80"/>
    <w:rsid w:val="00106D70"/>
    <w:rsid w:val="0011077C"/>
    <w:rsid w:val="001108A2"/>
    <w:rsid w:val="00111B0F"/>
    <w:rsid w:val="00112845"/>
    <w:rsid w:val="001133BC"/>
    <w:rsid w:val="001162AE"/>
    <w:rsid w:val="00116A7C"/>
    <w:rsid w:val="00117D72"/>
    <w:rsid w:val="00122204"/>
    <w:rsid w:val="0012273C"/>
    <w:rsid w:val="00122955"/>
    <w:rsid w:val="00123622"/>
    <w:rsid w:val="00123C5D"/>
    <w:rsid w:val="001246F5"/>
    <w:rsid w:val="00125BE1"/>
    <w:rsid w:val="00127EF3"/>
    <w:rsid w:val="00130BAD"/>
    <w:rsid w:val="00131D4D"/>
    <w:rsid w:val="001350AC"/>
    <w:rsid w:val="0013671B"/>
    <w:rsid w:val="001405CC"/>
    <w:rsid w:val="001412E5"/>
    <w:rsid w:val="00142B56"/>
    <w:rsid w:val="00142C9C"/>
    <w:rsid w:val="00143636"/>
    <w:rsid w:val="00143855"/>
    <w:rsid w:val="0014707A"/>
    <w:rsid w:val="001476D0"/>
    <w:rsid w:val="00152B94"/>
    <w:rsid w:val="00153012"/>
    <w:rsid w:val="00153AD0"/>
    <w:rsid w:val="00156454"/>
    <w:rsid w:val="00160A63"/>
    <w:rsid w:val="00162BCF"/>
    <w:rsid w:val="00163D2C"/>
    <w:rsid w:val="00164CCE"/>
    <w:rsid w:val="00165DB6"/>
    <w:rsid w:val="00166B43"/>
    <w:rsid w:val="00170114"/>
    <w:rsid w:val="00170655"/>
    <w:rsid w:val="0017066C"/>
    <w:rsid w:val="00170FEA"/>
    <w:rsid w:val="001717F7"/>
    <w:rsid w:val="001726B5"/>
    <w:rsid w:val="0017290B"/>
    <w:rsid w:val="00175374"/>
    <w:rsid w:val="00176705"/>
    <w:rsid w:val="0017766C"/>
    <w:rsid w:val="0017780F"/>
    <w:rsid w:val="00177ED7"/>
    <w:rsid w:val="00180335"/>
    <w:rsid w:val="00180B3C"/>
    <w:rsid w:val="00181603"/>
    <w:rsid w:val="00181C6E"/>
    <w:rsid w:val="001829CB"/>
    <w:rsid w:val="00182B98"/>
    <w:rsid w:val="001831C4"/>
    <w:rsid w:val="00185DD4"/>
    <w:rsid w:val="00185DF8"/>
    <w:rsid w:val="00186213"/>
    <w:rsid w:val="0018784D"/>
    <w:rsid w:val="001878D7"/>
    <w:rsid w:val="0019057E"/>
    <w:rsid w:val="00192EE2"/>
    <w:rsid w:val="00193E37"/>
    <w:rsid w:val="001947BA"/>
    <w:rsid w:val="001948A1"/>
    <w:rsid w:val="00194F5A"/>
    <w:rsid w:val="00195220"/>
    <w:rsid w:val="001957FD"/>
    <w:rsid w:val="001A0F3A"/>
    <w:rsid w:val="001A287C"/>
    <w:rsid w:val="001A3ADC"/>
    <w:rsid w:val="001A653E"/>
    <w:rsid w:val="001A6E98"/>
    <w:rsid w:val="001A7635"/>
    <w:rsid w:val="001A7A81"/>
    <w:rsid w:val="001B023C"/>
    <w:rsid w:val="001B10A7"/>
    <w:rsid w:val="001B4660"/>
    <w:rsid w:val="001B4811"/>
    <w:rsid w:val="001B6774"/>
    <w:rsid w:val="001C05F8"/>
    <w:rsid w:val="001C16A9"/>
    <w:rsid w:val="001C1717"/>
    <w:rsid w:val="001C1975"/>
    <w:rsid w:val="001C1BA2"/>
    <w:rsid w:val="001C3A6C"/>
    <w:rsid w:val="001C504D"/>
    <w:rsid w:val="001C52CF"/>
    <w:rsid w:val="001C6553"/>
    <w:rsid w:val="001D064C"/>
    <w:rsid w:val="001D0CBB"/>
    <w:rsid w:val="001D17EE"/>
    <w:rsid w:val="001D194D"/>
    <w:rsid w:val="001D1ED7"/>
    <w:rsid w:val="001D4FA6"/>
    <w:rsid w:val="001D4FD9"/>
    <w:rsid w:val="001D50D4"/>
    <w:rsid w:val="001D6505"/>
    <w:rsid w:val="001D65EA"/>
    <w:rsid w:val="001D6A7B"/>
    <w:rsid w:val="001D6CC9"/>
    <w:rsid w:val="001D7A6C"/>
    <w:rsid w:val="001E101D"/>
    <w:rsid w:val="001E1AD3"/>
    <w:rsid w:val="001E50AD"/>
    <w:rsid w:val="001E5DF5"/>
    <w:rsid w:val="001E75E7"/>
    <w:rsid w:val="001F196A"/>
    <w:rsid w:val="001F39CA"/>
    <w:rsid w:val="001F5BE4"/>
    <w:rsid w:val="001F666C"/>
    <w:rsid w:val="001F68A8"/>
    <w:rsid w:val="00201DFF"/>
    <w:rsid w:val="002021C4"/>
    <w:rsid w:val="002027BC"/>
    <w:rsid w:val="002027CC"/>
    <w:rsid w:val="002066D4"/>
    <w:rsid w:val="002106CD"/>
    <w:rsid w:val="00210BBF"/>
    <w:rsid w:val="002118EC"/>
    <w:rsid w:val="002129BA"/>
    <w:rsid w:val="00212C75"/>
    <w:rsid w:val="0021736B"/>
    <w:rsid w:val="002175DB"/>
    <w:rsid w:val="002220A1"/>
    <w:rsid w:val="002236B2"/>
    <w:rsid w:val="002261EE"/>
    <w:rsid w:val="00226EFD"/>
    <w:rsid w:val="00230413"/>
    <w:rsid w:val="0023063B"/>
    <w:rsid w:val="00230BED"/>
    <w:rsid w:val="00231D7F"/>
    <w:rsid w:val="00231E1E"/>
    <w:rsid w:val="00232305"/>
    <w:rsid w:val="00233216"/>
    <w:rsid w:val="00233B7B"/>
    <w:rsid w:val="00236745"/>
    <w:rsid w:val="00237012"/>
    <w:rsid w:val="0024054B"/>
    <w:rsid w:val="002420B3"/>
    <w:rsid w:val="002425CC"/>
    <w:rsid w:val="00242983"/>
    <w:rsid w:val="00243502"/>
    <w:rsid w:val="00246825"/>
    <w:rsid w:val="002473AF"/>
    <w:rsid w:val="002473D0"/>
    <w:rsid w:val="002473E5"/>
    <w:rsid w:val="002475C4"/>
    <w:rsid w:val="00250BEA"/>
    <w:rsid w:val="002518E8"/>
    <w:rsid w:val="00253719"/>
    <w:rsid w:val="00253838"/>
    <w:rsid w:val="00253E3F"/>
    <w:rsid w:val="00255590"/>
    <w:rsid w:val="0025695E"/>
    <w:rsid w:val="00260816"/>
    <w:rsid w:val="00260FA9"/>
    <w:rsid w:val="00261890"/>
    <w:rsid w:val="0026237B"/>
    <w:rsid w:val="00262596"/>
    <w:rsid w:val="00265778"/>
    <w:rsid w:val="00265EF3"/>
    <w:rsid w:val="002667D6"/>
    <w:rsid w:val="002669E0"/>
    <w:rsid w:val="00266AF5"/>
    <w:rsid w:val="00266FFF"/>
    <w:rsid w:val="002677B9"/>
    <w:rsid w:val="00270A53"/>
    <w:rsid w:val="00270C1A"/>
    <w:rsid w:val="00272A77"/>
    <w:rsid w:val="00274E7A"/>
    <w:rsid w:val="002762CB"/>
    <w:rsid w:val="00276558"/>
    <w:rsid w:val="0027761A"/>
    <w:rsid w:val="0028108E"/>
    <w:rsid w:val="002811E8"/>
    <w:rsid w:val="0028228C"/>
    <w:rsid w:val="00282590"/>
    <w:rsid w:val="00282D30"/>
    <w:rsid w:val="00285329"/>
    <w:rsid w:val="002861CA"/>
    <w:rsid w:val="002873AF"/>
    <w:rsid w:val="0028796B"/>
    <w:rsid w:val="00287AF7"/>
    <w:rsid w:val="00290034"/>
    <w:rsid w:val="002915FA"/>
    <w:rsid w:val="0029181A"/>
    <w:rsid w:val="00292F2B"/>
    <w:rsid w:val="002946F4"/>
    <w:rsid w:val="00297079"/>
    <w:rsid w:val="002972E7"/>
    <w:rsid w:val="00297998"/>
    <w:rsid w:val="002A4727"/>
    <w:rsid w:val="002A4D75"/>
    <w:rsid w:val="002B031C"/>
    <w:rsid w:val="002B608A"/>
    <w:rsid w:val="002B63E9"/>
    <w:rsid w:val="002B6CDC"/>
    <w:rsid w:val="002B7202"/>
    <w:rsid w:val="002C12BB"/>
    <w:rsid w:val="002C2796"/>
    <w:rsid w:val="002C5F5A"/>
    <w:rsid w:val="002C64B5"/>
    <w:rsid w:val="002D0DA9"/>
    <w:rsid w:val="002D21E0"/>
    <w:rsid w:val="002D34CF"/>
    <w:rsid w:val="002D49FE"/>
    <w:rsid w:val="002D66BA"/>
    <w:rsid w:val="002E0355"/>
    <w:rsid w:val="002E0E46"/>
    <w:rsid w:val="002E4595"/>
    <w:rsid w:val="002E4D24"/>
    <w:rsid w:val="002E67CA"/>
    <w:rsid w:val="002E76AE"/>
    <w:rsid w:val="002F070F"/>
    <w:rsid w:val="002F3C1D"/>
    <w:rsid w:val="002F3D60"/>
    <w:rsid w:val="002F656E"/>
    <w:rsid w:val="002F764B"/>
    <w:rsid w:val="002F7B17"/>
    <w:rsid w:val="002F7F4A"/>
    <w:rsid w:val="00300042"/>
    <w:rsid w:val="003014F1"/>
    <w:rsid w:val="00301879"/>
    <w:rsid w:val="003019F5"/>
    <w:rsid w:val="00301E58"/>
    <w:rsid w:val="00301FD6"/>
    <w:rsid w:val="003021BE"/>
    <w:rsid w:val="0030282D"/>
    <w:rsid w:val="00302B5B"/>
    <w:rsid w:val="00303658"/>
    <w:rsid w:val="0030422B"/>
    <w:rsid w:val="00304AD3"/>
    <w:rsid w:val="00305AAE"/>
    <w:rsid w:val="00305DAA"/>
    <w:rsid w:val="0031045E"/>
    <w:rsid w:val="00311515"/>
    <w:rsid w:val="00311970"/>
    <w:rsid w:val="0031240A"/>
    <w:rsid w:val="003135AC"/>
    <w:rsid w:val="00313781"/>
    <w:rsid w:val="00313D72"/>
    <w:rsid w:val="003145CC"/>
    <w:rsid w:val="003154F4"/>
    <w:rsid w:val="00322AA3"/>
    <w:rsid w:val="00322C79"/>
    <w:rsid w:val="003235DD"/>
    <w:rsid w:val="00323E98"/>
    <w:rsid w:val="00326B0F"/>
    <w:rsid w:val="00326F06"/>
    <w:rsid w:val="00327975"/>
    <w:rsid w:val="00330A8F"/>
    <w:rsid w:val="003316A0"/>
    <w:rsid w:val="00332ACD"/>
    <w:rsid w:val="00333179"/>
    <w:rsid w:val="00333C89"/>
    <w:rsid w:val="0033425A"/>
    <w:rsid w:val="00336CD3"/>
    <w:rsid w:val="0034003C"/>
    <w:rsid w:val="003401AC"/>
    <w:rsid w:val="00340388"/>
    <w:rsid w:val="00340800"/>
    <w:rsid w:val="00341444"/>
    <w:rsid w:val="00342AAC"/>
    <w:rsid w:val="00343585"/>
    <w:rsid w:val="00344409"/>
    <w:rsid w:val="00344BAA"/>
    <w:rsid w:val="00344EBD"/>
    <w:rsid w:val="0034524D"/>
    <w:rsid w:val="00345567"/>
    <w:rsid w:val="00347BE8"/>
    <w:rsid w:val="00347F7F"/>
    <w:rsid w:val="00350248"/>
    <w:rsid w:val="00354413"/>
    <w:rsid w:val="003545E5"/>
    <w:rsid w:val="00355A7B"/>
    <w:rsid w:val="003565E8"/>
    <w:rsid w:val="00357D32"/>
    <w:rsid w:val="00360733"/>
    <w:rsid w:val="00363045"/>
    <w:rsid w:val="003630CC"/>
    <w:rsid w:val="0036605F"/>
    <w:rsid w:val="003679A7"/>
    <w:rsid w:val="0037048E"/>
    <w:rsid w:val="003708AB"/>
    <w:rsid w:val="0037184E"/>
    <w:rsid w:val="003719E5"/>
    <w:rsid w:val="003730E8"/>
    <w:rsid w:val="0037586F"/>
    <w:rsid w:val="003762D7"/>
    <w:rsid w:val="00376572"/>
    <w:rsid w:val="00376C48"/>
    <w:rsid w:val="003805DE"/>
    <w:rsid w:val="0038092B"/>
    <w:rsid w:val="003830C0"/>
    <w:rsid w:val="00384425"/>
    <w:rsid w:val="00385158"/>
    <w:rsid w:val="00385667"/>
    <w:rsid w:val="003858C1"/>
    <w:rsid w:val="003871C9"/>
    <w:rsid w:val="00390E18"/>
    <w:rsid w:val="0039107B"/>
    <w:rsid w:val="003916AD"/>
    <w:rsid w:val="00393042"/>
    <w:rsid w:val="00394CC2"/>
    <w:rsid w:val="00396E4D"/>
    <w:rsid w:val="00397FD4"/>
    <w:rsid w:val="003A2416"/>
    <w:rsid w:val="003A3EAD"/>
    <w:rsid w:val="003A4FA9"/>
    <w:rsid w:val="003A5BD5"/>
    <w:rsid w:val="003A618E"/>
    <w:rsid w:val="003A6FAD"/>
    <w:rsid w:val="003A7770"/>
    <w:rsid w:val="003B0855"/>
    <w:rsid w:val="003B0BE3"/>
    <w:rsid w:val="003B15EF"/>
    <w:rsid w:val="003B1D9C"/>
    <w:rsid w:val="003B2637"/>
    <w:rsid w:val="003B3292"/>
    <w:rsid w:val="003B42CD"/>
    <w:rsid w:val="003B43B0"/>
    <w:rsid w:val="003B488C"/>
    <w:rsid w:val="003B4FA2"/>
    <w:rsid w:val="003B537F"/>
    <w:rsid w:val="003B53EA"/>
    <w:rsid w:val="003B70FA"/>
    <w:rsid w:val="003B7AE3"/>
    <w:rsid w:val="003C0C84"/>
    <w:rsid w:val="003C0D66"/>
    <w:rsid w:val="003C1149"/>
    <w:rsid w:val="003C1177"/>
    <w:rsid w:val="003C124A"/>
    <w:rsid w:val="003C1B3D"/>
    <w:rsid w:val="003C495A"/>
    <w:rsid w:val="003C5454"/>
    <w:rsid w:val="003C5547"/>
    <w:rsid w:val="003C5A8E"/>
    <w:rsid w:val="003C5B7A"/>
    <w:rsid w:val="003D02A5"/>
    <w:rsid w:val="003D050A"/>
    <w:rsid w:val="003D300B"/>
    <w:rsid w:val="003D3096"/>
    <w:rsid w:val="003D51EF"/>
    <w:rsid w:val="003D52D2"/>
    <w:rsid w:val="003D5373"/>
    <w:rsid w:val="003D5C90"/>
    <w:rsid w:val="003D5D73"/>
    <w:rsid w:val="003D6929"/>
    <w:rsid w:val="003D6EC7"/>
    <w:rsid w:val="003E1B02"/>
    <w:rsid w:val="003E4032"/>
    <w:rsid w:val="003E71CB"/>
    <w:rsid w:val="003F110C"/>
    <w:rsid w:val="003F2397"/>
    <w:rsid w:val="003F3222"/>
    <w:rsid w:val="003F36AA"/>
    <w:rsid w:val="003F5563"/>
    <w:rsid w:val="003F5822"/>
    <w:rsid w:val="003F67B0"/>
    <w:rsid w:val="003F6FB8"/>
    <w:rsid w:val="003F76F5"/>
    <w:rsid w:val="003F7949"/>
    <w:rsid w:val="00402AA7"/>
    <w:rsid w:val="00402BBE"/>
    <w:rsid w:val="004050B8"/>
    <w:rsid w:val="00406016"/>
    <w:rsid w:val="00406ACC"/>
    <w:rsid w:val="0040769E"/>
    <w:rsid w:val="00413D9D"/>
    <w:rsid w:val="0041666C"/>
    <w:rsid w:val="00420681"/>
    <w:rsid w:val="00422CFD"/>
    <w:rsid w:val="00423D20"/>
    <w:rsid w:val="00424212"/>
    <w:rsid w:val="0042446F"/>
    <w:rsid w:val="004245B1"/>
    <w:rsid w:val="004301B4"/>
    <w:rsid w:val="00430795"/>
    <w:rsid w:val="00431383"/>
    <w:rsid w:val="004313CA"/>
    <w:rsid w:val="0043191F"/>
    <w:rsid w:val="00435E98"/>
    <w:rsid w:val="0043632A"/>
    <w:rsid w:val="004403AA"/>
    <w:rsid w:val="004406B3"/>
    <w:rsid w:val="0044424E"/>
    <w:rsid w:val="0044525C"/>
    <w:rsid w:val="0044679B"/>
    <w:rsid w:val="004554FF"/>
    <w:rsid w:val="00456E3F"/>
    <w:rsid w:val="00460983"/>
    <w:rsid w:val="004623D7"/>
    <w:rsid w:val="00462655"/>
    <w:rsid w:val="0046365B"/>
    <w:rsid w:val="00464417"/>
    <w:rsid w:val="0046466E"/>
    <w:rsid w:val="0046670C"/>
    <w:rsid w:val="00466D76"/>
    <w:rsid w:val="00466D79"/>
    <w:rsid w:val="0046738B"/>
    <w:rsid w:val="00467B12"/>
    <w:rsid w:val="00472FDE"/>
    <w:rsid w:val="00473D90"/>
    <w:rsid w:val="00474CD5"/>
    <w:rsid w:val="00475369"/>
    <w:rsid w:val="004766D9"/>
    <w:rsid w:val="00480B43"/>
    <w:rsid w:val="00481F10"/>
    <w:rsid w:val="0048359A"/>
    <w:rsid w:val="00483BE7"/>
    <w:rsid w:val="00485236"/>
    <w:rsid w:val="004859EB"/>
    <w:rsid w:val="00486D01"/>
    <w:rsid w:val="00487029"/>
    <w:rsid w:val="004902CC"/>
    <w:rsid w:val="00491A27"/>
    <w:rsid w:val="004933CE"/>
    <w:rsid w:val="00494F27"/>
    <w:rsid w:val="0049531A"/>
    <w:rsid w:val="00495D97"/>
    <w:rsid w:val="00497E5D"/>
    <w:rsid w:val="004A09D5"/>
    <w:rsid w:val="004A623D"/>
    <w:rsid w:val="004A6CA3"/>
    <w:rsid w:val="004A717F"/>
    <w:rsid w:val="004A7182"/>
    <w:rsid w:val="004B0534"/>
    <w:rsid w:val="004B0FBF"/>
    <w:rsid w:val="004B2E22"/>
    <w:rsid w:val="004B494C"/>
    <w:rsid w:val="004B53C7"/>
    <w:rsid w:val="004B6634"/>
    <w:rsid w:val="004B78AB"/>
    <w:rsid w:val="004B7FBD"/>
    <w:rsid w:val="004C277B"/>
    <w:rsid w:val="004C3922"/>
    <w:rsid w:val="004C4397"/>
    <w:rsid w:val="004C4F8D"/>
    <w:rsid w:val="004C6D30"/>
    <w:rsid w:val="004D01F1"/>
    <w:rsid w:val="004D1C5D"/>
    <w:rsid w:val="004D3F3C"/>
    <w:rsid w:val="004D433E"/>
    <w:rsid w:val="004D489C"/>
    <w:rsid w:val="004D6D06"/>
    <w:rsid w:val="004E0E89"/>
    <w:rsid w:val="004E105A"/>
    <w:rsid w:val="004E1528"/>
    <w:rsid w:val="004E19A4"/>
    <w:rsid w:val="004E1C50"/>
    <w:rsid w:val="004E20BC"/>
    <w:rsid w:val="004E274B"/>
    <w:rsid w:val="004E2BCD"/>
    <w:rsid w:val="004E5E18"/>
    <w:rsid w:val="004E6241"/>
    <w:rsid w:val="004E70F4"/>
    <w:rsid w:val="004F016C"/>
    <w:rsid w:val="004F1D1E"/>
    <w:rsid w:val="004F2151"/>
    <w:rsid w:val="004F40AA"/>
    <w:rsid w:val="004F4E51"/>
    <w:rsid w:val="004F53E5"/>
    <w:rsid w:val="004F5637"/>
    <w:rsid w:val="004F6A4A"/>
    <w:rsid w:val="004F73EA"/>
    <w:rsid w:val="00500360"/>
    <w:rsid w:val="005018DF"/>
    <w:rsid w:val="00502A4F"/>
    <w:rsid w:val="00502BA4"/>
    <w:rsid w:val="005037CD"/>
    <w:rsid w:val="00506324"/>
    <w:rsid w:val="00507CA4"/>
    <w:rsid w:val="00510F19"/>
    <w:rsid w:val="00512290"/>
    <w:rsid w:val="00512DFB"/>
    <w:rsid w:val="005141FF"/>
    <w:rsid w:val="0051509D"/>
    <w:rsid w:val="005158D1"/>
    <w:rsid w:val="00515992"/>
    <w:rsid w:val="00517176"/>
    <w:rsid w:val="00521F2C"/>
    <w:rsid w:val="005222F8"/>
    <w:rsid w:val="005245EB"/>
    <w:rsid w:val="00524D67"/>
    <w:rsid w:val="0052607D"/>
    <w:rsid w:val="0052691B"/>
    <w:rsid w:val="00526AC7"/>
    <w:rsid w:val="00526EA3"/>
    <w:rsid w:val="005276D3"/>
    <w:rsid w:val="00527FBC"/>
    <w:rsid w:val="0053136C"/>
    <w:rsid w:val="00531784"/>
    <w:rsid w:val="00533C76"/>
    <w:rsid w:val="005346E7"/>
    <w:rsid w:val="0053594D"/>
    <w:rsid w:val="00537882"/>
    <w:rsid w:val="00537E3C"/>
    <w:rsid w:val="005432E9"/>
    <w:rsid w:val="00543E8F"/>
    <w:rsid w:val="00544223"/>
    <w:rsid w:val="0054612C"/>
    <w:rsid w:val="00546BE5"/>
    <w:rsid w:val="0054772E"/>
    <w:rsid w:val="005511B3"/>
    <w:rsid w:val="0055130C"/>
    <w:rsid w:val="00552434"/>
    <w:rsid w:val="005556B2"/>
    <w:rsid w:val="005560FC"/>
    <w:rsid w:val="005603B2"/>
    <w:rsid w:val="00561290"/>
    <w:rsid w:val="00561BF3"/>
    <w:rsid w:val="00561E48"/>
    <w:rsid w:val="00562EA4"/>
    <w:rsid w:val="00563ED2"/>
    <w:rsid w:val="00564BD8"/>
    <w:rsid w:val="00564C74"/>
    <w:rsid w:val="0056648B"/>
    <w:rsid w:val="0057143D"/>
    <w:rsid w:val="00574E10"/>
    <w:rsid w:val="00577BCC"/>
    <w:rsid w:val="00581544"/>
    <w:rsid w:val="005839FC"/>
    <w:rsid w:val="00584037"/>
    <w:rsid w:val="0058449D"/>
    <w:rsid w:val="005850D8"/>
    <w:rsid w:val="005850F7"/>
    <w:rsid w:val="00586FEC"/>
    <w:rsid w:val="00590235"/>
    <w:rsid w:val="00591C90"/>
    <w:rsid w:val="005929C3"/>
    <w:rsid w:val="00595233"/>
    <w:rsid w:val="0059576F"/>
    <w:rsid w:val="005A0638"/>
    <w:rsid w:val="005A0A75"/>
    <w:rsid w:val="005A1946"/>
    <w:rsid w:val="005A30F3"/>
    <w:rsid w:val="005A3F11"/>
    <w:rsid w:val="005A619C"/>
    <w:rsid w:val="005B00FD"/>
    <w:rsid w:val="005B219E"/>
    <w:rsid w:val="005B2392"/>
    <w:rsid w:val="005B23EC"/>
    <w:rsid w:val="005B241D"/>
    <w:rsid w:val="005B3014"/>
    <w:rsid w:val="005B3936"/>
    <w:rsid w:val="005B6415"/>
    <w:rsid w:val="005B73E8"/>
    <w:rsid w:val="005B7D14"/>
    <w:rsid w:val="005C061C"/>
    <w:rsid w:val="005C0973"/>
    <w:rsid w:val="005C135F"/>
    <w:rsid w:val="005C162F"/>
    <w:rsid w:val="005C1EEB"/>
    <w:rsid w:val="005C2155"/>
    <w:rsid w:val="005C3077"/>
    <w:rsid w:val="005C397E"/>
    <w:rsid w:val="005C39E4"/>
    <w:rsid w:val="005C4B6A"/>
    <w:rsid w:val="005C51D6"/>
    <w:rsid w:val="005C5723"/>
    <w:rsid w:val="005C6487"/>
    <w:rsid w:val="005C6F70"/>
    <w:rsid w:val="005C7676"/>
    <w:rsid w:val="005D070F"/>
    <w:rsid w:val="005D191A"/>
    <w:rsid w:val="005D2600"/>
    <w:rsid w:val="005D26F6"/>
    <w:rsid w:val="005D37B5"/>
    <w:rsid w:val="005D44C7"/>
    <w:rsid w:val="005D452F"/>
    <w:rsid w:val="005D5713"/>
    <w:rsid w:val="005D60A9"/>
    <w:rsid w:val="005D7397"/>
    <w:rsid w:val="005D7F5C"/>
    <w:rsid w:val="005E028A"/>
    <w:rsid w:val="005E0C2D"/>
    <w:rsid w:val="005E2B21"/>
    <w:rsid w:val="005E33A3"/>
    <w:rsid w:val="005E68BD"/>
    <w:rsid w:val="005E69A2"/>
    <w:rsid w:val="005E7451"/>
    <w:rsid w:val="005E7581"/>
    <w:rsid w:val="005E7E9B"/>
    <w:rsid w:val="005F0C72"/>
    <w:rsid w:val="005F1F25"/>
    <w:rsid w:val="005F21C2"/>
    <w:rsid w:val="005F2A80"/>
    <w:rsid w:val="005F2A8D"/>
    <w:rsid w:val="005F5D44"/>
    <w:rsid w:val="005F62E1"/>
    <w:rsid w:val="005F7E42"/>
    <w:rsid w:val="00600C74"/>
    <w:rsid w:val="0060204F"/>
    <w:rsid w:val="00602AC3"/>
    <w:rsid w:val="00603B50"/>
    <w:rsid w:val="00607B45"/>
    <w:rsid w:val="0061171B"/>
    <w:rsid w:val="00613450"/>
    <w:rsid w:val="00613D62"/>
    <w:rsid w:val="00614D1E"/>
    <w:rsid w:val="006163F0"/>
    <w:rsid w:val="00617337"/>
    <w:rsid w:val="00617903"/>
    <w:rsid w:val="00620541"/>
    <w:rsid w:val="006208D6"/>
    <w:rsid w:val="0062176E"/>
    <w:rsid w:val="00624E8B"/>
    <w:rsid w:val="00625B92"/>
    <w:rsid w:val="00625F1D"/>
    <w:rsid w:val="00626B5B"/>
    <w:rsid w:val="006302DE"/>
    <w:rsid w:val="00633852"/>
    <w:rsid w:val="00635BC3"/>
    <w:rsid w:val="00635F49"/>
    <w:rsid w:val="0063639D"/>
    <w:rsid w:val="0063648E"/>
    <w:rsid w:val="00636ECF"/>
    <w:rsid w:val="00637012"/>
    <w:rsid w:val="006373A6"/>
    <w:rsid w:val="00643035"/>
    <w:rsid w:val="006454CA"/>
    <w:rsid w:val="006466FA"/>
    <w:rsid w:val="00646CAB"/>
    <w:rsid w:val="0065070E"/>
    <w:rsid w:val="00651DAE"/>
    <w:rsid w:val="006524CF"/>
    <w:rsid w:val="00653E43"/>
    <w:rsid w:val="00657C75"/>
    <w:rsid w:val="00660663"/>
    <w:rsid w:val="00660F0F"/>
    <w:rsid w:val="00662D59"/>
    <w:rsid w:val="00664288"/>
    <w:rsid w:val="00665AEC"/>
    <w:rsid w:val="00666EE4"/>
    <w:rsid w:val="00673307"/>
    <w:rsid w:val="006747BD"/>
    <w:rsid w:val="00674926"/>
    <w:rsid w:val="0067494F"/>
    <w:rsid w:val="00675409"/>
    <w:rsid w:val="00676FD8"/>
    <w:rsid w:val="00677D9B"/>
    <w:rsid w:val="00680FF1"/>
    <w:rsid w:val="00682882"/>
    <w:rsid w:val="0068299C"/>
    <w:rsid w:val="00683AFF"/>
    <w:rsid w:val="0068680C"/>
    <w:rsid w:val="006869F8"/>
    <w:rsid w:val="00687ADB"/>
    <w:rsid w:val="00690952"/>
    <w:rsid w:val="006913F6"/>
    <w:rsid w:val="00694683"/>
    <w:rsid w:val="00694A9C"/>
    <w:rsid w:val="00697891"/>
    <w:rsid w:val="006A0490"/>
    <w:rsid w:val="006A05D2"/>
    <w:rsid w:val="006A2EBA"/>
    <w:rsid w:val="006A5AA7"/>
    <w:rsid w:val="006A6505"/>
    <w:rsid w:val="006A77D7"/>
    <w:rsid w:val="006B00BF"/>
    <w:rsid w:val="006B057C"/>
    <w:rsid w:val="006B1D78"/>
    <w:rsid w:val="006B28FC"/>
    <w:rsid w:val="006B2906"/>
    <w:rsid w:val="006B524F"/>
    <w:rsid w:val="006C1060"/>
    <w:rsid w:val="006C400C"/>
    <w:rsid w:val="006C468E"/>
    <w:rsid w:val="006C4B32"/>
    <w:rsid w:val="006C5910"/>
    <w:rsid w:val="006D0144"/>
    <w:rsid w:val="006D04E6"/>
    <w:rsid w:val="006D06F3"/>
    <w:rsid w:val="006D0AE9"/>
    <w:rsid w:val="006D0C0B"/>
    <w:rsid w:val="006D2D30"/>
    <w:rsid w:val="006D6C1E"/>
    <w:rsid w:val="006E24D9"/>
    <w:rsid w:val="006E3C18"/>
    <w:rsid w:val="006E4DAB"/>
    <w:rsid w:val="006E5146"/>
    <w:rsid w:val="006E59E8"/>
    <w:rsid w:val="006E7517"/>
    <w:rsid w:val="006F00A3"/>
    <w:rsid w:val="006F0C46"/>
    <w:rsid w:val="006F4A00"/>
    <w:rsid w:val="006F5E23"/>
    <w:rsid w:val="006F65BF"/>
    <w:rsid w:val="006F749A"/>
    <w:rsid w:val="006F7A4B"/>
    <w:rsid w:val="00700914"/>
    <w:rsid w:val="00702F51"/>
    <w:rsid w:val="00703AB2"/>
    <w:rsid w:val="0070412E"/>
    <w:rsid w:val="00705F1C"/>
    <w:rsid w:val="007069EA"/>
    <w:rsid w:val="00707D48"/>
    <w:rsid w:val="007105DA"/>
    <w:rsid w:val="00710BBD"/>
    <w:rsid w:val="00710F76"/>
    <w:rsid w:val="007130AA"/>
    <w:rsid w:val="0071371C"/>
    <w:rsid w:val="00713742"/>
    <w:rsid w:val="00713749"/>
    <w:rsid w:val="00713864"/>
    <w:rsid w:val="0071426D"/>
    <w:rsid w:val="00714749"/>
    <w:rsid w:val="00716CAB"/>
    <w:rsid w:val="00721B9E"/>
    <w:rsid w:val="00722098"/>
    <w:rsid w:val="007223F3"/>
    <w:rsid w:val="007226B0"/>
    <w:rsid w:val="007230F4"/>
    <w:rsid w:val="00724F0B"/>
    <w:rsid w:val="00726DB1"/>
    <w:rsid w:val="007276AC"/>
    <w:rsid w:val="00730D1E"/>
    <w:rsid w:val="00732150"/>
    <w:rsid w:val="00735473"/>
    <w:rsid w:val="007416BF"/>
    <w:rsid w:val="00742DDA"/>
    <w:rsid w:val="007437FB"/>
    <w:rsid w:val="00744188"/>
    <w:rsid w:val="007451ED"/>
    <w:rsid w:val="00745951"/>
    <w:rsid w:val="00746570"/>
    <w:rsid w:val="00747162"/>
    <w:rsid w:val="0074726C"/>
    <w:rsid w:val="00747A22"/>
    <w:rsid w:val="00747A40"/>
    <w:rsid w:val="007515D3"/>
    <w:rsid w:val="007543AC"/>
    <w:rsid w:val="00754DC8"/>
    <w:rsid w:val="007562BC"/>
    <w:rsid w:val="00756FFD"/>
    <w:rsid w:val="007570C5"/>
    <w:rsid w:val="007628E5"/>
    <w:rsid w:val="00764044"/>
    <w:rsid w:val="00764BCC"/>
    <w:rsid w:val="00765D1C"/>
    <w:rsid w:val="00765D50"/>
    <w:rsid w:val="007664A0"/>
    <w:rsid w:val="00767F33"/>
    <w:rsid w:val="00770C1D"/>
    <w:rsid w:val="00773208"/>
    <w:rsid w:val="00776C54"/>
    <w:rsid w:val="00777923"/>
    <w:rsid w:val="00780054"/>
    <w:rsid w:val="0078138C"/>
    <w:rsid w:val="00782138"/>
    <w:rsid w:val="0078349E"/>
    <w:rsid w:val="00784836"/>
    <w:rsid w:val="00785DE0"/>
    <w:rsid w:val="00793CB2"/>
    <w:rsid w:val="0079555D"/>
    <w:rsid w:val="00795CC9"/>
    <w:rsid w:val="00796789"/>
    <w:rsid w:val="007A11A8"/>
    <w:rsid w:val="007A2E76"/>
    <w:rsid w:val="007A3508"/>
    <w:rsid w:val="007A36B1"/>
    <w:rsid w:val="007A3973"/>
    <w:rsid w:val="007A48F8"/>
    <w:rsid w:val="007A513B"/>
    <w:rsid w:val="007A5B8C"/>
    <w:rsid w:val="007A6FD5"/>
    <w:rsid w:val="007B0CF0"/>
    <w:rsid w:val="007B37DB"/>
    <w:rsid w:val="007B42A1"/>
    <w:rsid w:val="007B4BA9"/>
    <w:rsid w:val="007B58C6"/>
    <w:rsid w:val="007B6677"/>
    <w:rsid w:val="007B67D6"/>
    <w:rsid w:val="007B7369"/>
    <w:rsid w:val="007C1399"/>
    <w:rsid w:val="007C1985"/>
    <w:rsid w:val="007C1A3E"/>
    <w:rsid w:val="007C469D"/>
    <w:rsid w:val="007C549C"/>
    <w:rsid w:val="007C58FF"/>
    <w:rsid w:val="007C5C72"/>
    <w:rsid w:val="007C717D"/>
    <w:rsid w:val="007C7D49"/>
    <w:rsid w:val="007D0431"/>
    <w:rsid w:val="007D145A"/>
    <w:rsid w:val="007D182B"/>
    <w:rsid w:val="007D3095"/>
    <w:rsid w:val="007D4032"/>
    <w:rsid w:val="007D6E9B"/>
    <w:rsid w:val="007E2815"/>
    <w:rsid w:val="007E2EF6"/>
    <w:rsid w:val="007E3D9B"/>
    <w:rsid w:val="007E3DCF"/>
    <w:rsid w:val="007E3E78"/>
    <w:rsid w:val="007E573B"/>
    <w:rsid w:val="007E7E44"/>
    <w:rsid w:val="007F4BD1"/>
    <w:rsid w:val="007F6D3F"/>
    <w:rsid w:val="00802EFD"/>
    <w:rsid w:val="00803EBB"/>
    <w:rsid w:val="008047AA"/>
    <w:rsid w:val="008047F0"/>
    <w:rsid w:val="00812423"/>
    <w:rsid w:val="0081262E"/>
    <w:rsid w:val="008135D9"/>
    <w:rsid w:val="0081366B"/>
    <w:rsid w:val="00814010"/>
    <w:rsid w:val="008152EF"/>
    <w:rsid w:val="00815AFA"/>
    <w:rsid w:val="00816500"/>
    <w:rsid w:val="00816CD9"/>
    <w:rsid w:val="00820ADF"/>
    <w:rsid w:val="008214E6"/>
    <w:rsid w:val="008234B1"/>
    <w:rsid w:val="0082716D"/>
    <w:rsid w:val="008274A3"/>
    <w:rsid w:val="00834E99"/>
    <w:rsid w:val="00836736"/>
    <w:rsid w:val="008372ED"/>
    <w:rsid w:val="00841806"/>
    <w:rsid w:val="0084291F"/>
    <w:rsid w:val="0084300B"/>
    <w:rsid w:val="00846CEC"/>
    <w:rsid w:val="00846F2D"/>
    <w:rsid w:val="00847424"/>
    <w:rsid w:val="00852403"/>
    <w:rsid w:val="00853386"/>
    <w:rsid w:val="00856CE1"/>
    <w:rsid w:val="00857463"/>
    <w:rsid w:val="0085758F"/>
    <w:rsid w:val="00860B04"/>
    <w:rsid w:val="00861260"/>
    <w:rsid w:val="00861560"/>
    <w:rsid w:val="0086194E"/>
    <w:rsid w:val="00861EFC"/>
    <w:rsid w:val="00862424"/>
    <w:rsid w:val="008640A7"/>
    <w:rsid w:val="00866C95"/>
    <w:rsid w:val="00867269"/>
    <w:rsid w:val="00867975"/>
    <w:rsid w:val="00870627"/>
    <w:rsid w:val="008728A2"/>
    <w:rsid w:val="0087392D"/>
    <w:rsid w:val="0087426D"/>
    <w:rsid w:val="00874ABB"/>
    <w:rsid w:val="00875745"/>
    <w:rsid w:val="00876306"/>
    <w:rsid w:val="00877254"/>
    <w:rsid w:val="00877D04"/>
    <w:rsid w:val="00881921"/>
    <w:rsid w:val="00881E58"/>
    <w:rsid w:val="008823F2"/>
    <w:rsid w:val="00883ABE"/>
    <w:rsid w:val="00883EDA"/>
    <w:rsid w:val="0088469F"/>
    <w:rsid w:val="0088606A"/>
    <w:rsid w:val="00887D61"/>
    <w:rsid w:val="00887FD0"/>
    <w:rsid w:val="008907BA"/>
    <w:rsid w:val="00890C73"/>
    <w:rsid w:val="008911F3"/>
    <w:rsid w:val="0089278D"/>
    <w:rsid w:val="0089436B"/>
    <w:rsid w:val="00894959"/>
    <w:rsid w:val="0089495D"/>
    <w:rsid w:val="00894EB9"/>
    <w:rsid w:val="00895839"/>
    <w:rsid w:val="00895DF4"/>
    <w:rsid w:val="00896AFA"/>
    <w:rsid w:val="00896F5D"/>
    <w:rsid w:val="008973CD"/>
    <w:rsid w:val="00897C8F"/>
    <w:rsid w:val="008A1C1A"/>
    <w:rsid w:val="008A1E8C"/>
    <w:rsid w:val="008A243D"/>
    <w:rsid w:val="008A2AFF"/>
    <w:rsid w:val="008A2CB1"/>
    <w:rsid w:val="008A37E0"/>
    <w:rsid w:val="008A38C2"/>
    <w:rsid w:val="008A4A98"/>
    <w:rsid w:val="008A6F1D"/>
    <w:rsid w:val="008A746C"/>
    <w:rsid w:val="008B0B36"/>
    <w:rsid w:val="008B27C4"/>
    <w:rsid w:val="008B5FE6"/>
    <w:rsid w:val="008C04ED"/>
    <w:rsid w:val="008C0AD5"/>
    <w:rsid w:val="008C0C21"/>
    <w:rsid w:val="008C12DF"/>
    <w:rsid w:val="008C2364"/>
    <w:rsid w:val="008C2589"/>
    <w:rsid w:val="008C2B7C"/>
    <w:rsid w:val="008C3F9A"/>
    <w:rsid w:val="008C4205"/>
    <w:rsid w:val="008C58EA"/>
    <w:rsid w:val="008C6813"/>
    <w:rsid w:val="008C6FDA"/>
    <w:rsid w:val="008D0D9C"/>
    <w:rsid w:val="008D123A"/>
    <w:rsid w:val="008D14BC"/>
    <w:rsid w:val="008D2897"/>
    <w:rsid w:val="008D561A"/>
    <w:rsid w:val="008D5A30"/>
    <w:rsid w:val="008D5EEA"/>
    <w:rsid w:val="008D6541"/>
    <w:rsid w:val="008D6F4B"/>
    <w:rsid w:val="008E0D14"/>
    <w:rsid w:val="008E0E3D"/>
    <w:rsid w:val="008E1A89"/>
    <w:rsid w:val="008E3874"/>
    <w:rsid w:val="008F1347"/>
    <w:rsid w:val="008F19D1"/>
    <w:rsid w:val="008F20BF"/>
    <w:rsid w:val="008F217E"/>
    <w:rsid w:val="008F5482"/>
    <w:rsid w:val="008F6CE3"/>
    <w:rsid w:val="008F7000"/>
    <w:rsid w:val="008F780D"/>
    <w:rsid w:val="008F7C17"/>
    <w:rsid w:val="00900065"/>
    <w:rsid w:val="0090166D"/>
    <w:rsid w:val="00901CF1"/>
    <w:rsid w:val="00904DE9"/>
    <w:rsid w:val="0090537E"/>
    <w:rsid w:val="009071AD"/>
    <w:rsid w:val="00910348"/>
    <w:rsid w:val="00911DF7"/>
    <w:rsid w:val="00912745"/>
    <w:rsid w:val="009134C8"/>
    <w:rsid w:val="009165F7"/>
    <w:rsid w:val="00917149"/>
    <w:rsid w:val="00917440"/>
    <w:rsid w:val="0092140E"/>
    <w:rsid w:val="00921EAA"/>
    <w:rsid w:val="009221D7"/>
    <w:rsid w:val="00923DD7"/>
    <w:rsid w:val="00925038"/>
    <w:rsid w:val="0092607E"/>
    <w:rsid w:val="0092698D"/>
    <w:rsid w:val="00930B2D"/>
    <w:rsid w:val="00930C54"/>
    <w:rsid w:val="009341F0"/>
    <w:rsid w:val="00934E33"/>
    <w:rsid w:val="00935B91"/>
    <w:rsid w:val="00936704"/>
    <w:rsid w:val="009368E7"/>
    <w:rsid w:val="00936905"/>
    <w:rsid w:val="009376D2"/>
    <w:rsid w:val="00940980"/>
    <w:rsid w:val="0094455F"/>
    <w:rsid w:val="0094669F"/>
    <w:rsid w:val="00946F47"/>
    <w:rsid w:val="0094721B"/>
    <w:rsid w:val="009474BA"/>
    <w:rsid w:val="00950789"/>
    <w:rsid w:val="00950FB0"/>
    <w:rsid w:val="0095473F"/>
    <w:rsid w:val="00954942"/>
    <w:rsid w:val="009561BC"/>
    <w:rsid w:val="0095648E"/>
    <w:rsid w:val="00956A10"/>
    <w:rsid w:val="009579DF"/>
    <w:rsid w:val="009603FF"/>
    <w:rsid w:val="00960F2E"/>
    <w:rsid w:val="00961881"/>
    <w:rsid w:val="009618ED"/>
    <w:rsid w:val="0096397B"/>
    <w:rsid w:val="009645FF"/>
    <w:rsid w:val="00967A31"/>
    <w:rsid w:val="00967CF5"/>
    <w:rsid w:val="00971BE3"/>
    <w:rsid w:val="00971D86"/>
    <w:rsid w:val="00972D4D"/>
    <w:rsid w:val="00972FA9"/>
    <w:rsid w:val="009739C3"/>
    <w:rsid w:val="00973DE6"/>
    <w:rsid w:val="00974166"/>
    <w:rsid w:val="009748E2"/>
    <w:rsid w:val="00974C27"/>
    <w:rsid w:val="00981F3E"/>
    <w:rsid w:val="009836FE"/>
    <w:rsid w:val="0098417B"/>
    <w:rsid w:val="0098470E"/>
    <w:rsid w:val="00984CD0"/>
    <w:rsid w:val="00986284"/>
    <w:rsid w:val="00986502"/>
    <w:rsid w:val="00987C6B"/>
    <w:rsid w:val="00987C70"/>
    <w:rsid w:val="009916C7"/>
    <w:rsid w:val="00993701"/>
    <w:rsid w:val="009946B2"/>
    <w:rsid w:val="009948C2"/>
    <w:rsid w:val="00995AAC"/>
    <w:rsid w:val="009A05DD"/>
    <w:rsid w:val="009A23AB"/>
    <w:rsid w:val="009A3A44"/>
    <w:rsid w:val="009A4117"/>
    <w:rsid w:val="009A6A91"/>
    <w:rsid w:val="009A7F43"/>
    <w:rsid w:val="009B175E"/>
    <w:rsid w:val="009B2E31"/>
    <w:rsid w:val="009B3C64"/>
    <w:rsid w:val="009B3F1C"/>
    <w:rsid w:val="009B3F26"/>
    <w:rsid w:val="009B6B8B"/>
    <w:rsid w:val="009B6EF6"/>
    <w:rsid w:val="009C028B"/>
    <w:rsid w:val="009C1468"/>
    <w:rsid w:val="009C1C71"/>
    <w:rsid w:val="009C4FC3"/>
    <w:rsid w:val="009C51AD"/>
    <w:rsid w:val="009C6B49"/>
    <w:rsid w:val="009C71DC"/>
    <w:rsid w:val="009D0848"/>
    <w:rsid w:val="009D246D"/>
    <w:rsid w:val="009D4668"/>
    <w:rsid w:val="009D7EA2"/>
    <w:rsid w:val="009E1181"/>
    <w:rsid w:val="009E1AA7"/>
    <w:rsid w:val="009E3234"/>
    <w:rsid w:val="009E62F3"/>
    <w:rsid w:val="009E7115"/>
    <w:rsid w:val="009E722C"/>
    <w:rsid w:val="009E7619"/>
    <w:rsid w:val="009E7FC2"/>
    <w:rsid w:val="009F0A9A"/>
    <w:rsid w:val="009F5AD2"/>
    <w:rsid w:val="009F5EDB"/>
    <w:rsid w:val="009F7089"/>
    <w:rsid w:val="009F7259"/>
    <w:rsid w:val="00A00D13"/>
    <w:rsid w:val="00A0251F"/>
    <w:rsid w:val="00A0405F"/>
    <w:rsid w:val="00A047DA"/>
    <w:rsid w:val="00A05520"/>
    <w:rsid w:val="00A0614F"/>
    <w:rsid w:val="00A07E79"/>
    <w:rsid w:val="00A110E3"/>
    <w:rsid w:val="00A12861"/>
    <w:rsid w:val="00A1479E"/>
    <w:rsid w:val="00A15198"/>
    <w:rsid w:val="00A154E9"/>
    <w:rsid w:val="00A15FF1"/>
    <w:rsid w:val="00A16042"/>
    <w:rsid w:val="00A26CA0"/>
    <w:rsid w:val="00A2751B"/>
    <w:rsid w:val="00A27651"/>
    <w:rsid w:val="00A27829"/>
    <w:rsid w:val="00A318E5"/>
    <w:rsid w:val="00A33FD1"/>
    <w:rsid w:val="00A3511B"/>
    <w:rsid w:val="00A35DFA"/>
    <w:rsid w:val="00A372ED"/>
    <w:rsid w:val="00A410F5"/>
    <w:rsid w:val="00A4120F"/>
    <w:rsid w:val="00A438C5"/>
    <w:rsid w:val="00A44335"/>
    <w:rsid w:val="00A44D37"/>
    <w:rsid w:val="00A44DE4"/>
    <w:rsid w:val="00A46B83"/>
    <w:rsid w:val="00A46DD6"/>
    <w:rsid w:val="00A47205"/>
    <w:rsid w:val="00A472DE"/>
    <w:rsid w:val="00A477C5"/>
    <w:rsid w:val="00A47CAB"/>
    <w:rsid w:val="00A51500"/>
    <w:rsid w:val="00A520F5"/>
    <w:rsid w:val="00A52939"/>
    <w:rsid w:val="00A53E5C"/>
    <w:rsid w:val="00A53FAD"/>
    <w:rsid w:val="00A55443"/>
    <w:rsid w:val="00A55FC1"/>
    <w:rsid w:val="00A60E2A"/>
    <w:rsid w:val="00A61ED7"/>
    <w:rsid w:val="00A62B1C"/>
    <w:rsid w:val="00A62C21"/>
    <w:rsid w:val="00A6394B"/>
    <w:rsid w:val="00A660A0"/>
    <w:rsid w:val="00A666B2"/>
    <w:rsid w:val="00A67532"/>
    <w:rsid w:val="00A7059B"/>
    <w:rsid w:val="00A71578"/>
    <w:rsid w:val="00A722F1"/>
    <w:rsid w:val="00A727B7"/>
    <w:rsid w:val="00A72883"/>
    <w:rsid w:val="00A731F0"/>
    <w:rsid w:val="00A742A0"/>
    <w:rsid w:val="00A7554A"/>
    <w:rsid w:val="00A75DDB"/>
    <w:rsid w:val="00A77894"/>
    <w:rsid w:val="00A77902"/>
    <w:rsid w:val="00A8033E"/>
    <w:rsid w:val="00A810CD"/>
    <w:rsid w:val="00A8271C"/>
    <w:rsid w:val="00A836D0"/>
    <w:rsid w:val="00A8382B"/>
    <w:rsid w:val="00A83C79"/>
    <w:rsid w:val="00A86C6C"/>
    <w:rsid w:val="00A90B55"/>
    <w:rsid w:val="00A90F2F"/>
    <w:rsid w:val="00A91321"/>
    <w:rsid w:val="00A91AB4"/>
    <w:rsid w:val="00A92AB5"/>
    <w:rsid w:val="00A9344D"/>
    <w:rsid w:val="00A93FD7"/>
    <w:rsid w:val="00A941C7"/>
    <w:rsid w:val="00A97C46"/>
    <w:rsid w:val="00AA1E3C"/>
    <w:rsid w:val="00AA27D9"/>
    <w:rsid w:val="00AA286E"/>
    <w:rsid w:val="00AA34F0"/>
    <w:rsid w:val="00AA3DA6"/>
    <w:rsid w:val="00AA42BE"/>
    <w:rsid w:val="00AA43A9"/>
    <w:rsid w:val="00AA7056"/>
    <w:rsid w:val="00AA7780"/>
    <w:rsid w:val="00AB4403"/>
    <w:rsid w:val="00AB48F4"/>
    <w:rsid w:val="00AB4D59"/>
    <w:rsid w:val="00AB51BE"/>
    <w:rsid w:val="00AB5638"/>
    <w:rsid w:val="00AB5B15"/>
    <w:rsid w:val="00AB6E77"/>
    <w:rsid w:val="00AC0893"/>
    <w:rsid w:val="00AC1588"/>
    <w:rsid w:val="00AC2192"/>
    <w:rsid w:val="00AC2CFC"/>
    <w:rsid w:val="00AC35CA"/>
    <w:rsid w:val="00AC453F"/>
    <w:rsid w:val="00AC491E"/>
    <w:rsid w:val="00AC6309"/>
    <w:rsid w:val="00AC743C"/>
    <w:rsid w:val="00AD4B10"/>
    <w:rsid w:val="00AD65B7"/>
    <w:rsid w:val="00AD67EB"/>
    <w:rsid w:val="00AD77E2"/>
    <w:rsid w:val="00AD7F06"/>
    <w:rsid w:val="00AE10F2"/>
    <w:rsid w:val="00AE1744"/>
    <w:rsid w:val="00AE1A19"/>
    <w:rsid w:val="00AE1B23"/>
    <w:rsid w:val="00AE2362"/>
    <w:rsid w:val="00AE75DE"/>
    <w:rsid w:val="00AF1779"/>
    <w:rsid w:val="00AF43DA"/>
    <w:rsid w:val="00AF4633"/>
    <w:rsid w:val="00AF47A0"/>
    <w:rsid w:val="00AF52B1"/>
    <w:rsid w:val="00AF5DF7"/>
    <w:rsid w:val="00AF6B21"/>
    <w:rsid w:val="00AF7AB7"/>
    <w:rsid w:val="00B0064D"/>
    <w:rsid w:val="00B006F4"/>
    <w:rsid w:val="00B00A3E"/>
    <w:rsid w:val="00B012C1"/>
    <w:rsid w:val="00B017F8"/>
    <w:rsid w:val="00B01E5E"/>
    <w:rsid w:val="00B036A0"/>
    <w:rsid w:val="00B053C7"/>
    <w:rsid w:val="00B06B58"/>
    <w:rsid w:val="00B11BB2"/>
    <w:rsid w:val="00B1272D"/>
    <w:rsid w:val="00B13AFE"/>
    <w:rsid w:val="00B146CC"/>
    <w:rsid w:val="00B15E69"/>
    <w:rsid w:val="00B160B5"/>
    <w:rsid w:val="00B212E2"/>
    <w:rsid w:val="00B22432"/>
    <w:rsid w:val="00B25A1B"/>
    <w:rsid w:val="00B25A45"/>
    <w:rsid w:val="00B25B1B"/>
    <w:rsid w:val="00B30C2E"/>
    <w:rsid w:val="00B30D7C"/>
    <w:rsid w:val="00B311FF"/>
    <w:rsid w:val="00B31628"/>
    <w:rsid w:val="00B3397F"/>
    <w:rsid w:val="00B34251"/>
    <w:rsid w:val="00B34340"/>
    <w:rsid w:val="00B36333"/>
    <w:rsid w:val="00B40AC2"/>
    <w:rsid w:val="00B4119F"/>
    <w:rsid w:val="00B41550"/>
    <w:rsid w:val="00B4241B"/>
    <w:rsid w:val="00B444AA"/>
    <w:rsid w:val="00B446E9"/>
    <w:rsid w:val="00B44D5B"/>
    <w:rsid w:val="00B45186"/>
    <w:rsid w:val="00B45E5B"/>
    <w:rsid w:val="00B461DF"/>
    <w:rsid w:val="00B46233"/>
    <w:rsid w:val="00B46FF7"/>
    <w:rsid w:val="00B505BC"/>
    <w:rsid w:val="00B50EFF"/>
    <w:rsid w:val="00B51AD7"/>
    <w:rsid w:val="00B53D95"/>
    <w:rsid w:val="00B53F11"/>
    <w:rsid w:val="00B546E5"/>
    <w:rsid w:val="00B5694E"/>
    <w:rsid w:val="00B569BB"/>
    <w:rsid w:val="00B573C7"/>
    <w:rsid w:val="00B57A1D"/>
    <w:rsid w:val="00B57ED1"/>
    <w:rsid w:val="00B60489"/>
    <w:rsid w:val="00B627D4"/>
    <w:rsid w:val="00B66639"/>
    <w:rsid w:val="00B67018"/>
    <w:rsid w:val="00B7027E"/>
    <w:rsid w:val="00B70DC4"/>
    <w:rsid w:val="00B71FB4"/>
    <w:rsid w:val="00B7211A"/>
    <w:rsid w:val="00B73E96"/>
    <w:rsid w:val="00B772EA"/>
    <w:rsid w:val="00B77B70"/>
    <w:rsid w:val="00B816C5"/>
    <w:rsid w:val="00B81D7B"/>
    <w:rsid w:val="00B83C65"/>
    <w:rsid w:val="00B843DE"/>
    <w:rsid w:val="00B849EF"/>
    <w:rsid w:val="00B85939"/>
    <w:rsid w:val="00B85A97"/>
    <w:rsid w:val="00B86D4B"/>
    <w:rsid w:val="00B90A04"/>
    <w:rsid w:val="00B90BCE"/>
    <w:rsid w:val="00B914E5"/>
    <w:rsid w:val="00B91B09"/>
    <w:rsid w:val="00B921DB"/>
    <w:rsid w:val="00B923EF"/>
    <w:rsid w:val="00B93241"/>
    <w:rsid w:val="00B93D77"/>
    <w:rsid w:val="00B962EC"/>
    <w:rsid w:val="00B96465"/>
    <w:rsid w:val="00BA0E4E"/>
    <w:rsid w:val="00BA1FED"/>
    <w:rsid w:val="00BA5894"/>
    <w:rsid w:val="00BA5B90"/>
    <w:rsid w:val="00BA7B80"/>
    <w:rsid w:val="00BB02DA"/>
    <w:rsid w:val="00BB1ABB"/>
    <w:rsid w:val="00BB211E"/>
    <w:rsid w:val="00BB26F8"/>
    <w:rsid w:val="00BB4A81"/>
    <w:rsid w:val="00BB5449"/>
    <w:rsid w:val="00BC334F"/>
    <w:rsid w:val="00BC35E1"/>
    <w:rsid w:val="00BC3C84"/>
    <w:rsid w:val="00BC432D"/>
    <w:rsid w:val="00BC4485"/>
    <w:rsid w:val="00BC5B24"/>
    <w:rsid w:val="00BC71FB"/>
    <w:rsid w:val="00BC7F1C"/>
    <w:rsid w:val="00BD150A"/>
    <w:rsid w:val="00BD16F2"/>
    <w:rsid w:val="00BD3006"/>
    <w:rsid w:val="00BD7E38"/>
    <w:rsid w:val="00BE0435"/>
    <w:rsid w:val="00BE0874"/>
    <w:rsid w:val="00BE133A"/>
    <w:rsid w:val="00BE17D7"/>
    <w:rsid w:val="00BE1895"/>
    <w:rsid w:val="00BE1D8C"/>
    <w:rsid w:val="00BE273E"/>
    <w:rsid w:val="00BE401C"/>
    <w:rsid w:val="00BE4161"/>
    <w:rsid w:val="00BE455B"/>
    <w:rsid w:val="00BE51BC"/>
    <w:rsid w:val="00BE5764"/>
    <w:rsid w:val="00BE5FAE"/>
    <w:rsid w:val="00BE6727"/>
    <w:rsid w:val="00BE7E32"/>
    <w:rsid w:val="00BF0557"/>
    <w:rsid w:val="00BF059C"/>
    <w:rsid w:val="00BF246D"/>
    <w:rsid w:val="00BF47F7"/>
    <w:rsid w:val="00BF57FE"/>
    <w:rsid w:val="00BF7A8B"/>
    <w:rsid w:val="00C00DCD"/>
    <w:rsid w:val="00C01D73"/>
    <w:rsid w:val="00C01F74"/>
    <w:rsid w:val="00C021AC"/>
    <w:rsid w:val="00C0351B"/>
    <w:rsid w:val="00C059E8"/>
    <w:rsid w:val="00C05D06"/>
    <w:rsid w:val="00C066B4"/>
    <w:rsid w:val="00C07284"/>
    <w:rsid w:val="00C11FF6"/>
    <w:rsid w:val="00C14366"/>
    <w:rsid w:val="00C14A19"/>
    <w:rsid w:val="00C15D59"/>
    <w:rsid w:val="00C1661A"/>
    <w:rsid w:val="00C1724E"/>
    <w:rsid w:val="00C172A0"/>
    <w:rsid w:val="00C21829"/>
    <w:rsid w:val="00C21854"/>
    <w:rsid w:val="00C23455"/>
    <w:rsid w:val="00C23F8F"/>
    <w:rsid w:val="00C2550E"/>
    <w:rsid w:val="00C25832"/>
    <w:rsid w:val="00C25DF6"/>
    <w:rsid w:val="00C26012"/>
    <w:rsid w:val="00C278B5"/>
    <w:rsid w:val="00C27CDD"/>
    <w:rsid w:val="00C30911"/>
    <w:rsid w:val="00C315F6"/>
    <w:rsid w:val="00C324C6"/>
    <w:rsid w:val="00C32813"/>
    <w:rsid w:val="00C352EB"/>
    <w:rsid w:val="00C3694D"/>
    <w:rsid w:val="00C41C15"/>
    <w:rsid w:val="00C42CED"/>
    <w:rsid w:val="00C4448B"/>
    <w:rsid w:val="00C44846"/>
    <w:rsid w:val="00C461DB"/>
    <w:rsid w:val="00C476C3"/>
    <w:rsid w:val="00C50592"/>
    <w:rsid w:val="00C5167A"/>
    <w:rsid w:val="00C53FDC"/>
    <w:rsid w:val="00C5490A"/>
    <w:rsid w:val="00C556E5"/>
    <w:rsid w:val="00C55AE0"/>
    <w:rsid w:val="00C613B4"/>
    <w:rsid w:val="00C63971"/>
    <w:rsid w:val="00C63A4C"/>
    <w:rsid w:val="00C64191"/>
    <w:rsid w:val="00C64478"/>
    <w:rsid w:val="00C65DAB"/>
    <w:rsid w:val="00C675F9"/>
    <w:rsid w:val="00C72422"/>
    <w:rsid w:val="00C73FAD"/>
    <w:rsid w:val="00C74637"/>
    <w:rsid w:val="00C76DE5"/>
    <w:rsid w:val="00C77E94"/>
    <w:rsid w:val="00C807C3"/>
    <w:rsid w:val="00C80F12"/>
    <w:rsid w:val="00C81F90"/>
    <w:rsid w:val="00C8288C"/>
    <w:rsid w:val="00C8344F"/>
    <w:rsid w:val="00C837DC"/>
    <w:rsid w:val="00C841C4"/>
    <w:rsid w:val="00C84592"/>
    <w:rsid w:val="00C851D7"/>
    <w:rsid w:val="00C852AD"/>
    <w:rsid w:val="00C85B8D"/>
    <w:rsid w:val="00C8648C"/>
    <w:rsid w:val="00C86E1C"/>
    <w:rsid w:val="00C87335"/>
    <w:rsid w:val="00C87A16"/>
    <w:rsid w:val="00C87DBB"/>
    <w:rsid w:val="00C907B8"/>
    <w:rsid w:val="00C918CA"/>
    <w:rsid w:val="00C92303"/>
    <w:rsid w:val="00C92BD5"/>
    <w:rsid w:val="00C93F76"/>
    <w:rsid w:val="00C95B04"/>
    <w:rsid w:val="00CA1383"/>
    <w:rsid w:val="00CA1B54"/>
    <w:rsid w:val="00CA307E"/>
    <w:rsid w:val="00CA33C3"/>
    <w:rsid w:val="00CA3CDB"/>
    <w:rsid w:val="00CA51EA"/>
    <w:rsid w:val="00CA587B"/>
    <w:rsid w:val="00CB031D"/>
    <w:rsid w:val="00CB12B8"/>
    <w:rsid w:val="00CB1BAC"/>
    <w:rsid w:val="00CB1BAF"/>
    <w:rsid w:val="00CB2E75"/>
    <w:rsid w:val="00CB4120"/>
    <w:rsid w:val="00CB5C55"/>
    <w:rsid w:val="00CB6F84"/>
    <w:rsid w:val="00CC3ECC"/>
    <w:rsid w:val="00CC5376"/>
    <w:rsid w:val="00CC6CD8"/>
    <w:rsid w:val="00CD0B3B"/>
    <w:rsid w:val="00CD1C4A"/>
    <w:rsid w:val="00CD38F8"/>
    <w:rsid w:val="00CD3FF0"/>
    <w:rsid w:val="00CD4FAC"/>
    <w:rsid w:val="00CD5EB3"/>
    <w:rsid w:val="00CD722F"/>
    <w:rsid w:val="00CD7B08"/>
    <w:rsid w:val="00CD7B27"/>
    <w:rsid w:val="00CD7CCD"/>
    <w:rsid w:val="00CE00A7"/>
    <w:rsid w:val="00CE3109"/>
    <w:rsid w:val="00CE35EE"/>
    <w:rsid w:val="00CE39F1"/>
    <w:rsid w:val="00CE51E0"/>
    <w:rsid w:val="00CF1C14"/>
    <w:rsid w:val="00CF2231"/>
    <w:rsid w:val="00CF26E5"/>
    <w:rsid w:val="00CF4F4C"/>
    <w:rsid w:val="00CF544D"/>
    <w:rsid w:val="00CF56FC"/>
    <w:rsid w:val="00CF66FD"/>
    <w:rsid w:val="00CF7E65"/>
    <w:rsid w:val="00D003E9"/>
    <w:rsid w:val="00D0179D"/>
    <w:rsid w:val="00D02B5C"/>
    <w:rsid w:val="00D02F1E"/>
    <w:rsid w:val="00D06280"/>
    <w:rsid w:val="00D06475"/>
    <w:rsid w:val="00D06C4F"/>
    <w:rsid w:val="00D077EE"/>
    <w:rsid w:val="00D100FB"/>
    <w:rsid w:val="00D10578"/>
    <w:rsid w:val="00D105B0"/>
    <w:rsid w:val="00D111BA"/>
    <w:rsid w:val="00D11236"/>
    <w:rsid w:val="00D11753"/>
    <w:rsid w:val="00D12077"/>
    <w:rsid w:val="00D124D6"/>
    <w:rsid w:val="00D129D0"/>
    <w:rsid w:val="00D14281"/>
    <w:rsid w:val="00D1460C"/>
    <w:rsid w:val="00D14662"/>
    <w:rsid w:val="00D15FAF"/>
    <w:rsid w:val="00D16492"/>
    <w:rsid w:val="00D1737D"/>
    <w:rsid w:val="00D17A58"/>
    <w:rsid w:val="00D22D32"/>
    <w:rsid w:val="00D22FE8"/>
    <w:rsid w:val="00D24FB8"/>
    <w:rsid w:val="00D26E98"/>
    <w:rsid w:val="00D32C6D"/>
    <w:rsid w:val="00D3495F"/>
    <w:rsid w:val="00D34E80"/>
    <w:rsid w:val="00D350A5"/>
    <w:rsid w:val="00D35464"/>
    <w:rsid w:val="00D37517"/>
    <w:rsid w:val="00D40214"/>
    <w:rsid w:val="00D44480"/>
    <w:rsid w:val="00D449C4"/>
    <w:rsid w:val="00D45BCE"/>
    <w:rsid w:val="00D47258"/>
    <w:rsid w:val="00D47468"/>
    <w:rsid w:val="00D50BF6"/>
    <w:rsid w:val="00D513E2"/>
    <w:rsid w:val="00D515A6"/>
    <w:rsid w:val="00D52249"/>
    <w:rsid w:val="00D53784"/>
    <w:rsid w:val="00D544CA"/>
    <w:rsid w:val="00D56565"/>
    <w:rsid w:val="00D57D62"/>
    <w:rsid w:val="00D60206"/>
    <w:rsid w:val="00D60616"/>
    <w:rsid w:val="00D60E5B"/>
    <w:rsid w:val="00D61141"/>
    <w:rsid w:val="00D6150B"/>
    <w:rsid w:val="00D619A4"/>
    <w:rsid w:val="00D63376"/>
    <w:rsid w:val="00D63A01"/>
    <w:rsid w:val="00D64717"/>
    <w:rsid w:val="00D6586A"/>
    <w:rsid w:val="00D671B2"/>
    <w:rsid w:val="00D6766A"/>
    <w:rsid w:val="00D704B2"/>
    <w:rsid w:val="00D740CA"/>
    <w:rsid w:val="00D75FA8"/>
    <w:rsid w:val="00D779E0"/>
    <w:rsid w:val="00D77C6F"/>
    <w:rsid w:val="00D8064F"/>
    <w:rsid w:val="00D80D71"/>
    <w:rsid w:val="00D813D0"/>
    <w:rsid w:val="00D83773"/>
    <w:rsid w:val="00D84759"/>
    <w:rsid w:val="00D847F4"/>
    <w:rsid w:val="00D87B89"/>
    <w:rsid w:val="00D87DAD"/>
    <w:rsid w:val="00D907A7"/>
    <w:rsid w:val="00D930E3"/>
    <w:rsid w:val="00D93495"/>
    <w:rsid w:val="00D96150"/>
    <w:rsid w:val="00D96456"/>
    <w:rsid w:val="00D976CF"/>
    <w:rsid w:val="00DA0253"/>
    <w:rsid w:val="00DA0BFB"/>
    <w:rsid w:val="00DA2320"/>
    <w:rsid w:val="00DA262C"/>
    <w:rsid w:val="00DA2DAC"/>
    <w:rsid w:val="00DA4C86"/>
    <w:rsid w:val="00DA5D13"/>
    <w:rsid w:val="00DB0D8F"/>
    <w:rsid w:val="00DB13E7"/>
    <w:rsid w:val="00DB3027"/>
    <w:rsid w:val="00DB3752"/>
    <w:rsid w:val="00DB6BFE"/>
    <w:rsid w:val="00DC151C"/>
    <w:rsid w:val="00DC2081"/>
    <w:rsid w:val="00DC3110"/>
    <w:rsid w:val="00DC3246"/>
    <w:rsid w:val="00DC48EC"/>
    <w:rsid w:val="00DC4B8D"/>
    <w:rsid w:val="00DC706E"/>
    <w:rsid w:val="00DC7286"/>
    <w:rsid w:val="00DD2916"/>
    <w:rsid w:val="00DD562B"/>
    <w:rsid w:val="00DD568B"/>
    <w:rsid w:val="00DD7783"/>
    <w:rsid w:val="00DD788B"/>
    <w:rsid w:val="00DE3F42"/>
    <w:rsid w:val="00DE5244"/>
    <w:rsid w:val="00DE5A1D"/>
    <w:rsid w:val="00DE6B8B"/>
    <w:rsid w:val="00DE6BB3"/>
    <w:rsid w:val="00DE7800"/>
    <w:rsid w:val="00DF04F0"/>
    <w:rsid w:val="00DF3304"/>
    <w:rsid w:val="00DF4AA0"/>
    <w:rsid w:val="00DF4F39"/>
    <w:rsid w:val="00DF7556"/>
    <w:rsid w:val="00DF7AE6"/>
    <w:rsid w:val="00DF7FED"/>
    <w:rsid w:val="00E0231C"/>
    <w:rsid w:val="00E030DE"/>
    <w:rsid w:val="00E05AB8"/>
    <w:rsid w:val="00E064E1"/>
    <w:rsid w:val="00E07189"/>
    <w:rsid w:val="00E07996"/>
    <w:rsid w:val="00E10F88"/>
    <w:rsid w:val="00E1148D"/>
    <w:rsid w:val="00E13627"/>
    <w:rsid w:val="00E13885"/>
    <w:rsid w:val="00E179F6"/>
    <w:rsid w:val="00E21492"/>
    <w:rsid w:val="00E21699"/>
    <w:rsid w:val="00E22362"/>
    <w:rsid w:val="00E23EF6"/>
    <w:rsid w:val="00E24F0A"/>
    <w:rsid w:val="00E267DA"/>
    <w:rsid w:val="00E30482"/>
    <w:rsid w:val="00E3077E"/>
    <w:rsid w:val="00E40879"/>
    <w:rsid w:val="00E423F4"/>
    <w:rsid w:val="00E4376D"/>
    <w:rsid w:val="00E47A68"/>
    <w:rsid w:val="00E50240"/>
    <w:rsid w:val="00E50972"/>
    <w:rsid w:val="00E52971"/>
    <w:rsid w:val="00E53185"/>
    <w:rsid w:val="00E536BA"/>
    <w:rsid w:val="00E53FFE"/>
    <w:rsid w:val="00E615A8"/>
    <w:rsid w:val="00E61CBF"/>
    <w:rsid w:val="00E62704"/>
    <w:rsid w:val="00E6409F"/>
    <w:rsid w:val="00E64548"/>
    <w:rsid w:val="00E64959"/>
    <w:rsid w:val="00E64D74"/>
    <w:rsid w:val="00E6677A"/>
    <w:rsid w:val="00E72067"/>
    <w:rsid w:val="00E725D1"/>
    <w:rsid w:val="00E725DE"/>
    <w:rsid w:val="00E7274C"/>
    <w:rsid w:val="00E74A90"/>
    <w:rsid w:val="00E74E47"/>
    <w:rsid w:val="00E82AE1"/>
    <w:rsid w:val="00E87A8B"/>
    <w:rsid w:val="00E91E8E"/>
    <w:rsid w:val="00E944CE"/>
    <w:rsid w:val="00E95031"/>
    <w:rsid w:val="00E9671C"/>
    <w:rsid w:val="00E96EB9"/>
    <w:rsid w:val="00E979DC"/>
    <w:rsid w:val="00EA031C"/>
    <w:rsid w:val="00EA23EE"/>
    <w:rsid w:val="00EA31BA"/>
    <w:rsid w:val="00EA5171"/>
    <w:rsid w:val="00EA6AC0"/>
    <w:rsid w:val="00EB031D"/>
    <w:rsid w:val="00EB059A"/>
    <w:rsid w:val="00EB2004"/>
    <w:rsid w:val="00EB3951"/>
    <w:rsid w:val="00EB3A84"/>
    <w:rsid w:val="00EB43E4"/>
    <w:rsid w:val="00EB5267"/>
    <w:rsid w:val="00EB52B6"/>
    <w:rsid w:val="00EB55E8"/>
    <w:rsid w:val="00EB5847"/>
    <w:rsid w:val="00EB5E8E"/>
    <w:rsid w:val="00EB681F"/>
    <w:rsid w:val="00EB6C8E"/>
    <w:rsid w:val="00EB7BE1"/>
    <w:rsid w:val="00EC0504"/>
    <w:rsid w:val="00EC2178"/>
    <w:rsid w:val="00EC3EBB"/>
    <w:rsid w:val="00EC68A1"/>
    <w:rsid w:val="00EC6910"/>
    <w:rsid w:val="00EC6C98"/>
    <w:rsid w:val="00EC6EE3"/>
    <w:rsid w:val="00ED2A90"/>
    <w:rsid w:val="00ED3494"/>
    <w:rsid w:val="00ED5741"/>
    <w:rsid w:val="00EE1E90"/>
    <w:rsid w:val="00EE25CD"/>
    <w:rsid w:val="00EE2833"/>
    <w:rsid w:val="00EE2AC2"/>
    <w:rsid w:val="00EE4FA6"/>
    <w:rsid w:val="00EE52BF"/>
    <w:rsid w:val="00EE637A"/>
    <w:rsid w:val="00EE7C18"/>
    <w:rsid w:val="00EF0E36"/>
    <w:rsid w:val="00EF0F26"/>
    <w:rsid w:val="00EF29B2"/>
    <w:rsid w:val="00EF475A"/>
    <w:rsid w:val="00EF481F"/>
    <w:rsid w:val="00EF492A"/>
    <w:rsid w:val="00EF4DB5"/>
    <w:rsid w:val="00EF56AF"/>
    <w:rsid w:val="00EF6E3B"/>
    <w:rsid w:val="00F00BEC"/>
    <w:rsid w:val="00F078DC"/>
    <w:rsid w:val="00F07C18"/>
    <w:rsid w:val="00F07F39"/>
    <w:rsid w:val="00F10F4B"/>
    <w:rsid w:val="00F13C43"/>
    <w:rsid w:val="00F14BB2"/>
    <w:rsid w:val="00F15330"/>
    <w:rsid w:val="00F156E6"/>
    <w:rsid w:val="00F164B0"/>
    <w:rsid w:val="00F16B9C"/>
    <w:rsid w:val="00F202D6"/>
    <w:rsid w:val="00F276AF"/>
    <w:rsid w:val="00F3084D"/>
    <w:rsid w:val="00F32E9E"/>
    <w:rsid w:val="00F3336C"/>
    <w:rsid w:val="00F34968"/>
    <w:rsid w:val="00F349EB"/>
    <w:rsid w:val="00F35696"/>
    <w:rsid w:val="00F35B17"/>
    <w:rsid w:val="00F36FD7"/>
    <w:rsid w:val="00F415BF"/>
    <w:rsid w:val="00F416A3"/>
    <w:rsid w:val="00F4579D"/>
    <w:rsid w:val="00F45FF8"/>
    <w:rsid w:val="00F4624D"/>
    <w:rsid w:val="00F46ED9"/>
    <w:rsid w:val="00F47CB0"/>
    <w:rsid w:val="00F507B0"/>
    <w:rsid w:val="00F508E1"/>
    <w:rsid w:val="00F549F0"/>
    <w:rsid w:val="00F57109"/>
    <w:rsid w:val="00F607ED"/>
    <w:rsid w:val="00F60E63"/>
    <w:rsid w:val="00F617CF"/>
    <w:rsid w:val="00F622C1"/>
    <w:rsid w:val="00F64ABC"/>
    <w:rsid w:val="00F64FD7"/>
    <w:rsid w:val="00F657E2"/>
    <w:rsid w:val="00F66642"/>
    <w:rsid w:val="00F66ADD"/>
    <w:rsid w:val="00F66E56"/>
    <w:rsid w:val="00F679A3"/>
    <w:rsid w:val="00F735AE"/>
    <w:rsid w:val="00F75810"/>
    <w:rsid w:val="00F75B71"/>
    <w:rsid w:val="00F769D3"/>
    <w:rsid w:val="00F76B13"/>
    <w:rsid w:val="00F77918"/>
    <w:rsid w:val="00F8067B"/>
    <w:rsid w:val="00F81D38"/>
    <w:rsid w:val="00F8215A"/>
    <w:rsid w:val="00F8349B"/>
    <w:rsid w:val="00F84476"/>
    <w:rsid w:val="00F849AF"/>
    <w:rsid w:val="00F84A1E"/>
    <w:rsid w:val="00F8537E"/>
    <w:rsid w:val="00F85A10"/>
    <w:rsid w:val="00F87169"/>
    <w:rsid w:val="00F87C4A"/>
    <w:rsid w:val="00F90533"/>
    <w:rsid w:val="00F91E1F"/>
    <w:rsid w:val="00F92130"/>
    <w:rsid w:val="00F929CE"/>
    <w:rsid w:val="00F93696"/>
    <w:rsid w:val="00F9614A"/>
    <w:rsid w:val="00F96641"/>
    <w:rsid w:val="00F966A9"/>
    <w:rsid w:val="00F96818"/>
    <w:rsid w:val="00F96AAE"/>
    <w:rsid w:val="00FA2728"/>
    <w:rsid w:val="00FA2933"/>
    <w:rsid w:val="00FA4AA9"/>
    <w:rsid w:val="00FA64FA"/>
    <w:rsid w:val="00FB0796"/>
    <w:rsid w:val="00FB1467"/>
    <w:rsid w:val="00FB15BE"/>
    <w:rsid w:val="00FB1C0D"/>
    <w:rsid w:val="00FB1F97"/>
    <w:rsid w:val="00FB26A7"/>
    <w:rsid w:val="00FB3C3D"/>
    <w:rsid w:val="00FB4048"/>
    <w:rsid w:val="00FB609D"/>
    <w:rsid w:val="00FB672C"/>
    <w:rsid w:val="00FC01D2"/>
    <w:rsid w:val="00FC3B6D"/>
    <w:rsid w:val="00FC3C4F"/>
    <w:rsid w:val="00FC586A"/>
    <w:rsid w:val="00FC5885"/>
    <w:rsid w:val="00FC6291"/>
    <w:rsid w:val="00FD2E52"/>
    <w:rsid w:val="00FD35D3"/>
    <w:rsid w:val="00FD46C8"/>
    <w:rsid w:val="00FD6793"/>
    <w:rsid w:val="00FD6F90"/>
    <w:rsid w:val="00FD71AC"/>
    <w:rsid w:val="00FE1A1A"/>
    <w:rsid w:val="00FE25D5"/>
    <w:rsid w:val="00FE260C"/>
    <w:rsid w:val="00FE2B44"/>
    <w:rsid w:val="00FE4141"/>
    <w:rsid w:val="00FE4FBD"/>
    <w:rsid w:val="00FE5D12"/>
    <w:rsid w:val="00FE6151"/>
    <w:rsid w:val="00FE69CB"/>
    <w:rsid w:val="00FE6DC7"/>
    <w:rsid w:val="00FE7499"/>
    <w:rsid w:val="00FF2A22"/>
    <w:rsid w:val="00FF2A54"/>
    <w:rsid w:val="00FF408A"/>
    <w:rsid w:val="00FF4308"/>
    <w:rsid w:val="00FF443F"/>
    <w:rsid w:val="00FF48AC"/>
    <w:rsid w:val="00FF4FE9"/>
    <w:rsid w:val="00FF664E"/>
    <w:rsid w:val="01026637"/>
    <w:rsid w:val="012F6531"/>
    <w:rsid w:val="015526F6"/>
    <w:rsid w:val="01583B17"/>
    <w:rsid w:val="015D11CD"/>
    <w:rsid w:val="017A004D"/>
    <w:rsid w:val="018A171A"/>
    <w:rsid w:val="01AA467D"/>
    <w:rsid w:val="01AA7F44"/>
    <w:rsid w:val="01C37F52"/>
    <w:rsid w:val="01E43A29"/>
    <w:rsid w:val="01F86AA7"/>
    <w:rsid w:val="02137583"/>
    <w:rsid w:val="023467D6"/>
    <w:rsid w:val="029E5780"/>
    <w:rsid w:val="02A26D68"/>
    <w:rsid w:val="02E1657F"/>
    <w:rsid w:val="03317A82"/>
    <w:rsid w:val="03953A1F"/>
    <w:rsid w:val="03C43FC1"/>
    <w:rsid w:val="03C47473"/>
    <w:rsid w:val="03EE5F86"/>
    <w:rsid w:val="03F540DB"/>
    <w:rsid w:val="03FA6D38"/>
    <w:rsid w:val="040E62F2"/>
    <w:rsid w:val="049D062F"/>
    <w:rsid w:val="04B67568"/>
    <w:rsid w:val="04BE225E"/>
    <w:rsid w:val="04D37C42"/>
    <w:rsid w:val="04E02E3C"/>
    <w:rsid w:val="04EF5616"/>
    <w:rsid w:val="0502540D"/>
    <w:rsid w:val="051B165F"/>
    <w:rsid w:val="05AA5499"/>
    <w:rsid w:val="05B02190"/>
    <w:rsid w:val="05E735C9"/>
    <w:rsid w:val="05EB65B6"/>
    <w:rsid w:val="06A11014"/>
    <w:rsid w:val="06AC335E"/>
    <w:rsid w:val="06C70DC5"/>
    <w:rsid w:val="06E06EB9"/>
    <w:rsid w:val="06E74B4A"/>
    <w:rsid w:val="06F038FC"/>
    <w:rsid w:val="07091040"/>
    <w:rsid w:val="0790271A"/>
    <w:rsid w:val="07AD09D8"/>
    <w:rsid w:val="07D9365B"/>
    <w:rsid w:val="07DE1CC2"/>
    <w:rsid w:val="07F13DD2"/>
    <w:rsid w:val="08147475"/>
    <w:rsid w:val="08375362"/>
    <w:rsid w:val="08393EE6"/>
    <w:rsid w:val="084B5F6D"/>
    <w:rsid w:val="08523C23"/>
    <w:rsid w:val="087578E8"/>
    <w:rsid w:val="087D58E7"/>
    <w:rsid w:val="088E0183"/>
    <w:rsid w:val="089C7DAA"/>
    <w:rsid w:val="08CA465E"/>
    <w:rsid w:val="08FC63B0"/>
    <w:rsid w:val="090754E0"/>
    <w:rsid w:val="0915338B"/>
    <w:rsid w:val="0943482A"/>
    <w:rsid w:val="095476B1"/>
    <w:rsid w:val="09587AD8"/>
    <w:rsid w:val="0975004C"/>
    <w:rsid w:val="097D0FA6"/>
    <w:rsid w:val="099B2330"/>
    <w:rsid w:val="09B9389A"/>
    <w:rsid w:val="09E54AF3"/>
    <w:rsid w:val="09F909CC"/>
    <w:rsid w:val="0A9E1C57"/>
    <w:rsid w:val="0AAD1CF8"/>
    <w:rsid w:val="0AC262AF"/>
    <w:rsid w:val="0AF01F15"/>
    <w:rsid w:val="0B0D707C"/>
    <w:rsid w:val="0B1C3A38"/>
    <w:rsid w:val="0B4348D7"/>
    <w:rsid w:val="0B441393"/>
    <w:rsid w:val="0B51619F"/>
    <w:rsid w:val="0B781CBF"/>
    <w:rsid w:val="0B8913A2"/>
    <w:rsid w:val="0BB37FA4"/>
    <w:rsid w:val="0BFA708D"/>
    <w:rsid w:val="0BFD7AE7"/>
    <w:rsid w:val="0C095C2C"/>
    <w:rsid w:val="0C142811"/>
    <w:rsid w:val="0C1A645A"/>
    <w:rsid w:val="0C25564D"/>
    <w:rsid w:val="0C60163F"/>
    <w:rsid w:val="0C8A0C90"/>
    <w:rsid w:val="0CDE7230"/>
    <w:rsid w:val="0D3E7BD1"/>
    <w:rsid w:val="0D7E57B7"/>
    <w:rsid w:val="0D83430F"/>
    <w:rsid w:val="0DF6797D"/>
    <w:rsid w:val="0E386ACC"/>
    <w:rsid w:val="0E551719"/>
    <w:rsid w:val="0E656F40"/>
    <w:rsid w:val="0E732E9D"/>
    <w:rsid w:val="0E8025FB"/>
    <w:rsid w:val="0EAD7A30"/>
    <w:rsid w:val="0EB7321C"/>
    <w:rsid w:val="0EC3668B"/>
    <w:rsid w:val="0ED9130A"/>
    <w:rsid w:val="0EEE37B4"/>
    <w:rsid w:val="0EEE72F6"/>
    <w:rsid w:val="0EEF3B6D"/>
    <w:rsid w:val="0F18454D"/>
    <w:rsid w:val="0F563250"/>
    <w:rsid w:val="0F757274"/>
    <w:rsid w:val="0F7B6D86"/>
    <w:rsid w:val="0FA049C5"/>
    <w:rsid w:val="100A56E5"/>
    <w:rsid w:val="1015296A"/>
    <w:rsid w:val="10290F0A"/>
    <w:rsid w:val="10873214"/>
    <w:rsid w:val="10996E23"/>
    <w:rsid w:val="10CD53CD"/>
    <w:rsid w:val="10D910AC"/>
    <w:rsid w:val="10DB2049"/>
    <w:rsid w:val="117008EA"/>
    <w:rsid w:val="119E784A"/>
    <w:rsid w:val="11CF58CD"/>
    <w:rsid w:val="11E93E30"/>
    <w:rsid w:val="120C5428"/>
    <w:rsid w:val="1215334A"/>
    <w:rsid w:val="1223540C"/>
    <w:rsid w:val="12306275"/>
    <w:rsid w:val="12470A0B"/>
    <w:rsid w:val="12541379"/>
    <w:rsid w:val="1280341C"/>
    <w:rsid w:val="12D84FD5"/>
    <w:rsid w:val="12E4664C"/>
    <w:rsid w:val="13323FAC"/>
    <w:rsid w:val="13C3798B"/>
    <w:rsid w:val="13F14325"/>
    <w:rsid w:val="13F32CA8"/>
    <w:rsid w:val="13FC430A"/>
    <w:rsid w:val="141259D8"/>
    <w:rsid w:val="142217F4"/>
    <w:rsid w:val="14AC25DE"/>
    <w:rsid w:val="14B35714"/>
    <w:rsid w:val="14EF355C"/>
    <w:rsid w:val="152768D8"/>
    <w:rsid w:val="15356A64"/>
    <w:rsid w:val="162B62E9"/>
    <w:rsid w:val="16844339"/>
    <w:rsid w:val="16933C4A"/>
    <w:rsid w:val="169E0698"/>
    <w:rsid w:val="16EB7FA4"/>
    <w:rsid w:val="16FC2501"/>
    <w:rsid w:val="177D3A9B"/>
    <w:rsid w:val="179B7A23"/>
    <w:rsid w:val="17AF6944"/>
    <w:rsid w:val="17BC13D2"/>
    <w:rsid w:val="17C42F60"/>
    <w:rsid w:val="17D10464"/>
    <w:rsid w:val="17EB2972"/>
    <w:rsid w:val="17FA5319"/>
    <w:rsid w:val="17FC5942"/>
    <w:rsid w:val="18014676"/>
    <w:rsid w:val="180A4EFC"/>
    <w:rsid w:val="18153111"/>
    <w:rsid w:val="18293A62"/>
    <w:rsid w:val="1831127B"/>
    <w:rsid w:val="183F3BEF"/>
    <w:rsid w:val="186F6EC0"/>
    <w:rsid w:val="187D5EF8"/>
    <w:rsid w:val="189F488C"/>
    <w:rsid w:val="190E24E6"/>
    <w:rsid w:val="19134BD1"/>
    <w:rsid w:val="192C39DF"/>
    <w:rsid w:val="193E60EE"/>
    <w:rsid w:val="1996299E"/>
    <w:rsid w:val="19A228BF"/>
    <w:rsid w:val="19B619E8"/>
    <w:rsid w:val="19C95B31"/>
    <w:rsid w:val="19D61A27"/>
    <w:rsid w:val="19D91860"/>
    <w:rsid w:val="19E70A3A"/>
    <w:rsid w:val="19E814BD"/>
    <w:rsid w:val="19EC5BA4"/>
    <w:rsid w:val="1A171DEC"/>
    <w:rsid w:val="1A3D688E"/>
    <w:rsid w:val="1A427461"/>
    <w:rsid w:val="1A4D58E6"/>
    <w:rsid w:val="1A9411A5"/>
    <w:rsid w:val="1A9D6100"/>
    <w:rsid w:val="1AB34E0F"/>
    <w:rsid w:val="1AC3220D"/>
    <w:rsid w:val="1AD67BC3"/>
    <w:rsid w:val="1AFD01FC"/>
    <w:rsid w:val="1AFD6AB0"/>
    <w:rsid w:val="1B0D38DF"/>
    <w:rsid w:val="1B20550F"/>
    <w:rsid w:val="1B40753A"/>
    <w:rsid w:val="1B660387"/>
    <w:rsid w:val="1B684210"/>
    <w:rsid w:val="1B795F34"/>
    <w:rsid w:val="1BA831D1"/>
    <w:rsid w:val="1BAB7CB5"/>
    <w:rsid w:val="1BC94A3F"/>
    <w:rsid w:val="1BF508C5"/>
    <w:rsid w:val="1C227730"/>
    <w:rsid w:val="1C48610B"/>
    <w:rsid w:val="1C5A3C93"/>
    <w:rsid w:val="1C9D611F"/>
    <w:rsid w:val="1CE32A6B"/>
    <w:rsid w:val="1D18397A"/>
    <w:rsid w:val="1D1C1C5D"/>
    <w:rsid w:val="1D99336A"/>
    <w:rsid w:val="1DA557B9"/>
    <w:rsid w:val="1DC00260"/>
    <w:rsid w:val="1DC30D26"/>
    <w:rsid w:val="1DEE0128"/>
    <w:rsid w:val="1DF467B3"/>
    <w:rsid w:val="1DFA1AA6"/>
    <w:rsid w:val="1E6B1F65"/>
    <w:rsid w:val="1E6F248C"/>
    <w:rsid w:val="1E755389"/>
    <w:rsid w:val="1E782CFA"/>
    <w:rsid w:val="1E9A29BD"/>
    <w:rsid w:val="1E9E60FD"/>
    <w:rsid w:val="1EB7451C"/>
    <w:rsid w:val="1EDF7F79"/>
    <w:rsid w:val="1EE3240C"/>
    <w:rsid w:val="1EE3418D"/>
    <w:rsid w:val="1F012A08"/>
    <w:rsid w:val="1F2240C7"/>
    <w:rsid w:val="1F3244CE"/>
    <w:rsid w:val="1F422D48"/>
    <w:rsid w:val="1F456D0F"/>
    <w:rsid w:val="1F4758F7"/>
    <w:rsid w:val="1F495180"/>
    <w:rsid w:val="1F4B120E"/>
    <w:rsid w:val="1F656B41"/>
    <w:rsid w:val="1F6A589A"/>
    <w:rsid w:val="1FB217EE"/>
    <w:rsid w:val="1FDE0176"/>
    <w:rsid w:val="1FE725CB"/>
    <w:rsid w:val="201F309C"/>
    <w:rsid w:val="204A197D"/>
    <w:rsid w:val="206C4619"/>
    <w:rsid w:val="2080074D"/>
    <w:rsid w:val="20C67CE1"/>
    <w:rsid w:val="20CC7340"/>
    <w:rsid w:val="21020DD9"/>
    <w:rsid w:val="211C5AA8"/>
    <w:rsid w:val="21287AAE"/>
    <w:rsid w:val="21717559"/>
    <w:rsid w:val="2174661B"/>
    <w:rsid w:val="21BC7FE7"/>
    <w:rsid w:val="21C2460D"/>
    <w:rsid w:val="21F641C8"/>
    <w:rsid w:val="21FC3F25"/>
    <w:rsid w:val="220F0817"/>
    <w:rsid w:val="2216545C"/>
    <w:rsid w:val="22187A10"/>
    <w:rsid w:val="22230DB0"/>
    <w:rsid w:val="22463E3C"/>
    <w:rsid w:val="227B6E4F"/>
    <w:rsid w:val="23541D84"/>
    <w:rsid w:val="2382198F"/>
    <w:rsid w:val="238F1B3F"/>
    <w:rsid w:val="23AE0AFD"/>
    <w:rsid w:val="23BC6016"/>
    <w:rsid w:val="23D9227D"/>
    <w:rsid w:val="2406396D"/>
    <w:rsid w:val="245573A9"/>
    <w:rsid w:val="246F7362"/>
    <w:rsid w:val="247578BD"/>
    <w:rsid w:val="247A3B89"/>
    <w:rsid w:val="24A46CB3"/>
    <w:rsid w:val="24A829AF"/>
    <w:rsid w:val="24FD0384"/>
    <w:rsid w:val="25412BD2"/>
    <w:rsid w:val="25526E66"/>
    <w:rsid w:val="2561687F"/>
    <w:rsid w:val="258D1553"/>
    <w:rsid w:val="25994BCF"/>
    <w:rsid w:val="25DA3152"/>
    <w:rsid w:val="25E8386E"/>
    <w:rsid w:val="26000C3A"/>
    <w:rsid w:val="26024A18"/>
    <w:rsid w:val="26025DBB"/>
    <w:rsid w:val="26107CFC"/>
    <w:rsid w:val="263F51FE"/>
    <w:rsid w:val="26A111BC"/>
    <w:rsid w:val="26AD7626"/>
    <w:rsid w:val="27112091"/>
    <w:rsid w:val="27133AC9"/>
    <w:rsid w:val="276510B9"/>
    <w:rsid w:val="277749BC"/>
    <w:rsid w:val="2784604A"/>
    <w:rsid w:val="27AC65DA"/>
    <w:rsid w:val="27B31333"/>
    <w:rsid w:val="27BD6278"/>
    <w:rsid w:val="28490AE1"/>
    <w:rsid w:val="284B0AFF"/>
    <w:rsid w:val="2850422B"/>
    <w:rsid w:val="288D78CB"/>
    <w:rsid w:val="28947F43"/>
    <w:rsid w:val="289E757B"/>
    <w:rsid w:val="28C66BE0"/>
    <w:rsid w:val="28C94F85"/>
    <w:rsid w:val="28F214DC"/>
    <w:rsid w:val="29282836"/>
    <w:rsid w:val="293E174E"/>
    <w:rsid w:val="294E39EE"/>
    <w:rsid w:val="29955175"/>
    <w:rsid w:val="29EC6114"/>
    <w:rsid w:val="2A233EC4"/>
    <w:rsid w:val="2A24271C"/>
    <w:rsid w:val="2A42504E"/>
    <w:rsid w:val="2A5F09D2"/>
    <w:rsid w:val="2A81520E"/>
    <w:rsid w:val="2A950CB9"/>
    <w:rsid w:val="2AE40825"/>
    <w:rsid w:val="2AE64F3B"/>
    <w:rsid w:val="2AE96D79"/>
    <w:rsid w:val="2B165956"/>
    <w:rsid w:val="2B5F5D6D"/>
    <w:rsid w:val="2B8726F6"/>
    <w:rsid w:val="2BA467DB"/>
    <w:rsid w:val="2BAC0E1B"/>
    <w:rsid w:val="2BCD7688"/>
    <w:rsid w:val="2C2D32DE"/>
    <w:rsid w:val="2C546594"/>
    <w:rsid w:val="2CC15093"/>
    <w:rsid w:val="2CDD6D23"/>
    <w:rsid w:val="2CE439C5"/>
    <w:rsid w:val="2D074F37"/>
    <w:rsid w:val="2D473EB8"/>
    <w:rsid w:val="2D4D421D"/>
    <w:rsid w:val="2D4E11B8"/>
    <w:rsid w:val="2D4E1BC0"/>
    <w:rsid w:val="2D89591F"/>
    <w:rsid w:val="2D946C86"/>
    <w:rsid w:val="2DDE6D73"/>
    <w:rsid w:val="2DFB5192"/>
    <w:rsid w:val="2E395342"/>
    <w:rsid w:val="2E6840C9"/>
    <w:rsid w:val="2E712B0A"/>
    <w:rsid w:val="2EB26BE3"/>
    <w:rsid w:val="2EE63B48"/>
    <w:rsid w:val="2EF85E2C"/>
    <w:rsid w:val="2F0A2219"/>
    <w:rsid w:val="2F233DFC"/>
    <w:rsid w:val="2F2A1FB0"/>
    <w:rsid w:val="2F3632D4"/>
    <w:rsid w:val="2F4879D2"/>
    <w:rsid w:val="2F666874"/>
    <w:rsid w:val="2F6C04E8"/>
    <w:rsid w:val="2F917C50"/>
    <w:rsid w:val="2FB03E01"/>
    <w:rsid w:val="2FD85612"/>
    <w:rsid w:val="2FDF308B"/>
    <w:rsid w:val="2FED31A4"/>
    <w:rsid w:val="2FED4C3D"/>
    <w:rsid w:val="30007555"/>
    <w:rsid w:val="30624425"/>
    <w:rsid w:val="30696528"/>
    <w:rsid w:val="307D33BC"/>
    <w:rsid w:val="309C4EE6"/>
    <w:rsid w:val="30A24262"/>
    <w:rsid w:val="31011CAB"/>
    <w:rsid w:val="3105069B"/>
    <w:rsid w:val="311C61EF"/>
    <w:rsid w:val="31330D53"/>
    <w:rsid w:val="31440242"/>
    <w:rsid w:val="31540F86"/>
    <w:rsid w:val="31621E34"/>
    <w:rsid w:val="31703FE9"/>
    <w:rsid w:val="318D2525"/>
    <w:rsid w:val="318D57EA"/>
    <w:rsid w:val="31F302A2"/>
    <w:rsid w:val="320D4BA0"/>
    <w:rsid w:val="320F08D7"/>
    <w:rsid w:val="322341A3"/>
    <w:rsid w:val="32674EDB"/>
    <w:rsid w:val="32906254"/>
    <w:rsid w:val="329D3B01"/>
    <w:rsid w:val="32CB093C"/>
    <w:rsid w:val="32D01C91"/>
    <w:rsid w:val="32F73068"/>
    <w:rsid w:val="331337DF"/>
    <w:rsid w:val="33191596"/>
    <w:rsid w:val="33402AB1"/>
    <w:rsid w:val="33900270"/>
    <w:rsid w:val="33CC0E26"/>
    <w:rsid w:val="33E36CF5"/>
    <w:rsid w:val="33F44BB3"/>
    <w:rsid w:val="340371D5"/>
    <w:rsid w:val="340E3CA2"/>
    <w:rsid w:val="34C038D0"/>
    <w:rsid w:val="34D25CCA"/>
    <w:rsid w:val="34D96007"/>
    <w:rsid w:val="34DD74E5"/>
    <w:rsid w:val="34ED14DC"/>
    <w:rsid w:val="34F14D3E"/>
    <w:rsid w:val="34FE2A23"/>
    <w:rsid w:val="35065DD6"/>
    <w:rsid w:val="35086ADC"/>
    <w:rsid w:val="350C25E8"/>
    <w:rsid w:val="352D6AB2"/>
    <w:rsid w:val="353B4710"/>
    <w:rsid w:val="3544158D"/>
    <w:rsid w:val="354F4233"/>
    <w:rsid w:val="35592AAC"/>
    <w:rsid w:val="35724FEB"/>
    <w:rsid w:val="359D4998"/>
    <w:rsid w:val="36315381"/>
    <w:rsid w:val="367B7B47"/>
    <w:rsid w:val="36AD1BC9"/>
    <w:rsid w:val="36C844EB"/>
    <w:rsid w:val="37170C10"/>
    <w:rsid w:val="371E13E2"/>
    <w:rsid w:val="37537346"/>
    <w:rsid w:val="375A0ADE"/>
    <w:rsid w:val="375D770A"/>
    <w:rsid w:val="375F25F9"/>
    <w:rsid w:val="376B37A9"/>
    <w:rsid w:val="37832D60"/>
    <w:rsid w:val="378D66A4"/>
    <w:rsid w:val="379B43B2"/>
    <w:rsid w:val="37AF5D39"/>
    <w:rsid w:val="37D369ED"/>
    <w:rsid w:val="37DD403B"/>
    <w:rsid w:val="380D6774"/>
    <w:rsid w:val="38283FC0"/>
    <w:rsid w:val="38684E44"/>
    <w:rsid w:val="38904518"/>
    <w:rsid w:val="38C04B0D"/>
    <w:rsid w:val="38E23656"/>
    <w:rsid w:val="39110A0C"/>
    <w:rsid w:val="3922119F"/>
    <w:rsid w:val="39674A58"/>
    <w:rsid w:val="39846C86"/>
    <w:rsid w:val="398A7FB7"/>
    <w:rsid w:val="39A042F7"/>
    <w:rsid w:val="39CF4DFD"/>
    <w:rsid w:val="39CF7234"/>
    <w:rsid w:val="3A166C37"/>
    <w:rsid w:val="3A533760"/>
    <w:rsid w:val="3A561958"/>
    <w:rsid w:val="3A5D6F69"/>
    <w:rsid w:val="3A6D2950"/>
    <w:rsid w:val="3AB25942"/>
    <w:rsid w:val="3AC74096"/>
    <w:rsid w:val="3ACC5038"/>
    <w:rsid w:val="3AFB08F6"/>
    <w:rsid w:val="3B4E3471"/>
    <w:rsid w:val="3B9D6CB7"/>
    <w:rsid w:val="3BA72A7E"/>
    <w:rsid w:val="3BBC6705"/>
    <w:rsid w:val="3BC32214"/>
    <w:rsid w:val="3BF33A92"/>
    <w:rsid w:val="3C082A5D"/>
    <w:rsid w:val="3C0B267B"/>
    <w:rsid w:val="3C340E6D"/>
    <w:rsid w:val="3C36282A"/>
    <w:rsid w:val="3C3F0A85"/>
    <w:rsid w:val="3C4A07B2"/>
    <w:rsid w:val="3C5617CC"/>
    <w:rsid w:val="3C766B03"/>
    <w:rsid w:val="3C817DC7"/>
    <w:rsid w:val="3C97266F"/>
    <w:rsid w:val="3D076F2B"/>
    <w:rsid w:val="3D3C2AD6"/>
    <w:rsid w:val="3D570EB8"/>
    <w:rsid w:val="3D5F338D"/>
    <w:rsid w:val="3D7E55D1"/>
    <w:rsid w:val="3D86409C"/>
    <w:rsid w:val="3D9D1513"/>
    <w:rsid w:val="3DB2599E"/>
    <w:rsid w:val="3E115286"/>
    <w:rsid w:val="3E4A7708"/>
    <w:rsid w:val="3E527279"/>
    <w:rsid w:val="3E6D574F"/>
    <w:rsid w:val="3E8D5FB7"/>
    <w:rsid w:val="3E9F501B"/>
    <w:rsid w:val="3EA5780B"/>
    <w:rsid w:val="3F204A39"/>
    <w:rsid w:val="3F446F89"/>
    <w:rsid w:val="3F524B18"/>
    <w:rsid w:val="3F6018C4"/>
    <w:rsid w:val="3F677693"/>
    <w:rsid w:val="3F677A31"/>
    <w:rsid w:val="3F880A18"/>
    <w:rsid w:val="3F9D7A12"/>
    <w:rsid w:val="3FA21671"/>
    <w:rsid w:val="3FA246A1"/>
    <w:rsid w:val="3FB35A12"/>
    <w:rsid w:val="3FB632C7"/>
    <w:rsid w:val="3FC764F7"/>
    <w:rsid w:val="3FCE09AB"/>
    <w:rsid w:val="3FDF03F4"/>
    <w:rsid w:val="3FE659CA"/>
    <w:rsid w:val="3FE9035D"/>
    <w:rsid w:val="3FEEA4CB"/>
    <w:rsid w:val="3FF81933"/>
    <w:rsid w:val="40425B82"/>
    <w:rsid w:val="40460AEF"/>
    <w:rsid w:val="405269E6"/>
    <w:rsid w:val="40760CD9"/>
    <w:rsid w:val="4099611D"/>
    <w:rsid w:val="40D43E92"/>
    <w:rsid w:val="40FD3EC4"/>
    <w:rsid w:val="4106443B"/>
    <w:rsid w:val="410E76D9"/>
    <w:rsid w:val="410F79D5"/>
    <w:rsid w:val="412B09CA"/>
    <w:rsid w:val="41582EBC"/>
    <w:rsid w:val="41C9034C"/>
    <w:rsid w:val="41D573D6"/>
    <w:rsid w:val="424B73FE"/>
    <w:rsid w:val="424E0241"/>
    <w:rsid w:val="42511A0D"/>
    <w:rsid w:val="4289725D"/>
    <w:rsid w:val="428A44BD"/>
    <w:rsid w:val="428C6C4F"/>
    <w:rsid w:val="42AD334B"/>
    <w:rsid w:val="42D276C6"/>
    <w:rsid w:val="42ED271E"/>
    <w:rsid w:val="43057965"/>
    <w:rsid w:val="431B7BEF"/>
    <w:rsid w:val="432D79AD"/>
    <w:rsid w:val="433D7244"/>
    <w:rsid w:val="43522735"/>
    <w:rsid w:val="436704BF"/>
    <w:rsid w:val="437368C4"/>
    <w:rsid w:val="438F2FC3"/>
    <w:rsid w:val="43D76424"/>
    <w:rsid w:val="443B052A"/>
    <w:rsid w:val="443C3663"/>
    <w:rsid w:val="4448635F"/>
    <w:rsid w:val="4452236A"/>
    <w:rsid w:val="44534092"/>
    <w:rsid w:val="44BB1EB4"/>
    <w:rsid w:val="44C20EA0"/>
    <w:rsid w:val="44CE4904"/>
    <w:rsid w:val="4534794B"/>
    <w:rsid w:val="457311A6"/>
    <w:rsid w:val="45B04CCB"/>
    <w:rsid w:val="46184820"/>
    <w:rsid w:val="4689334F"/>
    <w:rsid w:val="469301B8"/>
    <w:rsid w:val="46983BAD"/>
    <w:rsid w:val="46BD1075"/>
    <w:rsid w:val="46D863A6"/>
    <w:rsid w:val="46DF0E9A"/>
    <w:rsid w:val="46EF46F6"/>
    <w:rsid w:val="470F0555"/>
    <w:rsid w:val="47140C94"/>
    <w:rsid w:val="47264254"/>
    <w:rsid w:val="47641572"/>
    <w:rsid w:val="47711830"/>
    <w:rsid w:val="477737C9"/>
    <w:rsid w:val="47947ED7"/>
    <w:rsid w:val="47EE0FE4"/>
    <w:rsid w:val="48333868"/>
    <w:rsid w:val="48377D91"/>
    <w:rsid w:val="4844740A"/>
    <w:rsid w:val="48480BDD"/>
    <w:rsid w:val="48BA4E3B"/>
    <w:rsid w:val="491D125E"/>
    <w:rsid w:val="492B0A3B"/>
    <w:rsid w:val="49374FBE"/>
    <w:rsid w:val="4938092B"/>
    <w:rsid w:val="495F103C"/>
    <w:rsid w:val="495F31B8"/>
    <w:rsid w:val="49685C25"/>
    <w:rsid w:val="49864A59"/>
    <w:rsid w:val="4991236B"/>
    <w:rsid w:val="49C3733F"/>
    <w:rsid w:val="49CB139A"/>
    <w:rsid w:val="4A3B218B"/>
    <w:rsid w:val="4A7C7F8F"/>
    <w:rsid w:val="4B2F2836"/>
    <w:rsid w:val="4B5D77FE"/>
    <w:rsid w:val="4B662180"/>
    <w:rsid w:val="4B68502C"/>
    <w:rsid w:val="4B904744"/>
    <w:rsid w:val="4B976800"/>
    <w:rsid w:val="4BAD0793"/>
    <w:rsid w:val="4BC85129"/>
    <w:rsid w:val="4BCF2E1C"/>
    <w:rsid w:val="4BDE0AD1"/>
    <w:rsid w:val="4BDF0D6C"/>
    <w:rsid w:val="4BE202E2"/>
    <w:rsid w:val="4BF8070C"/>
    <w:rsid w:val="4C2A312F"/>
    <w:rsid w:val="4C3C5DE2"/>
    <w:rsid w:val="4C525195"/>
    <w:rsid w:val="4C7376AB"/>
    <w:rsid w:val="4CAF7389"/>
    <w:rsid w:val="4CB22D83"/>
    <w:rsid w:val="4CB410BA"/>
    <w:rsid w:val="4CC97324"/>
    <w:rsid w:val="4CCC75F4"/>
    <w:rsid w:val="4CDB5999"/>
    <w:rsid w:val="4CE70BAF"/>
    <w:rsid w:val="4CF642CA"/>
    <w:rsid w:val="4D32625D"/>
    <w:rsid w:val="4D9012EC"/>
    <w:rsid w:val="4D9466DF"/>
    <w:rsid w:val="4DB90605"/>
    <w:rsid w:val="4DBF477E"/>
    <w:rsid w:val="4DC04257"/>
    <w:rsid w:val="4DEF107C"/>
    <w:rsid w:val="4E1C0791"/>
    <w:rsid w:val="4E7611DE"/>
    <w:rsid w:val="4E85660D"/>
    <w:rsid w:val="4E8A0CBC"/>
    <w:rsid w:val="4EC11CFF"/>
    <w:rsid w:val="4EDF59AF"/>
    <w:rsid w:val="4EE40DDC"/>
    <w:rsid w:val="4EE81FF4"/>
    <w:rsid w:val="4F192B25"/>
    <w:rsid w:val="4F3F4BCC"/>
    <w:rsid w:val="4F40001A"/>
    <w:rsid w:val="4F47427C"/>
    <w:rsid w:val="4F4A54F8"/>
    <w:rsid w:val="4F6500C3"/>
    <w:rsid w:val="4F661F7E"/>
    <w:rsid w:val="4F9C3DCC"/>
    <w:rsid w:val="4FBE7D1A"/>
    <w:rsid w:val="4FD1635E"/>
    <w:rsid w:val="4FDF52D5"/>
    <w:rsid w:val="4FE96ADF"/>
    <w:rsid w:val="4FED68DC"/>
    <w:rsid w:val="501C6439"/>
    <w:rsid w:val="50611F26"/>
    <w:rsid w:val="50664FBE"/>
    <w:rsid w:val="50742907"/>
    <w:rsid w:val="508B403A"/>
    <w:rsid w:val="50A414E4"/>
    <w:rsid w:val="50DD1205"/>
    <w:rsid w:val="50F15D58"/>
    <w:rsid w:val="51093BB7"/>
    <w:rsid w:val="5146430B"/>
    <w:rsid w:val="516B5AFB"/>
    <w:rsid w:val="516D15EF"/>
    <w:rsid w:val="516F7A6A"/>
    <w:rsid w:val="51C274C6"/>
    <w:rsid w:val="526470E2"/>
    <w:rsid w:val="527F6064"/>
    <w:rsid w:val="52861EB7"/>
    <w:rsid w:val="528F2678"/>
    <w:rsid w:val="529633FE"/>
    <w:rsid w:val="52C052D1"/>
    <w:rsid w:val="52D21236"/>
    <w:rsid w:val="52D95BAA"/>
    <w:rsid w:val="52E55A8A"/>
    <w:rsid w:val="52FD45C2"/>
    <w:rsid w:val="53052749"/>
    <w:rsid w:val="5344299E"/>
    <w:rsid w:val="53567FA9"/>
    <w:rsid w:val="537A4878"/>
    <w:rsid w:val="53884D49"/>
    <w:rsid w:val="53893EEA"/>
    <w:rsid w:val="539C626A"/>
    <w:rsid w:val="53CE00B8"/>
    <w:rsid w:val="5454568C"/>
    <w:rsid w:val="5473068E"/>
    <w:rsid w:val="54856274"/>
    <w:rsid w:val="54A9517E"/>
    <w:rsid w:val="54D54DCE"/>
    <w:rsid w:val="54E86B55"/>
    <w:rsid w:val="553116DC"/>
    <w:rsid w:val="553B3C48"/>
    <w:rsid w:val="554D3CEE"/>
    <w:rsid w:val="55772025"/>
    <w:rsid w:val="559E4E2C"/>
    <w:rsid w:val="55C51201"/>
    <w:rsid w:val="56085A32"/>
    <w:rsid w:val="56815ACA"/>
    <w:rsid w:val="56851442"/>
    <w:rsid w:val="56891F7D"/>
    <w:rsid w:val="56DD102C"/>
    <w:rsid w:val="57036D60"/>
    <w:rsid w:val="5736190F"/>
    <w:rsid w:val="573E7448"/>
    <w:rsid w:val="576A4745"/>
    <w:rsid w:val="5782249F"/>
    <w:rsid w:val="57BD5E4D"/>
    <w:rsid w:val="57E835A4"/>
    <w:rsid w:val="57ED3B31"/>
    <w:rsid w:val="584118DE"/>
    <w:rsid w:val="585020FE"/>
    <w:rsid w:val="58550366"/>
    <w:rsid w:val="58693E66"/>
    <w:rsid w:val="588C1193"/>
    <w:rsid w:val="58A322AF"/>
    <w:rsid w:val="59405516"/>
    <w:rsid w:val="594B0060"/>
    <w:rsid w:val="594B715D"/>
    <w:rsid w:val="595A2602"/>
    <w:rsid w:val="598B4EA5"/>
    <w:rsid w:val="59D94150"/>
    <w:rsid w:val="59DD3B06"/>
    <w:rsid w:val="59FB24F3"/>
    <w:rsid w:val="5A504690"/>
    <w:rsid w:val="5A615EB2"/>
    <w:rsid w:val="5A821405"/>
    <w:rsid w:val="5A8F542C"/>
    <w:rsid w:val="5A9A7B7F"/>
    <w:rsid w:val="5AA020E9"/>
    <w:rsid w:val="5B051E5B"/>
    <w:rsid w:val="5B095BF3"/>
    <w:rsid w:val="5B2F1989"/>
    <w:rsid w:val="5B6921A3"/>
    <w:rsid w:val="5B865977"/>
    <w:rsid w:val="5B9B5A43"/>
    <w:rsid w:val="5BA03029"/>
    <w:rsid w:val="5BA2180E"/>
    <w:rsid w:val="5BBC43EF"/>
    <w:rsid w:val="5C130DBF"/>
    <w:rsid w:val="5C185B49"/>
    <w:rsid w:val="5C3133C9"/>
    <w:rsid w:val="5C4F1667"/>
    <w:rsid w:val="5C5D752A"/>
    <w:rsid w:val="5C9D1A2D"/>
    <w:rsid w:val="5D0224F7"/>
    <w:rsid w:val="5D0653C7"/>
    <w:rsid w:val="5D4D125B"/>
    <w:rsid w:val="5D773E9C"/>
    <w:rsid w:val="5D9F728B"/>
    <w:rsid w:val="5DB652C3"/>
    <w:rsid w:val="5DBE4DB2"/>
    <w:rsid w:val="5DC30428"/>
    <w:rsid w:val="5DEA69EF"/>
    <w:rsid w:val="5E032983"/>
    <w:rsid w:val="5E07476C"/>
    <w:rsid w:val="5E215F67"/>
    <w:rsid w:val="5E536126"/>
    <w:rsid w:val="5E6815AA"/>
    <w:rsid w:val="5EAB75F6"/>
    <w:rsid w:val="5ECF7E48"/>
    <w:rsid w:val="5F1078D8"/>
    <w:rsid w:val="5F534870"/>
    <w:rsid w:val="5F5F147F"/>
    <w:rsid w:val="5F6B21B9"/>
    <w:rsid w:val="5F6E04A9"/>
    <w:rsid w:val="5F7B4BF2"/>
    <w:rsid w:val="5F8140E8"/>
    <w:rsid w:val="5FA111C0"/>
    <w:rsid w:val="5FA840C8"/>
    <w:rsid w:val="5FC1274C"/>
    <w:rsid w:val="5FD17D97"/>
    <w:rsid w:val="5FEC7770"/>
    <w:rsid w:val="5FEE44DB"/>
    <w:rsid w:val="5FF3306A"/>
    <w:rsid w:val="600953A1"/>
    <w:rsid w:val="60226E2F"/>
    <w:rsid w:val="60796F62"/>
    <w:rsid w:val="60AB52CC"/>
    <w:rsid w:val="60E51090"/>
    <w:rsid w:val="610721DF"/>
    <w:rsid w:val="61226F84"/>
    <w:rsid w:val="612F5D3F"/>
    <w:rsid w:val="61373E01"/>
    <w:rsid w:val="614B7400"/>
    <w:rsid w:val="61693BFA"/>
    <w:rsid w:val="616E25C0"/>
    <w:rsid w:val="61756C9F"/>
    <w:rsid w:val="617E675E"/>
    <w:rsid w:val="618D52F4"/>
    <w:rsid w:val="61BF21CE"/>
    <w:rsid w:val="61FE23EC"/>
    <w:rsid w:val="62006664"/>
    <w:rsid w:val="620C6DA4"/>
    <w:rsid w:val="625857EF"/>
    <w:rsid w:val="6269217D"/>
    <w:rsid w:val="6269725C"/>
    <w:rsid w:val="62AC30A7"/>
    <w:rsid w:val="62B9556C"/>
    <w:rsid w:val="62E21FE6"/>
    <w:rsid w:val="63477CBA"/>
    <w:rsid w:val="63562B36"/>
    <w:rsid w:val="635D7614"/>
    <w:rsid w:val="63640AD8"/>
    <w:rsid w:val="63953886"/>
    <w:rsid w:val="639C3F43"/>
    <w:rsid w:val="63A95D0A"/>
    <w:rsid w:val="63CA64C2"/>
    <w:rsid w:val="63F51382"/>
    <w:rsid w:val="64006EFB"/>
    <w:rsid w:val="641E320A"/>
    <w:rsid w:val="642A296C"/>
    <w:rsid w:val="644F008D"/>
    <w:rsid w:val="646E681E"/>
    <w:rsid w:val="64925CF4"/>
    <w:rsid w:val="64AE1506"/>
    <w:rsid w:val="64CB5CBA"/>
    <w:rsid w:val="64CC0858"/>
    <w:rsid w:val="64FC55D6"/>
    <w:rsid w:val="65030064"/>
    <w:rsid w:val="65AF6083"/>
    <w:rsid w:val="65F45A9C"/>
    <w:rsid w:val="65F52ED8"/>
    <w:rsid w:val="65F732C9"/>
    <w:rsid w:val="660410DC"/>
    <w:rsid w:val="6607729F"/>
    <w:rsid w:val="66107929"/>
    <w:rsid w:val="66144219"/>
    <w:rsid w:val="6627269B"/>
    <w:rsid w:val="66761E23"/>
    <w:rsid w:val="669E2EA4"/>
    <w:rsid w:val="66C8490B"/>
    <w:rsid w:val="66D94778"/>
    <w:rsid w:val="66E97B34"/>
    <w:rsid w:val="66ED6DB5"/>
    <w:rsid w:val="675F5D34"/>
    <w:rsid w:val="67623F7F"/>
    <w:rsid w:val="678C48DD"/>
    <w:rsid w:val="678D547D"/>
    <w:rsid w:val="67937917"/>
    <w:rsid w:val="67C357CB"/>
    <w:rsid w:val="680D6AB9"/>
    <w:rsid w:val="68173E42"/>
    <w:rsid w:val="68322A9D"/>
    <w:rsid w:val="68585F9D"/>
    <w:rsid w:val="68880AC0"/>
    <w:rsid w:val="688B0C3F"/>
    <w:rsid w:val="68954EE6"/>
    <w:rsid w:val="68BC5EE6"/>
    <w:rsid w:val="68CB6066"/>
    <w:rsid w:val="68D1235C"/>
    <w:rsid w:val="68EB00F5"/>
    <w:rsid w:val="692939E8"/>
    <w:rsid w:val="69341CD7"/>
    <w:rsid w:val="693C3C42"/>
    <w:rsid w:val="695C789E"/>
    <w:rsid w:val="69974E79"/>
    <w:rsid w:val="69BB2F33"/>
    <w:rsid w:val="6A0F7DFB"/>
    <w:rsid w:val="6A125B38"/>
    <w:rsid w:val="6A2F781E"/>
    <w:rsid w:val="6A33746E"/>
    <w:rsid w:val="6A674144"/>
    <w:rsid w:val="6AA742DA"/>
    <w:rsid w:val="6AB6668F"/>
    <w:rsid w:val="6AE67343"/>
    <w:rsid w:val="6AE706D4"/>
    <w:rsid w:val="6AEA3B9E"/>
    <w:rsid w:val="6B6A7798"/>
    <w:rsid w:val="6B6E083F"/>
    <w:rsid w:val="6BC164C3"/>
    <w:rsid w:val="6BD630B3"/>
    <w:rsid w:val="6C147AB8"/>
    <w:rsid w:val="6C1C4DCD"/>
    <w:rsid w:val="6C5601CC"/>
    <w:rsid w:val="6C847DFC"/>
    <w:rsid w:val="6CBE2051"/>
    <w:rsid w:val="6CD97FB6"/>
    <w:rsid w:val="6D104378"/>
    <w:rsid w:val="6D331048"/>
    <w:rsid w:val="6D486EEA"/>
    <w:rsid w:val="6D7856B9"/>
    <w:rsid w:val="6D933DFA"/>
    <w:rsid w:val="6DAA35A7"/>
    <w:rsid w:val="6DD72EB8"/>
    <w:rsid w:val="6DDB19AD"/>
    <w:rsid w:val="6DDF4468"/>
    <w:rsid w:val="6E6602AD"/>
    <w:rsid w:val="6E694D63"/>
    <w:rsid w:val="6EF563BF"/>
    <w:rsid w:val="6F010B22"/>
    <w:rsid w:val="6F076466"/>
    <w:rsid w:val="6F1352D6"/>
    <w:rsid w:val="6F337B84"/>
    <w:rsid w:val="6F5608CC"/>
    <w:rsid w:val="6F6C19FB"/>
    <w:rsid w:val="6F900364"/>
    <w:rsid w:val="6FA44543"/>
    <w:rsid w:val="6FB4066F"/>
    <w:rsid w:val="7048119C"/>
    <w:rsid w:val="70794EF2"/>
    <w:rsid w:val="709B5275"/>
    <w:rsid w:val="70AB017A"/>
    <w:rsid w:val="70B749E1"/>
    <w:rsid w:val="70D35108"/>
    <w:rsid w:val="71041C36"/>
    <w:rsid w:val="710737E0"/>
    <w:rsid w:val="7119421C"/>
    <w:rsid w:val="71341F63"/>
    <w:rsid w:val="714006FF"/>
    <w:rsid w:val="714A3765"/>
    <w:rsid w:val="71654F43"/>
    <w:rsid w:val="71BE3339"/>
    <w:rsid w:val="72094297"/>
    <w:rsid w:val="721A5B61"/>
    <w:rsid w:val="726C70BA"/>
    <w:rsid w:val="727E2F3E"/>
    <w:rsid w:val="72824D48"/>
    <w:rsid w:val="72872E0A"/>
    <w:rsid w:val="729563D8"/>
    <w:rsid w:val="729F75AC"/>
    <w:rsid w:val="72A5200B"/>
    <w:rsid w:val="72A970AA"/>
    <w:rsid w:val="72BC6F47"/>
    <w:rsid w:val="72BF19FC"/>
    <w:rsid w:val="72C45383"/>
    <w:rsid w:val="72E06788"/>
    <w:rsid w:val="72FC2DE6"/>
    <w:rsid w:val="730333BC"/>
    <w:rsid w:val="73323036"/>
    <w:rsid w:val="73393104"/>
    <w:rsid w:val="735F4A70"/>
    <w:rsid w:val="737D38DB"/>
    <w:rsid w:val="73907D5F"/>
    <w:rsid w:val="73CD4AC9"/>
    <w:rsid w:val="73F50ACA"/>
    <w:rsid w:val="73F62DEB"/>
    <w:rsid w:val="744D0491"/>
    <w:rsid w:val="74657E71"/>
    <w:rsid w:val="74714B88"/>
    <w:rsid w:val="747B09FF"/>
    <w:rsid w:val="74BF1B57"/>
    <w:rsid w:val="74CA47ED"/>
    <w:rsid w:val="74F4070E"/>
    <w:rsid w:val="756E3B68"/>
    <w:rsid w:val="75A66501"/>
    <w:rsid w:val="7601345D"/>
    <w:rsid w:val="7602043E"/>
    <w:rsid w:val="76F4202E"/>
    <w:rsid w:val="772422D8"/>
    <w:rsid w:val="776D739B"/>
    <w:rsid w:val="777F42E9"/>
    <w:rsid w:val="778133BE"/>
    <w:rsid w:val="77967596"/>
    <w:rsid w:val="779D6F26"/>
    <w:rsid w:val="77AE2B60"/>
    <w:rsid w:val="77C96E79"/>
    <w:rsid w:val="77E208EC"/>
    <w:rsid w:val="77F0506C"/>
    <w:rsid w:val="781A6671"/>
    <w:rsid w:val="781E5E50"/>
    <w:rsid w:val="783F77B7"/>
    <w:rsid w:val="78484242"/>
    <w:rsid w:val="784B00C7"/>
    <w:rsid w:val="785334EE"/>
    <w:rsid w:val="78603AA7"/>
    <w:rsid w:val="7874451D"/>
    <w:rsid w:val="78991756"/>
    <w:rsid w:val="789F07E0"/>
    <w:rsid w:val="78BB1314"/>
    <w:rsid w:val="78D5554C"/>
    <w:rsid w:val="78F30E2A"/>
    <w:rsid w:val="7919561A"/>
    <w:rsid w:val="794013BD"/>
    <w:rsid w:val="799A2454"/>
    <w:rsid w:val="7A1112B2"/>
    <w:rsid w:val="7A6B1F56"/>
    <w:rsid w:val="7AAB443C"/>
    <w:rsid w:val="7AC8338F"/>
    <w:rsid w:val="7AE34912"/>
    <w:rsid w:val="7AED6944"/>
    <w:rsid w:val="7AF1296F"/>
    <w:rsid w:val="7B1810B3"/>
    <w:rsid w:val="7B1B54D9"/>
    <w:rsid w:val="7B330D36"/>
    <w:rsid w:val="7B493D2C"/>
    <w:rsid w:val="7B4D3C76"/>
    <w:rsid w:val="7B9B5387"/>
    <w:rsid w:val="7BA65801"/>
    <w:rsid w:val="7BB3324B"/>
    <w:rsid w:val="7BBB3A66"/>
    <w:rsid w:val="7BCA11E7"/>
    <w:rsid w:val="7C0B4190"/>
    <w:rsid w:val="7C160B8E"/>
    <w:rsid w:val="7C3B2AB5"/>
    <w:rsid w:val="7C43213F"/>
    <w:rsid w:val="7C681E92"/>
    <w:rsid w:val="7C935623"/>
    <w:rsid w:val="7CA222FE"/>
    <w:rsid w:val="7CDF55E4"/>
    <w:rsid w:val="7D06498F"/>
    <w:rsid w:val="7D0D377F"/>
    <w:rsid w:val="7D3F7E6F"/>
    <w:rsid w:val="7D41260A"/>
    <w:rsid w:val="7D8C3B75"/>
    <w:rsid w:val="7D9B48E2"/>
    <w:rsid w:val="7DF75930"/>
    <w:rsid w:val="7E043B3E"/>
    <w:rsid w:val="7E3C4FE2"/>
    <w:rsid w:val="7E740106"/>
    <w:rsid w:val="7ED10348"/>
    <w:rsid w:val="7F5F4A1B"/>
    <w:rsid w:val="7F90445D"/>
    <w:rsid w:val="7F9A7B42"/>
    <w:rsid w:val="7FF333E4"/>
    <w:rsid w:val="DEEE651C"/>
    <w:rsid w:val="EFBF869B"/>
    <w:rsid w:val="FFF6446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8"/>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9"/>
    <w:autoRedefine/>
    <w:qFormat/>
    <w:uiPriority w:val="0"/>
    <w:pPr>
      <w:keepNext/>
      <w:keepLines/>
      <w:spacing w:before="260" w:after="260" w:line="416" w:lineRule="auto"/>
      <w:outlineLvl w:val="1"/>
    </w:pPr>
    <w:rPr>
      <w:rFonts w:ascii="Arial" w:hAnsi="Arial"/>
      <w:b/>
      <w:bCs/>
      <w:sz w:val="32"/>
      <w:szCs w:val="32"/>
    </w:rPr>
  </w:style>
  <w:style w:type="paragraph" w:styleId="5">
    <w:name w:val="heading 3"/>
    <w:basedOn w:val="1"/>
    <w:next w:val="1"/>
    <w:link w:val="175"/>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51"/>
    <w:autoRedefine/>
    <w:qFormat/>
    <w:uiPriority w:val="0"/>
    <w:pPr>
      <w:keepNext/>
      <w:spacing w:line="440" w:lineRule="exact"/>
      <w:jc w:val="center"/>
      <w:outlineLvl w:val="3"/>
    </w:pPr>
    <w:rPr>
      <w:rFonts w:ascii="仿宋_GB2312" w:eastAsia="仿宋_GB2312"/>
      <w:sz w:val="28"/>
      <w:szCs w:val="28"/>
    </w:rPr>
  </w:style>
  <w:style w:type="character" w:default="1" w:styleId="32">
    <w:name w:val="Default Paragraph Font"/>
    <w:autoRedefine/>
    <w:unhideWhenUsed/>
    <w:qFormat/>
    <w:uiPriority w:val="1"/>
  </w:style>
  <w:style w:type="table" w:default="1" w:styleId="30">
    <w:name w:val="Normal Table"/>
    <w:autoRedefine/>
    <w:unhideWhenUsed/>
    <w:qFormat/>
    <w:uiPriority w:val="99"/>
    <w:tblPr>
      <w:tblCellMar>
        <w:top w:w="0" w:type="dxa"/>
        <w:left w:w="108" w:type="dxa"/>
        <w:bottom w:w="0" w:type="dxa"/>
        <w:right w:w="108" w:type="dxa"/>
      </w:tblCellMar>
    </w:tblPr>
  </w:style>
  <w:style w:type="paragraph" w:styleId="2">
    <w:name w:val="HTML Preformatted"/>
    <w:basedOn w:val="1"/>
    <w:link w:val="65"/>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7">
    <w:name w:val="Normal Indent"/>
    <w:basedOn w:val="1"/>
    <w:link w:val="52"/>
    <w:autoRedefine/>
    <w:qFormat/>
    <w:uiPriority w:val="0"/>
    <w:pPr>
      <w:ind w:firstLine="420"/>
    </w:pPr>
    <w:rPr>
      <w:szCs w:val="21"/>
    </w:rPr>
  </w:style>
  <w:style w:type="paragraph" w:styleId="8">
    <w:name w:val="Document Map"/>
    <w:basedOn w:val="1"/>
    <w:link w:val="53"/>
    <w:autoRedefine/>
    <w:qFormat/>
    <w:uiPriority w:val="0"/>
    <w:pPr>
      <w:shd w:val="clear" w:color="auto" w:fill="000080"/>
    </w:pPr>
  </w:style>
  <w:style w:type="paragraph" w:styleId="9">
    <w:name w:val="annotation text"/>
    <w:basedOn w:val="1"/>
    <w:link w:val="54"/>
    <w:autoRedefine/>
    <w:qFormat/>
    <w:uiPriority w:val="0"/>
    <w:pPr>
      <w:jc w:val="left"/>
    </w:pPr>
  </w:style>
  <w:style w:type="paragraph" w:styleId="10">
    <w:name w:val="Body Text"/>
    <w:basedOn w:val="1"/>
    <w:next w:val="1"/>
    <w:link w:val="55"/>
    <w:autoRedefine/>
    <w:qFormat/>
    <w:uiPriority w:val="0"/>
    <w:pPr>
      <w:spacing w:after="120"/>
    </w:pPr>
    <w:rPr>
      <w:kern w:val="0"/>
      <w:sz w:val="24"/>
    </w:rPr>
  </w:style>
  <w:style w:type="paragraph" w:styleId="11">
    <w:name w:val="Body Text Indent"/>
    <w:basedOn w:val="1"/>
    <w:link w:val="56"/>
    <w:autoRedefine/>
    <w:qFormat/>
    <w:uiPriority w:val="0"/>
    <w:pPr>
      <w:ind w:firstLine="830" w:firstLineChars="352"/>
    </w:pPr>
    <w:rPr>
      <w:rFonts w:ascii="仿宋_GB2312" w:eastAsia="仿宋_GB2312"/>
      <w:kern w:val="0"/>
      <w:sz w:val="32"/>
      <w:szCs w:val="32"/>
    </w:rPr>
  </w:style>
  <w:style w:type="paragraph" w:styleId="12">
    <w:name w:val="Block Text"/>
    <w:basedOn w:val="1"/>
    <w:autoRedefine/>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13">
    <w:name w:val="toc 3"/>
    <w:basedOn w:val="1"/>
    <w:next w:val="1"/>
    <w:autoRedefine/>
    <w:qFormat/>
    <w:uiPriority w:val="0"/>
    <w:pPr>
      <w:widowControl/>
      <w:spacing w:after="100" w:line="276" w:lineRule="auto"/>
      <w:ind w:left="440"/>
      <w:jc w:val="left"/>
    </w:pPr>
    <w:rPr>
      <w:rFonts w:ascii="Calibri" w:hAnsi="Calibri"/>
      <w:kern w:val="0"/>
      <w:sz w:val="22"/>
      <w:szCs w:val="22"/>
    </w:rPr>
  </w:style>
  <w:style w:type="paragraph" w:styleId="14">
    <w:name w:val="Plain Text"/>
    <w:basedOn w:val="1"/>
    <w:link w:val="57"/>
    <w:autoRedefine/>
    <w:qFormat/>
    <w:uiPriority w:val="0"/>
    <w:rPr>
      <w:rFonts w:ascii="宋体" w:hAnsi="Courier New"/>
      <w:kern w:val="0"/>
      <w:szCs w:val="21"/>
    </w:rPr>
  </w:style>
  <w:style w:type="paragraph" w:styleId="15">
    <w:name w:val="Date"/>
    <w:basedOn w:val="1"/>
    <w:next w:val="1"/>
    <w:link w:val="58"/>
    <w:autoRedefine/>
    <w:qFormat/>
    <w:uiPriority w:val="0"/>
    <w:pPr>
      <w:ind w:left="100" w:leftChars="2500"/>
    </w:pPr>
    <w:rPr>
      <w:rFonts w:ascii="宋体" w:hAnsi="Courier New"/>
      <w:kern w:val="0"/>
      <w:szCs w:val="21"/>
    </w:rPr>
  </w:style>
  <w:style w:type="paragraph" w:styleId="16">
    <w:name w:val="Body Text Indent 2"/>
    <w:basedOn w:val="1"/>
    <w:link w:val="59"/>
    <w:autoRedefine/>
    <w:qFormat/>
    <w:uiPriority w:val="0"/>
    <w:pPr>
      <w:spacing w:after="120" w:line="480" w:lineRule="auto"/>
      <w:ind w:left="420" w:leftChars="200"/>
    </w:pPr>
    <w:rPr>
      <w:kern w:val="0"/>
      <w:sz w:val="24"/>
    </w:rPr>
  </w:style>
  <w:style w:type="paragraph" w:styleId="17">
    <w:name w:val="Balloon Text"/>
    <w:basedOn w:val="1"/>
    <w:link w:val="60"/>
    <w:autoRedefine/>
    <w:qFormat/>
    <w:uiPriority w:val="0"/>
    <w:rPr>
      <w:sz w:val="18"/>
      <w:szCs w:val="18"/>
    </w:rPr>
  </w:style>
  <w:style w:type="paragraph" w:styleId="18">
    <w:name w:val="footer"/>
    <w:basedOn w:val="1"/>
    <w:link w:val="61"/>
    <w:autoRedefine/>
    <w:qFormat/>
    <w:uiPriority w:val="99"/>
    <w:pPr>
      <w:tabs>
        <w:tab w:val="center" w:pos="4153"/>
        <w:tab w:val="right" w:pos="8306"/>
      </w:tabs>
      <w:snapToGrid w:val="0"/>
      <w:jc w:val="left"/>
    </w:pPr>
    <w:rPr>
      <w:sz w:val="18"/>
      <w:szCs w:val="18"/>
    </w:rPr>
  </w:style>
  <w:style w:type="paragraph" w:styleId="19">
    <w:name w:val="header"/>
    <w:basedOn w:val="1"/>
    <w:link w:val="62"/>
    <w:autoRedefine/>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0"/>
    <w:pPr>
      <w:tabs>
        <w:tab w:val="right" w:leader="dot" w:pos="8834"/>
      </w:tabs>
      <w:spacing w:before="120" w:after="120"/>
      <w:jc w:val="left"/>
    </w:pPr>
    <w:rPr>
      <w:b/>
      <w:bCs/>
      <w:caps/>
      <w:sz w:val="28"/>
      <w:szCs w:val="28"/>
    </w:rPr>
  </w:style>
  <w:style w:type="paragraph" w:styleId="21">
    <w:name w:val="Subtitle"/>
    <w:basedOn w:val="1"/>
    <w:next w:val="1"/>
    <w:link w:val="63"/>
    <w:autoRedefine/>
    <w:qFormat/>
    <w:uiPriority w:val="0"/>
    <w:pPr>
      <w:spacing w:before="240" w:after="60" w:line="312" w:lineRule="auto"/>
      <w:jc w:val="center"/>
      <w:outlineLvl w:val="1"/>
    </w:pPr>
    <w:rPr>
      <w:rFonts w:ascii="Cambria" w:hAnsi="Cambria" w:eastAsia="方正楷体简体"/>
      <w:kern w:val="28"/>
      <w:sz w:val="32"/>
      <w:szCs w:val="32"/>
    </w:rPr>
  </w:style>
  <w:style w:type="paragraph" w:styleId="22">
    <w:name w:val="footnote text"/>
    <w:basedOn w:val="1"/>
    <w:autoRedefine/>
    <w:qFormat/>
    <w:uiPriority w:val="0"/>
    <w:rPr>
      <w:sz w:val="18"/>
    </w:rPr>
  </w:style>
  <w:style w:type="paragraph" w:styleId="23">
    <w:name w:val="Body Text Indent 3"/>
    <w:basedOn w:val="1"/>
    <w:link w:val="64"/>
    <w:autoRedefine/>
    <w:qFormat/>
    <w:uiPriority w:val="0"/>
    <w:pPr>
      <w:spacing w:after="120"/>
      <w:ind w:left="420" w:leftChars="200"/>
    </w:pPr>
    <w:rPr>
      <w:kern w:val="0"/>
      <w:sz w:val="16"/>
      <w:szCs w:val="16"/>
    </w:rPr>
  </w:style>
  <w:style w:type="paragraph" w:styleId="24">
    <w:name w:val="toc 2"/>
    <w:basedOn w:val="1"/>
    <w:next w:val="1"/>
    <w:autoRedefine/>
    <w:qFormat/>
    <w:uiPriority w:val="0"/>
    <w:pPr>
      <w:ind w:left="420" w:leftChars="200"/>
    </w:pPr>
    <w:rPr>
      <w:szCs w:val="21"/>
    </w:rPr>
  </w:style>
  <w:style w:type="paragraph" w:styleId="25">
    <w:name w:val="Normal (Web)"/>
    <w:basedOn w:val="1"/>
    <w:link w:val="66"/>
    <w:autoRedefine/>
    <w:qFormat/>
    <w:uiPriority w:val="99"/>
    <w:pPr>
      <w:widowControl/>
      <w:spacing w:before="100" w:beforeAutospacing="1" w:after="100" w:afterAutospacing="1"/>
      <w:jc w:val="left"/>
    </w:pPr>
    <w:rPr>
      <w:rFonts w:ascii="宋体" w:hAnsi="宋体"/>
      <w:kern w:val="0"/>
      <w:sz w:val="24"/>
    </w:rPr>
  </w:style>
  <w:style w:type="paragraph" w:styleId="26">
    <w:name w:val="Title"/>
    <w:basedOn w:val="1"/>
    <w:next w:val="1"/>
    <w:link w:val="67"/>
    <w:autoRedefine/>
    <w:qFormat/>
    <w:uiPriority w:val="0"/>
    <w:pPr>
      <w:spacing w:before="240" w:after="60"/>
      <w:jc w:val="center"/>
      <w:outlineLvl w:val="0"/>
    </w:pPr>
    <w:rPr>
      <w:rFonts w:ascii="Cambria" w:hAnsi="Cambria" w:eastAsia="方正小标宋简体"/>
      <w:b/>
      <w:bCs/>
      <w:sz w:val="32"/>
      <w:szCs w:val="32"/>
    </w:rPr>
  </w:style>
  <w:style w:type="paragraph" w:styleId="27">
    <w:name w:val="annotation subject"/>
    <w:basedOn w:val="9"/>
    <w:next w:val="9"/>
    <w:link w:val="68"/>
    <w:autoRedefine/>
    <w:qFormat/>
    <w:uiPriority w:val="0"/>
    <w:rPr>
      <w:b/>
      <w:bCs/>
      <w:szCs w:val="21"/>
    </w:rPr>
  </w:style>
  <w:style w:type="paragraph" w:styleId="28">
    <w:name w:val="Body Text First Indent"/>
    <w:basedOn w:val="10"/>
    <w:link w:val="69"/>
    <w:autoRedefine/>
    <w:qFormat/>
    <w:uiPriority w:val="0"/>
    <w:pPr>
      <w:spacing w:line="560" w:lineRule="exact"/>
      <w:ind w:firstLine="420" w:firstLineChars="100"/>
    </w:pPr>
    <w:rPr>
      <w:kern w:val="2"/>
      <w:sz w:val="21"/>
      <w:szCs w:val="22"/>
    </w:rPr>
  </w:style>
  <w:style w:type="paragraph" w:styleId="29">
    <w:name w:val="Body Text First Indent 2"/>
    <w:basedOn w:val="11"/>
    <w:autoRedefine/>
    <w:qFormat/>
    <w:uiPriority w:val="0"/>
    <w:pPr>
      <w:spacing w:after="120" w:line="360" w:lineRule="auto"/>
      <w:ind w:left="420" w:leftChars="200" w:firstLine="210" w:firstLineChars="200"/>
    </w:pPr>
    <w:rPr>
      <w:sz w:val="21"/>
    </w:r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autoRedefine/>
    <w:qFormat/>
    <w:uiPriority w:val="0"/>
    <w:rPr>
      <w:b/>
      <w:bCs/>
    </w:rPr>
  </w:style>
  <w:style w:type="character" w:styleId="34">
    <w:name w:val="page number"/>
    <w:basedOn w:val="32"/>
    <w:autoRedefine/>
    <w:qFormat/>
    <w:uiPriority w:val="0"/>
  </w:style>
  <w:style w:type="character" w:styleId="35">
    <w:name w:val="FollowedHyperlink"/>
    <w:autoRedefine/>
    <w:qFormat/>
    <w:uiPriority w:val="0"/>
    <w:rPr>
      <w:color w:val="800080"/>
      <w:u w:val="none"/>
    </w:rPr>
  </w:style>
  <w:style w:type="character" w:styleId="36">
    <w:name w:val="Emphasis"/>
    <w:autoRedefine/>
    <w:qFormat/>
    <w:uiPriority w:val="0"/>
    <w:rPr>
      <w:b/>
      <w:bCs/>
    </w:rPr>
  </w:style>
  <w:style w:type="character" w:styleId="37">
    <w:name w:val="HTML Definition"/>
    <w:autoRedefine/>
    <w:qFormat/>
    <w:uiPriority w:val="0"/>
  </w:style>
  <w:style w:type="character" w:styleId="38">
    <w:name w:val="HTML Typewriter"/>
    <w:autoRedefine/>
    <w:qFormat/>
    <w:uiPriority w:val="0"/>
    <w:rPr>
      <w:rFonts w:hint="default" w:ascii="monospace" w:hAnsi="monospace" w:eastAsia="monospace" w:cs="monospace"/>
      <w:sz w:val="20"/>
    </w:rPr>
  </w:style>
  <w:style w:type="character" w:styleId="39">
    <w:name w:val="HTML Acronym"/>
    <w:autoRedefine/>
    <w:qFormat/>
    <w:uiPriority w:val="0"/>
  </w:style>
  <w:style w:type="character" w:styleId="40">
    <w:name w:val="HTML Variable"/>
    <w:autoRedefine/>
    <w:qFormat/>
    <w:uiPriority w:val="0"/>
  </w:style>
  <w:style w:type="character" w:styleId="41">
    <w:name w:val="Hyperlink"/>
    <w:autoRedefine/>
    <w:qFormat/>
    <w:uiPriority w:val="0"/>
    <w:rPr>
      <w:color w:val="0000FF"/>
      <w:u w:val="none"/>
    </w:rPr>
  </w:style>
  <w:style w:type="character" w:styleId="42">
    <w:name w:val="HTML Code"/>
    <w:autoRedefine/>
    <w:qFormat/>
    <w:uiPriority w:val="0"/>
    <w:rPr>
      <w:rFonts w:ascii="monospace" w:hAnsi="monospace" w:eastAsia="monospace" w:cs="monospace"/>
      <w:sz w:val="20"/>
    </w:rPr>
  </w:style>
  <w:style w:type="character" w:styleId="43">
    <w:name w:val="annotation reference"/>
    <w:autoRedefine/>
    <w:qFormat/>
    <w:uiPriority w:val="0"/>
    <w:rPr>
      <w:sz w:val="21"/>
      <w:szCs w:val="21"/>
    </w:rPr>
  </w:style>
  <w:style w:type="character" w:styleId="44">
    <w:name w:val="HTML Cite"/>
    <w:autoRedefine/>
    <w:qFormat/>
    <w:uiPriority w:val="0"/>
  </w:style>
  <w:style w:type="character" w:styleId="45">
    <w:name w:val="HTML Keyboard"/>
    <w:autoRedefine/>
    <w:qFormat/>
    <w:uiPriority w:val="0"/>
    <w:rPr>
      <w:rFonts w:hint="default" w:ascii="monospace" w:hAnsi="monospace" w:eastAsia="monospace" w:cs="monospace"/>
      <w:sz w:val="20"/>
    </w:rPr>
  </w:style>
  <w:style w:type="character" w:styleId="46">
    <w:name w:val="HTML Sample"/>
    <w:autoRedefine/>
    <w:qFormat/>
    <w:uiPriority w:val="0"/>
    <w:rPr>
      <w:rFonts w:hint="default" w:ascii="monospace" w:hAnsi="monospace" w:eastAsia="monospace" w:cs="monospace"/>
    </w:rPr>
  </w:style>
  <w:style w:type="paragraph" w:styleId="47">
    <w:name w:val="List Paragraph"/>
    <w:basedOn w:val="1"/>
    <w:next w:val="1"/>
    <w:link w:val="102"/>
    <w:autoRedefine/>
    <w:qFormat/>
    <w:uiPriority w:val="0"/>
    <w:pPr>
      <w:ind w:firstLine="420" w:firstLineChars="200"/>
    </w:pPr>
    <w:rPr>
      <w:szCs w:val="21"/>
    </w:rPr>
  </w:style>
  <w:style w:type="character" w:customStyle="1" w:styleId="48">
    <w:name w:val="标题 1 Char"/>
    <w:link w:val="3"/>
    <w:autoRedefine/>
    <w:qFormat/>
    <w:uiPriority w:val="0"/>
    <w:rPr>
      <w:b/>
      <w:bCs/>
      <w:kern w:val="44"/>
      <w:sz w:val="44"/>
      <w:szCs w:val="44"/>
    </w:rPr>
  </w:style>
  <w:style w:type="character" w:customStyle="1" w:styleId="49">
    <w:name w:val="标题 2 Char"/>
    <w:link w:val="4"/>
    <w:autoRedefine/>
    <w:qFormat/>
    <w:uiPriority w:val="0"/>
    <w:rPr>
      <w:rFonts w:ascii="Arial" w:hAnsi="Arial" w:eastAsia="宋体"/>
      <w:b/>
      <w:bCs/>
      <w:kern w:val="2"/>
      <w:sz w:val="32"/>
      <w:szCs w:val="32"/>
      <w:lang w:val="en-US" w:eastAsia="zh-CN" w:bidi="ar-SA"/>
    </w:rPr>
  </w:style>
  <w:style w:type="character" w:customStyle="1" w:styleId="50">
    <w:name w:val="标题 3 Char"/>
    <w:link w:val="5"/>
    <w:autoRedefine/>
    <w:qFormat/>
    <w:uiPriority w:val="0"/>
    <w:rPr>
      <w:b/>
      <w:bCs/>
      <w:kern w:val="2"/>
      <w:sz w:val="32"/>
      <w:szCs w:val="32"/>
    </w:rPr>
  </w:style>
  <w:style w:type="character" w:customStyle="1" w:styleId="51">
    <w:name w:val="标题 4 Char"/>
    <w:link w:val="6"/>
    <w:autoRedefine/>
    <w:qFormat/>
    <w:uiPriority w:val="0"/>
    <w:rPr>
      <w:rFonts w:ascii="仿宋_GB2312" w:eastAsia="仿宋_GB2312" w:cs="仿宋_GB2312"/>
      <w:kern w:val="2"/>
      <w:sz w:val="28"/>
      <w:szCs w:val="28"/>
    </w:rPr>
  </w:style>
  <w:style w:type="character" w:customStyle="1" w:styleId="52">
    <w:name w:val="正文缩进 Char"/>
    <w:link w:val="7"/>
    <w:autoRedefine/>
    <w:qFormat/>
    <w:uiPriority w:val="0"/>
    <w:rPr>
      <w:kern w:val="2"/>
      <w:sz w:val="21"/>
      <w:szCs w:val="21"/>
    </w:rPr>
  </w:style>
  <w:style w:type="character" w:customStyle="1" w:styleId="53">
    <w:name w:val="文档结构图 Char"/>
    <w:link w:val="8"/>
    <w:autoRedefine/>
    <w:qFormat/>
    <w:uiPriority w:val="0"/>
    <w:rPr>
      <w:kern w:val="2"/>
      <w:sz w:val="21"/>
      <w:szCs w:val="24"/>
      <w:shd w:val="clear" w:color="auto" w:fill="000080"/>
    </w:rPr>
  </w:style>
  <w:style w:type="character" w:customStyle="1" w:styleId="54">
    <w:name w:val="批注文字 Char"/>
    <w:link w:val="9"/>
    <w:autoRedefine/>
    <w:qFormat/>
    <w:uiPriority w:val="0"/>
    <w:rPr>
      <w:kern w:val="2"/>
      <w:sz w:val="21"/>
      <w:szCs w:val="24"/>
    </w:rPr>
  </w:style>
  <w:style w:type="character" w:customStyle="1" w:styleId="55">
    <w:name w:val="正文文本 Char"/>
    <w:link w:val="10"/>
    <w:autoRedefine/>
    <w:qFormat/>
    <w:uiPriority w:val="0"/>
    <w:rPr>
      <w:sz w:val="24"/>
      <w:szCs w:val="24"/>
    </w:rPr>
  </w:style>
  <w:style w:type="character" w:customStyle="1" w:styleId="56">
    <w:name w:val="正文文本缩进 Char"/>
    <w:link w:val="11"/>
    <w:autoRedefine/>
    <w:qFormat/>
    <w:uiPriority w:val="0"/>
    <w:rPr>
      <w:rFonts w:ascii="仿宋_GB2312" w:eastAsia="仿宋_GB2312"/>
      <w:sz w:val="32"/>
      <w:szCs w:val="32"/>
    </w:rPr>
  </w:style>
  <w:style w:type="character" w:customStyle="1" w:styleId="57">
    <w:name w:val="纯文本 Char"/>
    <w:link w:val="14"/>
    <w:autoRedefine/>
    <w:qFormat/>
    <w:uiPriority w:val="0"/>
    <w:rPr>
      <w:rFonts w:ascii="宋体" w:hAnsi="Courier New"/>
      <w:sz w:val="21"/>
      <w:szCs w:val="21"/>
    </w:rPr>
  </w:style>
  <w:style w:type="character" w:customStyle="1" w:styleId="58">
    <w:name w:val="日期 Char"/>
    <w:link w:val="15"/>
    <w:autoRedefine/>
    <w:qFormat/>
    <w:uiPriority w:val="0"/>
    <w:rPr>
      <w:rFonts w:ascii="宋体" w:hAnsi="Courier New"/>
      <w:sz w:val="21"/>
      <w:szCs w:val="21"/>
    </w:rPr>
  </w:style>
  <w:style w:type="character" w:customStyle="1" w:styleId="59">
    <w:name w:val="正文文本缩进 2 Char"/>
    <w:link w:val="16"/>
    <w:autoRedefine/>
    <w:qFormat/>
    <w:uiPriority w:val="0"/>
    <w:rPr>
      <w:sz w:val="24"/>
      <w:szCs w:val="24"/>
    </w:rPr>
  </w:style>
  <w:style w:type="character" w:customStyle="1" w:styleId="60">
    <w:name w:val="批注框文本 Char"/>
    <w:link w:val="17"/>
    <w:autoRedefine/>
    <w:qFormat/>
    <w:uiPriority w:val="0"/>
    <w:rPr>
      <w:kern w:val="2"/>
      <w:sz w:val="18"/>
      <w:szCs w:val="18"/>
    </w:rPr>
  </w:style>
  <w:style w:type="character" w:customStyle="1" w:styleId="61">
    <w:name w:val="页脚 Char1"/>
    <w:link w:val="18"/>
    <w:autoRedefine/>
    <w:qFormat/>
    <w:uiPriority w:val="99"/>
    <w:rPr>
      <w:kern w:val="2"/>
      <w:sz w:val="18"/>
      <w:szCs w:val="18"/>
    </w:rPr>
  </w:style>
  <w:style w:type="character" w:customStyle="1" w:styleId="62">
    <w:name w:val="页眉 Char"/>
    <w:link w:val="19"/>
    <w:autoRedefine/>
    <w:qFormat/>
    <w:uiPriority w:val="0"/>
    <w:rPr>
      <w:kern w:val="2"/>
      <w:sz w:val="18"/>
      <w:szCs w:val="18"/>
    </w:rPr>
  </w:style>
  <w:style w:type="character" w:customStyle="1" w:styleId="63">
    <w:name w:val="副标题 Char"/>
    <w:link w:val="21"/>
    <w:autoRedefine/>
    <w:qFormat/>
    <w:uiPriority w:val="0"/>
    <w:rPr>
      <w:rFonts w:ascii="Cambria" w:hAnsi="Cambria" w:eastAsia="方正楷体简体"/>
      <w:kern w:val="28"/>
      <w:sz w:val="32"/>
      <w:szCs w:val="32"/>
    </w:rPr>
  </w:style>
  <w:style w:type="character" w:customStyle="1" w:styleId="64">
    <w:name w:val="正文文本缩进 3 Char"/>
    <w:link w:val="23"/>
    <w:autoRedefine/>
    <w:qFormat/>
    <w:uiPriority w:val="0"/>
    <w:rPr>
      <w:sz w:val="16"/>
      <w:szCs w:val="16"/>
    </w:rPr>
  </w:style>
  <w:style w:type="character" w:customStyle="1" w:styleId="65">
    <w:name w:val="HTML 预设格式 Char"/>
    <w:link w:val="2"/>
    <w:autoRedefine/>
    <w:qFormat/>
    <w:uiPriority w:val="0"/>
    <w:rPr>
      <w:rFonts w:ascii="Courier New" w:hAnsi="Courier New" w:cs="Courier New"/>
      <w:lang w:eastAsia="en-US"/>
    </w:rPr>
  </w:style>
  <w:style w:type="character" w:customStyle="1" w:styleId="66">
    <w:name w:val="普通(网站) Char"/>
    <w:link w:val="25"/>
    <w:autoRedefine/>
    <w:qFormat/>
    <w:uiPriority w:val="99"/>
    <w:rPr>
      <w:rFonts w:ascii="宋体" w:hAnsi="宋体" w:cs="宋体"/>
      <w:sz w:val="24"/>
      <w:szCs w:val="24"/>
    </w:rPr>
  </w:style>
  <w:style w:type="character" w:customStyle="1" w:styleId="67">
    <w:name w:val="标题 Char"/>
    <w:link w:val="26"/>
    <w:autoRedefine/>
    <w:qFormat/>
    <w:uiPriority w:val="0"/>
    <w:rPr>
      <w:rFonts w:ascii="Cambria" w:hAnsi="Cambria" w:eastAsia="方正小标宋简体"/>
      <w:b/>
      <w:bCs/>
      <w:kern w:val="2"/>
      <w:sz w:val="32"/>
      <w:szCs w:val="32"/>
    </w:rPr>
  </w:style>
  <w:style w:type="character" w:customStyle="1" w:styleId="68">
    <w:name w:val="批注主题 Char"/>
    <w:link w:val="27"/>
    <w:autoRedefine/>
    <w:qFormat/>
    <w:uiPriority w:val="0"/>
    <w:rPr>
      <w:b/>
      <w:bCs/>
      <w:kern w:val="2"/>
      <w:sz w:val="21"/>
      <w:szCs w:val="21"/>
    </w:rPr>
  </w:style>
  <w:style w:type="character" w:customStyle="1" w:styleId="69">
    <w:name w:val="正文首行缩进 Char"/>
    <w:link w:val="28"/>
    <w:autoRedefine/>
    <w:qFormat/>
    <w:uiPriority w:val="0"/>
    <w:rPr>
      <w:kern w:val="2"/>
      <w:sz w:val="21"/>
      <w:szCs w:val="22"/>
    </w:rPr>
  </w:style>
  <w:style w:type="character" w:customStyle="1" w:styleId="70">
    <w:name w:val="标题 2 Char1"/>
    <w:autoRedefine/>
    <w:qFormat/>
    <w:uiPriority w:val="0"/>
    <w:rPr>
      <w:rFonts w:ascii="Arial" w:hAnsi="Arial"/>
      <w:b/>
      <w:bCs/>
      <w:kern w:val="2"/>
      <w:sz w:val="28"/>
      <w:szCs w:val="32"/>
    </w:rPr>
  </w:style>
  <w:style w:type="character" w:customStyle="1" w:styleId="71">
    <w:name w:val="case31"/>
    <w:autoRedefine/>
    <w:qFormat/>
    <w:uiPriority w:val="0"/>
    <w:rPr>
      <w:sz w:val="21"/>
      <w:szCs w:val="21"/>
    </w:rPr>
  </w:style>
  <w:style w:type="character" w:customStyle="1" w:styleId="72">
    <w:name w:val="Body Text Indent 2 Char"/>
    <w:autoRedefine/>
    <w:qFormat/>
    <w:locked/>
    <w:uiPriority w:val="0"/>
    <w:rPr>
      <w:rFonts w:ascii="Times New Roman" w:hAnsi="Times New Roman" w:cs="Times New Roman"/>
      <w:sz w:val="24"/>
      <w:szCs w:val="24"/>
    </w:rPr>
  </w:style>
  <w:style w:type="character" w:customStyle="1" w:styleId="73">
    <w:name w:val="Body Text Indent 3 Char"/>
    <w:autoRedefine/>
    <w:qFormat/>
    <w:locked/>
    <w:uiPriority w:val="0"/>
    <w:rPr>
      <w:rFonts w:ascii="Times New Roman" w:hAnsi="Times New Roman" w:cs="Times New Roman"/>
      <w:sz w:val="16"/>
      <w:szCs w:val="16"/>
    </w:rPr>
  </w:style>
  <w:style w:type="character" w:customStyle="1" w:styleId="74">
    <w:name w:val="Header Char"/>
    <w:autoRedefine/>
    <w:qFormat/>
    <w:locked/>
    <w:uiPriority w:val="0"/>
    <w:rPr>
      <w:rFonts w:ascii="Times New Roman" w:hAnsi="Times New Roman" w:cs="Times New Roman"/>
      <w:sz w:val="18"/>
      <w:szCs w:val="18"/>
    </w:rPr>
  </w:style>
  <w:style w:type="character" w:customStyle="1" w:styleId="75">
    <w:name w:val="Title Char"/>
    <w:autoRedefine/>
    <w:qFormat/>
    <w:locked/>
    <w:uiPriority w:val="0"/>
    <w:rPr>
      <w:rFonts w:ascii="Cambria" w:hAnsi="Cambria" w:eastAsia="方正小标宋简体" w:cs="Cambria"/>
      <w:b/>
      <w:bCs/>
      <w:kern w:val="2"/>
      <w:sz w:val="32"/>
      <w:szCs w:val="32"/>
    </w:rPr>
  </w:style>
  <w:style w:type="character" w:customStyle="1" w:styleId="76">
    <w:name w:val="Date Char"/>
    <w:autoRedefine/>
    <w:qFormat/>
    <w:locked/>
    <w:uiPriority w:val="0"/>
    <w:rPr>
      <w:rFonts w:ascii="宋体" w:hAnsi="Courier New" w:cs="宋体"/>
      <w:sz w:val="21"/>
      <w:szCs w:val="21"/>
    </w:rPr>
  </w:style>
  <w:style w:type="character" w:customStyle="1" w:styleId="77">
    <w:name w:val="其他_"/>
    <w:link w:val="78"/>
    <w:autoRedefine/>
    <w:qFormat/>
    <w:uiPriority w:val="0"/>
    <w:rPr>
      <w:rFonts w:ascii="MingLiU" w:hAnsi="MingLiU" w:eastAsia="MingLiU" w:cs="MingLiU"/>
      <w:sz w:val="8"/>
      <w:szCs w:val="8"/>
      <w:shd w:val="clear" w:color="auto" w:fill="FFFFFF"/>
      <w:lang w:val="zh-CN" w:bidi="zh-CN"/>
    </w:rPr>
  </w:style>
  <w:style w:type="paragraph" w:customStyle="1" w:styleId="78">
    <w:name w:val="其他"/>
    <w:basedOn w:val="1"/>
    <w:link w:val="77"/>
    <w:autoRedefine/>
    <w:qFormat/>
    <w:uiPriority w:val="0"/>
    <w:pPr>
      <w:shd w:val="clear" w:color="auto" w:fill="FFFFFF"/>
      <w:spacing w:line="286" w:lineRule="auto"/>
      <w:ind w:firstLine="170"/>
      <w:jc w:val="left"/>
    </w:pPr>
    <w:rPr>
      <w:rFonts w:ascii="MingLiU" w:hAnsi="MingLiU" w:eastAsia="MingLiU" w:cs="MingLiU"/>
      <w:kern w:val="0"/>
      <w:sz w:val="8"/>
      <w:szCs w:val="8"/>
      <w:lang w:val="zh-CN" w:bidi="zh-CN"/>
    </w:rPr>
  </w:style>
  <w:style w:type="character" w:customStyle="1" w:styleId="79">
    <w:name w:val="批注主题 Char1"/>
    <w:autoRedefine/>
    <w:qFormat/>
    <w:uiPriority w:val="0"/>
    <w:rPr>
      <w:b/>
      <w:bCs/>
      <w:kern w:val="2"/>
      <w:sz w:val="21"/>
      <w:szCs w:val="22"/>
    </w:rPr>
  </w:style>
  <w:style w:type="character" w:customStyle="1" w:styleId="80">
    <w:name w:val="Char Char4"/>
    <w:autoRedefine/>
    <w:qFormat/>
    <w:uiPriority w:val="0"/>
    <w:rPr>
      <w:rFonts w:eastAsia="宋体"/>
      <w:b/>
      <w:bCs/>
      <w:kern w:val="44"/>
      <w:sz w:val="44"/>
      <w:szCs w:val="44"/>
      <w:lang w:val="en-US" w:eastAsia="zh-CN"/>
    </w:rPr>
  </w:style>
  <w:style w:type="character" w:customStyle="1" w:styleId="81">
    <w:name w:val="fontstyle01"/>
    <w:autoRedefine/>
    <w:qFormat/>
    <w:uiPriority w:val="0"/>
    <w:rPr>
      <w:rFonts w:hint="eastAsia" w:ascii="宋体" w:hAnsi="宋体" w:eastAsia="宋体"/>
      <w:color w:val="000000"/>
      <w:sz w:val="24"/>
      <w:szCs w:val="24"/>
    </w:rPr>
  </w:style>
  <w:style w:type="character" w:customStyle="1" w:styleId="82">
    <w:name w:val="hover"/>
    <w:autoRedefine/>
    <w:qFormat/>
    <w:uiPriority w:val="0"/>
    <w:rPr>
      <w:color w:val="2590EB"/>
    </w:rPr>
  </w:style>
  <w:style w:type="character" w:customStyle="1" w:styleId="83">
    <w:name w:val="Footer Char"/>
    <w:autoRedefine/>
    <w:qFormat/>
    <w:locked/>
    <w:uiPriority w:val="0"/>
    <w:rPr>
      <w:rFonts w:ascii="Times New Roman" w:hAnsi="Times New Roman" w:cs="Times New Roman"/>
      <w:sz w:val="18"/>
      <w:szCs w:val="18"/>
    </w:rPr>
  </w:style>
  <w:style w:type="character" w:customStyle="1" w:styleId="84">
    <w:name w:val="样式2 字符"/>
    <w:link w:val="85"/>
    <w:autoRedefine/>
    <w:qFormat/>
    <w:uiPriority w:val="0"/>
    <w:rPr>
      <w:rFonts w:ascii="楷体_GB2312" w:hAnsi="Arial" w:eastAsia="仿宋_GB2312"/>
      <w:kern w:val="2"/>
      <w:sz w:val="28"/>
      <w:szCs w:val="28"/>
    </w:rPr>
  </w:style>
  <w:style w:type="paragraph" w:customStyle="1" w:styleId="85">
    <w:name w:val="样式2"/>
    <w:basedOn w:val="1"/>
    <w:link w:val="84"/>
    <w:autoRedefine/>
    <w:qFormat/>
    <w:uiPriority w:val="0"/>
    <w:pPr>
      <w:spacing w:line="560" w:lineRule="exact"/>
      <w:ind w:firstLine="561" w:firstLineChars="200"/>
    </w:pPr>
    <w:rPr>
      <w:rFonts w:ascii="楷体_GB2312" w:hAnsi="Arial" w:eastAsia="仿宋_GB2312"/>
      <w:sz w:val="28"/>
      <w:szCs w:val="28"/>
    </w:rPr>
  </w:style>
  <w:style w:type="character" w:customStyle="1" w:styleId="86">
    <w:name w:val="正文首行缩进 Char1"/>
    <w:autoRedefine/>
    <w:qFormat/>
    <w:uiPriority w:val="0"/>
    <w:rPr>
      <w:kern w:val="2"/>
      <w:sz w:val="21"/>
      <w:szCs w:val="24"/>
    </w:rPr>
  </w:style>
  <w:style w:type="character" w:customStyle="1" w:styleId="87">
    <w:name w:val="Default Char"/>
    <w:link w:val="88"/>
    <w:autoRedefine/>
    <w:qFormat/>
    <w:locked/>
    <w:uiPriority w:val="0"/>
    <w:rPr>
      <w:rFonts w:ascii="......." w:eastAsia="......."/>
      <w:color w:val="000000"/>
      <w:sz w:val="24"/>
      <w:szCs w:val="24"/>
      <w:lang w:val="en-US" w:eastAsia="zh-CN" w:bidi="ar-SA"/>
    </w:rPr>
  </w:style>
  <w:style w:type="paragraph" w:customStyle="1" w:styleId="88">
    <w:name w:val="Default"/>
    <w:link w:val="87"/>
    <w:autoRedefine/>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89">
    <w:name w:val="样式1 字符"/>
    <w:link w:val="90"/>
    <w:autoRedefine/>
    <w:qFormat/>
    <w:uiPriority w:val="0"/>
    <w:rPr>
      <w:rFonts w:ascii="宋体" w:hAnsi="宋体" w:cs="宋体"/>
      <w:sz w:val="21"/>
      <w:szCs w:val="21"/>
    </w:rPr>
  </w:style>
  <w:style w:type="paragraph" w:customStyle="1" w:styleId="90">
    <w:name w:val="样式1"/>
    <w:basedOn w:val="1"/>
    <w:link w:val="89"/>
    <w:autoRedefine/>
    <w:qFormat/>
    <w:uiPriority w:val="0"/>
    <w:pPr>
      <w:tabs>
        <w:tab w:val="left" w:pos="1674"/>
      </w:tabs>
      <w:adjustRightInd w:val="0"/>
      <w:ind w:left="1674" w:hanging="1125"/>
      <w:textAlignment w:val="baseline"/>
    </w:pPr>
    <w:rPr>
      <w:rFonts w:ascii="宋体" w:hAnsi="宋体"/>
      <w:kern w:val="0"/>
      <w:szCs w:val="21"/>
    </w:rPr>
  </w:style>
  <w:style w:type="character" w:customStyle="1" w:styleId="91">
    <w:name w:val="日期 Char1"/>
    <w:autoRedefine/>
    <w:qFormat/>
    <w:uiPriority w:val="0"/>
    <w:rPr>
      <w:kern w:val="2"/>
      <w:sz w:val="21"/>
      <w:szCs w:val="22"/>
    </w:rPr>
  </w:style>
  <w:style w:type="character" w:customStyle="1" w:styleId="92">
    <w:name w:val="页脚 Char"/>
    <w:autoRedefine/>
    <w:qFormat/>
    <w:uiPriority w:val="99"/>
    <w:rPr>
      <w:rFonts w:eastAsia="Calibri"/>
      <w:sz w:val="21"/>
    </w:rPr>
  </w:style>
  <w:style w:type="character" w:customStyle="1" w:styleId="93">
    <w:name w:val="标题 Char1"/>
    <w:autoRedefine/>
    <w:qFormat/>
    <w:uiPriority w:val="0"/>
    <w:rPr>
      <w:rFonts w:ascii="Cambria" w:hAnsi="Cambria" w:cs="Times New Roman"/>
      <w:b/>
      <w:bCs/>
      <w:kern w:val="2"/>
      <w:sz w:val="32"/>
      <w:szCs w:val="32"/>
    </w:rPr>
  </w:style>
  <w:style w:type="character" w:customStyle="1" w:styleId="94">
    <w:name w:val="正文文本首行缩进 字符1"/>
    <w:autoRedefine/>
    <w:qFormat/>
    <w:uiPriority w:val="0"/>
    <w:rPr>
      <w:kern w:val="2"/>
      <w:sz w:val="21"/>
      <w:szCs w:val="24"/>
    </w:rPr>
  </w:style>
  <w:style w:type="character" w:customStyle="1" w:styleId="95">
    <w:name w:val="hover1"/>
    <w:autoRedefine/>
    <w:qFormat/>
    <w:uiPriority w:val="0"/>
    <w:rPr>
      <w:color w:val="2590EB"/>
    </w:rPr>
  </w:style>
  <w:style w:type="character" w:customStyle="1" w:styleId="96">
    <w:name w:val="Subtitle Char"/>
    <w:autoRedefine/>
    <w:qFormat/>
    <w:locked/>
    <w:uiPriority w:val="0"/>
    <w:rPr>
      <w:rFonts w:ascii="Cambria" w:hAnsi="Cambria" w:eastAsia="方正楷体简体" w:cs="Cambria"/>
      <w:kern w:val="28"/>
      <w:sz w:val="32"/>
      <w:szCs w:val="32"/>
    </w:rPr>
  </w:style>
  <w:style w:type="character" w:customStyle="1" w:styleId="97">
    <w:name w:val="正文要点内容 Char Char"/>
    <w:link w:val="98"/>
    <w:autoRedefine/>
    <w:qFormat/>
    <w:locked/>
    <w:uiPriority w:val="0"/>
    <w:rPr>
      <w:kern w:val="2"/>
      <w:sz w:val="21"/>
      <w:szCs w:val="21"/>
    </w:rPr>
  </w:style>
  <w:style w:type="paragraph" w:customStyle="1" w:styleId="98">
    <w:name w:val="正文要点内容"/>
    <w:basedOn w:val="99"/>
    <w:link w:val="97"/>
    <w:autoRedefine/>
    <w:qFormat/>
    <w:uiPriority w:val="0"/>
    <w:pPr>
      <w:tabs>
        <w:tab w:val="left" w:pos="420"/>
        <w:tab w:val="left" w:pos="840"/>
      </w:tabs>
      <w:ind w:left="400" w:leftChars="400" w:firstLine="200" w:firstLineChars="200"/>
    </w:pPr>
  </w:style>
  <w:style w:type="paragraph" w:customStyle="1" w:styleId="99">
    <w:name w:val="正文要点"/>
    <w:basedOn w:val="1"/>
    <w:next w:val="98"/>
    <w:link w:val="100"/>
    <w:autoRedefine/>
    <w:qFormat/>
    <w:uiPriority w:val="0"/>
    <w:pPr>
      <w:tabs>
        <w:tab w:val="left" w:pos="420"/>
      </w:tabs>
      <w:spacing w:line="360" w:lineRule="auto"/>
      <w:ind w:left="840" w:hanging="420"/>
    </w:pPr>
    <w:rPr>
      <w:szCs w:val="21"/>
    </w:rPr>
  </w:style>
  <w:style w:type="character" w:customStyle="1" w:styleId="100">
    <w:name w:val="正文要点 Char Char"/>
    <w:link w:val="99"/>
    <w:autoRedefine/>
    <w:qFormat/>
    <w:locked/>
    <w:uiPriority w:val="0"/>
    <w:rPr>
      <w:kern w:val="2"/>
      <w:sz w:val="21"/>
      <w:szCs w:val="21"/>
    </w:rPr>
  </w:style>
  <w:style w:type="character" w:customStyle="1" w:styleId="101">
    <w:name w:val="Body Text Char"/>
    <w:autoRedefine/>
    <w:qFormat/>
    <w:locked/>
    <w:uiPriority w:val="0"/>
    <w:rPr>
      <w:rFonts w:ascii="Times New Roman" w:hAnsi="Times New Roman" w:cs="Times New Roman"/>
      <w:sz w:val="24"/>
      <w:szCs w:val="24"/>
    </w:rPr>
  </w:style>
  <w:style w:type="character" w:customStyle="1" w:styleId="102">
    <w:name w:val="列出段落 Char"/>
    <w:link w:val="47"/>
    <w:autoRedefine/>
    <w:qFormat/>
    <w:uiPriority w:val="0"/>
    <w:rPr>
      <w:kern w:val="2"/>
      <w:sz w:val="21"/>
      <w:szCs w:val="21"/>
    </w:rPr>
  </w:style>
  <w:style w:type="character" w:customStyle="1" w:styleId="103">
    <w:name w:val="无间隔 Char"/>
    <w:link w:val="104"/>
    <w:autoRedefine/>
    <w:qFormat/>
    <w:locked/>
    <w:uiPriority w:val="0"/>
    <w:rPr>
      <w:rFonts w:cs="Calibri"/>
      <w:sz w:val="22"/>
      <w:szCs w:val="22"/>
      <w:lang w:val="en-US" w:eastAsia="zh-CN" w:bidi="ar-SA"/>
    </w:rPr>
  </w:style>
  <w:style w:type="paragraph" w:customStyle="1" w:styleId="104">
    <w:name w:val="无间隔1"/>
    <w:link w:val="103"/>
    <w:autoRedefine/>
    <w:qFormat/>
    <w:uiPriority w:val="0"/>
    <w:rPr>
      <w:rFonts w:ascii="Times New Roman" w:hAnsi="Times New Roman" w:eastAsia="宋体" w:cs="Calibri"/>
      <w:sz w:val="22"/>
      <w:szCs w:val="22"/>
      <w:lang w:val="en-US" w:eastAsia="zh-CN" w:bidi="ar-SA"/>
    </w:rPr>
  </w:style>
  <w:style w:type="character" w:customStyle="1" w:styleId="105">
    <w:name w:val="Plain Text Char"/>
    <w:autoRedefine/>
    <w:qFormat/>
    <w:locked/>
    <w:uiPriority w:val="0"/>
    <w:rPr>
      <w:rFonts w:ascii="宋体" w:hAnsi="Courier New" w:cs="宋体"/>
      <w:sz w:val="21"/>
      <w:szCs w:val="21"/>
    </w:rPr>
  </w:style>
  <w:style w:type="character" w:customStyle="1" w:styleId="106">
    <w:name w:val="NormalCharacter"/>
    <w:autoRedefine/>
    <w:qFormat/>
    <w:uiPriority w:val="0"/>
  </w:style>
  <w:style w:type="character" w:customStyle="1" w:styleId="107">
    <w:name w:val="页眉 Char1"/>
    <w:autoRedefine/>
    <w:qFormat/>
    <w:uiPriority w:val="99"/>
    <w:rPr>
      <w:kern w:val="2"/>
      <w:sz w:val="18"/>
      <w:szCs w:val="18"/>
    </w:rPr>
  </w:style>
  <w:style w:type="character" w:customStyle="1" w:styleId="108">
    <w:name w:val="UserStyle_0"/>
    <w:autoRedefine/>
    <w:semiHidden/>
    <w:qFormat/>
    <w:uiPriority w:val="0"/>
    <w:rPr>
      <w:kern w:val="2"/>
      <w:sz w:val="21"/>
      <w:szCs w:val="24"/>
      <w:lang w:val="en-US" w:eastAsia="zh-CN" w:bidi="ar-SA"/>
    </w:rPr>
  </w:style>
  <w:style w:type="character" w:customStyle="1" w:styleId="109">
    <w:name w:val="普通文字 Char"/>
    <w:autoRedefine/>
    <w:qFormat/>
    <w:uiPriority w:val="0"/>
    <w:rPr>
      <w:rFonts w:ascii="宋体" w:hAnsi="Courier New" w:cs="宋体"/>
      <w:sz w:val="21"/>
      <w:szCs w:val="21"/>
    </w:rPr>
  </w:style>
  <w:style w:type="character" w:customStyle="1" w:styleId="110">
    <w:name w:val="正文文本缩进 2 Char1"/>
    <w:autoRedefine/>
    <w:qFormat/>
    <w:uiPriority w:val="0"/>
    <w:rPr>
      <w:kern w:val="2"/>
      <w:sz w:val="21"/>
      <w:szCs w:val="22"/>
    </w:rPr>
  </w:style>
  <w:style w:type="character" w:customStyle="1" w:styleId="111">
    <w:name w:val="Body Text Indent Char"/>
    <w:autoRedefine/>
    <w:qFormat/>
    <w:locked/>
    <w:uiPriority w:val="0"/>
    <w:rPr>
      <w:rFonts w:ascii="仿宋_GB2312" w:hAnsi="Times New Roman" w:eastAsia="仿宋_GB2312" w:cs="仿宋_GB2312"/>
      <w:sz w:val="32"/>
      <w:szCs w:val="32"/>
    </w:rPr>
  </w:style>
  <w:style w:type="character" w:customStyle="1" w:styleId="112">
    <w:name w:val="hover2"/>
    <w:autoRedefine/>
    <w:qFormat/>
    <w:uiPriority w:val="0"/>
  </w:style>
  <w:style w:type="paragraph" w:customStyle="1" w:styleId="113">
    <w:name w:val="样式 标题 3h3Level 3 HeadH3Heading 3 - oldlevel_3PIM 3BOD 0s..."/>
    <w:basedOn w:val="5"/>
    <w:autoRedefine/>
    <w:qFormat/>
    <w:uiPriority w:val="0"/>
    <w:pPr>
      <w:tabs>
        <w:tab w:val="left" w:pos="0"/>
      </w:tabs>
      <w:adjustRightInd w:val="0"/>
      <w:spacing w:before="0" w:after="0" w:line="500" w:lineRule="exact"/>
      <w:textAlignment w:val="baseline"/>
    </w:pPr>
    <w:rPr>
      <w:kern w:val="0"/>
      <w:sz w:val="28"/>
      <w:szCs w:val="28"/>
    </w:rPr>
  </w:style>
  <w:style w:type="paragraph" w:customStyle="1" w:styleId="114">
    <w:name w:val="默认段落字体 Para Char Char Char Char Char Char Char Char Char Char"/>
    <w:basedOn w:val="1"/>
    <w:autoRedefine/>
    <w:qFormat/>
    <w:uiPriority w:val="0"/>
    <w:rPr>
      <w:rFonts w:ascii="Tahoma" w:hAnsi="Tahoma" w:cs="Tahoma"/>
      <w:sz w:val="24"/>
    </w:rPr>
  </w:style>
  <w:style w:type="paragraph" w:customStyle="1" w:styleId="115">
    <w:name w:val="Char"/>
    <w:basedOn w:val="1"/>
    <w:autoRedefine/>
    <w:qFormat/>
    <w:uiPriority w:val="0"/>
    <w:rPr>
      <w:szCs w:val="21"/>
    </w:rPr>
  </w:style>
  <w:style w:type="paragraph" w:customStyle="1" w:styleId="116">
    <w:name w:val="xl84"/>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17">
    <w:name w:val="xl70"/>
    <w:basedOn w:val="1"/>
    <w:autoRedefine/>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1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19">
    <w:name w:val="xl92"/>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0">
    <w:name w:val="xl94"/>
    <w:basedOn w:val="1"/>
    <w:autoRedefine/>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1">
    <w:name w:val="正文格式"/>
    <w:basedOn w:val="1"/>
    <w:autoRedefine/>
    <w:qFormat/>
    <w:uiPriority w:val="0"/>
    <w:pPr>
      <w:widowControl/>
      <w:adjustRightInd w:val="0"/>
      <w:snapToGrid w:val="0"/>
      <w:spacing w:line="400" w:lineRule="atLeast"/>
      <w:ind w:firstLine="482"/>
      <w:textAlignment w:val="baseline"/>
    </w:pPr>
    <w:rPr>
      <w:kern w:val="0"/>
      <w:sz w:val="24"/>
    </w:rPr>
  </w:style>
  <w:style w:type="paragraph" w:customStyle="1" w:styleId="122">
    <w:name w:val="修订1"/>
    <w:autoRedefine/>
    <w:qFormat/>
    <w:uiPriority w:val="0"/>
    <w:rPr>
      <w:rFonts w:ascii="Times New Roman" w:hAnsi="Times New Roman" w:eastAsia="宋体" w:cs="Times New Roman"/>
      <w:kern w:val="2"/>
      <w:sz w:val="21"/>
      <w:szCs w:val="21"/>
      <w:lang w:val="en-US" w:eastAsia="zh-CN" w:bidi="ar-SA"/>
    </w:rPr>
  </w:style>
  <w:style w:type="paragraph" w:customStyle="1" w:styleId="123">
    <w:name w:val="font7"/>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4">
    <w:name w:val="Body Text First Indent 2"/>
    <w:basedOn w:val="19"/>
    <w:autoRedefine/>
    <w:qFormat/>
    <w:uiPriority w:val="0"/>
    <w:pPr>
      <w:spacing w:after="120" w:line="240" w:lineRule="auto"/>
      <w:ind w:left="420" w:leftChars="200" w:firstLine="420" w:firstLineChars="200"/>
    </w:pPr>
    <w:rPr>
      <w:rFonts w:hint="default" w:ascii="Times New Roman" w:hAnsi="Times New Roman" w:eastAsia="宋体" w:cs="Times New Roman"/>
      <w:sz w:val="21"/>
    </w:rPr>
  </w:style>
  <w:style w:type="paragraph" w:customStyle="1" w:styleId="125">
    <w:name w:val="Char Char1 Char Char Char Char Char Char Char Char Char Char Char Char Char Char Char"/>
    <w:basedOn w:val="1"/>
    <w:autoRedefine/>
    <w:qFormat/>
    <w:uiPriority w:val="0"/>
    <w:pPr>
      <w:widowControl/>
      <w:spacing w:after="160" w:line="240" w:lineRule="exact"/>
      <w:jc w:val="left"/>
    </w:pPr>
    <w:rPr>
      <w:rFonts w:ascii="Verdana" w:hAnsi="Verdana" w:cs="Verdana"/>
      <w:kern w:val="0"/>
      <w:sz w:val="20"/>
      <w:szCs w:val="20"/>
      <w:lang w:eastAsia="en-US"/>
    </w:rPr>
  </w:style>
  <w:style w:type="paragraph" w:customStyle="1" w:styleId="126">
    <w:name w:val="xl87"/>
    <w:basedOn w:val="1"/>
    <w:autoRedefine/>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7">
    <w:name w:val="xl71"/>
    <w:basedOn w:val="1"/>
    <w:autoRedefine/>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28">
    <w:name w:val="xl81"/>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9">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0">
    <w:name w:val="xl86"/>
    <w:basedOn w:val="1"/>
    <w:autoRedefine/>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1">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2">
    <w:name w:val="Bullet"/>
    <w:basedOn w:val="1"/>
    <w:autoRedefine/>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33">
    <w:name w:val="xl96"/>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4">
    <w:name w:val="xl99"/>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5">
    <w:name w:val="0正文"/>
    <w:autoRedefine/>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136">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37">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xl27"/>
    <w:basedOn w:val="1"/>
    <w:autoRedefine/>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39">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0">
    <w:name w:val="TOC 标题1"/>
    <w:basedOn w:val="3"/>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41">
    <w:name w:val="xl100"/>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
    <w:name w:val="xl102"/>
    <w:basedOn w:val="1"/>
    <w:autoRedefine/>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3">
    <w:name w:val="xl91"/>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4">
    <w:name w:val="xl72"/>
    <w:basedOn w:val="1"/>
    <w:autoRedefine/>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5">
    <w:name w:val="xl9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6">
    <w:name w:val="xl69"/>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7">
    <w:name w:val="xl93"/>
    <w:basedOn w:val="1"/>
    <w:autoRedefine/>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8">
    <w:name w:val="xl68"/>
    <w:basedOn w:val="1"/>
    <w:autoRedefine/>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49">
    <w:name w:val="默认段落字体 Para Char Char Char Char"/>
    <w:basedOn w:val="1"/>
    <w:autoRedefine/>
    <w:qFormat/>
    <w:uiPriority w:val="0"/>
    <w:rPr>
      <w:szCs w:val="21"/>
    </w:rPr>
  </w:style>
  <w:style w:type="paragraph" w:customStyle="1" w:styleId="150">
    <w:name w:val="xl74"/>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51">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列出段落1"/>
    <w:basedOn w:val="1"/>
    <w:autoRedefine/>
    <w:qFormat/>
    <w:uiPriority w:val="0"/>
    <w:pPr>
      <w:ind w:firstLine="420" w:firstLineChars="200"/>
    </w:pPr>
    <w:rPr>
      <w:szCs w:val="21"/>
    </w:rPr>
  </w:style>
  <w:style w:type="paragraph" w:customStyle="1" w:styleId="153">
    <w:name w:val="xl66"/>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4">
    <w:name w:val="xl98"/>
    <w:basedOn w:val="1"/>
    <w:autoRedefine/>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5">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6">
    <w:name w:val="xl33"/>
    <w:basedOn w:val="1"/>
    <w:autoRedefine/>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57">
    <w:name w:val="Char1 Char Char Char"/>
    <w:basedOn w:val="1"/>
    <w:autoRedefine/>
    <w:qFormat/>
    <w:uiPriority w:val="0"/>
    <w:rPr>
      <w:rFonts w:eastAsia="仿宋_GB2312"/>
      <w:sz w:val="28"/>
      <w:szCs w:val="28"/>
    </w:rPr>
  </w:style>
  <w:style w:type="paragraph" w:customStyle="1" w:styleId="158">
    <w:name w:val="xl67"/>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styleId="159">
    <w:name w:val="No Spacing"/>
    <w:autoRedefine/>
    <w:qFormat/>
    <w:uiPriority w:val="0"/>
    <w:rPr>
      <w:rFonts w:ascii="Times New Roman" w:hAnsi="Times New Roman" w:eastAsia="宋体" w:cs="Calibri"/>
      <w:sz w:val="22"/>
      <w:szCs w:val="22"/>
      <w:lang w:val="en-US" w:eastAsia="zh-CN" w:bidi="ar-SA"/>
    </w:rPr>
  </w:style>
  <w:style w:type="paragraph" w:customStyle="1" w:styleId="160">
    <w:name w:val="font6"/>
    <w:basedOn w:val="1"/>
    <w:autoRedefine/>
    <w:qFormat/>
    <w:uiPriority w:val="0"/>
    <w:pPr>
      <w:widowControl/>
      <w:spacing w:before="100" w:beforeAutospacing="1" w:after="100" w:afterAutospacing="1"/>
      <w:jc w:val="left"/>
    </w:pPr>
    <w:rPr>
      <w:kern w:val="0"/>
      <w:szCs w:val="21"/>
    </w:rPr>
  </w:style>
  <w:style w:type="paragraph" w:customStyle="1" w:styleId="16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101"/>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4">
    <w:name w:val="BodyText"/>
    <w:basedOn w:val="1"/>
    <w:next w:val="1"/>
    <w:autoRedefine/>
    <w:qFormat/>
    <w:uiPriority w:val="0"/>
    <w:pPr>
      <w:ind w:left="108" w:firstLine="638"/>
      <w:jc w:val="both"/>
      <w:textAlignment w:val="baseline"/>
    </w:pPr>
    <w:rPr>
      <w:rFonts w:ascii="仿宋" w:hAnsi="仿宋" w:eastAsia="仿宋"/>
      <w:kern w:val="2"/>
      <w:sz w:val="32"/>
      <w:szCs w:val="32"/>
      <w:lang w:val="en-US" w:eastAsia="zh-CN" w:bidi="ar-SA"/>
    </w:rPr>
  </w:style>
  <w:style w:type="paragraph" w:customStyle="1" w:styleId="165">
    <w:name w:val="xl9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_Style 165"/>
    <w:autoRedefine/>
    <w:qFormat/>
    <w:uiPriority w:val="0"/>
    <w:rPr>
      <w:rFonts w:ascii="Times New Roman" w:hAnsi="Times New Roman" w:eastAsia="宋体" w:cs="Times New Roman"/>
      <w:kern w:val="2"/>
      <w:sz w:val="21"/>
      <w:szCs w:val="21"/>
      <w:lang w:val="en-US" w:eastAsia="zh-CN" w:bidi="ar-SA"/>
    </w:rPr>
  </w:style>
  <w:style w:type="paragraph" w:customStyle="1" w:styleId="167">
    <w:name w:val="font8"/>
    <w:basedOn w:val="1"/>
    <w:autoRedefine/>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68">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BodyTextIndent"/>
    <w:basedOn w:val="1"/>
    <w:autoRedefine/>
    <w:qFormat/>
    <w:uiPriority w:val="0"/>
    <w:pPr>
      <w:widowControl/>
      <w:ind w:right="-258" w:rightChars="-123" w:firstLine="720"/>
      <w:textAlignment w:val="baseline"/>
    </w:pPr>
    <w:rPr>
      <w:rFonts w:ascii="仿宋_GB2312" w:eastAsia="仿宋_GB2312"/>
      <w:sz w:val="32"/>
    </w:rPr>
  </w:style>
  <w:style w:type="paragraph" w:customStyle="1" w:styleId="170">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1">
    <w:name w:val="_Style 170"/>
    <w:basedOn w:val="3"/>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72">
    <w:name w:val="xl90"/>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3">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4">
    <w:name w:val="xl73"/>
    <w:basedOn w:val="1"/>
    <w:autoRedefine/>
    <w:qFormat/>
    <w:uiPriority w:val="0"/>
    <w:pPr>
      <w:widowControl/>
      <w:spacing w:before="100" w:beforeAutospacing="1" w:after="100" w:afterAutospacing="1"/>
      <w:jc w:val="left"/>
      <w:textAlignment w:val="center"/>
    </w:pPr>
    <w:rPr>
      <w:rFonts w:ascii="宋体" w:hAnsi="宋体" w:cs="宋体"/>
      <w:b/>
      <w:bCs/>
      <w:kern w:val="0"/>
      <w:szCs w:val="21"/>
    </w:rPr>
  </w:style>
  <w:style w:type="character" w:customStyle="1" w:styleId="175">
    <w:name w:val="Heading 3 Char"/>
    <w:basedOn w:val="32"/>
    <w:link w:val="5"/>
    <w:autoRedefine/>
    <w:qFormat/>
    <w:locked/>
    <w:uiPriority w:val="99"/>
    <w:rPr>
      <w:rFonts w:cs="Times New Roman"/>
      <w:b/>
      <w:sz w:val="32"/>
    </w:rPr>
  </w:style>
  <w:style w:type="paragraph" w:customStyle="1" w:styleId="176">
    <w:name w:val="列表段落1"/>
    <w:basedOn w:val="1"/>
    <w:next w:val="1"/>
    <w:qFormat/>
    <w:uiPriority w:val="0"/>
    <w:pPr>
      <w:ind w:firstLine="420" w:firstLineChars="200"/>
    </w:pPr>
    <w:rPr>
      <w:szCs w:val="22"/>
    </w:rPr>
  </w:style>
  <w:style w:type="paragraph" w:customStyle="1" w:styleId="177">
    <w:name w:val="Table Text"/>
    <w:basedOn w:val="1"/>
    <w:semiHidden/>
    <w:qFormat/>
    <w:uiPriority w:val="0"/>
    <w:pPr>
      <w:widowControl/>
      <w:kinsoku w:val="0"/>
      <w:autoSpaceDE w:val="0"/>
      <w:autoSpaceDN w:val="0"/>
      <w:adjustRightInd w:val="0"/>
      <w:snapToGrid w:val="0"/>
      <w:spacing w:line="240" w:lineRule="auto"/>
      <w:jc w:val="left"/>
      <w:textAlignment w:val="baseline"/>
    </w:pPr>
    <w:rPr>
      <w:rFonts w:ascii="仿宋" w:hAnsi="仿宋" w:eastAsia="仿宋" w:cs="仿宋"/>
      <w:snapToGrid w:val="0"/>
      <w:color w:val="000000"/>
      <w:kern w:val="0"/>
      <w:sz w:val="28"/>
      <w:szCs w:val="28"/>
      <w:lang w:eastAsia="en-US"/>
    </w:rPr>
  </w:style>
  <w:style w:type="paragraph" w:customStyle="1" w:styleId="178">
    <w:name w:val="Char Char 字元 字元 字元 Char Char Char Char"/>
    <w:basedOn w:val="1"/>
    <w:next w:val="179"/>
    <w:qFormat/>
    <w:uiPriority w:val="0"/>
    <w:pPr>
      <w:spacing w:line="360" w:lineRule="auto"/>
    </w:pPr>
    <w:rPr>
      <w:sz w:val="24"/>
    </w:rPr>
  </w:style>
  <w:style w:type="paragraph" w:customStyle="1" w:styleId="179">
    <w:name w:val="_Style 3"/>
    <w:next w:val="1"/>
    <w:qFormat/>
    <w:uiPriority w:val="39"/>
    <w:pPr>
      <w:wordWrap w:val="0"/>
    </w:pPr>
    <w:rPr>
      <w:rFonts w:ascii="宋体" w:hAnsi="宋体" w:eastAsia="宋体" w:cs="Times New Roman"/>
      <w:sz w:val="32"/>
      <w:lang w:val="en-US" w:eastAsia="zh-CN" w:bidi="ar-SA"/>
    </w:rPr>
  </w:style>
  <w:style w:type="paragraph" w:customStyle="1" w:styleId="180">
    <w:name w:val="Table Paragraph"/>
    <w:basedOn w:val="1"/>
    <w:qFormat/>
    <w:uiPriority w:val="0"/>
    <w:pPr>
      <w:widowControl w:val="0"/>
      <w:spacing w:line="360" w:lineRule="auto"/>
      <w:jc w:val="both"/>
    </w:pPr>
    <w:rPr>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98</Pages>
  <Words>5634</Words>
  <Characters>6597</Characters>
  <Lines>257</Lines>
  <Paragraphs>72</Paragraphs>
  <TotalTime>83</TotalTime>
  <ScaleCrop>false</ScaleCrop>
  <LinksUpToDate>false</LinksUpToDate>
  <CharactersWithSpaces>6690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2021-08-18T08:24:00Z</dcterms:created>
  <dc:creator>番茄花园</dc:creator>
  <cp:lastModifiedBy>ㅤ</cp:lastModifiedBy>
  <cp:lastPrinted>2021-03-19T01:31:00Z</cp:lastPrinted>
  <dcterms:modified xsi:type="dcterms:W3CDTF">2026-09-01T05:31:48Z</dcterms:modified>
  <dc:title>盘锦市政府采购项目预算表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E95B69C356BB4A98843C89786960C805_13</vt:lpwstr>
  </property>
  <property fmtid="{D5CDD505-2E9C-101B-9397-08002B2CF9AE}" pid="4" name="KSOTemplateDocerSaveRecord">
    <vt:lpwstr>eyJoZGlkIjoiZGY2ZDRmY2I1ODEyYTBmYWNjMTc0MGUyNmNhZjk5YTMiLCJ1c2VySWQiOiI2NjcxMzg3NjUifQ==</vt:lpwstr>
  </property>
</Properties>
</file>