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200D9">
      <w:pPr>
        <w:pStyle w:val="105"/>
        <w:rPr>
          <w:rFonts w:hint="eastAsia" w:ascii="Calibri" w:hAnsi="Calibri" w:eastAsia="仿宋" w:cs="仿宋"/>
          <w:color w:val="auto"/>
          <w:highlight w:val="none"/>
        </w:rPr>
      </w:pPr>
    </w:p>
    <w:p w14:paraId="34267BAC">
      <w:pPr>
        <w:pStyle w:val="105"/>
        <w:rPr>
          <w:rFonts w:hint="eastAsia" w:ascii="Calibri" w:hAnsi="Calibri" w:eastAsia="仿宋" w:cs="仿宋"/>
          <w:color w:val="auto"/>
          <w:highlight w:val="none"/>
        </w:rPr>
      </w:pPr>
    </w:p>
    <w:p w14:paraId="4EF6D270">
      <w:pPr>
        <w:spacing w:before="624" w:beforeLines="200" w:line="360" w:lineRule="auto"/>
        <w:jc w:val="center"/>
        <w:rPr>
          <w:rFonts w:ascii="仿宋" w:hAnsi="仿宋" w:eastAsia="仿宋" w:cs="仿宋"/>
          <w:kern w:val="0"/>
          <w:sz w:val="72"/>
          <w:szCs w:val="72"/>
          <w:highlight w:val="none"/>
        </w:rPr>
      </w:pPr>
      <w:r>
        <w:rPr>
          <w:rFonts w:hint="eastAsia" w:ascii="仿宋" w:hAnsi="仿宋" w:eastAsia="仿宋" w:cs="仿宋"/>
          <w:kern w:val="0"/>
          <w:sz w:val="72"/>
          <w:szCs w:val="72"/>
          <w:highlight w:val="none"/>
        </w:rPr>
        <w:t>招标文件</w:t>
      </w:r>
    </w:p>
    <w:p w14:paraId="305179D9">
      <w:pPr>
        <w:rPr>
          <w:rFonts w:hint="eastAsia" w:eastAsia="宋体"/>
          <w:sz w:val="72"/>
          <w:szCs w:val="72"/>
          <w:highlight w:val="none"/>
          <w:lang w:val="en-US" w:eastAsia="zh-CN"/>
        </w:rPr>
      </w:pPr>
    </w:p>
    <w:p w14:paraId="2CE67B3C">
      <w:pPr>
        <w:rPr>
          <w:rFonts w:hint="eastAsia" w:eastAsia="宋体"/>
          <w:sz w:val="72"/>
          <w:szCs w:val="72"/>
          <w:highlight w:val="none"/>
          <w:lang w:val="en-US" w:eastAsia="zh-CN"/>
        </w:rPr>
      </w:pPr>
    </w:p>
    <w:p w14:paraId="226DF746">
      <w:pPr>
        <w:spacing w:line="360" w:lineRule="auto"/>
        <w:jc w:val="center"/>
        <w:rPr>
          <w:rFonts w:ascii="仿宋" w:hAnsi="仿宋" w:eastAsia="仿宋" w:cs="仿宋"/>
          <w:sz w:val="72"/>
          <w:szCs w:val="72"/>
          <w:highlight w:val="none"/>
        </w:rPr>
      </w:pPr>
      <w:r>
        <w:rPr>
          <w:rFonts w:hint="eastAsia"/>
          <w:sz w:val="72"/>
          <w:szCs w:val="72"/>
          <w:highlight w:val="none"/>
        </w:rPr>
        <w:drawing>
          <wp:inline distT="0" distB="0" distL="114300" distR="114300">
            <wp:extent cx="1115060" cy="1395730"/>
            <wp:effectExtent l="0" t="0" r="8890" b="1397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8"/>
                    <a:stretch>
                      <a:fillRect/>
                    </a:stretch>
                  </pic:blipFill>
                  <pic:spPr>
                    <a:xfrm>
                      <a:off x="0" y="0"/>
                      <a:ext cx="1115060" cy="1395730"/>
                    </a:xfrm>
                    <a:prstGeom prst="rect">
                      <a:avLst/>
                    </a:prstGeom>
                    <a:noFill/>
                    <a:ln>
                      <a:noFill/>
                    </a:ln>
                  </pic:spPr>
                </pic:pic>
              </a:graphicData>
            </a:graphic>
          </wp:inline>
        </w:drawing>
      </w:r>
    </w:p>
    <w:p w14:paraId="5DF515A4">
      <w:pPr>
        <w:spacing w:line="360" w:lineRule="auto"/>
        <w:jc w:val="left"/>
        <w:rPr>
          <w:rFonts w:ascii="仿宋" w:hAnsi="仿宋" w:eastAsia="仿宋" w:cs="仿宋"/>
          <w:sz w:val="28"/>
          <w:szCs w:val="28"/>
          <w:highlight w:val="none"/>
        </w:rPr>
      </w:pPr>
    </w:p>
    <w:p w14:paraId="479A6588">
      <w:pPr>
        <w:spacing w:line="360" w:lineRule="auto"/>
        <w:jc w:val="left"/>
        <w:rPr>
          <w:rFonts w:ascii="仿宋" w:hAnsi="仿宋" w:eastAsia="仿宋" w:cs="仿宋"/>
          <w:sz w:val="28"/>
          <w:szCs w:val="28"/>
          <w:highlight w:val="none"/>
        </w:rPr>
      </w:pPr>
      <w:bookmarkStart w:id="68" w:name="_GoBack"/>
      <w:bookmarkEnd w:id="68"/>
    </w:p>
    <w:p w14:paraId="16CE4ED5">
      <w:pPr>
        <w:tabs>
          <w:tab w:val="left" w:pos="0"/>
          <w:tab w:val="left" w:pos="142"/>
        </w:tabs>
        <w:snapToGrid w:val="0"/>
        <w:spacing w:after="156" w:afterLines="50" w:line="240" w:lineRule="atLeast"/>
        <w:ind w:left="2244" w:leftChars="304" w:hanging="1606" w:hangingChars="500"/>
        <w:jc w:val="left"/>
        <w:outlineLvl w:val="0"/>
        <w:rPr>
          <w:rFonts w:hint="default" w:ascii="仿宋" w:hAnsi="仿宋" w:eastAsia="仿宋" w:cs="仿宋"/>
          <w:bCs/>
          <w:color w:val="auto"/>
          <w:sz w:val="32"/>
          <w:szCs w:val="32"/>
          <w:highlight w:val="none"/>
          <w:lang w:val="en-US" w:eastAsia="zh-CN"/>
        </w:rPr>
      </w:pPr>
      <w:bookmarkStart w:id="0" w:name="_Toc19677"/>
      <w:bookmarkStart w:id="1" w:name="_Toc22680"/>
      <w:r>
        <w:rPr>
          <w:rFonts w:hint="eastAsia" w:ascii="仿宋" w:hAnsi="仿宋" w:eastAsia="仿宋" w:cs="仿宋"/>
          <w:b/>
          <w:color w:val="auto"/>
          <w:sz w:val="32"/>
          <w:szCs w:val="32"/>
          <w:highlight w:val="none"/>
          <w:lang w:val="en-US" w:eastAsia="zh-CN"/>
        </w:rPr>
        <w:t>招标</w:t>
      </w:r>
      <w:r>
        <w:rPr>
          <w:rFonts w:hint="eastAsia" w:ascii="仿宋" w:hAnsi="仿宋" w:eastAsia="仿宋" w:cs="仿宋"/>
          <w:b/>
          <w:color w:val="auto"/>
          <w:sz w:val="32"/>
          <w:szCs w:val="32"/>
          <w:highlight w:val="none"/>
        </w:rPr>
        <w:t>编号</w:t>
      </w:r>
      <w:bookmarkEnd w:id="0"/>
      <w:bookmarkEnd w:id="1"/>
      <w:r>
        <w:rPr>
          <w:rFonts w:hint="eastAsia" w:ascii="仿宋" w:hAnsi="仿宋" w:eastAsia="仿宋" w:cs="仿宋"/>
          <w:b/>
          <w:sz w:val="32"/>
          <w:szCs w:val="32"/>
          <w:highlight w:val="none"/>
        </w:rPr>
        <w:t>：</w:t>
      </w:r>
      <w:r>
        <w:rPr>
          <w:rFonts w:hint="eastAsia" w:ascii="仿宋" w:hAnsi="仿宋" w:eastAsia="仿宋" w:cs="仿宋"/>
          <w:bCs/>
          <w:color w:val="auto"/>
          <w:sz w:val="32"/>
          <w:szCs w:val="32"/>
          <w:highlight w:val="none"/>
          <w:lang w:eastAsia="zh-CN"/>
        </w:rPr>
        <w:t>PURM202610200002</w:t>
      </w:r>
    </w:p>
    <w:p w14:paraId="778DBDF5">
      <w:pPr>
        <w:tabs>
          <w:tab w:val="left" w:pos="0"/>
          <w:tab w:val="left" w:pos="142"/>
        </w:tabs>
        <w:snapToGrid w:val="0"/>
        <w:spacing w:after="156" w:afterLines="50" w:line="240" w:lineRule="atLeast"/>
        <w:ind w:left="2244" w:leftChars="304" w:hanging="1606" w:hangingChars="500"/>
        <w:jc w:val="left"/>
        <w:outlineLvl w:val="0"/>
        <w:rPr>
          <w:rFonts w:hint="eastAsia" w:ascii="仿宋" w:hAnsi="仿宋" w:eastAsia="仿宋" w:cs="仿宋"/>
          <w:bCs/>
          <w:color w:val="auto"/>
          <w:sz w:val="32"/>
          <w:szCs w:val="32"/>
          <w:highlight w:val="none"/>
          <w:lang w:eastAsia="zh-CN"/>
        </w:rPr>
      </w:pPr>
      <w:r>
        <w:rPr>
          <w:rFonts w:hint="eastAsia" w:ascii="仿宋" w:hAnsi="仿宋" w:eastAsia="仿宋" w:cs="仿宋"/>
          <w:b/>
          <w:sz w:val="32"/>
          <w:szCs w:val="32"/>
          <w:highlight w:val="none"/>
        </w:rPr>
        <w:t>项目名称：</w:t>
      </w:r>
      <w:r>
        <w:rPr>
          <w:rFonts w:hint="eastAsia" w:ascii="仿宋" w:hAnsi="仿宋" w:eastAsia="仿宋" w:cs="仿宋"/>
          <w:b w:val="0"/>
          <w:bCs/>
          <w:sz w:val="32"/>
          <w:szCs w:val="32"/>
          <w:highlight w:val="none"/>
          <w:lang w:val="en-US" w:eastAsia="zh-CN"/>
        </w:rPr>
        <w:t>2026年环翠区农村供水基础设施专项工程构建多元化人员能力提升体系服务项目</w:t>
      </w:r>
    </w:p>
    <w:p w14:paraId="036AF6F9">
      <w:pPr>
        <w:snapToGrid w:val="0"/>
        <w:spacing w:after="156" w:afterLines="50" w:line="240" w:lineRule="atLeast"/>
        <w:ind w:firstLine="643" w:firstLineChars="200"/>
        <w:jc w:val="left"/>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招标</w:t>
      </w:r>
      <w:r>
        <w:rPr>
          <w:rFonts w:hint="eastAsia" w:ascii="仿宋" w:hAnsi="仿宋" w:eastAsia="仿宋" w:cs="仿宋"/>
          <w:b/>
          <w:sz w:val="32"/>
          <w:szCs w:val="32"/>
          <w:highlight w:val="none"/>
        </w:rPr>
        <w:t>方式：</w:t>
      </w:r>
      <w:r>
        <w:rPr>
          <w:rFonts w:hint="eastAsia" w:ascii="仿宋" w:hAnsi="仿宋" w:eastAsia="仿宋" w:cs="仿宋"/>
          <w:sz w:val="32"/>
          <w:szCs w:val="32"/>
          <w:highlight w:val="none"/>
        </w:rPr>
        <w:t>公开招标</w:t>
      </w:r>
    </w:p>
    <w:p w14:paraId="2800E784">
      <w:pPr>
        <w:spacing w:line="360" w:lineRule="auto"/>
        <w:rPr>
          <w:rFonts w:ascii="仿宋" w:hAnsi="仿宋" w:eastAsia="仿宋" w:cs="仿宋"/>
          <w:b/>
          <w:sz w:val="32"/>
          <w:szCs w:val="32"/>
          <w:highlight w:val="none"/>
        </w:rPr>
      </w:pPr>
    </w:p>
    <w:p w14:paraId="7BBC65DA">
      <w:pPr>
        <w:spacing w:line="360" w:lineRule="auto"/>
        <w:rPr>
          <w:rFonts w:ascii="仿宋" w:hAnsi="仿宋" w:eastAsia="仿宋" w:cs="仿宋"/>
          <w:b/>
          <w:sz w:val="32"/>
          <w:szCs w:val="32"/>
          <w:highlight w:val="none"/>
        </w:rPr>
      </w:pPr>
    </w:p>
    <w:p w14:paraId="3F0A591D">
      <w:pPr>
        <w:spacing w:before="156" w:beforeLines="50" w:line="360" w:lineRule="auto"/>
        <w:ind w:firstLine="161" w:firstLineChars="50"/>
        <w:jc w:val="center"/>
        <w:outlineLvl w:val="0"/>
        <w:rPr>
          <w:rFonts w:ascii="仿宋" w:hAnsi="仿宋" w:eastAsia="仿宋" w:cs="仿宋"/>
          <w:b/>
          <w:bCs/>
          <w:kern w:val="0"/>
          <w:sz w:val="32"/>
          <w:szCs w:val="32"/>
          <w:highlight w:val="none"/>
        </w:rPr>
      </w:pPr>
      <w:bookmarkStart w:id="2" w:name="_Toc24490"/>
      <w:bookmarkStart w:id="3" w:name="_Toc21035"/>
      <w:r>
        <w:rPr>
          <w:rFonts w:hint="eastAsia" w:ascii="仿宋" w:hAnsi="仿宋" w:eastAsia="仿宋" w:cs="仿宋"/>
          <w:b/>
          <w:sz w:val="32"/>
          <w:szCs w:val="32"/>
          <w:highlight w:val="none"/>
        </w:rPr>
        <w:t>代理机构：山东富尔工程咨询管理有限公司</w:t>
      </w:r>
      <w:bookmarkEnd w:id="2"/>
      <w:bookmarkEnd w:id="3"/>
    </w:p>
    <w:p w14:paraId="599ADCF4">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202</w:t>
      </w:r>
      <w:r>
        <w:rPr>
          <w:rFonts w:hint="eastAsia" w:ascii="仿宋" w:hAnsi="仿宋" w:eastAsia="仿宋" w:cs="仿宋"/>
          <w:b/>
          <w:sz w:val="32"/>
          <w:szCs w:val="32"/>
          <w:highlight w:val="none"/>
          <w:lang w:val="en-US" w:eastAsia="zh-CN"/>
        </w:rPr>
        <w:t>6</w:t>
      </w:r>
      <w:r>
        <w:rPr>
          <w:rFonts w:hint="eastAsia" w:ascii="仿宋" w:hAnsi="仿宋" w:eastAsia="仿宋" w:cs="仿宋"/>
          <w:b/>
          <w:sz w:val="32"/>
          <w:szCs w:val="32"/>
          <w:highlight w:val="none"/>
        </w:rPr>
        <w:t>年</w:t>
      </w:r>
      <w:r>
        <w:rPr>
          <w:rFonts w:hint="eastAsia" w:ascii="仿宋" w:hAnsi="仿宋" w:eastAsia="仿宋" w:cs="仿宋"/>
          <w:b/>
          <w:sz w:val="32"/>
          <w:szCs w:val="32"/>
          <w:highlight w:val="none"/>
          <w:lang w:val="en-US" w:eastAsia="zh-CN"/>
        </w:rPr>
        <w:t>11</w:t>
      </w:r>
      <w:r>
        <w:rPr>
          <w:rFonts w:hint="eastAsia" w:ascii="仿宋" w:hAnsi="仿宋" w:eastAsia="仿宋" w:cs="仿宋"/>
          <w:b/>
          <w:sz w:val="32"/>
          <w:szCs w:val="32"/>
          <w:highlight w:val="none"/>
        </w:rPr>
        <w:t>月</w:t>
      </w:r>
      <w:r>
        <w:rPr>
          <w:rFonts w:hint="eastAsia" w:ascii="仿宋" w:hAnsi="仿宋" w:eastAsia="仿宋" w:cs="仿宋"/>
          <w:b/>
          <w:sz w:val="32"/>
          <w:szCs w:val="32"/>
          <w:highlight w:val="none"/>
          <w:lang w:val="en-US" w:eastAsia="zh-CN"/>
        </w:rPr>
        <w:t>6</w:t>
      </w:r>
      <w:r>
        <w:rPr>
          <w:rFonts w:hint="eastAsia" w:ascii="仿宋" w:hAnsi="仿宋" w:eastAsia="仿宋" w:cs="仿宋"/>
          <w:b/>
          <w:sz w:val="32"/>
          <w:szCs w:val="32"/>
          <w:highlight w:val="none"/>
        </w:rPr>
        <w:t>日</w:t>
      </w:r>
    </w:p>
    <w:p w14:paraId="474EC392">
      <w:pPr>
        <w:jc w:val="center"/>
        <w:rPr>
          <w:rFonts w:hint="eastAsia" w:ascii="仿宋" w:hAnsi="仿宋" w:eastAsia="仿宋" w:cs="仿宋"/>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cols w:space="720" w:num="1"/>
          <w:titlePg/>
          <w:docGrid w:type="lines" w:linePitch="312" w:charSpace="0"/>
        </w:sectPr>
      </w:pPr>
    </w:p>
    <w:p w14:paraId="2150A0D1">
      <w:pPr>
        <w:jc w:val="center"/>
        <w:rPr>
          <w:rFonts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547675D8">
      <w:pPr>
        <w:pStyle w:val="97"/>
        <w:tabs>
          <w:tab w:val="right" w:leader="dot" w:pos="8306"/>
        </w:tabs>
        <w:spacing w:line="480" w:lineRule="auto"/>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TOC \o "1-1" \h \u </w:instrText>
      </w:r>
      <w:r>
        <w:rPr>
          <w:rFonts w:hint="eastAsia" w:ascii="仿宋" w:hAnsi="仿宋" w:eastAsia="仿宋" w:cs="仿宋"/>
          <w:b w:val="0"/>
          <w:bCs w:val="0"/>
          <w:sz w:val="30"/>
          <w:szCs w:val="30"/>
          <w:highlight w:val="none"/>
        </w:rPr>
        <w:fldChar w:fldCharType="separate"/>
      </w:r>
    </w:p>
    <w:p w14:paraId="7878BCC1">
      <w:pPr>
        <w:pStyle w:val="97"/>
        <w:tabs>
          <w:tab w:val="right" w:leader="dot" w:pos="8306"/>
        </w:tabs>
        <w:spacing w:line="480" w:lineRule="auto"/>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_Toc12905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第一部分 招标公告</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PAGEREF _Toc12905 \h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2</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rPr>
        <w:fldChar w:fldCharType="end"/>
      </w:r>
    </w:p>
    <w:p w14:paraId="62C4D9D2">
      <w:pPr>
        <w:pStyle w:val="97"/>
        <w:tabs>
          <w:tab w:val="right" w:leader="dot" w:pos="8306"/>
        </w:tabs>
        <w:spacing w:line="480" w:lineRule="auto"/>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_Toc29115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第</w:t>
      </w:r>
      <w:r>
        <w:rPr>
          <w:rFonts w:hint="eastAsia" w:ascii="仿宋" w:hAnsi="仿宋" w:eastAsia="仿宋" w:cs="仿宋"/>
          <w:b w:val="0"/>
          <w:bCs w:val="0"/>
          <w:sz w:val="30"/>
          <w:szCs w:val="30"/>
          <w:highlight w:val="none"/>
          <w:lang w:val="en-US" w:eastAsia="zh-CN"/>
        </w:rPr>
        <w:t>二</w:t>
      </w:r>
      <w:r>
        <w:rPr>
          <w:rFonts w:hint="eastAsia" w:ascii="仿宋" w:hAnsi="仿宋" w:eastAsia="仿宋" w:cs="仿宋"/>
          <w:b w:val="0"/>
          <w:bCs w:val="0"/>
          <w:sz w:val="30"/>
          <w:szCs w:val="30"/>
          <w:highlight w:val="none"/>
        </w:rPr>
        <w:t>部分 投标须知</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PAGEREF _Toc29115 \h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5</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rPr>
        <w:fldChar w:fldCharType="end"/>
      </w:r>
    </w:p>
    <w:p w14:paraId="44673889">
      <w:pPr>
        <w:pStyle w:val="97"/>
        <w:tabs>
          <w:tab w:val="right" w:leader="dot" w:pos="8306"/>
        </w:tabs>
        <w:spacing w:line="480" w:lineRule="auto"/>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_Toc32450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lang w:val="en-US" w:eastAsia="zh-CN"/>
        </w:rPr>
        <w:t>第三部分</w:t>
      </w:r>
      <w:r>
        <w:rPr>
          <w:rFonts w:hint="eastAsia" w:ascii="仿宋" w:hAnsi="仿宋" w:eastAsia="仿宋" w:cs="仿宋"/>
          <w:b w:val="0"/>
          <w:bCs w:val="0"/>
          <w:sz w:val="30"/>
          <w:szCs w:val="30"/>
          <w:highlight w:val="none"/>
        </w:rPr>
        <w:t xml:space="preserve"> </w:t>
      </w:r>
      <w:r>
        <w:rPr>
          <w:rFonts w:hint="eastAsia" w:ascii="仿宋" w:hAnsi="仿宋" w:eastAsia="仿宋" w:cs="仿宋"/>
          <w:b w:val="0"/>
          <w:bCs w:val="0"/>
          <w:sz w:val="30"/>
          <w:szCs w:val="30"/>
          <w:highlight w:val="none"/>
          <w:lang w:val="en-US" w:eastAsia="zh-CN"/>
        </w:rPr>
        <w:t>招标</w:t>
      </w:r>
      <w:r>
        <w:rPr>
          <w:rFonts w:hint="eastAsia" w:ascii="仿宋" w:hAnsi="仿宋" w:eastAsia="仿宋" w:cs="仿宋"/>
          <w:b w:val="0"/>
          <w:bCs w:val="0"/>
          <w:sz w:val="30"/>
          <w:szCs w:val="30"/>
          <w:highlight w:val="none"/>
        </w:rPr>
        <w:t>内容与要求</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PAGEREF _Toc32450 \h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33</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rPr>
        <w:fldChar w:fldCharType="end"/>
      </w:r>
    </w:p>
    <w:p w14:paraId="18A8E066">
      <w:pPr>
        <w:pStyle w:val="97"/>
        <w:tabs>
          <w:tab w:val="right" w:leader="dot" w:pos="8306"/>
        </w:tabs>
        <w:spacing w:line="480" w:lineRule="auto"/>
        <w:rPr>
          <w:rFonts w:hint="eastAsia" w:ascii="仿宋" w:hAnsi="仿宋" w:eastAsia="仿宋" w:cs="仿宋"/>
          <w:b w:val="0"/>
          <w:bCs w:val="0"/>
          <w:sz w:val="30"/>
          <w:szCs w:val="30"/>
          <w:highlight w:val="none"/>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_Toc24995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第四部分 评标原则、程序与方法</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PAGEREF _Toc24995 \h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35</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rPr>
        <w:fldChar w:fldCharType="end"/>
      </w:r>
    </w:p>
    <w:p w14:paraId="106816DA">
      <w:pPr>
        <w:pStyle w:val="97"/>
        <w:tabs>
          <w:tab w:val="right" w:leader="dot" w:pos="8306"/>
        </w:tabs>
        <w:spacing w:line="480" w:lineRule="auto"/>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_Toc6734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第五部分 投标文件（格式）</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lang w:val="en-US" w:eastAsia="zh-CN"/>
        </w:rPr>
        <w:t>4</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lang w:val="en-US" w:eastAsia="zh-CN"/>
        </w:rPr>
        <w:t>1</w:t>
      </w:r>
    </w:p>
    <w:p w14:paraId="346C0D28">
      <w:pPr>
        <w:pStyle w:val="97"/>
        <w:tabs>
          <w:tab w:val="right" w:leader="dot" w:pos="8306"/>
        </w:tabs>
        <w:spacing w:line="480" w:lineRule="auto"/>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rPr>
        <w:fldChar w:fldCharType="begin"/>
      </w:r>
      <w:r>
        <w:rPr>
          <w:rFonts w:hint="eastAsia" w:ascii="仿宋" w:hAnsi="仿宋" w:eastAsia="仿宋" w:cs="仿宋"/>
          <w:b w:val="0"/>
          <w:bCs w:val="0"/>
          <w:sz w:val="30"/>
          <w:szCs w:val="30"/>
          <w:highlight w:val="none"/>
        </w:rPr>
        <w:instrText xml:space="preserve"> HYPERLINK \l _Toc20066 </w:instrText>
      </w:r>
      <w:r>
        <w:rPr>
          <w:rFonts w:hint="eastAsia" w:ascii="仿宋" w:hAnsi="仿宋" w:eastAsia="仿宋" w:cs="仿宋"/>
          <w:b w:val="0"/>
          <w:bCs w:val="0"/>
          <w:sz w:val="30"/>
          <w:szCs w:val="30"/>
          <w:highlight w:val="none"/>
        </w:rPr>
        <w:fldChar w:fldCharType="separate"/>
      </w:r>
      <w:r>
        <w:rPr>
          <w:rFonts w:hint="eastAsia" w:ascii="仿宋" w:hAnsi="仿宋" w:eastAsia="仿宋" w:cs="仿宋"/>
          <w:b w:val="0"/>
          <w:bCs w:val="0"/>
          <w:sz w:val="30"/>
          <w:szCs w:val="30"/>
          <w:highlight w:val="none"/>
        </w:rPr>
        <w:t>第六部分 合同条款及格式</w:t>
      </w:r>
      <w:r>
        <w:rPr>
          <w:rFonts w:hint="eastAsia" w:ascii="仿宋" w:hAnsi="仿宋" w:eastAsia="仿宋" w:cs="仿宋"/>
          <w:b w:val="0"/>
          <w:bCs w:val="0"/>
          <w:sz w:val="30"/>
          <w:szCs w:val="30"/>
          <w:highlight w:val="none"/>
        </w:rPr>
        <w:tab/>
      </w:r>
      <w:r>
        <w:rPr>
          <w:rFonts w:hint="eastAsia" w:ascii="仿宋" w:hAnsi="仿宋" w:eastAsia="仿宋" w:cs="仿宋"/>
          <w:b w:val="0"/>
          <w:bCs w:val="0"/>
          <w:sz w:val="30"/>
          <w:szCs w:val="30"/>
          <w:highlight w:val="none"/>
          <w:lang w:val="en-US" w:eastAsia="zh-CN"/>
        </w:rPr>
        <w:t>5</w:t>
      </w:r>
      <w:r>
        <w:rPr>
          <w:rFonts w:hint="eastAsia" w:ascii="仿宋" w:hAnsi="仿宋" w:eastAsia="仿宋" w:cs="仿宋"/>
          <w:b w:val="0"/>
          <w:bCs w:val="0"/>
          <w:sz w:val="30"/>
          <w:szCs w:val="30"/>
          <w:highlight w:val="none"/>
        </w:rPr>
        <w:fldChar w:fldCharType="end"/>
      </w:r>
      <w:r>
        <w:rPr>
          <w:rFonts w:hint="eastAsia" w:ascii="仿宋" w:hAnsi="仿宋" w:eastAsia="仿宋" w:cs="仿宋"/>
          <w:b w:val="0"/>
          <w:bCs w:val="0"/>
          <w:sz w:val="30"/>
          <w:szCs w:val="30"/>
          <w:highlight w:val="none"/>
          <w:lang w:val="en-US" w:eastAsia="zh-CN"/>
        </w:rPr>
        <w:t>9</w:t>
      </w:r>
    </w:p>
    <w:p w14:paraId="5F637FDB">
      <w:pPr>
        <w:spacing w:line="480" w:lineRule="auto"/>
        <w:rPr>
          <w:rFonts w:ascii="仿宋" w:hAnsi="仿宋" w:eastAsia="仿宋" w:cs="仿宋"/>
          <w:sz w:val="24"/>
          <w:szCs w:val="24"/>
          <w:highlight w:val="none"/>
        </w:rPr>
      </w:pPr>
      <w:r>
        <w:rPr>
          <w:rFonts w:hint="eastAsia" w:ascii="仿宋" w:hAnsi="仿宋" w:eastAsia="仿宋" w:cs="仿宋"/>
          <w:b w:val="0"/>
          <w:bCs w:val="0"/>
          <w:sz w:val="30"/>
          <w:szCs w:val="30"/>
          <w:highlight w:val="none"/>
        </w:rPr>
        <w:fldChar w:fldCharType="end"/>
      </w:r>
    </w:p>
    <w:p w14:paraId="580E0AC4">
      <w:pPr>
        <w:jc w:val="center"/>
        <w:rPr>
          <w:rFonts w:ascii="仿宋" w:hAnsi="仿宋" w:eastAsia="仿宋" w:cs="仿宋"/>
          <w:sz w:val="24"/>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NumType w:fmt="decimal" w:start="1"/>
          <w:cols w:space="720" w:num="1"/>
          <w:titlePg/>
          <w:docGrid w:linePitch="319" w:charSpace="0"/>
        </w:sectPr>
      </w:pPr>
    </w:p>
    <w:p w14:paraId="285CBFD3">
      <w:pPr>
        <w:pStyle w:val="4"/>
        <w:numPr>
          <w:ilvl w:val="0"/>
          <w:numId w:val="0"/>
        </w:numPr>
        <w:bidi w:val="0"/>
        <w:ind w:leftChars="0"/>
        <w:jc w:val="center"/>
        <w:rPr>
          <w:rFonts w:hint="eastAsia"/>
          <w:highlight w:val="none"/>
        </w:rPr>
      </w:pPr>
      <w:bookmarkStart w:id="4" w:name="_Toc12905"/>
      <w:bookmarkStart w:id="5" w:name="_Toc18211"/>
      <w:r>
        <w:rPr>
          <w:rFonts w:hint="eastAsia"/>
          <w:highlight w:val="none"/>
        </w:rPr>
        <w:t>第一部分  招标公告</w:t>
      </w:r>
      <w:bookmarkEnd w:id="4"/>
      <w:bookmarkEnd w:id="5"/>
    </w:p>
    <w:p w14:paraId="24D6155C">
      <w:pPr>
        <w:spacing w:line="440" w:lineRule="exact"/>
        <w:contextualSpacing/>
        <w:jc w:val="center"/>
        <w:rPr>
          <w:rFonts w:hint="default" w:ascii="仿宋" w:hAnsi="仿宋" w:eastAsia="仿宋" w:cs="仿宋"/>
          <w:b/>
          <w:bCs/>
          <w:spacing w:val="8"/>
          <w:sz w:val="32"/>
          <w:szCs w:val="32"/>
          <w:highlight w:val="none"/>
          <w:lang w:val="en-US" w:eastAsia="zh-CN"/>
        </w:rPr>
      </w:pPr>
      <w:r>
        <w:rPr>
          <w:rFonts w:hint="eastAsia" w:ascii="仿宋" w:hAnsi="仿宋" w:eastAsia="仿宋" w:cs="仿宋"/>
          <w:b/>
          <w:bCs/>
          <w:spacing w:val="8"/>
          <w:sz w:val="32"/>
          <w:szCs w:val="32"/>
          <w:highlight w:val="none"/>
          <w:lang w:val="en-US" w:eastAsia="zh-CN"/>
        </w:rPr>
        <w:t>2026年环翠区农村供水基础设施专项工程构建多元化人员能力提升体系服务项目招标公告</w:t>
      </w:r>
    </w:p>
    <w:p w14:paraId="301DF673">
      <w:pPr>
        <w:spacing w:line="440" w:lineRule="exact"/>
        <w:contextualSpacing/>
        <w:jc w:val="center"/>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t>
      </w:r>
      <w:r>
        <w:rPr>
          <w:rFonts w:hint="eastAsia" w:ascii="仿宋" w:hAnsi="仿宋" w:eastAsia="仿宋" w:cs="仿宋"/>
          <w:b/>
          <w:bCs/>
          <w:spacing w:val="8"/>
          <w:sz w:val="28"/>
          <w:szCs w:val="28"/>
          <w:highlight w:val="none"/>
          <w:lang w:val="en-US" w:eastAsia="zh-CN"/>
        </w:rPr>
        <w:t>PURM202610200002</w:t>
      </w:r>
      <w:r>
        <w:rPr>
          <w:rFonts w:hint="eastAsia" w:ascii="仿宋" w:hAnsi="仿宋" w:eastAsia="仿宋" w:cs="仿宋"/>
          <w:b/>
          <w:bCs/>
          <w:spacing w:val="8"/>
          <w:sz w:val="28"/>
          <w:szCs w:val="28"/>
          <w:highlight w:val="none"/>
          <w:lang w:eastAsia="zh-CN"/>
        </w:rPr>
        <w:t>）</w:t>
      </w:r>
    </w:p>
    <w:p w14:paraId="3DA33B05">
      <w:pPr>
        <w:keepNext w:val="0"/>
        <w:keepLines w:val="0"/>
        <w:pageBreakBefore w:val="0"/>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威海市环翠区通达市政工程有限公司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2026年环翠区农村供水基础设施专项工程构建多元化人员能力提升体系服务项目</w:t>
      </w:r>
      <w:r>
        <w:rPr>
          <w:rFonts w:hint="eastAsia" w:ascii="仿宋" w:hAnsi="仿宋" w:eastAsia="仿宋" w:cs="仿宋"/>
          <w:spacing w:val="8"/>
          <w:sz w:val="24"/>
          <w:szCs w:val="24"/>
          <w:highlight w:val="none"/>
        </w:rPr>
        <w:t>以公开招标方式确定中标单位。</w:t>
      </w:r>
    </w:p>
    <w:p w14:paraId="6EEC805C">
      <w:pPr>
        <w:keepNext w:val="0"/>
        <w:keepLines w:val="0"/>
        <w:pageBreakBefore w:val="0"/>
        <w:kinsoku/>
        <w:wordWrap/>
        <w:overflowPunct/>
        <w:topLinePunct w:val="0"/>
        <w:autoSpaceDE/>
        <w:autoSpaceDN/>
        <w:bidi w:val="0"/>
        <w:snapToGrid/>
        <w:spacing w:line="420" w:lineRule="exact"/>
        <w:ind w:firstLine="514"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4"/>
          <w:szCs w:val="24"/>
          <w:highlight w:val="none"/>
        </w:rPr>
        <w:t>一、项目名称</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2026年环翠区农村供水基础设施专项工程构建多元化人员能力提升体系服务项目</w:t>
      </w:r>
    </w:p>
    <w:p w14:paraId="4AD13766">
      <w:pPr>
        <w:keepNext w:val="0"/>
        <w:keepLines w:val="0"/>
        <w:pageBreakBefore w:val="0"/>
        <w:kinsoku/>
        <w:wordWrap/>
        <w:overflowPunct/>
        <w:topLinePunct w:val="0"/>
        <w:autoSpaceDE/>
        <w:autoSpaceDN/>
        <w:bidi w:val="0"/>
        <w:snapToGrid/>
        <w:spacing w:line="420" w:lineRule="exact"/>
        <w:ind w:firstLine="514" w:firstLineChars="200"/>
        <w:contextualSpacing/>
        <w:jc w:val="left"/>
        <w:textAlignment w:val="auto"/>
        <w:outlineLvl w:val="1"/>
        <w:rPr>
          <w:rFonts w:hint="eastAsia" w:ascii="仿宋" w:hAnsi="仿宋" w:eastAsia="仿宋" w:cs="仿宋"/>
          <w:b/>
          <w:bCs/>
          <w:spacing w:val="8"/>
          <w:sz w:val="24"/>
          <w:szCs w:val="24"/>
          <w:highlight w:val="none"/>
          <w:lang w:val="en-US" w:eastAsia="zh-CN"/>
        </w:rPr>
      </w:pPr>
      <w:bookmarkStart w:id="6" w:name="_Toc8262"/>
      <w:r>
        <w:rPr>
          <w:rFonts w:hint="eastAsia" w:ascii="仿宋" w:hAnsi="仿宋" w:eastAsia="仿宋" w:cs="仿宋"/>
          <w:b/>
          <w:bCs/>
          <w:spacing w:val="8"/>
          <w:sz w:val="24"/>
          <w:szCs w:val="24"/>
          <w:highlight w:val="none"/>
        </w:rPr>
        <w:t>二、项目</w:t>
      </w:r>
      <w:bookmarkEnd w:id="6"/>
      <w:r>
        <w:rPr>
          <w:rFonts w:hint="eastAsia" w:ascii="仿宋" w:hAnsi="仿宋" w:eastAsia="仿宋" w:cs="仿宋"/>
          <w:b/>
          <w:bCs/>
          <w:spacing w:val="8"/>
          <w:sz w:val="24"/>
          <w:szCs w:val="24"/>
          <w:highlight w:val="none"/>
          <w:lang w:val="en-US" w:eastAsia="zh-CN"/>
        </w:rPr>
        <w:t>基本情况</w:t>
      </w:r>
    </w:p>
    <w:p w14:paraId="6EE7AA01">
      <w:pPr>
        <w:keepNext w:val="0"/>
        <w:keepLines w:val="0"/>
        <w:pageBreakBefore w:val="0"/>
        <w:kinsoku/>
        <w:wordWrap/>
        <w:overflowPunct/>
        <w:topLinePunct w:val="0"/>
        <w:autoSpaceDE/>
        <w:autoSpaceDN/>
        <w:bidi w:val="0"/>
        <w:snapToGrid/>
        <w:spacing w:line="420" w:lineRule="exact"/>
        <w:ind w:firstLine="512" w:firstLineChars="200"/>
        <w:contextualSpacing/>
        <w:jc w:val="left"/>
        <w:textAlignment w:val="auto"/>
        <w:rPr>
          <w:rFonts w:hint="default" w:ascii="仿宋" w:hAnsi="仿宋" w:eastAsia="仿宋" w:cs="仿宋"/>
          <w:spacing w:val="8"/>
          <w:sz w:val="24"/>
          <w:highlight w:val="none"/>
          <w:lang w:eastAsia="zh-CN"/>
        </w:rPr>
      </w:pPr>
      <w:r>
        <w:rPr>
          <w:rFonts w:hint="eastAsia" w:ascii="仿宋" w:hAnsi="仿宋" w:eastAsia="仿宋" w:cs="仿宋"/>
          <w:spacing w:val="8"/>
          <w:sz w:val="24"/>
          <w:highlight w:val="none"/>
          <w:lang w:eastAsia="zh-CN"/>
        </w:rPr>
        <w:t>1.项目概况：</w:t>
      </w:r>
      <w:r>
        <w:rPr>
          <w:rFonts w:hint="eastAsia" w:ascii="仿宋" w:hAnsi="仿宋" w:eastAsia="仿宋" w:cs="仿宋"/>
          <w:spacing w:val="8"/>
          <w:sz w:val="24"/>
          <w:szCs w:val="24"/>
          <w:highlight w:val="none"/>
          <w:lang w:val="en-US" w:eastAsia="zh-CN"/>
        </w:rPr>
        <w:t>选择第三方服务公司策划人员培训及应急演练，编写印制发放《农村基础设施管护知识手册》。</w:t>
      </w:r>
    </w:p>
    <w:p w14:paraId="64F8721D">
      <w:pPr>
        <w:pStyle w:val="18"/>
        <w:keepNext w:val="0"/>
        <w:keepLines w:val="0"/>
        <w:pageBreakBefore w:val="0"/>
        <w:kinsoku/>
        <w:wordWrap/>
        <w:overflowPunct/>
        <w:topLinePunct w:val="0"/>
        <w:autoSpaceDE/>
        <w:autoSpaceDN/>
        <w:bidi w:val="0"/>
        <w:snapToGrid/>
        <w:spacing w:after="0" w:line="420" w:lineRule="exact"/>
        <w:ind w:firstLine="512" w:firstLineChars="200"/>
        <w:jc w:val="left"/>
        <w:textAlignment w:val="auto"/>
        <w:rPr>
          <w:rFonts w:hint="eastAsia" w:ascii="仿宋" w:hAnsi="仿宋" w:eastAsia="仿宋" w:cs="仿宋"/>
          <w:spacing w:val="8"/>
          <w:sz w:val="24"/>
          <w:highlight w:val="none"/>
          <w:lang w:eastAsia="zh-CN"/>
        </w:rPr>
      </w:pPr>
      <w:r>
        <w:rPr>
          <w:rFonts w:hint="eastAsia" w:ascii="仿宋" w:hAnsi="仿宋" w:eastAsia="仿宋" w:cs="仿宋"/>
          <w:spacing w:val="8"/>
          <w:sz w:val="24"/>
          <w:highlight w:val="none"/>
          <w:lang w:eastAsia="zh-CN"/>
        </w:rPr>
        <w:t>2.服务期限：自合同签订之日至2028年12月31日。</w:t>
      </w:r>
    </w:p>
    <w:p w14:paraId="3FDC8D4D">
      <w:pPr>
        <w:pStyle w:val="18"/>
        <w:keepNext w:val="0"/>
        <w:keepLines w:val="0"/>
        <w:pageBreakBefore w:val="0"/>
        <w:kinsoku/>
        <w:wordWrap/>
        <w:overflowPunct/>
        <w:topLinePunct w:val="0"/>
        <w:autoSpaceDE/>
        <w:autoSpaceDN/>
        <w:bidi w:val="0"/>
        <w:snapToGrid/>
        <w:spacing w:after="0" w:line="420" w:lineRule="exact"/>
        <w:ind w:firstLine="512" w:firstLineChars="200"/>
        <w:jc w:val="left"/>
        <w:textAlignment w:val="auto"/>
        <w:rPr>
          <w:rFonts w:hint="eastAsia" w:ascii="仿宋" w:hAnsi="仿宋" w:eastAsia="仿宋" w:cs="仿宋"/>
          <w:spacing w:val="8"/>
          <w:sz w:val="24"/>
          <w:highlight w:val="none"/>
          <w:lang w:eastAsia="zh-CN"/>
        </w:rPr>
      </w:pPr>
      <w:r>
        <w:rPr>
          <w:rFonts w:hint="eastAsia" w:ascii="仿宋" w:hAnsi="仿宋" w:eastAsia="仿宋" w:cs="仿宋"/>
          <w:spacing w:val="8"/>
          <w:sz w:val="24"/>
          <w:highlight w:val="none"/>
          <w:lang w:eastAsia="zh-CN"/>
        </w:rPr>
        <w:t>3.</w:t>
      </w:r>
      <w:r>
        <w:rPr>
          <w:rFonts w:hint="eastAsia" w:ascii="仿宋" w:hAnsi="仿宋" w:eastAsia="仿宋" w:cs="仿宋"/>
          <w:spacing w:val="8"/>
          <w:sz w:val="24"/>
          <w:highlight w:val="none"/>
          <w:lang w:val="en-US" w:eastAsia="zh-CN"/>
        </w:rPr>
        <w:t>服务地点</w:t>
      </w:r>
      <w:r>
        <w:rPr>
          <w:rFonts w:hint="eastAsia" w:ascii="仿宋" w:hAnsi="仿宋" w:eastAsia="仿宋" w:cs="仿宋"/>
          <w:spacing w:val="8"/>
          <w:sz w:val="24"/>
          <w:highlight w:val="none"/>
          <w:lang w:eastAsia="zh-CN"/>
        </w:rPr>
        <w:t>：招标人指定地点。</w:t>
      </w:r>
    </w:p>
    <w:p w14:paraId="184DC00C">
      <w:pPr>
        <w:pStyle w:val="18"/>
        <w:keepNext w:val="0"/>
        <w:keepLines w:val="0"/>
        <w:pageBreakBefore w:val="0"/>
        <w:kinsoku/>
        <w:wordWrap/>
        <w:overflowPunct/>
        <w:topLinePunct w:val="0"/>
        <w:autoSpaceDE/>
        <w:autoSpaceDN/>
        <w:bidi w:val="0"/>
        <w:snapToGrid/>
        <w:spacing w:after="0" w:line="420" w:lineRule="exact"/>
        <w:ind w:firstLine="512" w:firstLineChars="200"/>
        <w:jc w:val="left"/>
        <w:textAlignment w:val="auto"/>
        <w:rPr>
          <w:rFonts w:hint="default" w:ascii="仿宋" w:hAnsi="仿宋" w:eastAsia="仿宋" w:cs="仿宋"/>
          <w:spacing w:val="8"/>
          <w:sz w:val="24"/>
          <w:highlight w:val="none"/>
          <w:lang w:val="en-US" w:eastAsia="zh-CN"/>
        </w:rPr>
      </w:pPr>
      <w:r>
        <w:rPr>
          <w:rFonts w:hint="eastAsia" w:ascii="仿宋" w:hAnsi="仿宋" w:eastAsia="仿宋" w:cs="仿宋"/>
          <w:spacing w:val="8"/>
          <w:sz w:val="24"/>
          <w:highlight w:val="none"/>
          <w:lang w:val="en-US" w:eastAsia="zh-CN"/>
        </w:rPr>
        <w:t>4.招标控制价：50万元。</w:t>
      </w:r>
    </w:p>
    <w:p w14:paraId="23F6E93D">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hint="eastAsia" w:ascii="仿宋" w:hAnsi="仿宋" w:eastAsia="仿宋" w:cs="仿宋"/>
          <w:sz w:val="24"/>
          <w:szCs w:val="24"/>
          <w:highlight w:val="none"/>
        </w:rPr>
      </w:pPr>
      <w:bookmarkStart w:id="7" w:name="_Toc22701"/>
      <w:r>
        <w:rPr>
          <w:rFonts w:hint="eastAsia" w:ascii="仿宋" w:hAnsi="仿宋" w:eastAsia="仿宋" w:cs="仿宋"/>
          <w:b/>
          <w:bCs/>
          <w:sz w:val="24"/>
          <w:szCs w:val="24"/>
          <w:highlight w:val="none"/>
        </w:rPr>
        <w:t>三、投标人的资格要求</w:t>
      </w:r>
      <w:bookmarkEnd w:id="7"/>
    </w:p>
    <w:p w14:paraId="463DB3BC">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1.具有独立承担民事责任的能力；</w:t>
      </w:r>
    </w:p>
    <w:p w14:paraId="7E29BAAA">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2.具有良好的商业信誉和健全的财务会计制度；</w:t>
      </w:r>
    </w:p>
    <w:p w14:paraId="4DE02803">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eastAsia="zh-CN"/>
        </w:rPr>
        <w:t>具有履行合同所必须设备和专业技术能力，并能提供优质的服务；</w:t>
      </w:r>
    </w:p>
    <w:p w14:paraId="0E991489">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.具有依法缴纳税收和社会保障资金的良好记录</w:t>
      </w:r>
      <w:r>
        <w:rPr>
          <w:rFonts w:hint="eastAsia" w:ascii="仿宋" w:hAnsi="仿宋" w:eastAsia="仿宋" w:cs="仿宋"/>
          <w:spacing w:val="8"/>
          <w:sz w:val="24"/>
          <w:szCs w:val="24"/>
          <w:highlight w:val="none"/>
          <w:lang w:eastAsia="zh-CN"/>
        </w:rPr>
        <w:t>；</w:t>
      </w:r>
    </w:p>
    <w:p w14:paraId="3340F749">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参加本项目招标活动前三年内，在经营活动中没有重大违法记录；</w:t>
      </w:r>
    </w:p>
    <w:p w14:paraId="18BF310E">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.投标人及其法人代表、委托代理人未被最高法院列入失信被执行人；</w:t>
      </w:r>
    </w:p>
    <w:p w14:paraId="15909797">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.投标人近一年在“信用中国”或“信用中国（山东）”无严重失信记录；</w:t>
      </w:r>
    </w:p>
    <w:p w14:paraId="5601D624">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8.法律、行政法规及招标文件规定的其他要求；</w:t>
      </w:r>
    </w:p>
    <w:p w14:paraId="6FDE1168">
      <w:pPr>
        <w:keepNext w:val="0"/>
        <w:keepLines w:val="0"/>
        <w:pageBreakBefore w:val="0"/>
        <w:kinsoku/>
        <w:wordWrap/>
        <w:overflowPunct/>
        <w:topLinePunct w:val="0"/>
        <w:autoSpaceDE/>
        <w:autoSpaceDN/>
        <w:bidi w:val="0"/>
        <w:snapToGrid/>
        <w:spacing w:line="420" w:lineRule="exact"/>
        <w:ind w:firstLine="512" w:firstLineChars="200"/>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本项目不接受联合体投标。</w:t>
      </w:r>
    </w:p>
    <w:p w14:paraId="4AD5B711">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ascii="仿宋" w:hAnsi="仿宋" w:eastAsia="仿宋" w:cs="仿宋"/>
          <w:b/>
          <w:bCs/>
          <w:sz w:val="24"/>
          <w:szCs w:val="24"/>
          <w:highlight w:val="none"/>
        </w:rPr>
      </w:pPr>
      <w:bookmarkStart w:id="8" w:name="_Toc24627"/>
      <w:r>
        <w:rPr>
          <w:rFonts w:hint="eastAsia" w:ascii="仿宋" w:hAnsi="仿宋" w:eastAsia="仿宋" w:cs="仿宋"/>
          <w:b/>
          <w:bCs/>
          <w:sz w:val="24"/>
          <w:szCs w:val="24"/>
          <w:highlight w:val="none"/>
        </w:rPr>
        <w:t>四</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获取文件时间及地点</w:t>
      </w:r>
      <w:bookmarkEnd w:id="8"/>
    </w:p>
    <w:p w14:paraId="565D097B">
      <w:pPr>
        <w:keepNext w:val="0"/>
        <w:keepLines w:val="0"/>
        <w:pageBreakBefore w:val="0"/>
        <w:widowControl/>
        <w:shd w:val="clear" w:color="auto" w:fill="auto"/>
        <w:kinsoku/>
        <w:wordWrap/>
        <w:overflowPunct/>
        <w:topLinePunct w:val="0"/>
        <w:autoSpaceDE/>
        <w:autoSpaceDN/>
        <w:bidi w:val="0"/>
        <w:snapToGrid/>
        <w:spacing w:line="42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rPr>
        <w:t>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日17:</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:00至202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13</w:t>
      </w:r>
      <w:r>
        <w:rPr>
          <w:rFonts w:hint="eastAsia" w:ascii="仿宋" w:hAnsi="仿宋" w:eastAsia="仿宋" w:cs="仿宋"/>
          <w:spacing w:val="8"/>
          <w:sz w:val="24"/>
          <w:szCs w:val="24"/>
          <w:highlight w:val="none"/>
        </w:rPr>
        <w:t>日17:</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:00（北京时间）</w:t>
      </w:r>
    </w:p>
    <w:p w14:paraId="0E9EBAB0">
      <w:pPr>
        <w:keepNext w:val="0"/>
        <w:keepLines w:val="0"/>
        <w:pageBreakBefore w:val="0"/>
        <w:widowControl/>
        <w:shd w:val="clear" w:color="auto" w:fill="auto"/>
        <w:kinsoku/>
        <w:wordWrap/>
        <w:overflowPunct/>
        <w:topLinePunct w:val="0"/>
        <w:autoSpaceDE/>
        <w:autoSpaceDN/>
        <w:bidi w:val="0"/>
        <w:snapToGrid/>
        <w:spacing w:line="42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(网址：http://ggzyjy.weihai.cn/)</w:t>
      </w:r>
    </w:p>
    <w:p w14:paraId="5F9BE732">
      <w:pPr>
        <w:keepNext w:val="0"/>
        <w:keepLines w:val="0"/>
        <w:pageBreakBefore w:val="0"/>
        <w:widowControl/>
        <w:shd w:val="clear" w:color="auto" w:fill="auto"/>
        <w:kinsoku/>
        <w:wordWrap/>
        <w:overflowPunct/>
        <w:topLinePunct w:val="0"/>
        <w:autoSpaceDE/>
        <w:autoSpaceDN/>
        <w:bidi w:val="0"/>
        <w:snapToGrid/>
        <w:spacing w:line="42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逾期无法从威海市国有企业阳光采购电子化服务平台中获取文件，未在规定时间内从系统中获取招标文件的投标人将无法递交电子投标文件。</w:t>
      </w:r>
    </w:p>
    <w:p w14:paraId="307A415B">
      <w:pPr>
        <w:keepNext w:val="0"/>
        <w:keepLines w:val="0"/>
        <w:pageBreakBefore w:val="0"/>
        <w:widowControl/>
        <w:shd w:val="clear" w:color="auto" w:fill="auto"/>
        <w:kinsoku/>
        <w:wordWrap/>
        <w:overflowPunct/>
        <w:topLinePunct w:val="0"/>
        <w:autoSpaceDE/>
        <w:autoSpaceDN/>
        <w:bidi w:val="0"/>
        <w:snapToGrid/>
        <w:spacing w:line="42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-5316996；国企采购技术支持电话：17863029936，国企技术支持QQ群（</w:t>
      </w:r>
      <w:r>
        <w:rPr>
          <w:rFonts w:hint="eastAsia" w:ascii="仿宋" w:hAnsi="仿宋" w:eastAsia="仿宋" w:cs="仿宋"/>
          <w:spacing w:val="8"/>
          <w:sz w:val="24"/>
          <w:szCs w:val="24"/>
          <w:highlight w:val="none"/>
          <w:lang w:val="en-US" w:eastAsia="zh-CN"/>
        </w:rPr>
        <w:t>投标人</w:t>
      </w:r>
      <w:r>
        <w:rPr>
          <w:rFonts w:hint="eastAsia" w:ascii="仿宋" w:hAnsi="仿宋" w:eastAsia="仿宋" w:cs="仿宋"/>
          <w:spacing w:val="8"/>
          <w:sz w:val="24"/>
          <w:szCs w:val="24"/>
          <w:highlight w:val="none"/>
        </w:rPr>
        <w:t>）：1046971257</w:t>
      </w:r>
      <w:r>
        <w:rPr>
          <w:rFonts w:hint="eastAsia" w:ascii="仿宋" w:hAnsi="仿宋" w:eastAsia="仿宋" w:cs="仿宋"/>
          <w:spacing w:val="8"/>
          <w:sz w:val="24"/>
          <w:szCs w:val="24"/>
          <w:highlight w:val="none"/>
          <w:lang w:eastAsia="zh-CN"/>
        </w:rPr>
        <w:t>。</w:t>
      </w:r>
    </w:p>
    <w:p w14:paraId="0F0A480F">
      <w:pPr>
        <w:keepNext w:val="0"/>
        <w:keepLines w:val="0"/>
        <w:pageBreakBefore w:val="0"/>
        <w:widowControl/>
        <w:shd w:val="clear" w:color="auto" w:fill="auto"/>
        <w:kinsoku/>
        <w:wordWrap/>
        <w:overflowPunct/>
        <w:topLinePunct w:val="0"/>
        <w:autoSpaceDE/>
        <w:autoSpaceDN/>
        <w:bidi w:val="0"/>
        <w:snapToGrid/>
        <w:spacing w:line="42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0F784664">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ascii="仿宋" w:hAnsi="仿宋" w:eastAsia="仿宋" w:cs="仿宋"/>
          <w:sz w:val="24"/>
          <w:szCs w:val="24"/>
          <w:highlight w:val="none"/>
        </w:rPr>
      </w:pPr>
      <w:bookmarkStart w:id="9" w:name="_Toc733"/>
      <w:r>
        <w:rPr>
          <w:rFonts w:hint="eastAsia" w:ascii="仿宋" w:hAnsi="仿宋" w:eastAsia="仿宋" w:cs="仿宋"/>
          <w:b/>
          <w:bCs/>
          <w:sz w:val="24"/>
          <w:szCs w:val="24"/>
          <w:highlight w:val="none"/>
          <w:lang w:val="en-US" w:eastAsia="zh-CN"/>
        </w:rPr>
        <w:t>五</w:t>
      </w:r>
      <w:r>
        <w:rPr>
          <w:rFonts w:hint="eastAsia" w:ascii="仿宋" w:hAnsi="仿宋" w:eastAsia="仿宋" w:cs="仿宋"/>
          <w:b/>
          <w:bCs/>
          <w:sz w:val="24"/>
          <w:szCs w:val="24"/>
          <w:highlight w:val="none"/>
        </w:rPr>
        <w:t>、投标文件提交</w:t>
      </w:r>
      <w:bookmarkEnd w:id="9"/>
    </w:p>
    <w:p w14:paraId="0B925FC8">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rPr>
        <w:t>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日18:</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:00至20</w:t>
      </w:r>
      <w:r>
        <w:rPr>
          <w:rFonts w:hint="eastAsia" w:ascii="仿宋" w:hAnsi="仿宋" w:eastAsia="仿宋" w:cs="仿宋"/>
          <w:spacing w:val="8"/>
          <w:sz w:val="24"/>
          <w:szCs w:val="24"/>
          <w:highlight w:val="none"/>
          <w:lang w:val="en-US" w:eastAsia="zh-CN"/>
        </w:rPr>
        <w:t>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:00:00</w:t>
      </w:r>
    </w:p>
    <w:p w14:paraId="1FCBD46D">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递交电子投标文件。</w:t>
      </w:r>
    </w:p>
    <w:p w14:paraId="6328B131">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ascii="仿宋" w:hAnsi="仿宋" w:eastAsia="仿宋" w:cs="仿宋"/>
          <w:b/>
          <w:bCs/>
          <w:sz w:val="24"/>
          <w:szCs w:val="24"/>
          <w:highlight w:val="none"/>
        </w:rPr>
      </w:pPr>
      <w:bookmarkStart w:id="10" w:name="_Toc19676"/>
      <w:r>
        <w:rPr>
          <w:rFonts w:hint="eastAsia" w:ascii="仿宋" w:hAnsi="仿宋" w:eastAsia="仿宋" w:cs="仿宋"/>
          <w:b/>
          <w:bCs/>
          <w:sz w:val="24"/>
          <w:szCs w:val="24"/>
          <w:highlight w:val="none"/>
          <w:lang w:val="en-US" w:eastAsia="zh-CN"/>
        </w:rPr>
        <w:t>六</w:t>
      </w:r>
      <w:r>
        <w:rPr>
          <w:rFonts w:hint="eastAsia" w:ascii="仿宋" w:hAnsi="仿宋" w:eastAsia="仿宋" w:cs="仿宋"/>
          <w:b/>
          <w:bCs/>
          <w:sz w:val="24"/>
          <w:szCs w:val="24"/>
          <w:highlight w:val="none"/>
        </w:rPr>
        <w:t>、开启</w:t>
      </w:r>
      <w:bookmarkEnd w:id="10"/>
    </w:p>
    <w:p w14:paraId="2268244C">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rPr>
        <w:t>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:00:00（北京时间）</w:t>
      </w:r>
    </w:p>
    <w:p w14:paraId="37DF05C1">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sz w:val="24"/>
          <w:szCs w:val="24"/>
          <w:highlight w:val="none"/>
        </w:rPr>
        <w:t>威海市公共资源交易中心交易</w:t>
      </w:r>
      <w:r>
        <w:rPr>
          <w:rFonts w:hint="eastAsia" w:ascii="仿宋" w:hAnsi="仿宋" w:eastAsia="仿宋" w:cs="仿宋"/>
          <w:spacing w:val="8"/>
          <w:sz w:val="24"/>
          <w:szCs w:val="24"/>
          <w:highlight w:val="none"/>
          <w:lang w:val="en-US" w:eastAsia="zh-CN"/>
        </w:rPr>
        <w:t>七</w:t>
      </w:r>
      <w:r>
        <w:rPr>
          <w:rFonts w:hint="eastAsia" w:ascii="仿宋" w:hAnsi="仿宋" w:eastAsia="仿宋" w:cs="仿宋"/>
          <w:spacing w:val="8"/>
          <w:sz w:val="24"/>
          <w:szCs w:val="24"/>
          <w:highlight w:val="none"/>
        </w:rPr>
        <w:t>厅（威海市环翠区塔山中路317号</w:t>
      </w:r>
      <w:r>
        <w:rPr>
          <w:rFonts w:hint="eastAsia" w:ascii="仿宋" w:hAnsi="仿宋" w:eastAsia="仿宋" w:cs="仿宋"/>
          <w:spacing w:val="8"/>
          <w:sz w:val="24"/>
          <w:szCs w:val="24"/>
          <w:highlight w:val="none"/>
          <w:lang w:eastAsia="zh-CN"/>
        </w:rPr>
        <w:t>市政务服务中心四楼</w:t>
      </w:r>
      <w:r>
        <w:rPr>
          <w:rFonts w:hint="eastAsia" w:ascii="仿宋" w:hAnsi="仿宋" w:eastAsia="仿宋" w:cs="仿宋"/>
          <w:spacing w:val="8"/>
          <w:sz w:val="24"/>
          <w:szCs w:val="24"/>
          <w:highlight w:val="none"/>
        </w:rPr>
        <w:t>)</w:t>
      </w:r>
    </w:p>
    <w:p w14:paraId="57EEC207">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ascii="仿宋" w:hAnsi="仿宋" w:eastAsia="仿宋" w:cs="仿宋"/>
          <w:sz w:val="24"/>
          <w:szCs w:val="24"/>
          <w:highlight w:val="none"/>
        </w:rPr>
      </w:pPr>
      <w:bookmarkStart w:id="11" w:name="_Toc32728"/>
      <w:r>
        <w:rPr>
          <w:rFonts w:hint="eastAsia" w:ascii="仿宋" w:hAnsi="仿宋" w:eastAsia="仿宋" w:cs="仿宋"/>
          <w:b/>
          <w:bCs/>
          <w:sz w:val="24"/>
          <w:szCs w:val="24"/>
          <w:highlight w:val="none"/>
          <w:lang w:val="en-US" w:eastAsia="zh-CN"/>
        </w:rPr>
        <w:t>七</w:t>
      </w:r>
      <w:r>
        <w:rPr>
          <w:rFonts w:hint="eastAsia" w:ascii="仿宋" w:hAnsi="仿宋" w:eastAsia="仿宋" w:cs="仿宋"/>
          <w:b/>
          <w:bCs/>
          <w:sz w:val="24"/>
          <w:szCs w:val="24"/>
          <w:highlight w:val="none"/>
        </w:rPr>
        <w:t>、其他补充事宜</w:t>
      </w:r>
      <w:bookmarkEnd w:id="11"/>
    </w:p>
    <w:p w14:paraId="380584B4">
      <w:pPr>
        <w:keepNext w:val="0"/>
        <w:keepLines w:val="0"/>
        <w:pageBreakBefore w:val="0"/>
        <w:widowControl/>
        <w:shd w:val="clear" w:color="auto" w:fill="auto"/>
        <w:kinsoku/>
        <w:wordWrap/>
        <w:overflowPunct/>
        <w:topLinePunct w:val="0"/>
        <w:autoSpaceDE/>
        <w:autoSpaceDN/>
        <w:bidi w:val="0"/>
        <w:snapToGrid/>
        <w:spacing w:line="42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1.本项目实行全流程电子化，提交投标文件截止时间前，随时关注威海市公共资源交易网（变更公告栏）内变更提醒。</w:t>
      </w:r>
    </w:p>
    <w:p w14:paraId="5F21FDA7">
      <w:pPr>
        <w:keepNext w:val="0"/>
        <w:keepLines w:val="0"/>
        <w:pageBreakBefore w:val="0"/>
        <w:widowControl w:val="0"/>
        <w:kinsoku/>
        <w:wordWrap w:val="0"/>
        <w:overflowPunct/>
        <w:topLinePunct w:val="0"/>
        <w:autoSpaceDE/>
        <w:autoSpaceDN/>
        <w:bidi w:val="0"/>
        <w:adjustRightInd/>
        <w:snapToGrid/>
        <w:spacing w:line="420" w:lineRule="exact"/>
        <w:ind w:firstLine="512" w:firstLineChars="200"/>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https://ggzyjy.weihai.cn/bszn/005005/20260109/eb4ba418-4b35-4f05-aa69-44fd7d8a7ffb.html），通过交易系统线上参加开标活动，不熟悉系统操作产生的风险由投标人承担。</w:t>
      </w:r>
    </w:p>
    <w:p w14:paraId="5BD037CA">
      <w:pPr>
        <w:keepNext w:val="0"/>
        <w:keepLines w:val="0"/>
        <w:pageBreakBefore w:val="0"/>
        <w:kinsoku/>
        <w:wordWrap/>
        <w:overflowPunct/>
        <w:topLinePunct w:val="0"/>
        <w:autoSpaceDE/>
        <w:autoSpaceDN/>
        <w:bidi w:val="0"/>
        <w:snapToGrid/>
        <w:spacing w:line="420" w:lineRule="exact"/>
        <w:ind w:firstLine="482" w:firstLineChars="200"/>
        <w:contextualSpacing/>
        <w:textAlignment w:val="auto"/>
        <w:outlineLvl w:val="1"/>
        <w:rPr>
          <w:rFonts w:ascii="仿宋" w:hAnsi="仿宋" w:eastAsia="仿宋" w:cs="仿宋"/>
          <w:b/>
          <w:bCs/>
          <w:sz w:val="24"/>
          <w:szCs w:val="24"/>
          <w:highlight w:val="none"/>
        </w:rPr>
      </w:pPr>
      <w:bookmarkStart w:id="12" w:name="_Toc32553"/>
      <w:r>
        <w:rPr>
          <w:rFonts w:hint="eastAsia" w:ascii="仿宋" w:hAnsi="仿宋" w:eastAsia="仿宋" w:cs="仿宋"/>
          <w:b/>
          <w:bCs/>
          <w:sz w:val="24"/>
          <w:szCs w:val="24"/>
          <w:highlight w:val="none"/>
          <w:lang w:eastAsia="zh-CN"/>
        </w:rPr>
        <w:t>九</w:t>
      </w:r>
      <w:r>
        <w:rPr>
          <w:rFonts w:hint="eastAsia" w:ascii="仿宋" w:hAnsi="仿宋" w:eastAsia="仿宋" w:cs="仿宋"/>
          <w:b/>
          <w:bCs/>
          <w:sz w:val="24"/>
          <w:szCs w:val="24"/>
          <w:highlight w:val="none"/>
        </w:rPr>
        <w:t>、对本次招标提出询问，请按以下方式联系。</w:t>
      </w:r>
      <w:bookmarkEnd w:id="12"/>
    </w:p>
    <w:p w14:paraId="30FABCEF">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03D7549C">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威海市环翠区通达市政工程有限公司</w:t>
      </w:r>
    </w:p>
    <w:p w14:paraId="088D2029">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威海市环翠区望岛工业园</w:t>
      </w:r>
    </w:p>
    <w:p w14:paraId="1336E897">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宋杰</w:t>
      </w:r>
    </w:p>
    <w:p w14:paraId="1B19F391">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联系方式：</w:t>
      </w:r>
      <w:r>
        <w:rPr>
          <w:rFonts w:hint="eastAsia" w:ascii="仿宋" w:hAnsi="仿宋" w:eastAsia="仿宋" w:cs="仿宋"/>
          <w:spacing w:val="8"/>
          <w:sz w:val="24"/>
          <w:szCs w:val="24"/>
          <w:highlight w:val="none"/>
          <w:lang w:eastAsia="zh-CN"/>
        </w:rPr>
        <w:t xml:space="preserve">18563115835 </w:t>
      </w:r>
    </w:p>
    <w:p w14:paraId="45123104">
      <w:pPr>
        <w:keepNext w:val="0"/>
        <w:keepLines w:val="0"/>
        <w:pageBreakBefore w:val="0"/>
        <w:widowControl/>
        <w:shd w:val="clear" w:color="auto" w:fill="auto"/>
        <w:kinsoku/>
        <w:wordWrap/>
        <w:overflowPunct/>
        <w:topLinePunct w:val="0"/>
        <w:autoSpaceDE/>
        <w:autoSpaceDN/>
        <w:bidi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val="en-US" w:eastAsia="zh-CN"/>
        </w:rPr>
        <w:t>招标</w:t>
      </w:r>
      <w:r>
        <w:rPr>
          <w:rFonts w:hint="eastAsia" w:ascii="仿宋" w:hAnsi="仿宋" w:eastAsia="仿宋" w:cs="仿宋"/>
          <w:spacing w:val="8"/>
          <w:sz w:val="24"/>
          <w:szCs w:val="24"/>
          <w:highlight w:val="none"/>
        </w:rPr>
        <w:t>代理机构信息</w:t>
      </w:r>
    </w:p>
    <w:p w14:paraId="76495CE5">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76D64F9E">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地    址：威海市古寨东路315号</w:t>
      </w:r>
    </w:p>
    <w:p w14:paraId="645A440F">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val="en-US" w:eastAsia="zh-CN"/>
        </w:rPr>
        <w:t>隋健</w:t>
      </w:r>
    </w:p>
    <w:p w14:paraId="5ED4C1AB">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554B5EF6">
      <w:pPr>
        <w:keepNext w:val="0"/>
        <w:keepLines w:val="0"/>
        <w:pageBreakBefore w:val="0"/>
        <w:widowControl/>
        <w:kinsoku/>
        <w:wordWrap/>
        <w:overflowPunct/>
        <w:topLinePunct w:val="0"/>
        <w:autoSpaceDE/>
        <w:autoSpaceDN/>
        <w:bidi w:val="0"/>
        <w:adjustRightInd w:val="0"/>
        <w:snapToGrid/>
        <w:spacing w:line="42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4"/>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0BC06086">
      <w:pPr>
        <w:keepNext w:val="0"/>
        <w:keepLines w:val="0"/>
        <w:pageBreakBefore w:val="0"/>
        <w:widowControl/>
        <w:kinsoku/>
        <w:wordWrap/>
        <w:overflowPunct/>
        <w:topLinePunct w:val="0"/>
        <w:autoSpaceDE/>
        <w:autoSpaceDN/>
        <w:bidi w:val="0"/>
        <w:adjustRightInd w:val="0"/>
        <w:snapToGrid/>
        <w:spacing w:line="420" w:lineRule="exact"/>
        <w:ind w:firstLine="482" w:firstLineChars="200"/>
        <w:contextualSpacing/>
        <w:jc w:val="left"/>
        <w:textAlignment w:val="auto"/>
        <w:outlineLvl w:val="1"/>
        <w:rPr>
          <w:rFonts w:ascii="仿宋" w:hAnsi="仿宋" w:eastAsia="仿宋" w:cs="仿宋"/>
          <w:b/>
          <w:bCs/>
          <w:sz w:val="24"/>
          <w:szCs w:val="24"/>
          <w:highlight w:val="none"/>
        </w:rPr>
      </w:pPr>
      <w:bookmarkStart w:id="13" w:name="_Toc5849"/>
      <w:r>
        <w:rPr>
          <w:rFonts w:hint="eastAsia" w:ascii="仿宋" w:hAnsi="仿宋" w:eastAsia="仿宋" w:cs="仿宋"/>
          <w:b/>
          <w:bCs/>
          <w:sz w:val="24"/>
          <w:szCs w:val="24"/>
          <w:highlight w:val="none"/>
          <w:lang w:eastAsia="zh-CN"/>
        </w:rPr>
        <w:t>十</w:t>
      </w:r>
      <w:r>
        <w:rPr>
          <w:rFonts w:hint="eastAsia" w:ascii="仿宋" w:hAnsi="仿宋" w:eastAsia="仿宋" w:cs="仿宋"/>
          <w:b/>
          <w:bCs/>
          <w:sz w:val="24"/>
          <w:szCs w:val="24"/>
          <w:highlight w:val="none"/>
        </w:rPr>
        <w:t>、发布公告的媒介</w:t>
      </w:r>
      <w:bookmarkEnd w:id="13"/>
    </w:p>
    <w:p w14:paraId="6AFDE1D0">
      <w:pPr>
        <w:keepNext w:val="0"/>
        <w:keepLines w:val="0"/>
        <w:pageBreakBefore w:val="0"/>
        <w:kinsoku/>
        <w:wordWrap/>
        <w:overflowPunct/>
        <w:topLinePunct w:val="0"/>
        <w:autoSpaceDE/>
        <w:autoSpaceDN/>
        <w:bidi w:val="0"/>
        <w:snapToGrid/>
        <w:spacing w:line="420" w:lineRule="exact"/>
        <w:ind w:firstLine="512" w:firstLineChars="200"/>
        <w:contextualSpacing/>
        <w:jc w:val="left"/>
        <w:textAlignment w:val="auto"/>
        <w:rPr>
          <w:rFonts w:hint="eastAsia" w:ascii="仿宋" w:hAnsi="仿宋" w:eastAsia="仿宋" w:cs="仿宋"/>
          <w:spacing w:val="8"/>
          <w:sz w:val="24"/>
          <w:szCs w:val="24"/>
          <w:highlight w:val="none"/>
        </w:rPr>
      </w:pPr>
      <w:bookmarkStart w:id="14" w:name="_Toc39827471"/>
      <w:bookmarkStart w:id="15" w:name="_Toc39827101"/>
      <w:bookmarkStart w:id="16" w:name="_Toc39827536"/>
      <w:bookmarkStart w:id="17" w:name="_Toc38213886"/>
      <w:r>
        <w:rPr>
          <w:rFonts w:hint="eastAsia" w:ascii="仿宋" w:hAnsi="仿宋" w:eastAsia="仿宋" w:cs="仿宋"/>
          <w:spacing w:val="8"/>
          <w:sz w:val="24"/>
          <w:szCs w:val="24"/>
          <w:highlight w:val="none"/>
        </w:rPr>
        <w:t>本次公告在中国招标投标公共服务平台（www.cebpubservice.com）、威海市公共资源交易网（http://ggzyjy.weihai.cn/）</w:t>
      </w:r>
      <w:r>
        <w:rPr>
          <w:rFonts w:hint="eastAsia" w:ascii="仿宋" w:hAnsi="仿宋" w:eastAsia="仿宋" w:cs="仿宋"/>
          <w:spacing w:val="8"/>
          <w:sz w:val="24"/>
          <w:szCs w:val="24"/>
          <w:highlight w:val="none"/>
          <w:lang w:eastAsia="zh-CN"/>
        </w:rPr>
        <w:t>、威海市环通产业投资集团有限公司招采平台（http://hcct.weihaihuancui.cn/Bid.html?rid=1）</w:t>
      </w:r>
      <w:r>
        <w:rPr>
          <w:rFonts w:hint="eastAsia" w:ascii="仿宋" w:hAnsi="仿宋" w:eastAsia="仿宋" w:cs="仿宋"/>
          <w:spacing w:val="8"/>
          <w:sz w:val="24"/>
          <w:szCs w:val="24"/>
          <w:highlight w:val="none"/>
        </w:rPr>
        <w:t>上发布。</w:t>
      </w:r>
      <w:bookmarkEnd w:id="14"/>
      <w:bookmarkEnd w:id="15"/>
      <w:bookmarkEnd w:id="16"/>
      <w:bookmarkEnd w:id="17"/>
    </w:p>
    <w:p w14:paraId="5C350516">
      <w:pPr>
        <w:pStyle w:val="18"/>
        <w:rPr>
          <w:rFonts w:hint="eastAsia"/>
          <w:highlight w:val="none"/>
        </w:rPr>
      </w:pPr>
    </w:p>
    <w:p w14:paraId="64D2BA51">
      <w:pPr>
        <w:keepNext w:val="0"/>
        <w:keepLines w:val="0"/>
        <w:pageBreakBefore w:val="0"/>
        <w:kinsoku/>
        <w:wordWrap/>
        <w:overflowPunct/>
        <w:topLinePunct w:val="0"/>
        <w:autoSpaceDE/>
        <w:autoSpaceDN/>
        <w:bidi w:val="0"/>
        <w:snapToGrid/>
        <w:spacing w:line="42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0C138CF9">
      <w:pPr>
        <w:keepNext w:val="0"/>
        <w:keepLines w:val="0"/>
        <w:pageBreakBefore w:val="0"/>
        <w:widowControl/>
        <w:kinsoku/>
        <w:wordWrap/>
        <w:overflowPunct/>
        <w:topLinePunct w:val="0"/>
        <w:autoSpaceDE/>
        <w:autoSpaceDN/>
        <w:bidi w:val="0"/>
        <w:adjustRightInd w:val="0"/>
        <w:snapToGrid/>
        <w:spacing w:line="42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pacing w:val="8"/>
          <w:sz w:val="24"/>
          <w:szCs w:val="24"/>
          <w:highlight w:val="none"/>
          <w:lang w:val="en-US" w:eastAsia="zh-CN"/>
        </w:rPr>
        <w:t>11</w:t>
      </w:r>
      <w:r>
        <w:rPr>
          <w:rFonts w:hint="eastAsia" w:ascii="仿宋" w:hAnsi="仿宋" w:eastAsia="仿宋" w:cs="仿宋"/>
          <w:sz w:val="24"/>
          <w:szCs w:val="24"/>
          <w:highlight w:val="none"/>
        </w:rPr>
        <w:t>月</w:t>
      </w:r>
      <w:r>
        <w:rPr>
          <w:rFonts w:hint="eastAsia" w:ascii="仿宋" w:hAnsi="仿宋" w:eastAsia="仿宋" w:cs="仿宋"/>
          <w:spacing w:val="8"/>
          <w:sz w:val="24"/>
          <w:szCs w:val="24"/>
          <w:highlight w:val="none"/>
          <w:lang w:val="en-US" w:eastAsia="zh-CN"/>
        </w:rPr>
        <w:t>6</w:t>
      </w:r>
      <w:r>
        <w:rPr>
          <w:rFonts w:hint="eastAsia" w:ascii="仿宋" w:hAnsi="仿宋" w:eastAsia="仿宋" w:cs="仿宋"/>
          <w:sz w:val="24"/>
          <w:szCs w:val="24"/>
          <w:highlight w:val="none"/>
        </w:rPr>
        <w:t>日</w:t>
      </w:r>
    </w:p>
    <w:p w14:paraId="3F05AD67">
      <w:pPr>
        <w:numPr>
          <w:ilvl w:val="0"/>
          <w:numId w:val="0"/>
        </w:numPr>
        <w:jc w:val="center"/>
        <w:outlineLvl w:val="0"/>
        <w:rPr>
          <w:rStyle w:val="126"/>
          <w:rFonts w:hint="eastAsia"/>
          <w:highlight w:val="none"/>
        </w:rPr>
      </w:pPr>
      <w:bookmarkStart w:id="18" w:name="_Toc29115"/>
      <w:bookmarkStart w:id="19" w:name="_Toc13203"/>
      <w:r>
        <w:rPr>
          <w:rFonts w:ascii="仿宋" w:hAnsi="仿宋" w:eastAsia="仿宋" w:cs="仿宋"/>
          <w:b/>
          <w:bCs/>
          <w:sz w:val="24"/>
          <w:szCs w:val="24"/>
          <w:highlight w:val="none"/>
        </w:rPr>
        <w:br w:type="page"/>
      </w:r>
      <w:r>
        <w:rPr>
          <w:rStyle w:val="126"/>
          <w:rFonts w:hint="eastAsia"/>
          <w:highlight w:val="none"/>
        </w:rPr>
        <w:t>第</w:t>
      </w:r>
      <w:r>
        <w:rPr>
          <w:rStyle w:val="126"/>
          <w:rFonts w:hint="eastAsia"/>
          <w:highlight w:val="none"/>
          <w:lang w:val="en-US" w:eastAsia="zh-CN"/>
        </w:rPr>
        <w:t>二</w:t>
      </w:r>
      <w:r>
        <w:rPr>
          <w:rStyle w:val="126"/>
          <w:rFonts w:hint="eastAsia"/>
          <w:highlight w:val="none"/>
        </w:rPr>
        <w:t>部分 投标须知</w:t>
      </w:r>
      <w:bookmarkEnd w:id="18"/>
      <w:bookmarkEnd w:id="19"/>
    </w:p>
    <w:p w14:paraId="70962F92">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3"/>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01A76F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648E7EA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51EC23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61840EA3">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274E03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21B3160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661DF9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09A0A863">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2026年环翠区农村供水基础设施专项工程构建多元化人员能力提升体系服务项目</w:t>
            </w:r>
          </w:p>
        </w:tc>
      </w:tr>
      <w:tr w14:paraId="045AAD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397C8A1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E11A1C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423C5776">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PURM202610200002</w:t>
            </w:r>
          </w:p>
        </w:tc>
      </w:tr>
      <w:tr w14:paraId="5E2A7E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6EAD1EF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F0D99DB">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10EA7381">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威海市环翠区通达市政工程有限公司</w:t>
            </w:r>
          </w:p>
          <w:p w14:paraId="351E7CDD">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lang w:eastAsia="zh-CN"/>
              </w:rPr>
              <w:t>地址：</w:t>
            </w:r>
            <w:r>
              <w:rPr>
                <w:rFonts w:hint="eastAsia" w:ascii="仿宋" w:hAnsi="仿宋" w:eastAsia="仿宋" w:cs="仿宋"/>
                <w:spacing w:val="8"/>
                <w:sz w:val="24"/>
                <w:szCs w:val="24"/>
                <w:highlight w:val="none"/>
                <w:lang w:eastAsia="zh-CN"/>
              </w:rPr>
              <w:t>威海市环翠区望岛工业园</w:t>
            </w:r>
          </w:p>
          <w:p w14:paraId="62AC2DB1">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lang w:eastAsia="zh-CN"/>
              </w:rPr>
              <w:t>联系人：</w:t>
            </w:r>
            <w:r>
              <w:rPr>
                <w:rFonts w:hint="eastAsia" w:ascii="仿宋" w:hAnsi="仿宋" w:eastAsia="仿宋" w:cs="仿宋"/>
                <w:spacing w:val="8"/>
                <w:sz w:val="24"/>
                <w:szCs w:val="24"/>
                <w:highlight w:val="none"/>
                <w:lang w:eastAsia="zh-CN"/>
              </w:rPr>
              <w:t>宋杰</w:t>
            </w:r>
          </w:p>
          <w:p w14:paraId="7E5FA774">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联系方式：</w:t>
            </w:r>
            <w:r>
              <w:rPr>
                <w:rFonts w:hint="eastAsia" w:ascii="仿宋" w:hAnsi="仿宋" w:eastAsia="仿宋" w:cs="仿宋"/>
                <w:spacing w:val="8"/>
                <w:sz w:val="24"/>
                <w:szCs w:val="24"/>
                <w:highlight w:val="none"/>
                <w:lang w:eastAsia="zh-CN"/>
              </w:rPr>
              <w:t xml:space="preserve">18563115835 </w:t>
            </w:r>
          </w:p>
        </w:tc>
      </w:tr>
      <w:tr w14:paraId="70B267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513B18A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D747B0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w:t>
            </w:r>
          </w:p>
        </w:tc>
        <w:tc>
          <w:tcPr>
            <w:tcW w:w="6774" w:type="dxa"/>
            <w:tcBorders>
              <w:top w:val="single" w:color="auto" w:sz="4" w:space="0"/>
              <w:left w:val="single" w:color="auto" w:sz="4" w:space="0"/>
              <w:bottom w:val="single" w:color="auto" w:sz="4" w:space="0"/>
            </w:tcBorders>
            <w:noWrap w:val="0"/>
            <w:vAlign w:val="center"/>
          </w:tcPr>
          <w:p w14:paraId="343CAB5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7762A7F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040BE784">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val="en-US" w:eastAsia="zh-CN"/>
              </w:rPr>
              <w:t>隋健</w:t>
            </w:r>
          </w:p>
          <w:p w14:paraId="080C1DB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0F798F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2F7B4BA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97648B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76BC184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7AB8D2E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5805FE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32" w:type="dxa"/>
            <w:tcBorders>
              <w:top w:val="single" w:color="auto" w:sz="4" w:space="0"/>
              <w:bottom w:val="single" w:color="auto" w:sz="4" w:space="0"/>
              <w:right w:val="single" w:color="auto" w:sz="4" w:space="0"/>
            </w:tcBorders>
            <w:noWrap w:val="0"/>
            <w:vAlign w:val="center"/>
          </w:tcPr>
          <w:p w14:paraId="506CE16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1D75AA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31DE33F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3A4350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71D7BB75">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5A761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353FAE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0B5DB98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7D00553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5713A7B1">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r>
              <w:rPr>
                <w:rFonts w:hint="eastAsia" w:ascii="仿宋" w:hAnsi="仿宋" w:eastAsia="仿宋" w:cs="仿宋"/>
                <w:sz w:val="24"/>
                <w:szCs w:val="24"/>
                <w:highlight w:val="none"/>
                <w:lang w:eastAsia="zh-CN"/>
              </w:rPr>
              <w:t>。</w:t>
            </w:r>
          </w:p>
          <w:p w14:paraId="21E77A9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详见</w:t>
            </w:r>
            <w:r>
              <w:rPr>
                <w:rFonts w:hint="eastAsia" w:ascii="仿宋" w:hAnsi="仿宋" w:eastAsia="仿宋" w:cs="仿宋"/>
                <w:spacing w:val="8"/>
                <w:sz w:val="24"/>
                <w:szCs w:val="24"/>
                <w:highlight w:val="none"/>
              </w:rPr>
              <w:t>新版威海市国有企业阳光采购服务平台供应商用户手册网址：https://ggzyjy.weihai.cn/bszn/005005/20260109/eb4ba418-4b35-4f05-aa69-44fd7d8a7ffb.html</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p>
          <w:p w14:paraId="48518F5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）自身原因导致电子投标文件编制不规范使投标文件内容无法导入系统的，该投标文件将被视为无效投标（响应）文件。</w:t>
            </w:r>
          </w:p>
          <w:p w14:paraId="124F046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59BCAB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0B8C7EB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45348E0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失败的，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及</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代理机构不承担任何责任。</w:t>
            </w:r>
          </w:p>
        </w:tc>
      </w:tr>
      <w:tr w14:paraId="374A97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64052D8B">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46D2EC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7614064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3642B800">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23088F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712C361F">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FEC610B">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4DA334C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Times New Roman"/>
                <w:sz w:val="24"/>
                <w:szCs w:val="24"/>
                <w:highlight w:val="none"/>
              </w:rPr>
              <w:t>网上按时递交电子投标文件1份以及纸质投标文件2份</w:t>
            </w:r>
          </w:p>
        </w:tc>
      </w:tr>
      <w:tr w14:paraId="513A05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0FCD913">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D74FF7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16B49A30">
            <w:pPr>
              <w:snapToGrid w:val="0"/>
              <w:spacing w:line="400" w:lineRule="exact"/>
              <w:ind w:right="-105" w:rightChars="-5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无</w:t>
            </w:r>
          </w:p>
        </w:tc>
      </w:tr>
      <w:tr w14:paraId="67FB64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3E3600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ECC5F5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15F0BA0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4D1E2C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72645724">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B867D1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5CEC894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4ABF46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ADAF031">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1193B1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6405257F">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不召开</w:t>
            </w:r>
          </w:p>
        </w:tc>
      </w:tr>
      <w:tr w14:paraId="6CCE02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6FE06C08">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46D1FF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28FC36D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2F646D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3A4D067A">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25A0C4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38B6B9AB">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A6AC435">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6495114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2、纸质投标文件递交：基于项目资料归档的要求，</w:t>
            </w:r>
            <w:r>
              <w:rPr>
                <w:rFonts w:hint="eastAsia" w:ascii="仿宋" w:hAnsi="仿宋" w:eastAsia="仿宋" w:cs="仿宋"/>
                <w:sz w:val="24"/>
                <w:szCs w:val="24"/>
                <w:highlight w:val="none"/>
                <w:lang w:val="en-US" w:eastAsia="zh-CN"/>
              </w:rPr>
              <w:t>所有投标单位的</w:t>
            </w:r>
            <w:r>
              <w:rPr>
                <w:rFonts w:hint="eastAsia" w:ascii="仿宋" w:hAnsi="仿宋" w:eastAsia="仿宋" w:cs="仿宋"/>
                <w:sz w:val="24"/>
                <w:szCs w:val="24"/>
                <w:highlight w:val="none"/>
              </w:rPr>
              <w:t>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7D8D5990">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14:paraId="1F51D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28FF6FD1">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534E4D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011B144F">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7D836F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48672A54">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8138E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26E9363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30F73F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37F46E91">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689EE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020876EA">
            <w:pPr>
              <w:keepNext w:val="0"/>
              <w:keepLines w:val="0"/>
              <w:pageBreakBefore w:val="0"/>
              <w:widowControl w:val="0"/>
              <w:kinsoku/>
              <w:wordWrap/>
              <w:overflowPunct/>
              <w:topLinePunct w:val="0"/>
              <w:autoSpaceDE/>
              <w:autoSpaceDN/>
              <w:bidi w:val="0"/>
              <w:adjustRightInd/>
              <w:snapToGrid/>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投标人无需到现场参与开标，但开、评标期间需实时关注交易系统相关通知，且被授权人的联络方式应保持畅通。</w:t>
            </w:r>
          </w:p>
        </w:tc>
      </w:tr>
      <w:tr w14:paraId="631441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517EBE00">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E9BCB3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3D58421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6B7DB89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6A51C7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57EC5328">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A2D53D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45EDABD8">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75DC0D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4188FC3C">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5ED6BF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1E6CF9E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538099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4CDD4B9">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5741677">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联合体</w:t>
            </w:r>
            <w:r>
              <w:rPr>
                <w:rFonts w:hint="eastAsia" w:ascii="仿宋" w:hAnsi="仿宋" w:eastAsia="仿宋" w:cs="仿宋"/>
                <w:sz w:val="24"/>
                <w:szCs w:val="24"/>
                <w:highlight w:val="none"/>
                <w:lang w:val="en-US" w:eastAsia="zh-CN"/>
              </w:rPr>
              <w:t>投标</w:t>
            </w:r>
          </w:p>
        </w:tc>
        <w:tc>
          <w:tcPr>
            <w:tcW w:w="6774" w:type="dxa"/>
            <w:tcBorders>
              <w:top w:val="single" w:color="auto" w:sz="4" w:space="0"/>
              <w:left w:val="single" w:color="auto" w:sz="4" w:space="0"/>
              <w:bottom w:val="single" w:color="auto" w:sz="4" w:space="0"/>
            </w:tcBorders>
            <w:noWrap w:val="0"/>
            <w:vAlign w:val="center"/>
          </w:tcPr>
          <w:p w14:paraId="2AF5223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3880DC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F5E2968">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4C0B3B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318E852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566E0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91A7F38">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987729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13C009CA">
            <w:pPr>
              <w:snapToGrid w:val="0"/>
              <w:spacing w:line="400" w:lineRule="exact"/>
              <w:jc w:val="left"/>
              <w:rPr>
                <w:rFonts w:hint="eastAsia" w:ascii="仿宋" w:hAnsi="仿宋" w:eastAsia="仿宋" w:cs="仿宋"/>
                <w:sz w:val="24"/>
                <w:szCs w:val="24"/>
                <w:highlight w:val="none"/>
              </w:rPr>
            </w:pPr>
            <w:bookmarkStart w:id="20" w:name="_Hlk58068062"/>
            <w:r>
              <w:rPr>
                <w:rFonts w:hint="eastAsia" w:ascii="仿宋" w:hAnsi="仿宋" w:eastAsia="仿宋" w:cs="仿宋"/>
                <w:sz w:val="24"/>
                <w:szCs w:val="24"/>
                <w:highlight w:val="none"/>
              </w:rPr>
              <w:t>1.本项目投标保证金:</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000.00元整；</w:t>
            </w:r>
          </w:p>
          <w:p w14:paraId="082EF39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2.缴纳截止时间：投标文件递交截止时间前。</w:t>
            </w:r>
          </w:p>
          <w:bookmarkEnd w:id="20"/>
          <w:p w14:paraId="7EBE8B7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3.投标保证金的交纳单位必须与投标人名称一致，投标保证金须从其基本账户转出，否则其投标无效。</w:t>
            </w:r>
          </w:p>
          <w:p w14:paraId="7BC1622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本项目的投标保证金必须通过威海市国有企业阳光采购电子化服务平台交纳，使用说明参见威海市公共资源交易网（http://ggzyjy.weihai.cn）的“办事指南—国企采购专区”中《威海市国有企业阳光采购电子化服务平台线上投标保证金操作手册》。</w:t>
            </w:r>
          </w:p>
          <w:p w14:paraId="59EE26A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p>
          <w:p w14:paraId="7ABB393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6D71C9E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2C5894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779C4260">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6FB8A4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799DFD7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5113AC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932" w:type="dxa"/>
            <w:tcBorders>
              <w:top w:val="single" w:color="auto" w:sz="4" w:space="0"/>
              <w:bottom w:val="single" w:color="auto" w:sz="4" w:space="0"/>
              <w:right w:val="single" w:color="auto" w:sz="4" w:space="0"/>
            </w:tcBorders>
            <w:noWrap w:val="0"/>
            <w:vAlign w:val="center"/>
          </w:tcPr>
          <w:p w14:paraId="622C502A">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220295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5DE97D09">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796DA2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0D14EF22">
            <w:pPr>
              <w:snapToGrid w:val="0"/>
              <w:spacing w:line="40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4AC26A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6C8E1D62">
            <w:pPr>
              <w:snapToGrid w:val="0"/>
              <w:spacing w:line="40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本项目按计价格【2002】1980号文件收费标准的40%计取，全部由中标人支付，此费用包含在投标报价中，招标人不再另行考虑。中标人需在代理机构发出中标通知书的同时支付。</w:t>
            </w:r>
          </w:p>
          <w:p w14:paraId="421653BE">
            <w:pPr>
              <w:snapToGrid w:val="0"/>
              <w:spacing w:line="40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开户名称：山东富尔工程咨询管理有限公司</w:t>
            </w:r>
          </w:p>
          <w:p w14:paraId="4FFF4B13">
            <w:pPr>
              <w:snapToGrid w:val="0"/>
              <w:spacing w:line="40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开户银行：中国建设银行威海文化支行</w:t>
            </w:r>
          </w:p>
          <w:p w14:paraId="6EAFC44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银行账号：37001707101050000572</w:t>
            </w:r>
          </w:p>
        </w:tc>
      </w:tr>
      <w:tr w14:paraId="455E1B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932" w:type="dxa"/>
            <w:tcBorders>
              <w:top w:val="single" w:color="auto" w:sz="4" w:space="0"/>
              <w:bottom w:val="single" w:color="auto" w:sz="4" w:space="0"/>
              <w:right w:val="single" w:color="auto" w:sz="4" w:space="0"/>
            </w:tcBorders>
            <w:noWrap w:val="0"/>
            <w:vAlign w:val="center"/>
          </w:tcPr>
          <w:p w14:paraId="3A89B3F5">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A94BF5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3D72D81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专家评审费由中标人</w:t>
            </w:r>
            <w:r>
              <w:rPr>
                <w:rFonts w:hint="eastAsia" w:ascii="仿宋" w:hAnsi="仿宋" w:eastAsia="仿宋" w:cs="仿宋"/>
                <w:sz w:val="24"/>
                <w:szCs w:val="24"/>
                <w:highlight w:val="none"/>
                <w:lang w:val="en-US" w:eastAsia="zh-CN"/>
              </w:rPr>
              <w:t>缴纳</w:t>
            </w:r>
            <w:r>
              <w:rPr>
                <w:rFonts w:hint="eastAsia" w:ascii="仿宋" w:hAnsi="仿宋" w:eastAsia="仿宋" w:cs="仿宋"/>
                <w:sz w:val="24"/>
                <w:szCs w:val="24"/>
                <w:highlight w:val="none"/>
              </w:rPr>
              <w:t>，按实收取。</w:t>
            </w:r>
          </w:p>
        </w:tc>
      </w:tr>
      <w:tr w14:paraId="1D8862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932" w:type="dxa"/>
            <w:tcBorders>
              <w:top w:val="single" w:color="auto" w:sz="4" w:space="0"/>
              <w:bottom w:val="single" w:color="auto" w:sz="4" w:space="0"/>
              <w:right w:val="single" w:color="auto" w:sz="4" w:space="0"/>
            </w:tcBorders>
            <w:noWrap w:val="0"/>
            <w:vAlign w:val="center"/>
          </w:tcPr>
          <w:p w14:paraId="2011EBA1">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4E5BBE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4A34731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14:paraId="419CE3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4" w:hRule="atLeast"/>
          <w:jc w:val="center"/>
        </w:trPr>
        <w:tc>
          <w:tcPr>
            <w:tcW w:w="932" w:type="dxa"/>
            <w:tcBorders>
              <w:top w:val="single" w:color="auto" w:sz="4" w:space="0"/>
              <w:bottom w:val="single" w:color="auto" w:sz="4" w:space="0"/>
              <w:right w:val="single" w:color="auto" w:sz="4" w:space="0"/>
            </w:tcBorders>
            <w:noWrap w:val="0"/>
            <w:vAlign w:val="center"/>
          </w:tcPr>
          <w:p w14:paraId="585B6CF6">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445519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412618CF">
            <w:pPr>
              <w:numPr>
                <w:ilvl w:val="0"/>
                <w:numId w:val="0"/>
              </w:num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本项目按</w:t>
            </w:r>
            <w:r>
              <w:rPr>
                <w:rFonts w:hint="eastAsia" w:ascii="仿宋" w:hAnsi="仿宋" w:eastAsia="仿宋" w:cs="仿宋"/>
                <w:sz w:val="24"/>
                <w:szCs w:val="24"/>
                <w:highlight w:val="none"/>
                <w:lang w:val="en-US" w:eastAsia="zh-CN"/>
              </w:rPr>
              <w:t>服务类</w:t>
            </w:r>
            <w:r>
              <w:rPr>
                <w:rFonts w:hint="eastAsia" w:ascii="仿宋" w:hAnsi="仿宋" w:eastAsia="仿宋" w:cs="仿宋"/>
                <w:sz w:val="24"/>
                <w:szCs w:val="24"/>
                <w:highlight w:val="none"/>
              </w:rPr>
              <w:t>以公开招标方式实施采购</w:t>
            </w:r>
            <w:r>
              <w:rPr>
                <w:rFonts w:hint="eastAsia" w:ascii="仿宋" w:hAnsi="仿宋" w:eastAsia="仿宋" w:cs="仿宋"/>
                <w:sz w:val="24"/>
                <w:szCs w:val="24"/>
                <w:highlight w:val="none"/>
                <w:lang w:eastAsia="zh-CN"/>
              </w:rPr>
              <w:t>。</w:t>
            </w:r>
          </w:p>
          <w:p w14:paraId="6A8A3CD1">
            <w:pPr>
              <w:numPr>
                <w:ilvl w:val="0"/>
                <w:numId w:val="0"/>
              </w:num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2.如投标单位在本次项目中弄虚作假成为中标单位的,后期一经发现将取消其中标资格，且今后不再录用，给招标人造成损失的，招标人有权向投标单位索要赔偿。</w:t>
            </w:r>
          </w:p>
          <w:p w14:paraId="46C27C92">
            <w:pPr>
              <w:numPr>
                <w:ilvl w:val="0"/>
                <w:numId w:val="0"/>
              </w:num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3.投标单位不得对本项目进行分包或转包。如投标单位在中标后出现上述情况，一经招标单位发现，立即取消其中标资格。</w:t>
            </w:r>
          </w:p>
        </w:tc>
      </w:tr>
    </w:tbl>
    <w:p w14:paraId="5B33671D">
      <w:pPr>
        <w:snapToGrid w:val="0"/>
        <w:spacing w:line="400" w:lineRule="exact"/>
        <w:jc w:val="center"/>
        <w:rPr>
          <w:rFonts w:hint="eastAsia" w:ascii="仿宋" w:hAnsi="仿宋" w:eastAsia="仿宋" w:cs="仿宋"/>
          <w:b/>
          <w:bCs/>
          <w:sz w:val="30"/>
          <w:szCs w:val="30"/>
          <w:highlight w:val="none"/>
        </w:rPr>
      </w:pPr>
    </w:p>
    <w:p w14:paraId="39B896DF">
      <w:pPr>
        <w:snapToGrid w:val="0"/>
        <w:spacing w:line="400" w:lineRule="exact"/>
        <w:jc w:val="center"/>
        <w:rPr>
          <w:rFonts w:hint="eastAsia" w:ascii="仿宋" w:hAnsi="仿宋" w:eastAsia="仿宋" w:cs="仿宋"/>
          <w:b/>
          <w:bCs/>
          <w:sz w:val="30"/>
          <w:szCs w:val="30"/>
          <w:highlight w:val="none"/>
        </w:rPr>
      </w:pPr>
    </w:p>
    <w:p w14:paraId="031C9C46">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6343D006">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3"/>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20C8A4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942" w:type="dxa"/>
            <w:tcBorders>
              <w:top w:val="single" w:color="auto" w:sz="4" w:space="0"/>
              <w:bottom w:val="single" w:color="auto" w:sz="4" w:space="0"/>
              <w:right w:val="single" w:color="auto" w:sz="4" w:space="0"/>
            </w:tcBorders>
            <w:noWrap w:val="0"/>
            <w:vAlign w:val="center"/>
          </w:tcPr>
          <w:p w14:paraId="622CB18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53F218F7">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7EED72B2">
            <w:pPr>
              <w:keepNext w:val="0"/>
              <w:keepLines w:val="0"/>
              <w:pageBreakBefore w:val="0"/>
              <w:widowControl w:val="0"/>
              <w:kinsoku/>
              <w:wordWrap/>
              <w:overflowPunct/>
              <w:topLinePunct w:val="0"/>
              <w:autoSpaceDE/>
              <w:autoSpaceDN/>
              <w:bidi w:val="0"/>
              <w:adjustRightInd/>
              <w:snapToGrid/>
              <w:spacing w:line="480" w:lineRule="exact"/>
              <w:ind w:firstLine="482" w:firstLineChars="201"/>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6B3CFC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7" w:hRule="atLeast"/>
          <w:jc w:val="center"/>
        </w:trPr>
        <w:tc>
          <w:tcPr>
            <w:tcW w:w="942" w:type="dxa"/>
            <w:tcBorders>
              <w:top w:val="single" w:color="auto" w:sz="4" w:space="0"/>
              <w:bottom w:val="single" w:color="auto" w:sz="4" w:space="0"/>
              <w:right w:val="single" w:color="auto" w:sz="4" w:space="0"/>
            </w:tcBorders>
            <w:noWrap w:val="0"/>
            <w:vAlign w:val="center"/>
          </w:tcPr>
          <w:p w14:paraId="09F92D8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74FC260C">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1CBB2628">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1.投标人有效的营业执照扫描件；</w:t>
            </w:r>
          </w:p>
          <w:p w14:paraId="6838A848">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.法定代表人身份证明或授权委托书:</w:t>
            </w:r>
          </w:p>
          <w:p w14:paraId="0BCCE823">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若法定代表人参加投标，投标文件附法定代表人身份证明及法定代表人身份证件扫描件；若授权代表参加投标，投标文件还需附法人授权委托书及被授权人身份证扫描件；</w:t>
            </w:r>
          </w:p>
          <w:p w14:paraId="1A99D8F2">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.交纳投标保证金的证明材料（两者缺一不可）：（1）企业银行基本账户开户证明（如开户许可证或银行开户证明等）、（2）电汇凭证或电子汇款截图扫描件</w:t>
            </w:r>
            <w:r>
              <w:rPr>
                <w:rFonts w:hint="eastAsia" w:ascii="仿宋" w:hAnsi="仿宋" w:eastAsia="仿宋" w:cs="仿宋"/>
                <w:sz w:val="24"/>
                <w:szCs w:val="24"/>
                <w:highlight w:val="none"/>
                <w:lang w:eastAsia="zh-CN"/>
              </w:rPr>
              <w:t>；</w:t>
            </w:r>
          </w:p>
          <w:p w14:paraId="0CCE57E2">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4.投标人信用承诺书</w:t>
            </w:r>
            <w:r>
              <w:rPr>
                <w:rFonts w:hint="eastAsia" w:ascii="仿宋" w:hAnsi="仿宋" w:eastAsia="仿宋" w:cs="仿宋"/>
                <w:sz w:val="24"/>
                <w:szCs w:val="24"/>
                <w:highlight w:val="none"/>
                <w:lang w:eastAsia="zh-CN"/>
              </w:rPr>
              <w:t>；</w:t>
            </w:r>
          </w:p>
          <w:p w14:paraId="72F2F647">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投标人参与投标的声明函；</w:t>
            </w:r>
          </w:p>
          <w:p w14:paraId="158673A8">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及其法定代表人、委托代理人未被最高法院（查询网址：http://zxgk.court.gov.cn/shixin/）列入失信被执行人。投标文件附通过网站查询信息记录，包含投标人及其法定代表人、委托代理人失信被执行人情况网页截图（省份为全部）；</w:t>
            </w:r>
          </w:p>
          <w:p w14:paraId="465CDE46">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投标人近一年在“信用中国”或“信用中国（山东）”无严重失信记录，投标文件中需附通过信用中国（查询网址：https://www.creditchina.gov.cn）或信用中国（山东）（查询网址：https://credit.shandong.gov.cn）查询的信用报告，个体工商户可提供通过“信用中国”各省级分站网站下载的无“严重失信主体名单”记录或无“失信惩戒信息”记录的公共信用信息报告</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eastAsia="zh-CN"/>
              </w:rPr>
              <w:t>近一年是指2025年</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lang w:eastAsia="zh-CN"/>
              </w:rPr>
              <w:t>月1日至查询日止</w:t>
            </w:r>
            <w:r>
              <w:rPr>
                <w:rFonts w:hint="eastAsia" w:ascii="仿宋" w:hAnsi="仿宋" w:eastAsia="仿宋" w:cs="仿宋"/>
                <w:sz w:val="24"/>
                <w:szCs w:val="24"/>
                <w:highlight w:val="none"/>
                <w:lang w:eastAsia="zh-CN"/>
              </w:rPr>
              <w:t>，查询日期不早于招标文件开始获取日期</w:t>
            </w:r>
            <w:r>
              <w:rPr>
                <w:rFonts w:hint="eastAsia" w:ascii="仿宋" w:hAnsi="仿宋" w:eastAsia="仿宋" w:cs="仿宋"/>
                <w:sz w:val="24"/>
                <w:szCs w:val="24"/>
                <w:highlight w:val="none"/>
              </w:rPr>
              <w:t>。</w:t>
            </w:r>
          </w:p>
        </w:tc>
      </w:tr>
      <w:tr w14:paraId="3AFFF5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8" w:hRule="atLeast"/>
          <w:jc w:val="center"/>
        </w:trPr>
        <w:tc>
          <w:tcPr>
            <w:tcW w:w="942" w:type="dxa"/>
            <w:tcBorders>
              <w:top w:val="single" w:color="auto" w:sz="4" w:space="0"/>
              <w:bottom w:val="single" w:color="auto" w:sz="4" w:space="0"/>
              <w:right w:val="single" w:color="auto" w:sz="4" w:space="0"/>
            </w:tcBorders>
            <w:noWrap w:val="0"/>
            <w:vAlign w:val="center"/>
          </w:tcPr>
          <w:p w14:paraId="7EC3410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6786319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6CA18A6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1.报价低于（或等于）</w:t>
            </w:r>
            <w:r>
              <w:rPr>
                <w:rFonts w:hint="eastAsia" w:ascii="仿宋" w:hAnsi="仿宋" w:eastAsia="仿宋" w:cs="仿宋"/>
                <w:sz w:val="24"/>
                <w:szCs w:val="24"/>
                <w:highlight w:val="none"/>
                <w:lang w:val="en-US" w:eastAsia="zh-CN"/>
              </w:rPr>
              <w:t>招标控制价；</w:t>
            </w:r>
          </w:p>
          <w:p w14:paraId="2C17C36E">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2.投标文件不按规定签署及盖章的；</w:t>
            </w:r>
          </w:p>
          <w:p w14:paraId="5DCCACC9">
            <w:pPr>
              <w:pStyle w:val="18"/>
              <w:keepNext w:val="0"/>
              <w:keepLines w:val="0"/>
              <w:pageBreakBefore w:val="0"/>
              <w:kinsoku/>
              <w:wordWrap/>
              <w:overflowPunct/>
              <w:topLinePunct w:val="0"/>
              <w:autoSpaceDE/>
              <w:autoSpaceDN/>
              <w:bidi w:val="0"/>
              <w:snapToGrid/>
              <w:spacing w:after="0" w:line="42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.服务期限</w:t>
            </w:r>
            <w:r>
              <w:rPr>
                <w:rFonts w:hint="eastAsia" w:ascii="仿宋" w:hAnsi="仿宋" w:eastAsia="仿宋" w:cs="仿宋"/>
                <w:sz w:val="24"/>
                <w:szCs w:val="24"/>
                <w:highlight w:val="none"/>
                <w:lang w:eastAsia="zh-CN"/>
              </w:rPr>
              <w:t>（</w:t>
            </w:r>
            <w:r>
              <w:rPr>
                <w:rFonts w:hint="eastAsia" w:ascii="仿宋" w:hAnsi="仿宋" w:eastAsia="仿宋" w:cs="仿宋"/>
                <w:spacing w:val="8"/>
                <w:sz w:val="24"/>
                <w:highlight w:val="none"/>
                <w:lang w:eastAsia="zh-CN"/>
              </w:rPr>
              <w:t>自合同签订之日至2028年12月31日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及其他实质性要求满足招标文件要求；</w:t>
            </w:r>
          </w:p>
          <w:p w14:paraId="6AA53D6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.不存在招标文件规定的关于投标人串通投标的情形及其他投标无效的情形。</w:t>
            </w:r>
          </w:p>
        </w:tc>
      </w:tr>
    </w:tbl>
    <w:p w14:paraId="276ECD6F">
      <w:pPr>
        <w:outlineLvl w:val="1"/>
        <w:rPr>
          <w:rFonts w:ascii="仿宋" w:hAnsi="仿宋" w:eastAsia="仿宋" w:cs="仿宋"/>
          <w:b/>
          <w:sz w:val="24"/>
          <w:szCs w:val="24"/>
          <w:highlight w:val="none"/>
        </w:rPr>
      </w:pPr>
      <w:r>
        <w:rPr>
          <w:rFonts w:hint="eastAsia" w:ascii="仿宋" w:hAnsi="仿宋" w:eastAsia="仿宋" w:cs="仿宋"/>
          <w:b/>
          <w:sz w:val="24"/>
          <w:szCs w:val="24"/>
          <w:highlight w:val="none"/>
        </w:rPr>
        <w:br w:type="page"/>
      </w:r>
      <w:bookmarkStart w:id="21" w:name="_Toc1010"/>
      <w:r>
        <w:rPr>
          <w:rFonts w:hint="eastAsia" w:ascii="仿宋" w:hAnsi="仿宋" w:eastAsia="仿宋" w:cs="仿宋"/>
          <w:b/>
          <w:sz w:val="24"/>
          <w:szCs w:val="24"/>
          <w:highlight w:val="none"/>
        </w:rPr>
        <w:t>一、说明</w:t>
      </w:r>
      <w:bookmarkEnd w:id="21"/>
    </w:p>
    <w:p w14:paraId="7E02E58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山东省省属企业阳光采购监督管理办法》等法律法规，参照《国有企业采购操作规范》《国有企业采购管理规范》，结合《威海市市属国有企业阳光采购监督管理暂行办法》《环翠区区属国有企业阳光采购监督管理暂行办法》及国家和山东省有关法律、法规、规章制度编制。参加本项目投标人应接受本招标文件关于电子招投标各项规定。</w:t>
      </w:r>
    </w:p>
    <w:p w14:paraId="2843B6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492542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266C0C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代理机构，以书面解释为准。</w:t>
      </w:r>
    </w:p>
    <w:p w14:paraId="6F7F3F1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69D4DB1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5AC3BE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投标人应承担所有与准备和参加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763D34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本项目若涉及采购货物，则合格的货物及相应服务应满足以下要求：</w:t>
      </w:r>
    </w:p>
    <w:p w14:paraId="574FCA4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4EBF80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0706B6D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4A09437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20D774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威海市国有企业阳光采购电子化服务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561E44EE">
      <w:pPr>
        <w:snapToGrid w:val="0"/>
        <w:spacing w:line="360" w:lineRule="auto"/>
        <w:ind w:firstLine="482" w:firstLineChars="200"/>
        <w:jc w:val="left"/>
        <w:outlineLvl w:val="1"/>
        <w:rPr>
          <w:rFonts w:ascii="仿宋" w:hAnsi="仿宋" w:eastAsia="仿宋" w:cs="仿宋"/>
          <w:b/>
          <w:bCs/>
          <w:sz w:val="24"/>
          <w:szCs w:val="24"/>
          <w:highlight w:val="none"/>
        </w:rPr>
      </w:pPr>
      <w:bookmarkStart w:id="22" w:name="_Toc26974"/>
      <w:r>
        <w:rPr>
          <w:rFonts w:hint="eastAsia" w:ascii="仿宋" w:hAnsi="仿宋" w:eastAsia="仿宋" w:cs="仿宋"/>
          <w:b/>
          <w:bCs/>
          <w:sz w:val="24"/>
          <w:szCs w:val="24"/>
          <w:highlight w:val="none"/>
        </w:rPr>
        <w:t>二、招标文件</w:t>
      </w:r>
      <w:bookmarkEnd w:id="22"/>
    </w:p>
    <w:p w14:paraId="6DAAD68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6990A4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19820CE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30A3274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2475E3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49D934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5E6FB3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3353FC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4E7AD6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39B95EA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代理机构发出的修正和补充文件等（如有）</w:t>
      </w:r>
    </w:p>
    <w:p w14:paraId="40E123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1D4D38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686E82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53F8F7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4A0F79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2293C0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12A0B0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4FF083D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1F3432A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代理机构提出，必要时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组织所有获取招标文件投标人举行答疑会，</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496EB9A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代理机构将视其为接受招标文件的所有条款，对招标文件没有异议，此后也不再受理对招标文件的相关质疑。</w:t>
      </w:r>
    </w:p>
    <w:p w14:paraId="1518838B">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22268E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5E5D055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356517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代理机构将顺延提交投标文件的截止时间。</w:t>
      </w:r>
    </w:p>
    <w:p w14:paraId="2325641A">
      <w:pPr>
        <w:snapToGrid w:val="0"/>
        <w:spacing w:line="360" w:lineRule="auto"/>
        <w:ind w:firstLine="482" w:firstLineChars="200"/>
        <w:jc w:val="left"/>
        <w:outlineLvl w:val="1"/>
        <w:rPr>
          <w:rFonts w:ascii="仿宋" w:hAnsi="仿宋" w:eastAsia="仿宋" w:cs="仿宋"/>
          <w:b/>
          <w:bCs/>
          <w:sz w:val="24"/>
          <w:szCs w:val="24"/>
          <w:highlight w:val="none"/>
        </w:rPr>
      </w:pPr>
      <w:bookmarkStart w:id="23" w:name="_Toc5871"/>
      <w:r>
        <w:rPr>
          <w:rFonts w:hint="eastAsia" w:ascii="仿宋" w:hAnsi="仿宋" w:eastAsia="仿宋" w:cs="仿宋"/>
          <w:b/>
          <w:bCs/>
          <w:sz w:val="24"/>
          <w:szCs w:val="24"/>
          <w:highlight w:val="none"/>
        </w:rPr>
        <w:t>三、投标文件的编制</w:t>
      </w:r>
      <w:bookmarkEnd w:id="23"/>
    </w:p>
    <w:p w14:paraId="7875001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6DD3F2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74E2CA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58A3E2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代理机构对其中任何资料进一步核实的要求。如果因为投标文件填报的内容不详，或没有提供招标文件中所要求的全部资料及数据，或提供虚假文件，由此造成的后果由投标人自负。</w:t>
      </w:r>
    </w:p>
    <w:p w14:paraId="29C873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4A4CEC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470423E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57774A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2057FF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1609E66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7D5CDF4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6D9C49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74B7D4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2B2B14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735C4CD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5F57C5C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0F7609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06B7765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属于固定格式的须按招标公司提供的格式填写，详见第五部分 投标文件（格式）。</w:t>
      </w:r>
    </w:p>
    <w:p w14:paraId="57D2F3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5AADBC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5F3F49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65F4E520">
      <w:pPr>
        <w:snapToGrid w:val="0"/>
        <w:spacing w:line="360" w:lineRule="auto"/>
        <w:ind w:firstLine="480" w:firstLineChars="200"/>
        <w:jc w:val="left"/>
        <w:rPr>
          <w:rFonts w:ascii="仿宋" w:hAnsi="仿宋" w:eastAsia="仿宋" w:cs="仿宋"/>
          <w:strike w:val="0"/>
          <w:sz w:val="24"/>
          <w:szCs w:val="24"/>
          <w:highlight w:val="none"/>
          <w:u w:val="none"/>
        </w:rPr>
      </w:pPr>
      <w:r>
        <w:rPr>
          <w:rFonts w:hint="eastAsia" w:ascii="仿宋" w:hAnsi="仿宋" w:eastAsia="仿宋" w:cs="仿宋"/>
          <w:sz w:val="24"/>
          <w:szCs w:val="24"/>
          <w:highlight w:val="none"/>
        </w:rPr>
        <w:t>（2）</w:t>
      </w:r>
      <w:r>
        <w:rPr>
          <w:rFonts w:hint="eastAsia" w:ascii="仿宋" w:hAnsi="仿宋" w:eastAsia="仿宋" w:cs="仿宋"/>
          <w:strike w:val="0"/>
          <w:dstrike w:val="0"/>
          <w:sz w:val="24"/>
          <w:szCs w:val="24"/>
          <w:highlight w:val="none"/>
          <w:u w:val="none"/>
        </w:rPr>
        <w:t>投标报价表（含明细）</w:t>
      </w:r>
    </w:p>
    <w:p w14:paraId="58CA60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7C14A0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3C5D21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256E2C7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75E69F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0AD507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11BA61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464E57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5C390F8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2B93EBD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137628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7CE1C7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11F5860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22CB60F3">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298E0B4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7371A9E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15618D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695583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421C14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32A5F6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28D13F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545FF749">
      <w:pPr>
        <w:snapToGrid w:val="0"/>
        <w:spacing w:line="360" w:lineRule="auto"/>
        <w:ind w:firstLine="480" w:firstLineChars="200"/>
        <w:jc w:val="left"/>
        <w:rPr>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73943A8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674D30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227EFD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5CB9877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73F0A4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1E47446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w:t>
      </w:r>
      <w:r>
        <w:rPr>
          <w:rFonts w:hint="eastAsia" w:ascii="仿宋" w:hAnsi="仿宋" w:eastAsia="仿宋" w:cs="仿宋"/>
          <w:sz w:val="24"/>
          <w:szCs w:val="24"/>
          <w:highlight w:val="none"/>
          <w:lang w:val="en-US" w:eastAsia="zh-CN"/>
        </w:rPr>
        <w:t>国企</w:t>
      </w:r>
      <w:r>
        <w:rPr>
          <w:rFonts w:hint="eastAsia" w:ascii="仿宋" w:hAnsi="仿宋" w:eastAsia="仿宋" w:cs="仿宋"/>
          <w:sz w:val="24"/>
          <w:szCs w:val="24"/>
          <w:highlight w:val="none"/>
        </w:rPr>
        <w:t>采购活动。</w:t>
      </w:r>
    </w:p>
    <w:p w14:paraId="2E959F1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1EA76F86">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358E86B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24669ED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543A9AF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2ADD41A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5ED92A4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将组织投标人对项目现场及周围环境进行踏勘，以便投标人获取有关编制投标文件和签署合同所需的所有资料。踏勘现场所发生的费用由投标人自己承担，投标人应按招标公告所约定的时间、地点踏勘现场。</w:t>
      </w:r>
    </w:p>
    <w:p w14:paraId="2D0BF2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6CD1E96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35676F2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1E0E7A6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6B09DE66">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413086E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43990B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0C05973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1470B2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6B886E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14.2.缴纳截止时间：详见投标须知前附表。</w:t>
      </w:r>
    </w:p>
    <w:p w14:paraId="5A50C60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15EE37C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14.4本项目的投标保证金必须通过威海市国有企业阳光采购电子化服务平台交纳，使用说明参见威海市公共资源交易网（http://ggzyjy.weihai.cn）的 “办事指南—国企采购专区”中《威海市国有企业阳光采购电子化服务平台线上投标保证金操作手册》。</w:t>
      </w:r>
    </w:p>
    <w:p w14:paraId="09DA1D7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p>
    <w:p w14:paraId="08271F5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威海市国有企业阳光采购电子化服务平台未出现投标人名称或者显示投标保证金未按时到账，视为其未按照招标文件的规定提交投标保证金，投标人对此应有明确的认识，自行承担后果。投标人可以使用威海市国有企业阳光采购电子化服务平台查询并及时更新交纳情况。</w:t>
      </w:r>
    </w:p>
    <w:p w14:paraId="35C26EE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69D5DDF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64E6635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投标人提供不真实资格、资质证明文件的；</w:t>
      </w:r>
    </w:p>
    <w:p w14:paraId="69F7907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在投标有效期内撤回报价的；</w:t>
      </w:r>
    </w:p>
    <w:p w14:paraId="71A42F5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2B9AE3D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6C793C6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评审委员会认定的其他事项。</w:t>
      </w:r>
    </w:p>
    <w:p w14:paraId="544F0E5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4EE9C4FC">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231C7AD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325BB8B2">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按合同约定执行</w:t>
      </w:r>
      <w:r>
        <w:rPr>
          <w:rFonts w:hint="eastAsia" w:ascii="仿宋" w:hAnsi="仿宋" w:eastAsia="仿宋" w:cs="仿宋"/>
          <w:sz w:val="24"/>
          <w:szCs w:val="24"/>
          <w:highlight w:val="none"/>
          <w:lang w:eastAsia="zh-CN"/>
        </w:rPr>
        <w:t>。</w:t>
      </w:r>
    </w:p>
    <w:p w14:paraId="71D9B11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7E1B50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79C3EB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投标人应使用带电子签章功能的CA锁对投标文件须盖章或签名的部位加盖电子印章（单位电子公章、法定代表人电子人名章），否则为无效投标，电子印章与实物印章具有同等法律效力。</w:t>
      </w:r>
    </w:p>
    <w:p w14:paraId="672E7D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应首先编制word格式投标文件，编制完成后在国企阳光采购平台中上传该投标文件（word格式），系统将自行转换为PDF格式，再加盖投标人电子印章，加盖了电子印章的pdf文件即为最终的投标文件，否则为无效投标。</w:t>
      </w:r>
    </w:p>
    <w:p w14:paraId="131AD60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文件中要求法定代表人签字或签章的须加盖法定代表人电子人名章。</w:t>
      </w:r>
    </w:p>
    <w:p w14:paraId="4E0EBA5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须被授权人签字的，被授权人又无电子章，在word编制时可将被授权人手写签字扫描后的图片粘贴到投标文件中对应位置，并加盖单位电子公章。</w:t>
      </w:r>
    </w:p>
    <w:p w14:paraId="167371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可使用系统的批量盖章功能快速签章。但须逐页浏览检查并注意印章重叠及完整性。</w:t>
      </w:r>
    </w:p>
    <w:p w14:paraId="1927BF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14EF86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16F6D6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投标人应先填写数据文件（EXCEL格式），填写完成后在国企阳光采购平台中上传该数据文件（EXCEL格式），系统将自行转换为PDF格式，再加盖投标人电子印章，加盖了电子印章的pdf文件即为最终的数据文件。</w:t>
      </w:r>
    </w:p>
    <w:p w14:paraId="3C1617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文件中要求法定代表人签字或签章的须加盖法定代表人电子人名章。</w:t>
      </w:r>
    </w:p>
    <w:p w14:paraId="18DA93C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0AA4472E">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38622816">
      <w:pPr>
        <w:snapToGrid w:val="0"/>
        <w:spacing w:line="360" w:lineRule="auto"/>
        <w:ind w:firstLine="482" w:firstLineChars="200"/>
        <w:jc w:val="left"/>
        <w:outlineLvl w:val="1"/>
        <w:rPr>
          <w:rFonts w:ascii="仿宋" w:hAnsi="仿宋" w:eastAsia="仿宋" w:cs="仿宋"/>
          <w:b/>
          <w:bCs/>
          <w:sz w:val="24"/>
          <w:szCs w:val="24"/>
          <w:highlight w:val="none"/>
        </w:rPr>
      </w:pPr>
      <w:bookmarkStart w:id="24" w:name="_Toc4209"/>
      <w:r>
        <w:rPr>
          <w:rFonts w:hint="eastAsia" w:ascii="仿宋" w:hAnsi="仿宋" w:eastAsia="仿宋" w:cs="仿宋"/>
          <w:b/>
          <w:bCs/>
          <w:sz w:val="24"/>
          <w:szCs w:val="24"/>
          <w:highlight w:val="none"/>
        </w:rPr>
        <w:t>四、投标文件的递交</w:t>
      </w:r>
      <w:bookmarkEnd w:id="24"/>
    </w:p>
    <w:p w14:paraId="3D692E8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755C57D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6FDFC9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加盖了电子印章的电子投标文件（PDF格式）和数据文件（PDF格式）须在国企阳光采购平台的“我的投标”界面进行提交，提交前系统会自动在本地进行加密和数字签名，加密和电子签章后的文件除了会上传到系统中之外还会同步保存到本地计算机。</w:t>
      </w:r>
    </w:p>
    <w:p w14:paraId="0D8819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022A811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不需要提供原件。</w:t>
      </w:r>
    </w:p>
    <w:p w14:paraId="6107574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7E23F503">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2E09C27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2</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投标人须牢记投标加密密码，该密码将用于开标时解密其电子投标文件，如忘记密码或输入错误密码超过5次，其递交的电子投标文件将无法解密，导致无法提取数据和供他人阅读文件，致使其投标失败。</w:t>
      </w:r>
    </w:p>
    <w:p w14:paraId="29FE8E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5C88EB3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投标人应将网上递交的已盖章未加密的数据文件和投标文件谨慎保存备份，以便启动应急开标程序时备案使用。</w:t>
      </w:r>
    </w:p>
    <w:p w14:paraId="3331B1B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2C55994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28D201A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21EB9BE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国企阳光采购平台无法接收投标截止期后递交的投标文件。</w:t>
      </w:r>
    </w:p>
    <w:p w14:paraId="18E624A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006B18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3DE5A52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20.2若服务项目涉及货物时，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600FF76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52CC1BD0">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46D7E8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7053F1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00BFDC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32E231F3">
      <w:pPr>
        <w:snapToGrid w:val="0"/>
        <w:spacing w:line="360" w:lineRule="auto"/>
        <w:ind w:firstLine="482" w:firstLineChars="200"/>
        <w:jc w:val="left"/>
        <w:outlineLvl w:val="1"/>
        <w:rPr>
          <w:rFonts w:ascii="仿宋" w:hAnsi="仿宋" w:eastAsia="仿宋" w:cs="仿宋"/>
          <w:b/>
          <w:bCs/>
          <w:sz w:val="24"/>
          <w:szCs w:val="24"/>
          <w:highlight w:val="none"/>
        </w:rPr>
      </w:pPr>
      <w:bookmarkStart w:id="25" w:name="_Toc2618"/>
      <w:r>
        <w:rPr>
          <w:rFonts w:hint="eastAsia" w:ascii="仿宋" w:hAnsi="仿宋" w:eastAsia="仿宋" w:cs="仿宋"/>
          <w:b/>
          <w:bCs/>
          <w:sz w:val="24"/>
          <w:szCs w:val="24"/>
          <w:highlight w:val="none"/>
        </w:rPr>
        <w:t>五、开标与评审</w:t>
      </w:r>
      <w:bookmarkEnd w:id="25"/>
    </w:p>
    <w:p w14:paraId="505935B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55256D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5F209E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45018F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22.3现场开标和远程开标的投标人代表应在签到表格相应位置上加盖CA锁中的法定代表人电子人名章以证明其出席，在开标时间前未完成签到的将会被视作认同开标结果。</w:t>
      </w:r>
    </w:p>
    <w:p w14:paraId="0EEAAD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2CD845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机构负责记录，最终形成开标一览表并由各投标人代表和相关工作人员签字或盖章确认。</w:t>
      </w:r>
    </w:p>
    <w:p w14:paraId="59FE46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7CC774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43CC3E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46B67E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086A28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（1）“投标（报价）一览表”的报价与“清单报价表”的总报价不一致的，以“投标（报价）一览表”的报价为准；</w:t>
      </w:r>
    </w:p>
    <w:p w14:paraId="29CDBF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0B362A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1A3F9FC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194CC3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7BA191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54AC592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签到：在投标须知前附表规定的时间完成签到。</w:t>
      </w:r>
    </w:p>
    <w:p w14:paraId="5E53B0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开标：工作人员在投标须知前附表规定的开标时间启动开标。</w:t>
      </w:r>
    </w:p>
    <w:p w14:paraId="66FAF9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解密：开标后工作人员启动开始解密指令，投标人开始输入解密密码，解密时间到后工作人员启动停止解密指令。</w:t>
      </w:r>
    </w:p>
    <w:p w14:paraId="6A0D3B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唱标：停止解密后现场工作人员将根据电子交易系统自动提取各投标人数据文件中的相关数据进行公开唱标，唱标结束系统将自动生成开标一览表。参加现场开标的投标人应在工作人员的计算机上进行电子签署，携带笔记本电脑和远程开标的投标人应及时关注开标过程，查看开标结果并在开标一览表上进行电子签署。若投标人不进行相关签署，将被视为其对开标一览表中所载内容无疑议。</w:t>
      </w:r>
    </w:p>
    <w:p w14:paraId="66BB5E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投标人可使用电子交易系统“网上开标”中的“看直播”功能参与开标程序。</w:t>
      </w:r>
    </w:p>
    <w:p w14:paraId="61427F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4F629C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54EFC2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62EF3E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20173A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1165F9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7EF421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4AEBFE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55688BD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6C6559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4E46D6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3ACC6FE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4DBD570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5EC08AB2">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2E9D47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34D778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04A5BA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5FECC8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56A9F2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0FDB74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4D390A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2DCFDEE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346205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775032D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270020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rPr>
        <w:t>代表和评审专家5人以上的单数组成或全部由专家5人以上的单数组成，若有</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人代表则评标专家人数不得少于评标委员会成员总数的2/3。情况特殊的，通过随机方式难以确定合适的评审专家的项目，经主管部门同意，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5A3BCE2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员及相关人员与投标人有利害关系的应当回避。曾参与竞争磋商项目征询意见或论证的专家，不得再作为评审专家参加评审。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066381B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6C41FF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2BB1F0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75F4077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306485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4AD4E5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2D99274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1D1204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365FA5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1FDB50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46F672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1A69D8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1CC8726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0DF5C4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305742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187019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代表授权函（若有），对评标委员会专家在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52BBAF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7A485B9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782539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代表（若有）不得担任组长；</w:t>
      </w:r>
    </w:p>
    <w:p w14:paraId="5738E7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5555C48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7B5E68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代表（若有）、评标专家的倾向性言论或者违法违规行为；</w:t>
      </w:r>
    </w:p>
    <w:p w14:paraId="2A5FEA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4F6C19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697190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59D49B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需求，说明内容不得含有歧视性、倾向性意见，不得超出招标文件所述范围。说明应当提交书面材料，并随招标文件一并存档。</w:t>
      </w:r>
    </w:p>
    <w:p w14:paraId="386D9F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120FA4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2ABEFB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22AF594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0829B6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1E85E6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0DE328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7DE29F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1AD767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4C992EF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79B889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02F6378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579E67D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5307E8D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30FB17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700842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71E96E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4C6805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552B30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63A8590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项目的代建人；</w:t>
      </w:r>
    </w:p>
    <w:p w14:paraId="19E94E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01790E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175602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415399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4D0357C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2FE409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77B04A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（13）投标人资格证明文件不满足招标文件要求和过期失效的。</w:t>
      </w:r>
    </w:p>
    <w:p w14:paraId="3A4028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（14）法律法规规定的其他情形。</w:t>
      </w:r>
    </w:p>
    <w:p w14:paraId="5AC055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0A07EE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63395E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393950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投标人有下列情形之一的，视为投标人串通投标，其投标无效：</w:t>
      </w:r>
    </w:p>
    <w:p w14:paraId="0611DF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3F8851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7EBD1C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20DAC4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165714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393184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527B18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00036C9B">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8）不同投标人的投标保证金从同一单位或者个人的账户转出</w:t>
      </w:r>
      <w:r>
        <w:rPr>
          <w:rFonts w:hint="eastAsia" w:ascii="仿宋" w:hAnsi="仿宋" w:eastAsia="仿宋" w:cs="仿宋"/>
          <w:sz w:val="24"/>
          <w:szCs w:val="24"/>
          <w:highlight w:val="none"/>
          <w:lang w:eastAsia="zh-CN"/>
        </w:rPr>
        <w:t>；</w:t>
      </w:r>
    </w:p>
    <w:p w14:paraId="640E995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9）不同投标人制作的电子投标文件经系统审查存在cpu编码、硬盘编码及MAC地址三项编码均相同的；</w:t>
      </w:r>
    </w:p>
    <w:p w14:paraId="1534894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166DC0A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78DD20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（2）招标文件没有不合理条款、招标程序符合规定，需要采用其他采购方式</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767628B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5C36F88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38E08E8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3CCC11B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1C9473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227528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503345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651482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316D0D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6935BD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0A4E68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103BED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一致认为某一投标人的投标报价明显不合理或低于成本，有可能影响产品质量或者不能诚信履约的，应当要求其在评标现场合理的时间内提供书面说明，必要时提交相关证明材料；投标人不能证明其报价合理性的，评标委员会应当将其作为无效投标处理。</w:t>
      </w:r>
    </w:p>
    <w:p w14:paraId="718A35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4C97DCD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19EE645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3FA6A8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在招标采购中，出现下列情形之一的，应予废标：</w:t>
      </w:r>
    </w:p>
    <w:p w14:paraId="0A4CCA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（1）符合专业条件的投标人或者对招标文件作实质响应的投标人不足3家的；</w:t>
      </w:r>
    </w:p>
    <w:p w14:paraId="6B6C25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5ED71E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10FB14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144F131C">
      <w:pPr>
        <w:snapToGrid w:val="0"/>
        <w:spacing w:line="360" w:lineRule="auto"/>
        <w:ind w:firstLine="482" w:firstLineChars="200"/>
        <w:jc w:val="left"/>
        <w:outlineLvl w:val="1"/>
        <w:rPr>
          <w:rFonts w:ascii="仿宋" w:hAnsi="仿宋" w:eastAsia="仿宋" w:cs="仿宋"/>
          <w:b/>
          <w:bCs/>
          <w:sz w:val="24"/>
          <w:szCs w:val="24"/>
          <w:highlight w:val="none"/>
        </w:rPr>
      </w:pPr>
      <w:bookmarkStart w:id="26" w:name="_Toc25385"/>
      <w:r>
        <w:rPr>
          <w:rFonts w:hint="eastAsia" w:ascii="仿宋" w:hAnsi="仿宋" w:eastAsia="仿宋" w:cs="仿宋"/>
          <w:b/>
          <w:bCs/>
          <w:sz w:val="24"/>
          <w:szCs w:val="24"/>
          <w:highlight w:val="none"/>
        </w:rPr>
        <w:t>六、定标</w:t>
      </w:r>
      <w:bookmarkEnd w:id="26"/>
    </w:p>
    <w:p w14:paraId="5448999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2790D6D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w:t>
      </w:r>
      <w:r>
        <w:rPr>
          <w:rFonts w:hint="eastAsia" w:ascii="仿宋" w:hAnsi="仿宋" w:eastAsia="仿宋" w:cs="仿宋"/>
          <w:sz w:val="24"/>
          <w:szCs w:val="24"/>
          <w:highlight w:val="none"/>
          <w:lang w:val="en-US" w:eastAsia="zh-CN"/>
        </w:rPr>
        <w:t>确定</w:t>
      </w:r>
      <w:r>
        <w:rPr>
          <w:rFonts w:hint="eastAsia" w:ascii="仿宋" w:hAnsi="仿宋" w:eastAsia="仿宋" w:cs="仿宋"/>
          <w:sz w:val="24"/>
          <w:szCs w:val="24"/>
          <w:highlight w:val="none"/>
        </w:rPr>
        <w:t>中标候选人，根据全体评标成员签字的原始评标记录和评标结果编写评标报告。</w:t>
      </w:r>
    </w:p>
    <w:p w14:paraId="09DE14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28.2评委会所有成员应当在评标报告上签字确认，评标报告的主要内容包括：</w:t>
      </w:r>
    </w:p>
    <w:p w14:paraId="514D2A2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28AB5E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0B73869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78FED9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3E31DD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1C0F9D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0230F28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3C80F5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29.1招标人可委托评标委员会直接定标，确定</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w:t>
      </w:r>
      <w:r>
        <w:rPr>
          <w:rFonts w:hint="eastAsia" w:ascii="仿宋" w:hAnsi="仿宋" w:eastAsia="仿宋" w:cs="仿宋"/>
          <w:sz w:val="24"/>
          <w:szCs w:val="24"/>
          <w:highlight w:val="none"/>
          <w:lang w:val="en-US" w:eastAsia="zh-CN"/>
        </w:rPr>
        <w:t>为</w:t>
      </w:r>
      <w:r>
        <w:rPr>
          <w:rFonts w:hint="eastAsia" w:ascii="仿宋" w:hAnsi="仿宋" w:eastAsia="仿宋" w:cs="仿宋"/>
          <w:sz w:val="24"/>
          <w:szCs w:val="24"/>
          <w:highlight w:val="none"/>
        </w:rPr>
        <w:t>中标人；也可以自主定标。自主定标的，招标人应当在收到评审报告后3个工作日内确定中标人，招标人逾期未确定中标人且不提出异议的，选取</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w:t>
      </w:r>
    </w:p>
    <w:p w14:paraId="2EAFF3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14:paraId="45A2E47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57A5C8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5C51ED1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159F756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149B9AD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65E53C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或者购代理机构可以组织原评标委员会进行重新评审，重新评审改变评标结果的，应当书面报告主管部门。</w:t>
      </w:r>
    </w:p>
    <w:p w14:paraId="430E82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可以按照评审报告推荐的中标候选人名单排序，确定下一候选人为中标人，也可以重新开展招标活动。</w:t>
      </w:r>
    </w:p>
    <w:p w14:paraId="01E07A25">
      <w:pPr>
        <w:snapToGrid w:val="0"/>
        <w:spacing w:line="360" w:lineRule="auto"/>
        <w:ind w:firstLine="482" w:firstLineChars="200"/>
        <w:jc w:val="left"/>
        <w:outlineLvl w:val="1"/>
        <w:rPr>
          <w:rFonts w:ascii="仿宋" w:hAnsi="仿宋" w:eastAsia="仿宋" w:cs="仿宋"/>
          <w:b/>
          <w:bCs/>
          <w:sz w:val="24"/>
          <w:szCs w:val="24"/>
          <w:highlight w:val="none"/>
        </w:rPr>
      </w:pPr>
      <w:bookmarkStart w:id="27" w:name="_Toc23020"/>
      <w:r>
        <w:rPr>
          <w:rFonts w:hint="eastAsia" w:ascii="仿宋" w:hAnsi="仿宋" w:eastAsia="仿宋" w:cs="仿宋"/>
          <w:b/>
          <w:bCs/>
          <w:sz w:val="24"/>
          <w:szCs w:val="24"/>
          <w:highlight w:val="none"/>
        </w:rPr>
        <w:t>七、结果公示和公告</w:t>
      </w:r>
      <w:bookmarkEnd w:id="27"/>
    </w:p>
    <w:p w14:paraId="7E1CFB2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140702C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招标人应当自定标结束后在招标公告发布媒介发布中标公示，中标公示期限为</w:t>
      </w:r>
      <w:r>
        <w:rPr>
          <w:rFonts w:hint="eastAsia" w:ascii="仿宋" w:hAnsi="仿宋" w:eastAsia="仿宋"/>
          <w:sz w:val="24"/>
          <w:szCs w:val="24"/>
          <w:highlight w:val="none"/>
          <w:lang w:val="en-US" w:eastAsia="zh-CN"/>
        </w:rPr>
        <w:t>1个工作日</w:t>
      </w:r>
      <w:r>
        <w:rPr>
          <w:rFonts w:hint="eastAsia" w:ascii="仿宋" w:hAnsi="仿宋" w:eastAsia="仿宋"/>
          <w:sz w:val="24"/>
          <w:szCs w:val="24"/>
          <w:highlight w:val="none"/>
        </w:rPr>
        <w:t>。</w:t>
      </w:r>
    </w:p>
    <w:p w14:paraId="059D4BB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31.签发中标通知书</w:t>
      </w:r>
    </w:p>
    <w:p w14:paraId="0C4A10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60E9ACCB">
      <w:pPr>
        <w:snapToGrid w:val="0"/>
        <w:spacing w:line="360" w:lineRule="auto"/>
        <w:ind w:firstLine="482" w:firstLineChars="200"/>
        <w:jc w:val="left"/>
        <w:outlineLvl w:val="1"/>
        <w:rPr>
          <w:rFonts w:ascii="仿宋" w:hAnsi="仿宋" w:eastAsia="仿宋" w:cs="仿宋"/>
          <w:b/>
          <w:bCs/>
          <w:sz w:val="24"/>
          <w:szCs w:val="24"/>
          <w:highlight w:val="none"/>
        </w:rPr>
      </w:pPr>
      <w:bookmarkStart w:id="28" w:name="_Toc13217"/>
      <w:r>
        <w:rPr>
          <w:rFonts w:hint="eastAsia" w:ascii="仿宋" w:hAnsi="仿宋" w:eastAsia="仿宋" w:cs="仿宋"/>
          <w:b/>
          <w:bCs/>
          <w:sz w:val="24"/>
          <w:szCs w:val="24"/>
          <w:highlight w:val="none"/>
        </w:rPr>
        <w:t>八、质疑</w:t>
      </w:r>
      <w:bookmarkEnd w:id="28"/>
    </w:p>
    <w:p w14:paraId="2E7DEF7E">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2B7B846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w:t>
      </w:r>
      <w:r>
        <w:rPr>
          <w:rFonts w:hint="eastAsia" w:ascii="仿宋" w:hAnsi="仿宋" w:eastAsia="仿宋" w:cs="仿宋"/>
          <w:sz w:val="24"/>
          <w:szCs w:val="24"/>
          <w:highlight w:val="none"/>
          <w:lang w:val="en-US" w:eastAsia="zh-CN"/>
        </w:rPr>
        <w:t>中标</w:t>
      </w:r>
      <w:r>
        <w:rPr>
          <w:rFonts w:hint="eastAsia" w:ascii="仿宋" w:hAnsi="仿宋" w:eastAsia="仿宋" w:cs="仿宋"/>
          <w:sz w:val="24"/>
          <w:szCs w:val="24"/>
          <w:highlight w:val="none"/>
        </w:rPr>
        <w:t>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4A1EC92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122A88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5E4DF17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3548EE1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173C30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046B491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7F6EB1A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384B7C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22BD1B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5E42A5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75DDD3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148C134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702C4C6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5A64817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6F51F7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6F6150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73E6411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640FF32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048424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66448BEC">
      <w:pPr>
        <w:snapToGrid w:val="0"/>
        <w:spacing w:line="360" w:lineRule="auto"/>
        <w:ind w:firstLine="482" w:firstLineChars="200"/>
        <w:jc w:val="left"/>
        <w:outlineLvl w:val="1"/>
        <w:rPr>
          <w:rFonts w:ascii="仿宋" w:hAnsi="仿宋" w:eastAsia="仿宋" w:cs="仿宋"/>
          <w:b/>
          <w:bCs/>
          <w:sz w:val="24"/>
          <w:szCs w:val="24"/>
          <w:highlight w:val="none"/>
        </w:rPr>
      </w:pPr>
      <w:bookmarkStart w:id="29" w:name="_Toc25720"/>
      <w:r>
        <w:rPr>
          <w:rFonts w:hint="eastAsia" w:ascii="仿宋" w:hAnsi="仿宋" w:eastAsia="仿宋" w:cs="仿宋"/>
          <w:b/>
          <w:bCs/>
          <w:sz w:val="24"/>
          <w:szCs w:val="24"/>
          <w:highlight w:val="none"/>
        </w:rPr>
        <w:t>九、签订合同</w:t>
      </w:r>
      <w:bookmarkEnd w:id="29"/>
    </w:p>
    <w:p w14:paraId="613AF8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中标通知书发出之日起30日内，按招标文件、中标人的投标文件签订合同。</w:t>
      </w:r>
    </w:p>
    <w:p w14:paraId="738672CD">
      <w:pPr>
        <w:snapToGrid w:val="0"/>
        <w:spacing w:line="360" w:lineRule="auto"/>
        <w:ind w:firstLine="480" w:firstLineChars="200"/>
        <w:jc w:val="left"/>
        <w:rPr>
          <w:rFonts w:hint="eastAsia" w:ascii="仿宋" w:hAnsi="仿宋" w:cs="仿宋"/>
          <w:sz w:val="24"/>
          <w:szCs w:val="24"/>
          <w:highlight w:val="none"/>
        </w:rPr>
        <w:sectPr>
          <w:pgSz w:w="11906" w:h="16838"/>
          <w:pgMar w:top="1440" w:right="1800" w:bottom="1440" w:left="1800" w:header="851" w:footer="992" w:gutter="0"/>
          <w:pgNumType w:fmt="decimal"/>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不得向中标人提出任何不合理的要求，作为签订合同的条件，不得与中标人私下订立背离合同实质性内容的协议。合同原则以第六章合同书格式为基础，并根据响应、答疑情况进行修改补充，自签订之日起生效。</w:t>
      </w:r>
    </w:p>
    <w:p w14:paraId="12695A45">
      <w:pPr>
        <w:pStyle w:val="4"/>
        <w:numPr>
          <w:ilvl w:val="0"/>
          <w:numId w:val="0"/>
        </w:numPr>
        <w:bidi w:val="0"/>
        <w:ind w:leftChars="0"/>
        <w:jc w:val="center"/>
        <w:rPr>
          <w:rFonts w:hint="eastAsia" w:ascii="仿宋" w:hAnsi="仿宋" w:eastAsia="仿宋" w:cs="仿宋"/>
          <w:b w:val="0"/>
          <w:bCs/>
          <w:szCs w:val="30"/>
          <w:highlight w:val="none"/>
        </w:rPr>
      </w:pPr>
      <w:bookmarkStart w:id="30" w:name="_Toc32450"/>
      <w:bookmarkStart w:id="31" w:name="_Toc28730"/>
      <w:r>
        <w:rPr>
          <w:rFonts w:hint="eastAsia"/>
          <w:highlight w:val="none"/>
          <w:lang w:val="en-US" w:eastAsia="zh-CN"/>
        </w:rPr>
        <w:t>第三部分</w:t>
      </w:r>
      <w:r>
        <w:rPr>
          <w:rFonts w:hint="eastAsia"/>
          <w:highlight w:val="none"/>
        </w:rPr>
        <w:t xml:space="preserve"> </w:t>
      </w:r>
      <w:r>
        <w:rPr>
          <w:rFonts w:hint="eastAsia"/>
          <w:highlight w:val="none"/>
          <w:lang w:val="en-US" w:eastAsia="zh-CN"/>
        </w:rPr>
        <w:t>招标</w:t>
      </w:r>
      <w:r>
        <w:rPr>
          <w:rFonts w:hint="eastAsia"/>
          <w:highlight w:val="none"/>
        </w:rPr>
        <w:t>内容与要求</w:t>
      </w:r>
      <w:bookmarkEnd w:id="30"/>
      <w:bookmarkEnd w:id="31"/>
    </w:p>
    <w:p w14:paraId="7D8BDD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sz w:val="24"/>
          <w:szCs w:val="24"/>
          <w:highlight w:val="none"/>
          <w:lang w:eastAsia="zh-CN"/>
        </w:rPr>
      </w:pPr>
      <w:bookmarkStart w:id="32" w:name="_Toc484525621"/>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lang w:eastAsia="zh-CN"/>
        </w:rPr>
        <w:t>项目名称</w:t>
      </w:r>
      <w:r>
        <w:rPr>
          <w:rFonts w:hint="default" w:ascii="仿宋" w:hAnsi="仿宋" w:eastAsia="仿宋" w:cs="仿宋"/>
          <w:b/>
          <w:bCs/>
          <w:sz w:val="24"/>
          <w:szCs w:val="24"/>
          <w:highlight w:val="none"/>
          <w:lang w:eastAsia="zh-CN"/>
        </w:rPr>
        <w:t>：</w:t>
      </w:r>
      <w:r>
        <w:rPr>
          <w:rFonts w:hint="eastAsia" w:ascii="仿宋" w:hAnsi="仿宋" w:eastAsia="仿宋" w:cs="仿宋"/>
          <w:b w:val="0"/>
          <w:bCs w:val="0"/>
          <w:sz w:val="24"/>
          <w:szCs w:val="24"/>
          <w:highlight w:val="none"/>
          <w:lang w:eastAsia="zh-CN"/>
        </w:rPr>
        <w:t>2026年环翠区农村供水基础设施专项工程构建多元化人员能力提升体系服务项目</w:t>
      </w:r>
    </w:p>
    <w:p w14:paraId="51FC63E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val="0"/>
          <w:bCs w:val="0"/>
          <w:sz w:val="24"/>
          <w:szCs w:val="24"/>
          <w:highlight w:val="none"/>
          <w:lang w:eastAsia="zh-CN"/>
        </w:rPr>
      </w:pPr>
      <w:r>
        <w:rPr>
          <w:rFonts w:hint="eastAsia" w:ascii="仿宋" w:hAnsi="仿宋" w:eastAsia="仿宋" w:cs="仿宋"/>
          <w:b/>
          <w:bCs/>
          <w:sz w:val="24"/>
          <w:szCs w:val="24"/>
          <w:highlight w:val="none"/>
          <w:lang w:val="en-US" w:eastAsia="zh-CN"/>
        </w:rPr>
        <w:t>二、服务</w:t>
      </w:r>
      <w:r>
        <w:rPr>
          <w:rFonts w:hint="eastAsia" w:ascii="仿宋" w:hAnsi="仿宋" w:eastAsia="仿宋" w:cs="仿宋"/>
          <w:b/>
          <w:bCs/>
          <w:sz w:val="24"/>
          <w:szCs w:val="24"/>
          <w:highlight w:val="none"/>
          <w:lang w:eastAsia="zh-CN"/>
        </w:rPr>
        <w:t>内容</w:t>
      </w:r>
      <w:r>
        <w:rPr>
          <w:rFonts w:hint="default" w:ascii="仿宋" w:hAnsi="仿宋" w:eastAsia="仿宋" w:cs="仿宋"/>
          <w:b/>
          <w:bCs/>
          <w:sz w:val="24"/>
          <w:szCs w:val="24"/>
          <w:highlight w:val="none"/>
          <w:lang w:eastAsia="zh-CN"/>
        </w:rPr>
        <w:t>：</w:t>
      </w:r>
      <w:r>
        <w:rPr>
          <w:rFonts w:hint="default" w:ascii="仿宋" w:hAnsi="仿宋" w:eastAsia="仿宋" w:cs="仿宋"/>
          <w:b w:val="0"/>
          <w:bCs w:val="0"/>
          <w:sz w:val="24"/>
          <w:szCs w:val="24"/>
          <w:highlight w:val="none"/>
          <w:lang w:eastAsia="zh-CN"/>
        </w:rPr>
        <w:t>通</w:t>
      </w:r>
      <w:r>
        <w:rPr>
          <w:rFonts w:hint="eastAsia" w:ascii="仿宋" w:hAnsi="仿宋" w:eastAsia="仿宋" w:cs="仿宋"/>
          <w:b w:val="0"/>
          <w:bCs w:val="0"/>
          <w:sz w:val="24"/>
          <w:szCs w:val="24"/>
          <w:highlight w:val="none"/>
          <w:lang w:eastAsia="zh-CN"/>
        </w:rPr>
        <w:t>选择第三方服务公司策划人员培训及应急演练，编写印制发放《农村基础设施管护知识手册》</w:t>
      </w:r>
      <w:r>
        <w:rPr>
          <w:rFonts w:hint="default" w:ascii="仿宋" w:hAnsi="仿宋" w:eastAsia="仿宋" w:cs="仿宋"/>
          <w:b w:val="0"/>
          <w:bCs w:val="0"/>
          <w:sz w:val="24"/>
          <w:szCs w:val="24"/>
          <w:highlight w:val="none"/>
          <w:lang w:eastAsia="zh-CN"/>
        </w:rPr>
        <w:t>。</w:t>
      </w:r>
    </w:p>
    <w:p w14:paraId="302F036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baseline"/>
        <w:rPr>
          <w:rFonts w:hint="eastAsia" w:ascii="仿宋" w:hAnsi="仿宋" w:eastAsia="仿宋" w:cs="仿宋"/>
          <w:kern w:val="0"/>
          <w:sz w:val="24"/>
          <w:szCs w:val="24"/>
          <w:highlight w:val="none"/>
          <w:lang w:bidi="ar"/>
        </w:rPr>
      </w:pPr>
      <w:r>
        <w:rPr>
          <w:rFonts w:hint="eastAsia" w:ascii="仿宋" w:hAnsi="仿宋" w:eastAsia="仿宋" w:cs="仿宋"/>
          <w:b/>
          <w:bCs/>
          <w:sz w:val="24"/>
          <w:szCs w:val="24"/>
          <w:highlight w:val="none"/>
          <w:lang w:val="en-US" w:eastAsia="zh-CN"/>
        </w:rPr>
        <w:t>三</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服务期限</w:t>
      </w:r>
      <w:r>
        <w:rPr>
          <w:rFonts w:hint="eastAsia" w:ascii="仿宋" w:hAnsi="仿宋" w:eastAsia="仿宋" w:cs="仿宋"/>
          <w:b/>
          <w:bCs/>
          <w:sz w:val="24"/>
          <w:szCs w:val="24"/>
          <w:highlight w:val="none"/>
          <w:lang w:eastAsia="zh-CN"/>
        </w:rPr>
        <w:t>：</w:t>
      </w:r>
      <w:r>
        <w:rPr>
          <w:rFonts w:hint="eastAsia" w:ascii="仿宋" w:hAnsi="仿宋" w:eastAsia="仿宋" w:cs="仿宋"/>
          <w:kern w:val="0"/>
          <w:sz w:val="24"/>
          <w:szCs w:val="24"/>
          <w:highlight w:val="none"/>
          <w:lang w:eastAsia="zh-CN" w:bidi="ar"/>
        </w:rPr>
        <w:t>自合同签订之日至2028年12月31日</w:t>
      </w:r>
      <w:r>
        <w:rPr>
          <w:rFonts w:hint="eastAsia" w:ascii="仿宋" w:hAnsi="仿宋" w:eastAsia="仿宋" w:cs="仿宋"/>
          <w:kern w:val="0"/>
          <w:sz w:val="24"/>
          <w:szCs w:val="24"/>
          <w:highlight w:val="none"/>
          <w:lang w:bidi="ar"/>
        </w:rPr>
        <w:t>。</w:t>
      </w:r>
    </w:p>
    <w:p w14:paraId="4F84BD8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baseline"/>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val="en-US" w:eastAsia="zh-CN"/>
        </w:rPr>
        <w:t>四</w:t>
      </w:r>
      <w:r>
        <w:rPr>
          <w:rFonts w:hint="eastAsia" w:ascii="仿宋" w:hAnsi="仿宋" w:eastAsia="仿宋" w:cs="仿宋"/>
          <w:b/>
          <w:bCs/>
          <w:sz w:val="24"/>
          <w:szCs w:val="24"/>
          <w:highlight w:val="none"/>
          <w:lang w:eastAsia="zh-CN"/>
        </w:rPr>
        <w:t>、服务地点</w:t>
      </w:r>
      <w:r>
        <w:rPr>
          <w:rFonts w:hint="eastAsia" w:ascii="仿宋" w:hAnsi="仿宋" w:eastAsia="仿宋" w:cs="仿宋"/>
          <w:b/>
          <w:bCs/>
          <w:sz w:val="24"/>
          <w:szCs w:val="24"/>
          <w:highlight w:val="none"/>
        </w:rPr>
        <w:t>：</w:t>
      </w:r>
      <w:r>
        <w:rPr>
          <w:rFonts w:hint="eastAsia" w:ascii="仿宋" w:hAnsi="仿宋" w:eastAsia="仿宋" w:cs="仿宋"/>
          <w:sz w:val="24"/>
          <w:szCs w:val="24"/>
          <w:highlight w:val="none"/>
          <w:lang w:val="en-US" w:eastAsia="zh-CN"/>
        </w:rPr>
        <w:t>招标人</w:t>
      </w:r>
      <w:r>
        <w:rPr>
          <w:rFonts w:hint="eastAsia" w:ascii="仿宋" w:hAnsi="仿宋" w:eastAsia="仿宋" w:cs="仿宋"/>
          <w:sz w:val="24"/>
          <w:szCs w:val="24"/>
          <w:highlight w:val="none"/>
          <w:lang w:eastAsia="zh-CN"/>
        </w:rPr>
        <w:t>指定地点。</w:t>
      </w:r>
    </w:p>
    <w:p w14:paraId="7DDBC72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baseline"/>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五</w:t>
      </w:r>
      <w:r>
        <w:rPr>
          <w:rFonts w:hint="eastAsia" w:ascii="仿宋" w:hAnsi="仿宋" w:eastAsia="仿宋" w:cs="仿宋"/>
          <w:b/>
          <w:bCs/>
          <w:sz w:val="24"/>
          <w:szCs w:val="24"/>
          <w:highlight w:val="none"/>
          <w:lang w:eastAsia="zh-CN"/>
        </w:rPr>
        <w:t>、技术要求：</w:t>
      </w:r>
    </w:p>
    <w:p w14:paraId="64ECF1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针对管理人员、技术骨干和一线操作员的不同需求，开展涵盖设备维护、智慧水务系统应用、安全生产及成本控制等内容的差异化培训。管理人员侧重安全管理、成本管控、应急统筹，技术骨干侧重设备维护、智慧水务系统运维，一线操作员侧重现场实操、岗位安全操作；集中培训主要讲师在线下集中开展全员培训，以便快速掌握学习内容，培训结束后通过考试或评估确保参训人员达标。2026年培训次数1次，2027-2028年每年不少于2次。</w:t>
      </w:r>
    </w:p>
    <w:p w14:paraId="03E434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2、服务团队要求</w:t>
      </w:r>
    </w:p>
    <w:p w14:paraId="22A93F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专业资质过硬。讲师需具备农村饮水安全、水利工程、供水运维、水质检测、安全生产、管网维修等相关工作经验，熟悉农村供水工程建设、运行管护、水质保障、水费收缴、规范化管理等相关政策及实操技能。</w:t>
      </w:r>
    </w:p>
    <w:p w14:paraId="5557CC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业务能力精湛。熟悉国家、省市农村供水行业标准、管理制度及最新政策文件，精通水厂日常运维、水处理工艺、管网排查抢修、水压调控、水质消毒、设备保养、隐患排查等实操内容，能够结合农村供水点位分散、设施老旧、运维难度大的实际开展针对性授课。</w:t>
      </w:r>
    </w:p>
    <w:p w14:paraId="147BB7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授课经验丰富。备基层培训授课经验，语言通俗易懂，能够贴合村级水管员、水厂运维人员的工作实际，擅长案例教学、实操讲解，可针对性解答基层供水工作难点、堵点问题，杜绝理论化、脱离实际的授课模式。</w:t>
      </w:r>
    </w:p>
    <w:p w14:paraId="1AC823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（4）职业素养良好。政治立场坚定，责任心强，作风严谨，熟悉基层工作实际，能够严格遵守培训纪律，认真完成授课、答疑、实操指导等各项培训任务。</w:t>
      </w:r>
    </w:p>
    <w:p w14:paraId="34A9501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（5）统筹协调能力强。团队人员熟悉培训组织流程，能够负责培训方案落实、学员通知、课程编排、场地布置、物资准备、现场统筹等工作，保障培训有序开展。</w:t>
      </w:r>
    </w:p>
    <w:p w14:paraId="3A674B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（6）熟悉行业工作。团队需了解农村供水行业基本工作内容，能够配合师资开展现场实操教学、资料发放、课堂管理、学员考勤、培训资料整理归档等工作。</w:t>
      </w:r>
    </w:p>
    <w:p w14:paraId="10DABF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（7）服务保障到位.具备良好的服务意识和应急处置能力，能够及时处理培训过程中的突发情况，做好全程后勤保障、秩序维护、影像记录、总结汇总等工作，确保培训质量和培训成效。</w:t>
      </w:r>
    </w:p>
    <w:p w14:paraId="405884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（8）纪律作风规范。团队成员工作认真细致、执行力强，严格遵守培训工作纪律，全程规范开展组织服务工作，确保培训高效、务实、落地见效。</w:t>
      </w:r>
    </w:p>
    <w:p w14:paraId="22AF30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开展常态化应急演练。方案包含演练策划、脚本编制、现场组织、现场处置、安全保障、演练评估、应急预案优化、成果归档全套内容；可提供爆管、水质污染双场景实战演练脚本，演练完成后可出具评估报告并提出应急预案修订优化建议，实战性强，能够很好满足常态化实战演练需求。演练内容包含（但不限于）爆管、水质污染等实战演练，可根据实际情况增加农村供水相关操作性较强的实战演练。2026年应急演练次数1次，2027-2028年每季度1次。</w:t>
      </w:r>
    </w:p>
    <w:p w14:paraId="294822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4、成果交付清单齐全，明确培训课件、签到资料、考核记录、演练脚本、影像资料、演练评估报告等交付物；质量管控、进度预警、延期处置措施完善，可很好保障项目按期高质量交付。</w:t>
      </w:r>
    </w:p>
    <w:p w14:paraId="05077CBB">
      <w:pPr>
        <w:pStyle w:val="18"/>
        <w:keepNext w:val="0"/>
        <w:keepLines w:val="0"/>
        <w:pageBreakBefore w:val="0"/>
        <w:widowControl w:val="0"/>
        <w:kinsoku/>
        <w:wordWrap/>
        <w:overflowPunct/>
        <w:topLinePunct w:val="0"/>
        <w:autoSpaceDE/>
        <w:autoSpaceDN/>
        <w:bidi w:val="0"/>
        <w:adjustRightInd/>
        <w:snapToGrid/>
        <w:spacing w:after="0" w:line="360" w:lineRule="auto"/>
        <w:ind w:firstLine="482" w:firstLineChars="2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六、验收标准：</w:t>
      </w:r>
      <w:r>
        <w:rPr>
          <w:rFonts w:hint="eastAsia" w:ascii="仿宋" w:hAnsi="仿宋" w:eastAsia="仿宋" w:cs="仿宋"/>
          <w:kern w:val="2"/>
          <w:sz w:val="24"/>
          <w:szCs w:val="24"/>
          <w:highlight w:val="none"/>
          <w:lang w:val="en-US" w:eastAsia="zh-CN" w:bidi="ar-SA"/>
        </w:rPr>
        <w:t>由招标人及第三方审计单位共同验收，其内容标准、次数符合上述技术要求视为验收合格。</w:t>
      </w:r>
    </w:p>
    <w:p w14:paraId="4C4B93C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baseline"/>
        <w:rPr>
          <w:rFonts w:hint="eastAsia" w:ascii="仿宋" w:hAnsi="仿宋" w:eastAsia="仿宋" w:cs="仿宋"/>
          <w:sz w:val="24"/>
          <w:szCs w:val="24"/>
          <w:highlight w:val="none"/>
          <w:lang w:val="en-US" w:eastAsia="zh-CN"/>
        </w:rPr>
      </w:pPr>
      <w:r>
        <w:rPr>
          <w:rFonts w:hint="eastAsia" w:ascii="仿宋" w:hAnsi="仿宋" w:eastAsia="仿宋" w:cs="仿宋"/>
          <w:b/>
          <w:bCs/>
          <w:kern w:val="0"/>
          <w:sz w:val="24"/>
          <w:szCs w:val="24"/>
          <w:highlight w:val="none"/>
          <w:lang w:val="en-US" w:eastAsia="zh-CN" w:bidi="ar-SA"/>
        </w:rPr>
        <w:t>七、付款方式：</w:t>
      </w:r>
      <w:r>
        <w:rPr>
          <w:rFonts w:hint="eastAsia" w:ascii="仿宋" w:hAnsi="仿宋" w:eastAsia="仿宋" w:cs="仿宋"/>
          <w:sz w:val="24"/>
          <w:szCs w:val="24"/>
          <w:highlight w:val="none"/>
          <w:lang w:val="en-US" w:eastAsia="zh-CN"/>
        </w:rPr>
        <w:t>合同签订后，采购人每年年底根据承包人完成的培训及演练任务按照投标报价清单据实结算，支付到当年结算金额的100%。（合同价款的税金均按的9%计取，后需按此税率开具增值税专用发票。若出现因承包人纳税资格所开具的增值税专用发票税率与报价税率不一致的情况，最终结算时税率按照承包人实际开具的增值税专用发票税率计取，并扣除税差。）</w:t>
      </w:r>
    </w:p>
    <w:p w14:paraId="339C1DE5">
      <w:pPr>
        <w:jc w:val="center"/>
        <w:outlineLvl w:val="0"/>
        <w:rPr>
          <w:rFonts w:ascii="仿宋" w:hAnsi="仿宋" w:eastAsia="仿宋" w:cs="仿宋"/>
          <w:b/>
          <w:bCs/>
          <w:sz w:val="30"/>
          <w:szCs w:val="30"/>
          <w:highlight w:val="none"/>
        </w:rPr>
      </w:pPr>
      <w:r>
        <w:rPr>
          <w:rFonts w:hint="eastAsia" w:ascii="仿宋" w:hAnsi="仿宋" w:eastAsia="仿宋" w:cs="仿宋"/>
          <w:b/>
          <w:bCs/>
          <w:sz w:val="24"/>
          <w:szCs w:val="24"/>
          <w:highlight w:val="none"/>
        </w:rPr>
        <w:br w:type="page"/>
      </w:r>
      <w:bookmarkStart w:id="33" w:name="_Toc24995"/>
      <w:bookmarkStart w:id="34" w:name="_Toc363"/>
      <w:r>
        <w:rPr>
          <w:rStyle w:val="126"/>
          <w:rFonts w:hint="eastAsia"/>
          <w:highlight w:val="none"/>
        </w:rPr>
        <w:t>第四部分 评标原则、程序与方法</w:t>
      </w:r>
      <w:bookmarkEnd w:id="33"/>
      <w:bookmarkEnd w:id="34"/>
    </w:p>
    <w:p w14:paraId="5A3E59B4">
      <w:pPr>
        <w:snapToGrid w:val="0"/>
        <w:spacing w:line="360" w:lineRule="auto"/>
        <w:outlineLvl w:val="1"/>
        <w:rPr>
          <w:rFonts w:ascii="仿宋" w:hAnsi="仿宋" w:eastAsia="仿宋" w:cs="仿宋"/>
          <w:b/>
          <w:sz w:val="24"/>
          <w:szCs w:val="24"/>
          <w:highlight w:val="none"/>
        </w:rPr>
      </w:pPr>
      <w:bookmarkStart w:id="35" w:name="_Toc24876"/>
      <w:r>
        <w:rPr>
          <w:rFonts w:hint="eastAsia" w:ascii="仿宋" w:hAnsi="仿宋" w:eastAsia="仿宋" w:cs="仿宋"/>
          <w:b/>
          <w:sz w:val="24"/>
          <w:szCs w:val="24"/>
          <w:highlight w:val="none"/>
        </w:rPr>
        <w:t>一、评审原则</w:t>
      </w:r>
      <w:bookmarkEnd w:id="35"/>
    </w:p>
    <w:p w14:paraId="7FFF8AB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523F2C2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1.客观性原则：评标委员会将严格按照招标文件的要求，对投标人的投标文件进行认真评审，评标委员会对投标文件的评审仅依据投标文件本身，而不依靠投标文件以外的任何因素。</w:t>
      </w:r>
    </w:p>
    <w:p w14:paraId="552EAB5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521A541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6AF0065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506303D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08684ABA">
      <w:pPr>
        <w:snapToGrid w:val="0"/>
        <w:spacing w:line="360" w:lineRule="auto"/>
        <w:outlineLvl w:val="1"/>
        <w:rPr>
          <w:rFonts w:ascii="仿宋" w:hAnsi="仿宋" w:eastAsia="仿宋" w:cs="仿宋"/>
          <w:b/>
          <w:sz w:val="24"/>
          <w:szCs w:val="24"/>
          <w:highlight w:val="none"/>
        </w:rPr>
      </w:pPr>
      <w:bookmarkStart w:id="36" w:name="_Toc29483"/>
      <w:r>
        <w:rPr>
          <w:rFonts w:hint="eastAsia" w:ascii="仿宋" w:hAnsi="仿宋" w:eastAsia="仿宋" w:cs="仿宋"/>
          <w:b/>
          <w:sz w:val="24"/>
          <w:szCs w:val="24"/>
          <w:highlight w:val="none"/>
        </w:rPr>
        <w:t>二、评标程序</w:t>
      </w:r>
      <w:bookmarkEnd w:id="36"/>
    </w:p>
    <w:p w14:paraId="79B86F6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1．宣布评标纪律；</w:t>
      </w:r>
    </w:p>
    <w:p w14:paraId="4FC07F2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2．公布投标人名单，告知评审专家应当回避的情形；</w:t>
      </w:r>
    </w:p>
    <w:p w14:paraId="4BFEAC0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代表（若有）不得担任组长；</w:t>
      </w:r>
    </w:p>
    <w:p w14:paraId="3AE3022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代表授权函（若有）。</w:t>
      </w:r>
    </w:p>
    <w:p w14:paraId="7479B15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2FDAC4A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6．评标委员会对符合资格的投标人的投标文件进行符合性审查，以确定其是否满足招标文件的实质性要求。</w:t>
      </w:r>
    </w:p>
    <w:p w14:paraId="2A21F49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7．出现下列情形之一的，视为对招标文件未做出实质性响应，按照无效投标处理。</w:t>
      </w:r>
    </w:p>
    <w:p w14:paraId="60E1ABD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5E75D1E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0699401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777F514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2026797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49C3724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3CF422A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投标技术方面得分高的排前，若总分、技术方面得分都相同的，由招标人或其授权的评标委员会自行确定。</w:t>
      </w:r>
    </w:p>
    <w:p w14:paraId="21A2E3E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46D46D9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59A0BC0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(2)出现影响招标公正的违法、违规行为的；</w:t>
      </w:r>
    </w:p>
    <w:p w14:paraId="50B80FE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044D2DF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(4)因重大变故，招标任务取消的。</w:t>
      </w:r>
    </w:p>
    <w:p w14:paraId="4B4ED41F">
      <w:pPr>
        <w:snapToGrid w:val="0"/>
        <w:spacing w:line="360" w:lineRule="auto"/>
        <w:outlineLvl w:val="1"/>
        <w:rPr>
          <w:rFonts w:ascii="仿宋" w:hAnsi="仿宋" w:eastAsia="仿宋" w:cs="仿宋"/>
          <w:b/>
          <w:sz w:val="24"/>
          <w:szCs w:val="24"/>
          <w:highlight w:val="none"/>
        </w:rPr>
      </w:pPr>
      <w:bookmarkStart w:id="37" w:name="_Toc13278"/>
      <w:r>
        <w:rPr>
          <w:rFonts w:hint="eastAsia" w:ascii="仿宋" w:hAnsi="仿宋" w:eastAsia="仿宋" w:cs="仿宋"/>
          <w:b/>
          <w:sz w:val="24"/>
          <w:szCs w:val="24"/>
          <w:highlight w:val="none"/>
        </w:rPr>
        <w:t>三、评标方法</w:t>
      </w:r>
      <w:bookmarkEnd w:id="37"/>
    </w:p>
    <w:p w14:paraId="6028BCA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110B4CAE">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tbl>
      <w:tblPr>
        <w:tblStyle w:val="43"/>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150"/>
        <w:gridCol w:w="5204"/>
        <w:gridCol w:w="1000"/>
        <w:gridCol w:w="799"/>
      </w:tblGrid>
      <w:tr w14:paraId="7F483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675" w:hRule="atLeast"/>
          <w:jc w:val="center"/>
        </w:trPr>
        <w:tc>
          <w:tcPr>
            <w:tcW w:w="826" w:type="dxa"/>
            <w:shd w:val="clear" w:color="auto" w:fill="D9D9D9"/>
            <w:noWrap w:val="0"/>
            <w:vAlign w:val="center"/>
          </w:tcPr>
          <w:p w14:paraId="2A3BFD9C">
            <w:pPr>
              <w:pStyle w:val="14"/>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编号</w:t>
            </w:r>
          </w:p>
        </w:tc>
        <w:tc>
          <w:tcPr>
            <w:tcW w:w="773" w:type="dxa"/>
            <w:shd w:val="clear" w:color="auto" w:fill="D9D9D9"/>
            <w:noWrap w:val="0"/>
            <w:vAlign w:val="center"/>
          </w:tcPr>
          <w:p w14:paraId="33ABC5FA">
            <w:pPr>
              <w:pStyle w:val="14"/>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类型</w:t>
            </w:r>
          </w:p>
        </w:tc>
        <w:tc>
          <w:tcPr>
            <w:tcW w:w="1150" w:type="dxa"/>
            <w:shd w:val="clear" w:color="auto" w:fill="D9D9D9"/>
            <w:noWrap w:val="0"/>
            <w:vAlign w:val="center"/>
          </w:tcPr>
          <w:p w14:paraId="164B0757">
            <w:pPr>
              <w:pStyle w:val="14"/>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评</w:t>
            </w:r>
            <w:r>
              <w:rPr>
                <w:rFonts w:hint="eastAsia" w:ascii="仿宋" w:hAnsi="仿宋" w:eastAsia="仿宋" w:cs="仿宋"/>
                <w:b/>
                <w:color w:val="auto"/>
                <w:sz w:val="24"/>
                <w:szCs w:val="24"/>
                <w:highlight w:val="none"/>
                <w:lang w:val="en-US" w:eastAsia="zh-CN"/>
              </w:rPr>
              <w:t>审项目</w:t>
            </w:r>
          </w:p>
        </w:tc>
        <w:tc>
          <w:tcPr>
            <w:tcW w:w="5204" w:type="dxa"/>
            <w:shd w:val="clear" w:color="auto" w:fill="D9D9D9"/>
            <w:noWrap w:val="0"/>
            <w:vAlign w:val="center"/>
          </w:tcPr>
          <w:p w14:paraId="5F25578C">
            <w:pPr>
              <w:pStyle w:val="14"/>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评分标准</w:t>
            </w:r>
          </w:p>
        </w:tc>
        <w:tc>
          <w:tcPr>
            <w:tcW w:w="1000" w:type="dxa"/>
            <w:shd w:val="clear" w:color="auto" w:fill="D9D9D9"/>
            <w:noWrap w:val="0"/>
            <w:vAlign w:val="center"/>
          </w:tcPr>
          <w:p w14:paraId="6C870C7D">
            <w:pPr>
              <w:pStyle w:val="14"/>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性质</w:t>
            </w:r>
          </w:p>
        </w:tc>
        <w:tc>
          <w:tcPr>
            <w:tcW w:w="799" w:type="dxa"/>
            <w:shd w:val="clear" w:color="auto" w:fill="D9D9D9"/>
            <w:noWrap w:val="0"/>
            <w:vAlign w:val="center"/>
          </w:tcPr>
          <w:p w14:paraId="2940A6F1">
            <w:pPr>
              <w:pStyle w:val="14"/>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分数</w:t>
            </w:r>
          </w:p>
        </w:tc>
      </w:tr>
      <w:tr w14:paraId="7AC75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0"/>
            <w:vAlign w:val="center"/>
          </w:tcPr>
          <w:p w14:paraId="18750580">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773" w:type="dxa"/>
            <w:noWrap w:val="0"/>
            <w:vAlign w:val="center"/>
          </w:tcPr>
          <w:p w14:paraId="14B34981">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价格</w:t>
            </w:r>
          </w:p>
        </w:tc>
        <w:tc>
          <w:tcPr>
            <w:tcW w:w="1150" w:type="dxa"/>
            <w:noWrap w:val="0"/>
            <w:vAlign w:val="center"/>
          </w:tcPr>
          <w:p w14:paraId="4A619C74">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p>
        </w:tc>
        <w:tc>
          <w:tcPr>
            <w:tcW w:w="5204" w:type="dxa"/>
            <w:noWrap w:val="0"/>
            <w:vAlign w:val="center"/>
          </w:tcPr>
          <w:p w14:paraId="13F1E4B8">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本次招标设最高限价，最高限价为500000元，投标人投标报价超过最高限价的，其投标文件按无效处理。</w:t>
            </w:r>
          </w:p>
          <w:p w14:paraId="429CD14A">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投标报价等于评标基准价的，得</w:t>
            </w:r>
            <w:r>
              <w:rPr>
                <w:rFonts w:hint="eastAsia" w:ascii="仿宋" w:hAnsi="仿宋" w:eastAsia="仿宋" w:cs="仿宋"/>
                <w:sz w:val="24"/>
                <w:szCs w:val="24"/>
                <w:highlight w:val="none"/>
                <w:lang w:val="en-US" w:eastAsia="zh-CN"/>
              </w:rPr>
              <w:t>15</w:t>
            </w:r>
            <w:r>
              <w:rPr>
                <w:rFonts w:hint="eastAsia" w:ascii="仿宋" w:hAnsi="仿宋" w:eastAsia="仿宋" w:cs="仿宋"/>
                <w:sz w:val="24"/>
                <w:szCs w:val="24"/>
                <w:highlight w:val="none"/>
              </w:rPr>
              <w:t>分；投标报价每高于评标基准价1％扣0.2分，每低于评标基准价1％扣0.1分，最低计至0分（得分精确到小数点后2位，分数计算过程中，比例不足部分按直线插入法计算）。</w:t>
            </w:r>
          </w:p>
          <w:p w14:paraId="6C342079">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评标基准价A：当n（有效投标人个数，以下相同）≤5时，A=所有有效标书报价的算术平均值；</w:t>
            </w:r>
          </w:p>
          <w:p w14:paraId="2145761C">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当6≤n＜10时，A=所有有效标书报价中去掉1个最高价、1个最低价后的算术平均值；</w:t>
            </w:r>
          </w:p>
          <w:p w14:paraId="328864C7">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当n≥10时，A=所有有效标书报价中去掉2个最高价、2个最低价后的算术平均值。</w:t>
            </w:r>
          </w:p>
        </w:tc>
        <w:tc>
          <w:tcPr>
            <w:tcW w:w="1000" w:type="dxa"/>
            <w:noWrap w:val="0"/>
            <w:vAlign w:val="center"/>
          </w:tcPr>
          <w:p w14:paraId="27F4827A">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价格分</w:t>
            </w:r>
          </w:p>
        </w:tc>
        <w:tc>
          <w:tcPr>
            <w:tcW w:w="799" w:type="dxa"/>
            <w:noWrap w:val="0"/>
            <w:vAlign w:val="center"/>
          </w:tcPr>
          <w:p w14:paraId="58AF7F0F">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w:t>
            </w:r>
            <w:r>
              <w:rPr>
                <w:rFonts w:hint="eastAsia" w:ascii="仿宋" w:hAnsi="仿宋" w:eastAsia="仿宋" w:cs="仿宋"/>
                <w:sz w:val="24"/>
                <w:szCs w:val="24"/>
                <w:highlight w:val="none"/>
              </w:rPr>
              <w:t>.00</w:t>
            </w:r>
          </w:p>
        </w:tc>
      </w:tr>
      <w:tr w14:paraId="65984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0"/>
            <w:vAlign w:val="center"/>
          </w:tcPr>
          <w:p w14:paraId="497DA3A2">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773" w:type="dxa"/>
            <w:noWrap w:val="0"/>
            <w:vAlign w:val="center"/>
          </w:tcPr>
          <w:p w14:paraId="15726E2E">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商务</w:t>
            </w:r>
          </w:p>
        </w:tc>
        <w:tc>
          <w:tcPr>
            <w:tcW w:w="1150" w:type="dxa"/>
            <w:noWrap w:val="0"/>
            <w:vAlign w:val="center"/>
          </w:tcPr>
          <w:p w14:paraId="584561D7">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企业业绩</w:t>
            </w:r>
          </w:p>
        </w:tc>
        <w:tc>
          <w:tcPr>
            <w:tcW w:w="5204" w:type="dxa"/>
            <w:noWrap w:val="0"/>
            <w:vAlign w:val="center"/>
          </w:tcPr>
          <w:p w14:paraId="374BECA3">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投标人2023年1月1日至今承揽的团体培训或应急演练项目业绩，每有一个得1分，最高得5分。</w:t>
            </w:r>
          </w:p>
          <w:p w14:paraId="7FDBF0BA">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注：需将合同扫描件附在投标文件中，合同扫描件应能体现业主名称、项目名称及项目主要内容，时间以合同签订时间为准，否则不得分。</w:t>
            </w:r>
          </w:p>
        </w:tc>
        <w:tc>
          <w:tcPr>
            <w:tcW w:w="1000" w:type="dxa"/>
            <w:shd w:val="clear" w:color="auto" w:fill="auto"/>
            <w:noWrap w:val="0"/>
            <w:vAlign w:val="center"/>
          </w:tcPr>
          <w:p w14:paraId="1EE88E2C">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客观分</w:t>
            </w:r>
          </w:p>
        </w:tc>
        <w:tc>
          <w:tcPr>
            <w:tcW w:w="799" w:type="dxa"/>
            <w:shd w:val="clear" w:color="auto" w:fill="auto"/>
            <w:noWrap w:val="0"/>
            <w:vAlign w:val="center"/>
          </w:tcPr>
          <w:p w14:paraId="4F1749C8">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5.00</w:t>
            </w:r>
          </w:p>
        </w:tc>
      </w:tr>
      <w:tr w14:paraId="02C6E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0"/>
            <w:vAlign w:val="center"/>
          </w:tcPr>
          <w:p w14:paraId="5AF67F41">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773" w:type="dxa"/>
            <w:noWrap w:val="0"/>
            <w:vAlign w:val="center"/>
          </w:tcPr>
          <w:p w14:paraId="4E466129">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商务</w:t>
            </w:r>
          </w:p>
        </w:tc>
        <w:tc>
          <w:tcPr>
            <w:tcW w:w="1150" w:type="dxa"/>
            <w:noWrap w:val="0"/>
            <w:vAlign w:val="center"/>
          </w:tcPr>
          <w:p w14:paraId="3ED561BF">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项目团队配置</w:t>
            </w:r>
          </w:p>
        </w:tc>
        <w:tc>
          <w:tcPr>
            <w:tcW w:w="5204" w:type="dxa"/>
            <w:noWrap w:val="0"/>
            <w:vAlign w:val="center"/>
          </w:tcPr>
          <w:p w14:paraId="759C7448">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由评委根据其投标文件提供的项目团队配置情况进行打分：</w:t>
            </w:r>
          </w:p>
          <w:p w14:paraId="39E9D02F">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分-10分】投标人具有丰富的团体培训、应急演练专家师资资源，本次项目拟投入的讲师、演练专家数量充足，职责分工明确，具备水务设备维护、智慧水务、安全生产、应急处置相关专业背景及对应资质，同类项目培训或应急演练实施经验丰富，能够很好地满足采购人差异化培训、实战化应急演练工作需求。</w:t>
            </w:r>
          </w:p>
          <w:p w14:paraId="3A946F58">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【4分-6分】师资资源一般，拟投入的讲师、演练专家配置基本满足本项目培训及应急演练工作。</w:t>
            </w:r>
          </w:p>
          <w:p w14:paraId="7D0BC2EC">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【1分-3分】师资资源较少，拟投入的讲师、演练专家配置无法满足本项目培训及应急演练工作。</w:t>
            </w:r>
          </w:p>
          <w:p w14:paraId="1A150A64">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未提供相关内容本项不得分。</w:t>
            </w:r>
          </w:p>
        </w:tc>
        <w:tc>
          <w:tcPr>
            <w:tcW w:w="1000" w:type="dxa"/>
            <w:shd w:val="clear" w:color="auto" w:fill="auto"/>
            <w:noWrap w:val="0"/>
            <w:vAlign w:val="center"/>
          </w:tcPr>
          <w:p w14:paraId="608F8E4E">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主观分</w:t>
            </w:r>
          </w:p>
        </w:tc>
        <w:tc>
          <w:tcPr>
            <w:tcW w:w="799" w:type="dxa"/>
            <w:shd w:val="clear" w:color="auto" w:fill="auto"/>
            <w:noWrap w:val="0"/>
            <w:vAlign w:val="center"/>
          </w:tcPr>
          <w:p w14:paraId="6CD695EA">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10.00</w:t>
            </w:r>
          </w:p>
        </w:tc>
      </w:tr>
      <w:tr w14:paraId="72895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0"/>
            <w:vAlign w:val="center"/>
          </w:tcPr>
          <w:p w14:paraId="2EF0F78C">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773" w:type="dxa"/>
            <w:noWrap w:val="0"/>
            <w:vAlign w:val="center"/>
          </w:tcPr>
          <w:p w14:paraId="2F542A36">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技术</w:t>
            </w:r>
          </w:p>
        </w:tc>
        <w:tc>
          <w:tcPr>
            <w:tcW w:w="1150" w:type="dxa"/>
            <w:noWrap w:val="0"/>
            <w:vAlign w:val="center"/>
          </w:tcPr>
          <w:p w14:paraId="62010A43">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整体服务方</w:t>
            </w:r>
            <w:r>
              <w:rPr>
                <w:rFonts w:hint="eastAsia" w:ascii="仿宋" w:hAnsi="仿宋" w:eastAsia="仿宋" w:cs="仿宋"/>
                <w:sz w:val="24"/>
                <w:szCs w:val="24"/>
                <w:highlight w:val="none"/>
                <w:lang w:val="en-US" w:eastAsia="zh-CN"/>
              </w:rPr>
              <w:t>案</w:t>
            </w:r>
          </w:p>
        </w:tc>
        <w:tc>
          <w:tcPr>
            <w:tcW w:w="5204" w:type="dxa"/>
            <w:noWrap w:val="0"/>
            <w:vAlign w:val="center"/>
          </w:tcPr>
          <w:p w14:paraId="0DE43F3E">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由评委根据投标文件提供的整体服务方案打分：</w:t>
            </w:r>
          </w:p>
          <w:p w14:paraId="56C13CA3">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【18分-25分】方案完整系统，清晰规划 2026、2027、2028 三年工作计划，培训频次、演练频次完全响应招标文件要求；管理人员、技术骨干、一线操作员分层培训设计清晰，演练场景覆盖爆管、水质污染，应急流程闭环完整，贴合水务项目实际，能够很好满足采购人全部服务需求。</w:t>
            </w:r>
          </w:p>
          <w:p w14:paraId="1F25EA90">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【9分-17分】方案内容基本完整，年度计划、分层培训、演练场景存在少量缺项，总体可基本满足本项目培训及应急演练工作。</w:t>
            </w:r>
          </w:p>
          <w:p w14:paraId="48F634D2">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【1分-8分】方案内容简略，未区分人员层级，演练场景缺失，年度工作计划不清晰，无法满足项目工作需求。</w:t>
            </w:r>
          </w:p>
          <w:p w14:paraId="3CD2B40B">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未提供相关内容本项不得分。</w:t>
            </w:r>
          </w:p>
        </w:tc>
        <w:tc>
          <w:tcPr>
            <w:tcW w:w="1000" w:type="dxa"/>
            <w:noWrap w:val="0"/>
            <w:vAlign w:val="center"/>
          </w:tcPr>
          <w:p w14:paraId="3260EFF7">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主观分</w:t>
            </w:r>
          </w:p>
        </w:tc>
        <w:tc>
          <w:tcPr>
            <w:tcW w:w="799" w:type="dxa"/>
            <w:noWrap w:val="0"/>
            <w:vAlign w:val="center"/>
          </w:tcPr>
          <w:p w14:paraId="3D54B0FB">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25.00</w:t>
            </w:r>
          </w:p>
        </w:tc>
      </w:tr>
      <w:tr w14:paraId="69F97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0"/>
            <w:vAlign w:val="center"/>
          </w:tcPr>
          <w:p w14:paraId="1A6D8896">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773" w:type="dxa"/>
            <w:noWrap w:val="0"/>
            <w:vAlign w:val="center"/>
          </w:tcPr>
          <w:p w14:paraId="0F485B9E">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技术</w:t>
            </w:r>
          </w:p>
        </w:tc>
        <w:tc>
          <w:tcPr>
            <w:tcW w:w="1150" w:type="dxa"/>
            <w:noWrap w:val="0"/>
            <w:vAlign w:val="center"/>
          </w:tcPr>
          <w:p w14:paraId="2593E16A">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差异化培训实施</w:t>
            </w:r>
          </w:p>
          <w:p w14:paraId="724D0CF7">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方案</w:t>
            </w:r>
          </w:p>
        </w:tc>
        <w:tc>
          <w:tcPr>
            <w:tcW w:w="5204" w:type="dxa"/>
            <w:noWrap w:val="0"/>
            <w:vAlign w:val="center"/>
          </w:tcPr>
          <w:p w14:paraId="0D13B5E7">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由评委根据投标文件提供的差异化培训实施方案打分：</w:t>
            </w:r>
          </w:p>
          <w:p w14:paraId="6D2B7D03">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14分-20分】针对管理人员、技术骨干、一线操作员三类人员定制培训大纲、课件、考核机制；管理人员侧重安全管理、成本管控、应急统筹，技术骨干侧重设备维护、智慧水务系统运维，一线操作员侧重现场实操、岗位安全操作；配套课件开发、现场授课、实操教学、培训效果复盘评估闭环机制，针对性强，可很好满足采购人培训需求。</w:t>
            </w:r>
          </w:p>
          <w:p w14:paraId="265DA737">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【7分-13分】培训方案框架完整，但分层设计不够细化，考核、效果评估机制不完善，可基本满足本项目培训工作。</w:t>
            </w:r>
          </w:p>
          <w:p w14:paraId="14EE0617">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【1分-6分】培训方案简单笼统，缺少分层分类设计，无考核及效果评估措施，无法满足差异化培训需求。</w:t>
            </w:r>
          </w:p>
          <w:p w14:paraId="39637F7D">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未提供相关内容本项不得分。</w:t>
            </w:r>
          </w:p>
        </w:tc>
        <w:tc>
          <w:tcPr>
            <w:tcW w:w="1000" w:type="dxa"/>
            <w:noWrap w:val="0"/>
            <w:vAlign w:val="center"/>
          </w:tcPr>
          <w:p w14:paraId="1496CE9D">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主观分</w:t>
            </w:r>
          </w:p>
        </w:tc>
        <w:tc>
          <w:tcPr>
            <w:tcW w:w="799" w:type="dxa"/>
            <w:noWrap w:val="0"/>
            <w:vAlign w:val="center"/>
          </w:tcPr>
          <w:p w14:paraId="4BD56DED">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20.00</w:t>
            </w:r>
          </w:p>
        </w:tc>
      </w:tr>
      <w:tr w14:paraId="055B6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0"/>
            <w:vAlign w:val="center"/>
          </w:tcPr>
          <w:p w14:paraId="1CDF8806">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773" w:type="dxa"/>
            <w:noWrap w:val="0"/>
            <w:vAlign w:val="center"/>
          </w:tcPr>
          <w:p w14:paraId="09B0A90C">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技术</w:t>
            </w:r>
          </w:p>
        </w:tc>
        <w:tc>
          <w:tcPr>
            <w:tcW w:w="1150" w:type="dxa"/>
            <w:noWrap w:val="0"/>
            <w:vAlign w:val="center"/>
          </w:tcPr>
          <w:p w14:paraId="46C3B6F4">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应急演练实施方案</w:t>
            </w:r>
          </w:p>
        </w:tc>
        <w:tc>
          <w:tcPr>
            <w:tcW w:w="5204" w:type="dxa"/>
            <w:noWrap w:val="0"/>
            <w:vAlign w:val="center"/>
          </w:tcPr>
          <w:p w14:paraId="0C4AD547">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由评委根据投标文件提供的应急演练实施方案打分：</w:t>
            </w:r>
          </w:p>
          <w:p w14:paraId="0DBB09A9">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分-15分】方案包含演练策划、脚本编制、现场组织、现场处置、安全保障、演练评估、应急预案优化、成果归档全套内容；可提供爆管、水质污染双场景实战演练脚本，演练完成后可出具评估报告并提出应急预案修订优化建议，实战性强，能够很好满足采购人常态化实战演练需求。</w:t>
            </w:r>
          </w:p>
          <w:p w14:paraId="00F2E226">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【6分-10分】演练方案要素基本齐全，但场景设计偏桌面推演，实战性不足，评估及预案优化措施简单，可基本满足本项目应急演练工作。</w:t>
            </w:r>
          </w:p>
          <w:p w14:paraId="01BF014B">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【1分-5分】演练方案内容简单，无演练脚本、缺少评估及预案优化机制，无法满足实战化应急演练要求。</w:t>
            </w:r>
          </w:p>
          <w:p w14:paraId="51DA783F">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未提供相关内容本项不得分。</w:t>
            </w:r>
          </w:p>
        </w:tc>
        <w:tc>
          <w:tcPr>
            <w:tcW w:w="1000" w:type="dxa"/>
            <w:noWrap w:val="0"/>
            <w:vAlign w:val="center"/>
          </w:tcPr>
          <w:p w14:paraId="238F9F6C">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主观分</w:t>
            </w:r>
          </w:p>
        </w:tc>
        <w:tc>
          <w:tcPr>
            <w:tcW w:w="799" w:type="dxa"/>
            <w:noWrap w:val="0"/>
            <w:vAlign w:val="center"/>
          </w:tcPr>
          <w:p w14:paraId="4F635422">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15.00</w:t>
            </w:r>
          </w:p>
        </w:tc>
      </w:tr>
      <w:tr w14:paraId="2773E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0"/>
            <w:vAlign w:val="center"/>
          </w:tcPr>
          <w:p w14:paraId="4AEAAC7D">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773" w:type="dxa"/>
            <w:noWrap w:val="0"/>
            <w:vAlign w:val="center"/>
          </w:tcPr>
          <w:p w14:paraId="2089DBBB">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技术</w:t>
            </w:r>
          </w:p>
        </w:tc>
        <w:tc>
          <w:tcPr>
            <w:tcW w:w="1150" w:type="dxa"/>
            <w:noWrap w:val="0"/>
            <w:vAlign w:val="center"/>
          </w:tcPr>
          <w:p w14:paraId="354CE748">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质量保障、进度管控及成果交付</w:t>
            </w:r>
          </w:p>
        </w:tc>
        <w:tc>
          <w:tcPr>
            <w:tcW w:w="5204" w:type="dxa"/>
            <w:noWrap w:val="0"/>
            <w:vAlign w:val="center"/>
          </w:tcPr>
          <w:p w14:paraId="1BAF867C">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由评委根据</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 xml:space="preserve">文件提供的质量保障、进度管控及成果交付方案打分： </w:t>
            </w:r>
          </w:p>
          <w:p w14:paraId="0289E3F9">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 xml:space="preserve">分】成果交付清单齐全，明确培训课件、签到资料、考核记录、演练脚本、影像资料、演练评估报告等交付物；质量管控、进度预警、延期处置措施完善，可很好保障项目按期高质量交付。 </w:t>
            </w:r>
          </w:p>
          <w:p w14:paraId="563E23D7">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 xml:space="preserve">分】交付物清单、质量及进度管控措施基本齐全，存在少量细节缺失，可基本满足本项目交付要求。 </w:t>
            </w:r>
          </w:p>
          <w:p w14:paraId="6DBDA6A4">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分】交付清单不完整，质量、进度管控措施缺失或过于简单，无法保障项目成果交付。</w:t>
            </w:r>
          </w:p>
          <w:p w14:paraId="32F5334A">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未提供相关内容本项不得分。</w:t>
            </w:r>
          </w:p>
        </w:tc>
        <w:tc>
          <w:tcPr>
            <w:tcW w:w="1000" w:type="dxa"/>
            <w:shd w:val="clear" w:color="auto" w:fill="auto"/>
            <w:noWrap w:val="0"/>
            <w:vAlign w:val="center"/>
          </w:tcPr>
          <w:p w14:paraId="01A3B48E">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lang w:val="en-US" w:eastAsia="zh-CN"/>
              </w:rPr>
              <w:t>主观分</w:t>
            </w:r>
          </w:p>
        </w:tc>
        <w:tc>
          <w:tcPr>
            <w:tcW w:w="799" w:type="dxa"/>
            <w:shd w:val="clear" w:color="auto" w:fill="auto"/>
            <w:noWrap w:val="0"/>
            <w:vAlign w:val="center"/>
          </w:tcPr>
          <w:p w14:paraId="7B93858C">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sz w:val="24"/>
                <w:szCs w:val="24"/>
                <w:highlight w:val="none"/>
                <w:lang w:val="en-US" w:eastAsia="zh-CN"/>
              </w:rPr>
            </w:pPr>
          </w:p>
          <w:p w14:paraId="48325A8D">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lang w:val="en-US" w:eastAsia="zh-CN"/>
              </w:rPr>
              <w:t>10.00</w:t>
            </w:r>
          </w:p>
          <w:p w14:paraId="33A3D8CF">
            <w:pPr>
              <w:pStyle w:val="14"/>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p>
        </w:tc>
      </w:tr>
    </w:tbl>
    <w:p w14:paraId="313BBF5C">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02E0D4AB">
      <w:pPr>
        <w:spacing w:line="440" w:lineRule="exact"/>
        <w:ind w:firstLine="482" w:firstLineChars="200"/>
        <w:contextualSpacing/>
        <w:rPr>
          <w:rFonts w:ascii="仿宋" w:hAnsi="仿宋" w:eastAsia="仿宋" w:cs="仿宋"/>
          <w:b/>
          <w:sz w:val="24"/>
          <w:szCs w:val="24"/>
          <w:highlight w:val="none"/>
        </w:rPr>
      </w:pPr>
      <w:r>
        <w:rPr>
          <w:rFonts w:hint="eastAsia" w:ascii="仿宋" w:hAnsi="仿宋" w:eastAsia="仿宋" w:cs="仿宋"/>
          <w:b/>
          <w:sz w:val="24"/>
          <w:szCs w:val="24"/>
          <w:highlight w:val="none"/>
        </w:rPr>
        <w:t>②计算得分时，四舍五入保留至小数点后二位。</w:t>
      </w:r>
    </w:p>
    <w:p w14:paraId="44E8CAAC">
      <w:pPr>
        <w:spacing w:line="440" w:lineRule="exact"/>
        <w:ind w:firstLine="482" w:firstLineChars="200"/>
        <w:contextualSpacing/>
        <w:rPr>
          <w:rFonts w:ascii="仿宋" w:hAnsi="仿宋" w:eastAsia="仿宋" w:cs="仿宋"/>
          <w:b/>
          <w:sz w:val="24"/>
          <w:szCs w:val="24"/>
          <w:highlight w:val="none"/>
        </w:rPr>
      </w:pPr>
      <w:r>
        <w:rPr>
          <w:rFonts w:hint="eastAsia" w:ascii="仿宋" w:hAnsi="仿宋" w:eastAsia="仿宋" w:cs="仿宋"/>
          <w:b/>
          <w:sz w:val="24"/>
          <w:szCs w:val="24"/>
          <w:highlight w:val="none"/>
        </w:rPr>
        <w:t>③汇总各评委打分进行算术平均，计算出各投标人的综合。</w:t>
      </w:r>
    </w:p>
    <w:p w14:paraId="1819F0B5">
      <w:pPr>
        <w:spacing w:line="440" w:lineRule="exact"/>
        <w:contextualSpacing/>
        <w:outlineLvl w:val="1"/>
        <w:rPr>
          <w:rFonts w:ascii="仿宋" w:hAnsi="仿宋" w:eastAsia="仿宋" w:cs="仿宋"/>
          <w:b/>
          <w:sz w:val="24"/>
          <w:szCs w:val="24"/>
          <w:highlight w:val="none"/>
        </w:rPr>
      </w:pPr>
      <w:bookmarkStart w:id="38" w:name="_Toc11876"/>
      <w:r>
        <w:rPr>
          <w:rFonts w:hint="eastAsia" w:ascii="仿宋" w:hAnsi="仿宋" w:eastAsia="仿宋" w:cs="仿宋"/>
          <w:b/>
          <w:sz w:val="24"/>
          <w:szCs w:val="24"/>
          <w:highlight w:val="none"/>
        </w:rPr>
        <w:t>四、定标</w:t>
      </w:r>
      <w:bookmarkEnd w:id="38"/>
    </w:p>
    <w:p w14:paraId="0081FC7F">
      <w:pPr>
        <w:spacing w:line="440" w:lineRule="exact"/>
        <w:ind w:firstLine="480" w:firstLineChars="200"/>
        <w:contextualSpacing/>
        <w:rPr>
          <w:rFonts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1、评标委员会根据招标文件载明的评标细则进行综合评审，并按评审后得分由高到低顺序排列，确定</w:t>
      </w:r>
      <w:r>
        <w:rPr>
          <w:rFonts w:hint="eastAsia" w:ascii="仿宋" w:hAnsi="仿宋" w:eastAsia="仿宋" w:cs="仿宋"/>
          <w:bCs/>
          <w:sz w:val="24"/>
          <w:szCs w:val="24"/>
          <w:highlight w:val="none"/>
          <w:lang w:val="en-US" w:eastAsia="zh-CN"/>
        </w:rPr>
        <w:t>排名第一的投标人</w:t>
      </w:r>
      <w:r>
        <w:rPr>
          <w:rFonts w:hint="eastAsia" w:ascii="仿宋" w:hAnsi="仿宋" w:eastAsia="仿宋" w:cs="仿宋"/>
          <w:bCs/>
          <w:sz w:val="24"/>
          <w:szCs w:val="24"/>
          <w:highlight w:val="none"/>
        </w:rPr>
        <w:t>的为中标单位。</w:t>
      </w:r>
    </w:p>
    <w:p w14:paraId="25EE1AC7">
      <w:pPr>
        <w:spacing w:line="440" w:lineRule="exact"/>
        <w:ind w:firstLine="480" w:firstLineChars="200"/>
        <w:contextualSpacing/>
        <w:rPr>
          <w:rFonts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w:t>
      </w:r>
      <w:r>
        <w:rPr>
          <w:rFonts w:hint="eastAsia" w:ascii="仿宋" w:hAnsi="仿宋" w:eastAsia="仿宋" w:cs="仿宋"/>
          <w:bCs/>
          <w:sz w:val="24"/>
          <w:szCs w:val="24"/>
          <w:highlight w:val="none"/>
          <w:lang w:val="en-US" w:eastAsia="zh-CN"/>
        </w:rPr>
        <w:t>排名第一的投标人</w:t>
      </w:r>
      <w:r>
        <w:rPr>
          <w:rFonts w:hint="eastAsia" w:ascii="仿宋" w:hAnsi="仿宋" w:eastAsia="仿宋" w:cs="仿宋"/>
          <w:bCs/>
          <w:sz w:val="24"/>
          <w:szCs w:val="24"/>
          <w:highlight w:val="none"/>
        </w:rPr>
        <w:t>为中标人。如发现中标候选人存在与招标文件、投标文件不符或弄虚作假等其它违法行为，经招标单位同意：取消中标候选人资格，由排名次之的中标，依次类推或重新招标。</w:t>
      </w:r>
    </w:p>
    <w:p w14:paraId="18EBF7E2">
      <w:pPr>
        <w:spacing w:line="440" w:lineRule="exact"/>
        <w:ind w:firstLine="480" w:firstLineChars="200"/>
        <w:contextualSpacing/>
        <w:rPr>
          <w:rFonts w:ascii="仿宋" w:hAnsi="仿宋" w:eastAsia="仿宋" w:cs="仿宋"/>
          <w:b/>
          <w:sz w:val="24"/>
          <w:szCs w:val="24"/>
          <w:highlight w:val="none"/>
        </w:rPr>
      </w:pPr>
      <w:r>
        <w:rPr>
          <w:rFonts w:hint="eastAsia" w:ascii="仿宋" w:hAnsi="仿宋" w:eastAsia="仿宋" w:cs="仿宋"/>
          <w:bCs/>
          <w:sz w:val="24"/>
          <w:szCs w:val="24"/>
          <w:highlight w:val="none"/>
        </w:rPr>
        <w:t>3、评标结果将在原招标公告发布媒介予以公告。</w:t>
      </w:r>
    </w:p>
    <w:p w14:paraId="16426FBA">
      <w:pPr>
        <w:spacing w:line="440" w:lineRule="exact"/>
        <w:contextualSpacing/>
        <w:outlineLvl w:val="1"/>
        <w:rPr>
          <w:rFonts w:ascii="仿宋" w:hAnsi="仿宋" w:eastAsia="仿宋" w:cs="仿宋"/>
          <w:b/>
          <w:sz w:val="24"/>
          <w:szCs w:val="24"/>
          <w:highlight w:val="none"/>
        </w:rPr>
      </w:pPr>
      <w:bookmarkStart w:id="39" w:name="_Toc26340"/>
      <w:r>
        <w:rPr>
          <w:rFonts w:hint="eastAsia" w:ascii="仿宋" w:hAnsi="仿宋" w:eastAsia="仿宋" w:cs="仿宋"/>
          <w:b/>
          <w:sz w:val="24"/>
          <w:szCs w:val="24"/>
          <w:highlight w:val="none"/>
        </w:rPr>
        <w:t>五、编写评标报告</w:t>
      </w:r>
      <w:bookmarkEnd w:id="39"/>
    </w:p>
    <w:p w14:paraId="08D7E28A">
      <w:pPr>
        <w:spacing w:line="440" w:lineRule="exact"/>
        <w:ind w:firstLine="480" w:firstLineChars="200"/>
        <w:contextualSpacing/>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45AE0FED">
      <w:pPr>
        <w:spacing w:line="440" w:lineRule="exact"/>
        <w:contextualSpacing/>
        <w:outlineLvl w:val="1"/>
        <w:rPr>
          <w:rFonts w:ascii="仿宋" w:hAnsi="仿宋" w:eastAsia="仿宋" w:cs="仿宋"/>
          <w:b/>
          <w:sz w:val="24"/>
          <w:szCs w:val="24"/>
          <w:highlight w:val="none"/>
        </w:rPr>
      </w:pPr>
      <w:bookmarkStart w:id="40" w:name="_Toc27480"/>
      <w:r>
        <w:rPr>
          <w:rFonts w:hint="eastAsia" w:ascii="仿宋" w:hAnsi="仿宋" w:eastAsia="仿宋" w:cs="仿宋"/>
          <w:b/>
          <w:sz w:val="24"/>
          <w:szCs w:val="24"/>
          <w:highlight w:val="none"/>
        </w:rPr>
        <w:t>六、签订合同</w:t>
      </w:r>
      <w:bookmarkEnd w:id="40"/>
      <w:r>
        <w:rPr>
          <w:rFonts w:hint="eastAsia" w:ascii="仿宋" w:hAnsi="仿宋" w:eastAsia="仿宋" w:cs="仿宋"/>
          <w:b/>
          <w:sz w:val="24"/>
          <w:szCs w:val="24"/>
          <w:highlight w:val="none"/>
        </w:rPr>
        <w:t xml:space="preserve"> </w:t>
      </w:r>
    </w:p>
    <w:p w14:paraId="3FDF83A9">
      <w:pPr>
        <w:spacing w:line="440" w:lineRule="exact"/>
        <w:ind w:firstLine="480" w:firstLineChars="200"/>
        <w:contextualSpacing/>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1.评标结果公告后，由招标单位、招标代理向中标人签发中标通知书。</w:t>
      </w:r>
    </w:p>
    <w:p w14:paraId="3BD55A9A">
      <w:pPr>
        <w:spacing w:line="440" w:lineRule="exact"/>
        <w:ind w:firstLine="480" w:firstLineChars="200"/>
        <w:contextualSpacing/>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2.中标合同原则以第六部分合同书（范本）为基础，并根据投标、答疑情况进行修改补充，自签订之日起生效。</w:t>
      </w:r>
    </w:p>
    <w:p w14:paraId="55F55EA4">
      <w:pPr>
        <w:spacing w:line="440" w:lineRule="exact"/>
        <w:ind w:firstLine="480" w:firstLineChars="200"/>
        <w:contextualSpacing/>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3.中标人在规定的期限内无正当理由拒绝签订合同,取消原中标决定，与排名次之的中标候选人签订合同或重新组织招标。</w:t>
      </w:r>
    </w:p>
    <w:p w14:paraId="68B23E2A">
      <w:pPr>
        <w:jc w:val="center"/>
        <w:outlineLvl w:val="0"/>
        <w:rPr>
          <w:rFonts w:ascii="仿宋" w:hAnsi="仿宋" w:eastAsia="仿宋" w:cs="仿宋"/>
          <w:b/>
          <w:bCs/>
          <w:sz w:val="28"/>
          <w:szCs w:val="28"/>
          <w:highlight w:val="none"/>
        </w:rPr>
      </w:pPr>
      <w:r>
        <w:rPr>
          <w:rFonts w:hint="eastAsia" w:ascii="仿宋" w:hAnsi="仿宋" w:eastAsia="仿宋" w:cs="仿宋"/>
          <w:bCs/>
          <w:sz w:val="24"/>
          <w:szCs w:val="24"/>
          <w:highlight w:val="none"/>
        </w:rPr>
        <w:br w:type="page"/>
      </w:r>
      <w:bookmarkStart w:id="41" w:name="_Toc8592"/>
      <w:bookmarkStart w:id="42" w:name="_Toc6734"/>
      <w:r>
        <w:rPr>
          <w:rStyle w:val="126"/>
          <w:rFonts w:hint="eastAsia"/>
          <w:highlight w:val="none"/>
        </w:rPr>
        <w:t>第五部分 投标文件（格式）</w:t>
      </w:r>
      <w:bookmarkEnd w:id="41"/>
      <w:bookmarkEnd w:id="42"/>
    </w:p>
    <w:p w14:paraId="6A63866C">
      <w:pPr>
        <w:snapToGrid w:val="0"/>
        <w:spacing w:line="360" w:lineRule="auto"/>
        <w:ind w:firstLine="560" w:firstLineChars="200"/>
        <w:rPr>
          <w:rFonts w:ascii="仿宋" w:hAnsi="仿宋" w:eastAsia="仿宋" w:cs="仿宋"/>
          <w:sz w:val="28"/>
          <w:szCs w:val="28"/>
          <w:highlight w:val="none"/>
        </w:rPr>
      </w:pPr>
    </w:p>
    <w:p w14:paraId="0C380AB1">
      <w:pPr>
        <w:spacing w:line="460" w:lineRule="exact"/>
        <w:jc w:val="left"/>
        <w:rPr>
          <w:rFonts w:ascii="宋体" w:hAnsi="宋体"/>
          <w:b/>
          <w:kern w:val="0"/>
          <w:sz w:val="24"/>
          <w:szCs w:val="24"/>
          <w:highlight w:val="none"/>
        </w:rPr>
      </w:pPr>
      <w:r>
        <w:rPr>
          <w:rFonts w:ascii="宋体" w:hAnsi="宋体" w:cs="Lucida Sans Unicode"/>
          <w:sz w:val="24"/>
          <w:szCs w:val="24"/>
          <w:highlight w:val="none"/>
        </w:rPr>
        <w:fldChar w:fldCharType="begin"/>
      </w:r>
      <w:r>
        <w:rPr>
          <w:rFonts w:ascii="宋体" w:hAnsi="宋体" w:cs="Lucida Sans Unicode"/>
          <w:sz w:val="24"/>
          <w:szCs w:val="24"/>
          <w:highlight w:val="none"/>
        </w:rPr>
        <w:instrText xml:space="preserve">&lt;MK</w:instrText>
      </w:r>
      <w:r>
        <w:rPr>
          <w:rFonts w:hint="eastAsia" w:ascii="宋体" w:hAnsi="宋体" w:cs="Lucida Sans Unicode"/>
          <w:sz w:val="24"/>
          <w:szCs w:val="24"/>
          <w:highlight w:val="none"/>
        </w:rPr>
        <w:instrText xml:space="preserve"> cmd="bus"</w:instrText>
      </w:r>
      <w:r>
        <w:rPr>
          <w:rFonts w:ascii="宋体" w:hAnsi="宋体" w:cs="Lucida Sans Unicode"/>
          <w:sz w:val="24"/>
          <w:szCs w:val="24"/>
          <w:highlight w:val="none"/>
        </w:rPr>
        <w:instrText xml:space="preserve">&gt;</w:instrText>
      </w:r>
      <w:r>
        <w:rPr>
          <w:rFonts w:hint="eastAsia" w:ascii="宋体" w:hAnsi="宋体" w:cs="Lucida Sans Unicode"/>
          <w:sz w:val="24"/>
          <w:szCs w:val="24"/>
          <w:highlight w:val="none"/>
        </w:rPr>
        <w:instrText xml:space="preserve">&lt;def type="query" recs="pro"&gt;"</w:instrText>
      </w:r>
      <w:r>
        <w:rPr>
          <w:rFonts w:ascii="宋体" w:hAnsi="宋体"/>
          <w:sz w:val="24"/>
          <w:szCs w:val="24"/>
          <w:highlight w:val="none"/>
        </w:rPr>
        <w:instrText xml:space="preserve"> </w:instrText>
      </w:r>
      <w:r>
        <w:rPr>
          <w:rFonts w:ascii="宋体" w:hAnsi="宋体" w:cs="Lucida Sans Unicode"/>
          <w:sz w:val="24"/>
          <w:szCs w:val="24"/>
          <w:highlight w:val="none"/>
        </w:rPr>
        <w:instrText xml:space="preserve">select </w:instrText>
      </w:r>
      <w:r>
        <w:rPr>
          <w:rFonts w:hint="eastAsia" w:ascii="宋体" w:hAnsi="宋体" w:cs="Lucida Sans Unicode"/>
          <w:sz w:val="24"/>
          <w:szCs w:val="24"/>
          <w:highlight w:val="none"/>
        </w:rPr>
        <w:instrText xml:space="preserve">b</w:instrText>
      </w:r>
      <w:r>
        <w:rPr>
          <w:rFonts w:ascii="宋体" w:hAnsi="宋体" w:cs="Lucida Sans Unicode"/>
          <w:sz w:val="24"/>
          <w:szCs w:val="24"/>
          <w:highlight w:val="none"/>
        </w:rPr>
        <w:instrText xml:space="preserve">.tradeWay,a.projectCode,a.projectName,</w:instrText>
      </w:r>
      <w:r>
        <w:rPr>
          <w:rFonts w:hint="eastAsia" w:ascii="宋体" w:hAnsi="宋体" w:cs="Lucida Sans Unicode"/>
          <w:sz w:val="24"/>
          <w:szCs w:val="24"/>
          <w:highlight w:val="none"/>
        </w:rPr>
        <w:instrText xml:space="preserve">b.schemecode,b.</w:instrText>
      </w:r>
      <w:r>
        <w:rPr>
          <w:rFonts w:ascii="宋体" w:hAnsi="宋体" w:cs="Lucida Sans Unicode"/>
          <w:sz w:val="24"/>
          <w:szCs w:val="24"/>
          <w:highlight w:val="none"/>
        </w:rPr>
        <w:instrText xml:space="preserve">saleMode</w:instrText>
      </w:r>
      <w:r>
        <w:rPr>
          <w:rFonts w:hint="eastAsia" w:ascii="宋体" w:hAnsi="宋体" w:cs="Lucida Sans Unicode"/>
          <w:sz w:val="24"/>
          <w:szCs w:val="24"/>
          <w:highlight w:val="none"/>
        </w:rPr>
        <w:instrText xml:space="preserve">,b.applycost,</w:instrText>
      </w:r>
      <w:r>
        <w:rPr>
          <w:rFonts w:ascii="宋体" w:hAnsi="宋体" w:cs="Lucida Sans Unicode"/>
          <w:sz w:val="24"/>
          <w:szCs w:val="24"/>
          <w:highlight w:val="none"/>
        </w:rPr>
        <w:instrText xml:space="preserve">b.applystart,b.applystop,b.deliverstop,b.openstart,b.openaddr</w:instrText>
      </w:r>
      <w:r>
        <w:rPr>
          <w:rFonts w:hint="eastAsia" w:ascii="宋体" w:hAnsi="宋体" w:cs="Lucida Sans Unicode"/>
          <w:sz w:val="24"/>
          <w:szCs w:val="24"/>
          <w:highlight w:val="none"/>
        </w:rPr>
        <w:instrText xml:space="preserve">,a.projectid,b.</w:instrText>
      </w:r>
      <w:r>
        <w:rPr>
          <w:rFonts w:ascii="宋体" w:hAnsi="宋体" w:cs="Lucida Sans Unicode"/>
          <w:sz w:val="24"/>
          <w:szCs w:val="24"/>
          <w:highlight w:val="none"/>
        </w:rPr>
        <w:instrText xml:space="preserve">bidvalidity</w:instrText>
      </w:r>
      <w:r>
        <w:rPr>
          <w:rFonts w:hint="eastAsia" w:ascii="宋体" w:hAnsi="宋体" w:cs="Lucida Sans Unicode"/>
          <w:sz w:val="24"/>
          <w:szCs w:val="24"/>
          <w:highlight w:val="none"/>
        </w:rPr>
        <w:instrText xml:space="preserve">,b.</w:instrText>
      </w:r>
      <w:r>
        <w:rPr>
          <w:rFonts w:ascii="宋体" w:hAnsi="宋体" w:cs="Lucida Sans Unicode"/>
          <w:sz w:val="24"/>
          <w:szCs w:val="24"/>
          <w:highlight w:val="none"/>
        </w:rPr>
        <w:instrText xml:space="preserve">canjoint</w:instrText>
      </w:r>
      <w:r>
        <w:rPr>
          <w:rFonts w:hint="eastAsia" w:ascii="宋体" w:hAnsi="宋体" w:cs="Lucida Sans Unicode"/>
          <w:sz w:val="24"/>
          <w:szCs w:val="24"/>
          <w:highlight w:val="none"/>
        </w:rPr>
        <w:instrText xml:space="preserve">,b.</w:instrText>
      </w:r>
      <w:r>
        <w:rPr>
          <w:rFonts w:ascii="宋体" w:hAnsi="宋体" w:cs="Lucida Sans Unicode"/>
          <w:sz w:val="24"/>
          <w:szCs w:val="24"/>
          <w:highlight w:val="none"/>
        </w:rPr>
        <w:instrText xml:space="preserve">judgecount from gp_project a,gp_projectScheme b where a.projectId=b.projectId and </w:instrText>
      </w:r>
      <w:r>
        <w:rPr>
          <w:rFonts w:hint="eastAsia" w:ascii="宋体" w:hAnsi="宋体" w:cs="Lucida Sans Unicode"/>
          <w:sz w:val="24"/>
          <w:szCs w:val="24"/>
          <w:highlight w:val="none"/>
        </w:rPr>
        <w:instrText xml:space="preserve">b</w:instrText>
      </w:r>
      <w:r>
        <w:rPr>
          <w:rFonts w:ascii="宋体" w:hAnsi="宋体" w:cs="Lucida Sans Unicode"/>
          <w:sz w:val="24"/>
          <w:szCs w:val="24"/>
          <w:highlight w:val="none"/>
        </w:rPr>
        <w:instrText xml:space="preserve">.schemeId=</w:instrText>
      </w:r>
      <w:r>
        <w:rPr>
          <w:rFonts w:hint="eastAsia" w:ascii="宋体" w:hAnsi="宋体" w:cs="Lucida Sans Unicode"/>
          <w:sz w:val="24"/>
          <w:szCs w:val="24"/>
          <w:highlight w:val="none"/>
        </w:rPr>
        <w:instrText xml:space="preserve">"+NFV("</w:instrText>
      </w:r>
      <w:r>
        <w:rPr>
          <w:rFonts w:ascii="宋体" w:hAnsi="宋体" w:cs="Lucida Sans Unicode"/>
          <w:sz w:val="24"/>
          <w:szCs w:val="24"/>
          <w:highlight w:val="none"/>
        </w:rPr>
        <w:instrText xml:space="preserve">scheme</w:instrText>
      </w:r>
      <w:r>
        <w:rPr>
          <w:rFonts w:hint="eastAsia" w:ascii="宋体" w:hAnsi="宋体" w:cs="Lucida Sans Unicode"/>
          <w:sz w:val="24"/>
          <w:szCs w:val="24"/>
          <w:highlight w:val="none"/>
        </w:rPr>
        <w:instrText xml:space="preserve">i</w:instrText>
      </w:r>
      <w:r>
        <w:rPr>
          <w:rFonts w:ascii="宋体" w:hAnsi="宋体" w:cs="Lucida Sans Unicode"/>
          <w:sz w:val="24"/>
          <w:szCs w:val="24"/>
          <w:highlight w:val="none"/>
        </w:rPr>
        <w:instrText xml:space="preserve">d</w:instrText>
      </w:r>
      <w:r>
        <w:rPr>
          <w:rFonts w:hint="eastAsia" w:ascii="宋体" w:hAnsi="宋体" w:cs="Lucida Sans Unicode"/>
          <w:sz w:val="24"/>
          <w:szCs w:val="24"/>
          <w:highlight w:val="none"/>
        </w:rPr>
        <w:instrText xml:space="preserve">",-1) &lt;/def&gt;</w:instrText>
      </w:r>
      <w:r>
        <w:rPr>
          <w:rFonts w:ascii="宋体" w:hAnsi="宋体" w:cs="Lucida Sans Unicode"/>
          <w:sz w:val="24"/>
          <w:szCs w:val="24"/>
          <w:highlight w:val="none"/>
        </w:rPr>
        <w:instrText xml:space="preserve">&lt;/MK&gt;</w:instrText>
      </w:r>
      <w:r>
        <w:rPr>
          <w:rFonts w:ascii="宋体" w:hAnsi="宋体" w:cs="Lucida Sans Unicode"/>
          <w:sz w:val="24"/>
          <w:szCs w:val="24"/>
          <w:highlight w:val="none"/>
        </w:rPr>
        <w:fldChar w:fldCharType="separate"/>
      </w:r>
      <w:r>
        <w:rPr>
          <w:rFonts w:ascii="宋体" w:hAnsi="宋体" w:cs="Lucida Sans Unicode"/>
          <w:sz w:val="24"/>
          <w:szCs w:val="24"/>
          <w:highlight w:val="none"/>
        </w:rPr>
        <w:t>!异常的公式结尾</w:t>
      </w:r>
      <w:r>
        <w:rPr>
          <w:rFonts w:ascii="宋体" w:hAnsi="宋体" w:cs="Lucida Sans Unicode"/>
          <w:sz w:val="24"/>
          <w:szCs w:val="24"/>
          <w:highlight w:val="none"/>
        </w:rPr>
        <w:fldChar w:fldCharType="end"/>
      </w:r>
      <w:r>
        <w:rPr>
          <w:rFonts w:ascii="宋体" w:hAnsi="宋体" w:cs="Lucida Sans Unicode"/>
          <w:sz w:val="24"/>
          <w:szCs w:val="24"/>
          <w:highlight w:val="none"/>
        </w:rPr>
        <w:fldChar w:fldCharType="begin"/>
      </w:r>
      <w:r>
        <w:rPr>
          <w:rFonts w:ascii="宋体" w:hAnsi="宋体" w:cs="Lucida Sans Unicode"/>
          <w:sz w:val="24"/>
          <w:szCs w:val="24"/>
          <w:highlight w:val="none"/>
        </w:rPr>
        <w:instrText xml:space="preserve">&lt;MK</w:instrText>
      </w:r>
      <w:r>
        <w:rPr>
          <w:rFonts w:hint="eastAsia" w:ascii="宋体" w:hAnsi="宋体" w:cs="Lucida Sans Unicode"/>
          <w:sz w:val="24"/>
          <w:szCs w:val="24"/>
          <w:highlight w:val="none"/>
        </w:rPr>
        <w:instrText xml:space="preserve"> cmd="bus"</w:instrText>
      </w:r>
      <w:r>
        <w:rPr>
          <w:rFonts w:ascii="宋体" w:hAnsi="宋体" w:cs="Lucida Sans Unicode"/>
          <w:sz w:val="24"/>
          <w:szCs w:val="24"/>
          <w:highlight w:val="none"/>
        </w:rPr>
        <w:instrText xml:space="preserve">&gt;</w:instrText>
      </w:r>
      <w:r>
        <w:rPr>
          <w:rFonts w:hint="eastAsia" w:ascii="宋体" w:hAnsi="宋体" w:cs="Lucida Sans Unicode"/>
          <w:sz w:val="24"/>
          <w:szCs w:val="24"/>
          <w:highlight w:val="none"/>
        </w:rPr>
        <w:instrText xml:space="preserve">&lt;def type="query" recs="org"&gt;"</w:instrText>
      </w:r>
      <w:r>
        <w:rPr>
          <w:rFonts w:ascii="宋体" w:hAnsi="宋体"/>
          <w:sz w:val="24"/>
          <w:szCs w:val="24"/>
          <w:highlight w:val="none"/>
        </w:rPr>
        <w:instrText xml:space="preserve"> </w:instrText>
      </w:r>
      <w:r>
        <w:rPr>
          <w:rFonts w:ascii="宋体" w:hAnsi="宋体" w:cs="Lucida Sans Unicode"/>
          <w:sz w:val="24"/>
          <w:szCs w:val="24"/>
          <w:highlight w:val="none"/>
        </w:rPr>
        <w:instrText xml:space="preserve">select b3.unitaddr,b3.zipcode,b3.linkman,b3.linkphone,</w:instrText>
      </w:r>
      <w:r>
        <w:rPr>
          <w:rFonts w:hint="eastAsia" w:ascii="宋体" w:hAnsi="宋体" w:cs="Lucida Sans Unicode"/>
          <w:sz w:val="24"/>
          <w:szCs w:val="24"/>
          <w:highlight w:val="none"/>
        </w:rPr>
        <w:instrText xml:space="preserve">b3.uniturl,</w:instrText>
      </w:r>
      <w:r>
        <w:rPr>
          <w:rFonts w:ascii="宋体" w:hAnsi="宋体" w:cs="Lucida Sans Unicode"/>
          <w:sz w:val="24"/>
          <w:szCs w:val="24"/>
          <w:highlight w:val="none"/>
        </w:rPr>
        <w:instrText xml:space="preserve">b2.organName from gp_project b1,bas_organ b2,gp_agent b3 where b1.agentOrgan=b2.organId and b2.organId=b3.org</w:instrText>
      </w:r>
      <w:r>
        <w:rPr>
          <w:rFonts w:hint="eastAsia" w:ascii="宋体" w:hAnsi="宋体" w:cs="Lucida Sans Unicode"/>
          <w:sz w:val="24"/>
          <w:szCs w:val="24"/>
          <w:highlight w:val="none"/>
        </w:rPr>
        <w:instrText xml:space="preserve">anid </w:instrText>
      </w:r>
      <w:r>
        <w:rPr>
          <w:rFonts w:ascii="宋体" w:hAnsi="宋体" w:cs="Lucida Sans Unicode"/>
          <w:sz w:val="24"/>
          <w:szCs w:val="24"/>
          <w:highlight w:val="none"/>
        </w:rPr>
        <w:instrText xml:space="preserve">and b1.</w:instrText>
      </w:r>
      <w:r>
        <w:rPr>
          <w:rFonts w:hint="eastAsia" w:ascii="宋体" w:hAnsi="宋体" w:cs="Lucida Sans Unicode"/>
          <w:sz w:val="24"/>
          <w:szCs w:val="24"/>
          <w:highlight w:val="none"/>
        </w:rPr>
        <w:instrText xml:space="preserve">projectid</w:instrText>
      </w:r>
      <w:r>
        <w:rPr>
          <w:rFonts w:ascii="宋体" w:hAnsi="宋体" w:cs="Lucida Sans Unicode"/>
          <w:sz w:val="24"/>
          <w:szCs w:val="24"/>
          <w:highlight w:val="none"/>
        </w:rPr>
        <w:instrText xml:space="preserve"> =</w:instrText>
      </w:r>
      <w:r>
        <w:rPr>
          <w:rFonts w:hint="eastAsia" w:ascii="宋体" w:hAnsi="宋体" w:cs="Lucida Sans Unicode"/>
          <w:sz w:val="24"/>
          <w:szCs w:val="24"/>
          <w:highlight w:val="none"/>
        </w:rPr>
        <w:instrText xml:space="preserve">"+NFV("pro.projectid",-1) &lt;/def&gt;</w:instrText>
      </w:r>
      <w:r>
        <w:rPr>
          <w:rFonts w:ascii="宋体" w:hAnsi="宋体" w:cs="Lucida Sans Unicode"/>
          <w:sz w:val="24"/>
          <w:szCs w:val="24"/>
          <w:highlight w:val="none"/>
        </w:rPr>
        <w:instrText xml:space="preserve">&lt;/MK&gt;</w:instrText>
      </w:r>
      <w:r>
        <w:rPr>
          <w:rFonts w:ascii="宋体" w:hAnsi="宋体" w:cs="Lucida Sans Unicode"/>
          <w:sz w:val="24"/>
          <w:szCs w:val="24"/>
          <w:highlight w:val="none"/>
        </w:rPr>
        <w:fldChar w:fldCharType="separate"/>
      </w:r>
      <w:r>
        <w:rPr>
          <w:rFonts w:ascii="宋体" w:hAnsi="宋体" w:cs="Lucida Sans Unicode"/>
          <w:sz w:val="24"/>
          <w:szCs w:val="24"/>
          <w:highlight w:val="none"/>
        </w:rPr>
        <w:t>!异常的公式结尾</w:t>
      </w:r>
      <w:r>
        <w:rPr>
          <w:rFonts w:ascii="宋体" w:hAnsi="宋体" w:cs="Lucida Sans Unicode"/>
          <w:sz w:val="24"/>
          <w:szCs w:val="24"/>
          <w:highlight w:val="none"/>
        </w:rPr>
        <w:fldChar w:fldCharType="end"/>
      </w:r>
      <w:r>
        <w:rPr>
          <w:rFonts w:ascii="宋体" w:hAnsi="宋体"/>
          <w:sz w:val="24"/>
          <w:szCs w:val="24"/>
          <w:highlight w:val="none"/>
        </w:rPr>
        <w:fldChar w:fldCharType="begin"/>
      </w:r>
      <w:r>
        <w:rPr>
          <w:rFonts w:ascii="宋体" w:hAnsi="宋体"/>
          <w:sz w:val="24"/>
          <w:szCs w:val="24"/>
          <w:highlight w:val="none"/>
        </w:rPr>
        <w:instrText xml:space="preserve">&lt;MK cmd="bus"&gt;&lt;def type="query" recs="</w:instrText>
      </w:r>
      <w:r>
        <w:rPr>
          <w:rFonts w:hint="eastAsia" w:ascii="宋体" w:hAnsi="宋体"/>
          <w:sz w:val="24"/>
          <w:szCs w:val="24"/>
          <w:highlight w:val="none"/>
        </w:rPr>
        <w:instrText xml:space="preserve">totle</w:instrText>
      </w:r>
      <w:r>
        <w:rPr>
          <w:rFonts w:ascii="宋体" w:hAnsi="宋体"/>
          <w:sz w:val="24"/>
          <w:szCs w:val="24"/>
          <w:highlight w:val="none"/>
        </w:rPr>
        <w:instrText xml:space="preserve">"&gt;"SELECT</w:instrText>
      </w:r>
      <w:r>
        <w:rPr>
          <w:rFonts w:hint="eastAsia" w:ascii="宋体" w:hAnsi="宋体"/>
          <w:sz w:val="24"/>
          <w:szCs w:val="24"/>
          <w:highlight w:val="none"/>
        </w:rPr>
        <w:instrText xml:space="preserve"> sum(a.</w:instrText>
      </w:r>
      <w:r>
        <w:rPr>
          <w:rFonts w:ascii="宋体" w:hAnsi="宋体"/>
          <w:sz w:val="24"/>
          <w:szCs w:val="24"/>
          <w:highlight w:val="none"/>
        </w:rPr>
        <w:instrText xml:space="preserve">budgetAmount</w:instrText>
      </w:r>
      <w:r>
        <w:rPr>
          <w:rFonts w:hint="eastAsia" w:ascii="宋体" w:hAnsi="宋体"/>
          <w:sz w:val="24"/>
          <w:szCs w:val="24"/>
          <w:highlight w:val="none"/>
        </w:rPr>
        <w:instrText xml:space="preserve">) budgettotle</w:instrText>
      </w:r>
      <w:r>
        <w:rPr>
          <w:rFonts w:ascii="宋体" w:hAnsi="宋体"/>
          <w:sz w:val="24"/>
          <w:szCs w:val="24"/>
          <w:highlight w:val="none"/>
        </w:rPr>
        <w:instrText xml:space="preserve"> </w:instrText>
      </w:r>
      <w:r>
        <w:rPr>
          <w:rFonts w:hint="eastAsia" w:ascii="宋体" w:hAnsi="宋体"/>
          <w:sz w:val="24"/>
          <w:szCs w:val="24"/>
          <w:highlight w:val="none"/>
        </w:rPr>
        <w:instrText xml:space="preserve">from </w:instrText>
      </w:r>
      <w:r>
        <w:rPr>
          <w:rFonts w:ascii="宋体" w:hAnsi="宋体"/>
          <w:sz w:val="24"/>
          <w:szCs w:val="24"/>
          <w:highlight w:val="none"/>
        </w:rPr>
        <w:instrText xml:space="preserve">gp_goods a,gp_package b,gp_packageScheme c WHERE a.packageId=b.packageId AND b.packageSchemeId=c.packageSchemeId AND</w:instrText>
      </w:r>
      <w:r>
        <w:rPr>
          <w:rFonts w:hint="eastAsia" w:ascii="宋体" w:hAnsi="宋体"/>
          <w:sz w:val="24"/>
          <w:szCs w:val="24"/>
          <w:highlight w:val="none"/>
        </w:rPr>
        <w:instrText xml:space="preserve"> </w:instrText>
      </w:r>
      <w:r>
        <w:rPr>
          <w:rFonts w:ascii="宋体" w:hAnsi="宋体"/>
          <w:sz w:val="24"/>
          <w:szCs w:val="24"/>
          <w:highlight w:val="none"/>
        </w:rPr>
        <w:instrText xml:space="preserve">c.schemeId</w:instrText>
      </w:r>
      <w:r>
        <w:rPr>
          <w:rFonts w:hint="eastAsia" w:ascii="宋体" w:hAnsi="宋体"/>
          <w:sz w:val="24"/>
          <w:szCs w:val="24"/>
          <w:highlight w:val="none"/>
        </w:rPr>
        <w:instrText xml:space="preserve"> ="+NFV("schemeid",-1)</w:instrText>
      </w:r>
      <w:r>
        <w:rPr>
          <w:rFonts w:ascii="宋体" w:hAnsi="宋体"/>
          <w:sz w:val="24"/>
          <w:szCs w:val="24"/>
          <w:highlight w:val="none"/>
        </w:rPr>
        <w:instrText xml:space="preserve">&lt;/def&gt;&lt;/MK&gt;</w:instrText>
      </w:r>
      <w:r>
        <w:rPr>
          <w:rFonts w:ascii="宋体" w:hAnsi="宋体"/>
          <w:sz w:val="24"/>
          <w:szCs w:val="24"/>
          <w:highlight w:val="none"/>
        </w:rPr>
        <w:fldChar w:fldCharType="end"/>
      </w:r>
      <w:r>
        <w:rPr>
          <w:rFonts w:ascii="宋体" w:hAnsi="宋体" w:cs="Lucida Sans Unicode"/>
          <w:sz w:val="24"/>
          <w:szCs w:val="24"/>
          <w:highlight w:val="none"/>
        </w:rPr>
        <w:fldChar w:fldCharType="begin"/>
      </w:r>
      <w:r>
        <w:rPr>
          <w:rFonts w:ascii="宋体" w:hAnsi="宋体" w:cs="Lucida Sans Unicode"/>
          <w:sz w:val="24"/>
          <w:szCs w:val="24"/>
          <w:highlight w:val="none"/>
        </w:rPr>
        <w:instrText xml:space="preserve">&lt;MK cmd="</w:instrText>
      </w:r>
      <w:r>
        <w:rPr>
          <w:rFonts w:hint="eastAsia" w:ascii="宋体" w:hAnsi="宋体" w:cs="Lucida Sans Unicode"/>
          <w:sz w:val="24"/>
          <w:szCs w:val="24"/>
          <w:highlight w:val="none"/>
        </w:rPr>
        <w:instrText xml:space="preserve">bus</w:instrText>
      </w:r>
      <w:r>
        <w:rPr>
          <w:rFonts w:ascii="宋体" w:hAnsi="宋体" w:cs="Lucida Sans Unicode"/>
          <w:sz w:val="24"/>
          <w:szCs w:val="24"/>
          <w:highlight w:val="none"/>
        </w:rPr>
        <w:instrText xml:space="preserve">"&gt;&lt;def type="query" recs="allbuyer"&gt;"SELECT DISTINCT d.organName FROM gp_plan a,bas_organ d WHERE a.buyer=d.organId AND a.planid IN (SELECT b.planId FROM gp_package b,gp_packageScheme c WHERE b.packageSchemeId=c.packageSchemeId AND c.schemeId="+NFV("schemeid")+")"&lt;/def&gt;&lt;/MK&gt;</w:instrText>
      </w:r>
      <w:r>
        <w:rPr>
          <w:rFonts w:ascii="宋体" w:hAnsi="宋体" w:cs="Lucida Sans Unicode"/>
          <w:sz w:val="24"/>
          <w:szCs w:val="24"/>
          <w:highlight w:val="none"/>
        </w:rPr>
        <w:fldChar w:fldCharType="end"/>
      </w:r>
      <w:r>
        <w:rPr>
          <w:rFonts w:ascii="宋体" w:hAnsi="宋体" w:cs="Lucida Sans Unicode"/>
          <w:sz w:val="24"/>
          <w:szCs w:val="24"/>
          <w:highlight w:val="none"/>
        </w:rPr>
        <w:fldChar w:fldCharType="begin"/>
      </w:r>
      <w:r>
        <w:rPr>
          <w:rFonts w:ascii="宋体" w:hAnsi="宋体" w:cs="Lucida Sans Unicode"/>
          <w:sz w:val="24"/>
          <w:szCs w:val="24"/>
          <w:highlight w:val="none"/>
        </w:rPr>
        <w:instrText xml:space="preserve">&lt;MK cmd="</w:instrText>
      </w:r>
      <w:r>
        <w:rPr>
          <w:rFonts w:hint="eastAsia" w:ascii="宋体" w:hAnsi="宋体" w:cs="Lucida Sans Unicode"/>
          <w:sz w:val="24"/>
          <w:szCs w:val="24"/>
          <w:highlight w:val="none"/>
        </w:rPr>
        <w:instrText xml:space="preserve">bus</w:instrText>
      </w:r>
      <w:r>
        <w:rPr>
          <w:rFonts w:ascii="宋体" w:hAnsi="宋体" w:cs="Lucida Sans Unicode"/>
          <w:sz w:val="24"/>
          <w:szCs w:val="24"/>
          <w:highlight w:val="none"/>
        </w:rPr>
        <w:instrText xml:space="preserve">"&gt;&lt;def type="query" recs="filecode"&gt;" SELECT a.grantSymbol FROM gp_plan a WHERE a.planid IN (SELECT DISTINCT b.planId FROM gp_package b,gp_packageScheme c WHERE b.packageSchemeId=c.packageSchemeId AND c.schemeId="+NFV("schemeid")+")"&lt;/def&gt;&lt;/MK&gt;</w:instrText>
      </w:r>
      <w:r>
        <w:rPr>
          <w:rFonts w:ascii="宋体" w:hAnsi="宋体" w:cs="Lucida Sans Unicode"/>
          <w:sz w:val="24"/>
          <w:szCs w:val="24"/>
          <w:highlight w:val="none"/>
        </w:rPr>
        <w:fldChar w:fldCharType="end"/>
      </w:r>
      <w:r>
        <w:rPr>
          <w:rFonts w:ascii="宋体" w:hAnsi="宋体" w:cs="Lucida Sans Unicode"/>
          <w:sz w:val="24"/>
          <w:szCs w:val="24"/>
          <w:highlight w:val="none"/>
        </w:rPr>
        <w:fldChar w:fldCharType="begin"/>
      </w:r>
      <w:r>
        <w:rPr>
          <w:rFonts w:ascii="宋体" w:hAnsi="宋体" w:cs="Lucida Sans Unicode"/>
          <w:sz w:val="24"/>
          <w:szCs w:val="24"/>
          <w:highlight w:val="none"/>
        </w:rPr>
        <w:instrText xml:space="preserve">&lt;MK</w:instrText>
      </w:r>
      <w:r>
        <w:rPr>
          <w:rFonts w:hint="eastAsia" w:ascii="宋体" w:hAnsi="宋体" w:cs="Lucida Sans Unicode"/>
          <w:sz w:val="24"/>
          <w:szCs w:val="24"/>
          <w:highlight w:val="none"/>
        </w:rPr>
        <w:instrText xml:space="preserve"> cmd="bus"</w:instrText>
      </w:r>
      <w:r>
        <w:rPr>
          <w:rFonts w:ascii="宋体" w:hAnsi="宋体" w:cs="Lucida Sans Unicode"/>
          <w:sz w:val="24"/>
          <w:szCs w:val="24"/>
          <w:highlight w:val="none"/>
        </w:rPr>
        <w:instrText xml:space="preserve">&gt;</w:instrText>
      </w:r>
      <w:r>
        <w:rPr>
          <w:rFonts w:hint="eastAsia" w:ascii="宋体" w:hAnsi="宋体" w:cs="Lucida Sans Unicode"/>
          <w:sz w:val="24"/>
          <w:szCs w:val="24"/>
          <w:highlight w:val="none"/>
        </w:rPr>
        <w:instrText xml:space="preserve">&lt;def type="query" recs="mypro"&gt;"</w:instrText>
      </w:r>
      <w:r>
        <w:rPr>
          <w:rFonts w:ascii="宋体" w:hAnsi="宋体" w:cs="Lucida Sans Unicode"/>
          <w:sz w:val="24"/>
          <w:szCs w:val="24"/>
          <w:highlight w:val="none"/>
        </w:rPr>
        <w:instrText xml:space="preserve"> select </w:instrText>
      </w:r>
      <w:r>
        <w:rPr>
          <w:rFonts w:hint="eastAsia" w:ascii="宋体" w:hAnsi="宋体" w:cs="Lucida Sans Unicode"/>
          <w:sz w:val="24"/>
          <w:szCs w:val="24"/>
          <w:highlight w:val="none"/>
        </w:rPr>
        <w:instrText xml:space="preserve">a.agentOrgan,c.organname</w:instrText>
      </w:r>
      <w:r>
        <w:rPr>
          <w:rFonts w:ascii="宋体" w:hAnsi="宋体" w:cs="Lucida Sans Unicode"/>
          <w:sz w:val="24"/>
          <w:szCs w:val="24"/>
          <w:highlight w:val="none"/>
        </w:rPr>
        <w:instrText xml:space="preserve"> from gp_project a,gp_projectScheme b</w:instrText>
      </w:r>
      <w:r>
        <w:rPr>
          <w:rFonts w:hint="eastAsia" w:ascii="宋体" w:hAnsi="宋体" w:cs="Lucida Sans Unicode"/>
          <w:sz w:val="24"/>
          <w:szCs w:val="24"/>
          <w:highlight w:val="none"/>
        </w:rPr>
        <w:instrText xml:space="preserve">,bas_organ c</w:instrText>
      </w:r>
      <w:r>
        <w:rPr>
          <w:rFonts w:ascii="宋体" w:hAnsi="宋体" w:cs="Lucida Sans Unicode"/>
          <w:sz w:val="24"/>
          <w:szCs w:val="24"/>
          <w:highlight w:val="none"/>
        </w:rPr>
        <w:instrText xml:space="preserve"> where a.projectId=b.projectId</w:instrText>
      </w:r>
      <w:r>
        <w:rPr>
          <w:rFonts w:hint="eastAsia" w:ascii="宋体" w:hAnsi="宋体" w:cs="Lucida Sans Unicode"/>
          <w:sz w:val="24"/>
          <w:szCs w:val="24"/>
          <w:highlight w:val="none"/>
        </w:rPr>
        <w:instrText xml:space="preserve"> and a.agentorgan=c.organid</w:instrText>
      </w:r>
      <w:r>
        <w:rPr>
          <w:rFonts w:ascii="宋体" w:hAnsi="宋体" w:cs="Lucida Sans Unicode"/>
          <w:sz w:val="24"/>
          <w:szCs w:val="24"/>
          <w:highlight w:val="none"/>
        </w:rPr>
        <w:instrText xml:space="preserve"> and </w:instrText>
      </w:r>
      <w:r>
        <w:rPr>
          <w:rFonts w:hint="eastAsia" w:ascii="宋体" w:hAnsi="宋体" w:cs="Lucida Sans Unicode"/>
          <w:sz w:val="24"/>
          <w:szCs w:val="24"/>
          <w:highlight w:val="none"/>
        </w:rPr>
        <w:instrText xml:space="preserve">b</w:instrText>
      </w:r>
      <w:r>
        <w:rPr>
          <w:rFonts w:ascii="宋体" w:hAnsi="宋体" w:cs="Lucida Sans Unicode"/>
          <w:sz w:val="24"/>
          <w:szCs w:val="24"/>
          <w:highlight w:val="none"/>
        </w:rPr>
        <w:instrText xml:space="preserve">.schemeId="</w:instrText>
      </w:r>
      <w:r>
        <w:rPr>
          <w:rFonts w:hint="eastAsia" w:ascii="宋体" w:hAnsi="宋体" w:cs="Lucida Sans Unicode"/>
          <w:sz w:val="24"/>
          <w:szCs w:val="24"/>
          <w:highlight w:val="none"/>
        </w:rPr>
        <w:instrText xml:space="preserve">+NFV("</w:instrText>
      </w:r>
      <w:r>
        <w:rPr>
          <w:rFonts w:ascii="宋体" w:hAnsi="宋体" w:cs="Lucida Sans Unicode"/>
          <w:sz w:val="24"/>
          <w:szCs w:val="24"/>
          <w:highlight w:val="none"/>
        </w:rPr>
        <w:instrText xml:space="preserve">schemeid</w:instrText>
      </w:r>
      <w:r>
        <w:rPr>
          <w:rFonts w:hint="eastAsia" w:ascii="宋体" w:hAnsi="宋体" w:cs="Lucida Sans Unicode"/>
          <w:sz w:val="24"/>
          <w:szCs w:val="24"/>
          <w:highlight w:val="none"/>
        </w:rPr>
        <w:instrText xml:space="preserve">",-1)&lt;/def&gt;</w:instrText>
      </w:r>
      <w:r>
        <w:rPr>
          <w:rFonts w:ascii="宋体" w:hAnsi="宋体" w:cs="Lucida Sans Unicode"/>
          <w:sz w:val="24"/>
          <w:szCs w:val="24"/>
          <w:highlight w:val="none"/>
        </w:rPr>
        <w:instrText xml:space="preserve">&lt;/MK&gt;</w:instrText>
      </w:r>
      <w:r>
        <w:rPr>
          <w:rFonts w:ascii="宋体" w:hAnsi="宋体" w:cs="Lucida Sans Unicode"/>
          <w:sz w:val="24"/>
          <w:szCs w:val="24"/>
          <w:highlight w:val="none"/>
        </w:rPr>
        <w:fldChar w:fldCharType="separate"/>
      </w:r>
      <w:r>
        <w:rPr>
          <w:rFonts w:ascii="宋体" w:hAnsi="宋体" w:cs="Lucida Sans Unicode"/>
          <w:sz w:val="24"/>
          <w:szCs w:val="24"/>
          <w:highlight w:val="none"/>
        </w:rPr>
        <w:t>!异常的公式结尾</w:t>
      </w:r>
      <w:r>
        <w:rPr>
          <w:rFonts w:ascii="宋体" w:hAnsi="宋体" w:cs="Lucida Sans Unicode"/>
          <w:sz w:val="24"/>
          <w:szCs w:val="24"/>
          <w:highlight w:val="none"/>
        </w:rPr>
        <w:fldChar w:fldCharType="end"/>
      </w:r>
    </w:p>
    <w:p w14:paraId="79B605B7">
      <w:pPr>
        <w:pStyle w:val="38"/>
        <w:rPr>
          <w:rFonts w:hint="eastAsia" w:ascii="仿宋" w:hAnsi="仿宋" w:eastAsia="仿宋" w:cs="仿宋"/>
          <w:bCs/>
          <w:sz w:val="28"/>
          <w:szCs w:val="28"/>
          <w:highlight w:val="none"/>
        </w:rPr>
      </w:pPr>
    </w:p>
    <w:p w14:paraId="281FCE17">
      <w:pPr>
        <w:pStyle w:val="38"/>
        <w:rPr>
          <w:rFonts w:ascii="仿宋" w:hAnsi="仿宋" w:eastAsia="仿宋" w:cs="仿宋"/>
          <w:bCs/>
          <w:sz w:val="28"/>
          <w:szCs w:val="28"/>
          <w:highlight w:val="none"/>
        </w:rPr>
      </w:pPr>
    </w:p>
    <w:p w14:paraId="1A7CA67B">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3FAD3738">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6E60526F">
      <w:pPr>
        <w:pStyle w:val="38"/>
        <w:rPr>
          <w:sz w:val="30"/>
          <w:szCs w:val="30"/>
          <w:highlight w:val="none"/>
        </w:rPr>
      </w:pPr>
    </w:p>
    <w:p w14:paraId="37B8043B">
      <w:pPr>
        <w:ind w:firstLine="900" w:firstLineChars="300"/>
        <w:jc w:val="left"/>
        <w:rPr>
          <w:rFonts w:ascii="仿宋" w:hAnsi="仿宋" w:eastAsia="仿宋" w:cs="仿宋"/>
          <w:bCs/>
          <w:sz w:val="30"/>
          <w:szCs w:val="30"/>
          <w:highlight w:val="none"/>
        </w:rPr>
      </w:pPr>
    </w:p>
    <w:p w14:paraId="5A610097">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3E9ECA2E">
      <w:pPr>
        <w:ind w:firstLine="900" w:firstLineChars="300"/>
        <w:jc w:val="left"/>
        <w:rPr>
          <w:rFonts w:ascii="仿宋" w:hAnsi="仿宋" w:eastAsia="仿宋" w:cs="仿宋"/>
          <w:bCs/>
          <w:sz w:val="30"/>
          <w:szCs w:val="30"/>
          <w:highlight w:val="none"/>
        </w:rPr>
      </w:pPr>
    </w:p>
    <w:p w14:paraId="1C7D71A1">
      <w:pPr>
        <w:ind w:firstLine="900" w:firstLineChars="300"/>
        <w:jc w:val="left"/>
        <w:rPr>
          <w:rFonts w:hint="eastAsia" w:ascii="仿宋" w:hAnsi="仿宋" w:eastAsia="仿宋" w:cs="仿宋"/>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4097A6C0">
      <w:pPr>
        <w:jc w:val="left"/>
        <w:rPr>
          <w:rFonts w:ascii="仿宋" w:hAnsi="仿宋" w:eastAsia="仿宋" w:cs="仿宋"/>
          <w:sz w:val="30"/>
          <w:szCs w:val="30"/>
          <w:highlight w:val="none"/>
        </w:rPr>
      </w:pPr>
    </w:p>
    <w:p w14:paraId="28CF5087">
      <w:pPr>
        <w:pStyle w:val="23"/>
        <w:rPr>
          <w:rFonts w:ascii="仿宋" w:hAnsi="仿宋" w:eastAsia="仿宋" w:cs="仿宋"/>
          <w:kern w:val="0"/>
          <w:sz w:val="30"/>
          <w:szCs w:val="30"/>
          <w:highlight w:val="none"/>
        </w:rPr>
      </w:pPr>
    </w:p>
    <w:p w14:paraId="55BBF96B">
      <w:pPr>
        <w:pStyle w:val="38"/>
        <w:rPr>
          <w:rFonts w:ascii="仿宋" w:hAnsi="仿宋" w:eastAsia="仿宋" w:cs="仿宋"/>
          <w:sz w:val="30"/>
          <w:szCs w:val="30"/>
          <w:highlight w:val="none"/>
        </w:rPr>
      </w:pPr>
    </w:p>
    <w:p w14:paraId="25B0F8CA">
      <w:pPr>
        <w:pStyle w:val="38"/>
        <w:rPr>
          <w:rFonts w:ascii="仿宋" w:hAnsi="仿宋" w:eastAsia="仿宋" w:cs="仿宋"/>
          <w:sz w:val="30"/>
          <w:szCs w:val="30"/>
          <w:highlight w:val="none"/>
        </w:rPr>
      </w:pPr>
    </w:p>
    <w:p w14:paraId="09EE9D4E">
      <w:pPr>
        <w:pStyle w:val="38"/>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5989EE68">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5F6DF39F">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6FC269D5">
      <w:pPr>
        <w:jc w:val="center"/>
        <w:rPr>
          <w:rFonts w:ascii="仿宋" w:hAnsi="仿宋" w:eastAsia="仿宋" w:cs="仿宋"/>
          <w:b/>
          <w:bCs/>
          <w:sz w:val="30"/>
          <w:szCs w:val="30"/>
          <w:highlight w:val="none"/>
        </w:rPr>
      </w:pPr>
      <w:r>
        <w:rPr>
          <w:rFonts w:hint="eastAsia" w:ascii="仿宋" w:hAnsi="仿宋" w:eastAsia="仿宋" w:cs="仿宋"/>
          <w:kern w:val="0"/>
          <w:sz w:val="30"/>
          <w:szCs w:val="30"/>
          <w:highlight w:val="none"/>
        </w:rPr>
        <w:br w:type="page"/>
      </w:r>
      <w:r>
        <w:rPr>
          <w:rFonts w:hint="eastAsia" w:ascii="仿宋" w:hAnsi="仿宋" w:eastAsia="仿宋" w:cs="仿宋"/>
          <w:b/>
          <w:bCs/>
          <w:sz w:val="30"/>
          <w:szCs w:val="30"/>
          <w:highlight w:val="none"/>
        </w:rPr>
        <w:t>目  录</w:t>
      </w:r>
    </w:p>
    <w:p w14:paraId="45C7D2C0">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1D7DB6C0">
      <w:pPr>
        <w:jc w:val="center"/>
        <w:rPr>
          <w:rFonts w:ascii="仿宋" w:hAnsi="仿宋" w:eastAsia="仿宋" w:cs="仿宋"/>
          <w:b/>
          <w:bCs/>
          <w:sz w:val="24"/>
          <w:szCs w:val="24"/>
          <w:highlight w:val="none"/>
        </w:rPr>
      </w:pPr>
    </w:p>
    <w:p w14:paraId="65246A6C">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6"/>
          <w:szCs w:val="36"/>
          <w:highlight w:val="none"/>
        </w:rPr>
        <w:t>投标承诺函</w:t>
      </w:r>
    </w:p>
    <w:p w14:paraId="70F0BD14">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7C2AAA74">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的招标文件的要求，经详细研究决定参加投标。</w:t>
      </w:r>
    </w:p>
    <w:p w14:paraId="21C86638">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w:t>
      </w:r>
    </w:p>
    <w:p w14:paraId="0342BF28">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405BE2F5">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56DFF1D3">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4FAD4D6B">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0EB4267E">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2700D234">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（2）我方承诺在合同约定的期限内，按期、保质、保量完成任务；</w:t>
      </w:r>
    </w:p>
    <w:p w14:paraId="40184FCC">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40CC9058">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1D58E1C6">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609080DA">
      <w:pPr>
        <w:snapToGrid w:val="0"/>
        <w:spacing w:line="360" w:lineRule="auto"/>
        <w:ind w:firstLine="480" w:firstLineChars="200"/>
        <w:outlineLvl w:val="1"/>
        <w:rPr>
          <w:rFonts w:ascii="仿宋" w:hAnsi="仿宋" w:eastAsia="仿宋" w:cs="仿宋"/>
          <w:kern w:val="0"/>
          <w:sz w:val="24"/>
          <w:szCs w:val="24"/>
          <w:highlight w:val="none"/>
        </w:rPr>
      </w:pPr>
      <w:bookmarkStart w:id="43" w:name="_Toc3042"/>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bookmarkEnd w:id="43"/>
    </w:p>
    <w:p w14:paraId="06473AFE">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3CD96EC6">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6EBF4F40">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62852943">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3AADBB19">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6EBF51B6">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1052120E">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14:paraId="6032134A">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3424C4AA">
      <w:pPr>
        <w:snapToGrid w:val="0"/>
        <w:spacing w:line="360" w:lineRule="auto"/>
        <w:rPr>
          <w:rFonts w:hint="eastAsia" w:ascii="仿宋" w:hAnsi="仿宋" w:eastAsia="仿宋" w:cs="仿宋"/>
          <w:sz w:val="24"/>
          <w:szCs w:val="24"/>
          <w:highlight w:val="none"/>
        </w:rPr>
        <w:sectPr>
          <w:headerReference r:id="rId13" w:type="default"/>
          <w:pgSz w:w="11906" w:h="16838"/>
          <w:pgMar w:top="1440" w:right="1803" w:bottom="1440" w:left="1803" w:header="851" w:footer="992" w:gutter="0"/>
          <w:pgNumType w:fmt="decimal"/>
          <w:cols w:space="720" w:num="1"/>
          <w:docGrid w:type="lines" w:linePitch="312" w:charSpace="0"/>
        </w:sectPr>
      </w:pPr>
    </w:p>
    <w:p w14:paraId="1DBF1253">
      <w:pPr>
        <w:jc w:val="center"/>
        <w:rPr>
          <w:rFonts w:ascii="仿宋" w:hAnsi="仿宋" w:eastAsia="仿宋" w:cs="仿宋"/>
          <w:sz w:val="36"/>
          <w:szCs w:val="36"/>
          <w:highlight w:val="none"/>
          <w:u w:val="single"/>
        </w:rPr>
      </w:pPr>
      <w:r>
        <w:rPr>
          <w:rFonts w:hint="eastAsia" w:ascii="仿宋" w:hAnsi="仿宋" w:eastAsia="仿宋" w:cs="仿宋"/>
          <w:b/>
          <w:bCs/>
          <w:sz w:val="36"/>
          <w:szCs w:val="36"/>
          <w:highlight w:val="none"/>
        </w:rPr>
        <w:t>开标一览表</w:t>
      </w:r>
    </w:p>
    <w:p w14:paraId="0F8E61FF">
      <w:pPr>
        <w:pStyle w:val="23"/>
        <w:wordWrap w:val="0"/>
        <w:spacing w:line="520" w:lineRule="exact"/>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招标</w:t>
      </w:r>
      <w:r>
        <w:rPr>
          <w:rFonts w:hint="eastAsia" w:ascii="仿宋" w:hAnsi="仿宋" w:eastAsia="仿宋"/>
          <w:sz w:val="24"/>
          <w:szCs w:val="24"/>
          <w:highlight w:val="none"/>
        </w:rPr>
        <w:t>编号：</w:t>
      </w:r>
      <w:r>
        <w:rPr>
          <w:rFonts w:hint="eastAsia" w:ascii="仿宋" w:hAnsi="仿宋" w:eastAsia="仿宋"/>
          <w:sz w:val="24"/>
          <w:szCs w:val="24"/>
          <w:highlight w:val="none"/>
          <w:lang w:eastAsia="zh-CN"/>
        </w:rPr>
        <w:t>PURM202610200002</w:t>
      </w:r>
    </w:p>
    <w:p w14:paraId="4A6968C8">
      <w:pPr>
        <w:pStyle w:val="23"/>
        <w:wordWrap w:val="0"/>
        <w:spacing w:line="520" w:lineRule="exact"/>
        <w:ind w:left="1200" w:hanging="1200" w:hangingChars="500"/>
        <w:rPr>
          <w:rFonts w:hint="eastAsia" w:ascii="仿宋" w:hAnsi="仿宋" w:eastAsia="仿宋"/>
          <w:sz w:val="24"/>
          <w:szCs w:val="24"/>
          <w:highlight w:val="none"/>
          <w:lang w:eastAsia="zh-CN"/>
        </w:rPr>
      </w:pPr>
      <w:r>
        <w:rPr>
          <w:rFonts w:hint="eastAsia" w:ascii="仿宋" w:hAnsi="仿宋" w:eastAsia="仿宋"/>
          <w:sz w:val="24"/>
          <w:szCs w:val="24"/>
          <w:highlight w:val="none"/>
        </w:rPr>
        <w:t>项目名称：</w:t>
      </w:r>
      <w:r>
        <w:rPr>
          <w:rFonts w:hint="eastAsia" w:ascii="仿宋" w:hAnsi="仿宋" w:eastAsia="仿宋"/>
          <w:sz w:val="24"/>
          <w:szCs w:val="24"/>
          <w:highlight w:val="none"/>
          <w:lang w:val="en-US" w:eastAsia="zh-CN"/>
        </w:rPr>
        <w:t>2026年环翠区农村供水基础设施专项工程构建多元化人员能力提升体系服务项目</w:t>
      </w:r>
    </w:p>
    <w:tbl>
      <w:tblPr>
        <w:tblStyle w:val="43"/>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30"/>
        <w:gridCol w:w="6037"/>
      </w:tblGrid>
      <w:tr w14:paraId="3BD2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32" w:type="dxa"/>
            <w:noWrap w:val="0"/>
            <w:vAlign w:val="center"/>
          </w:tcPr>
          <w:p w14:paraId="294DC87B">
            <w:pPr>
              <w:tabs>
                <w:tab w:val="left" w:pos="4860"/>
              </w:tabs>
              <w:spacing w:line="440" w:lineRule="exact"/>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p>
        </w:tc>
        <w:tc>
          <w:tcPr>
            <w:tcW w:w="1830" w:type="dxa"/>
            <w:noWrap w:val="0"/>
            <w:vAlign w:val="center"/>
          </w:tcPr>
          <w:p w14:paraId="77E62E9A">
            <w:pPr>
              <w:tabs>
                <w:tab w:val="left" w:pos="4860"/>
              </w:tabs>
              <w:spacing w:line="440" w:lineRule="exact"/>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项目名称</w:t>
            </w:r>
          </w:p>
        </w:tc>
        <w:tc>
          <w:tcPr>
            <w:tcW w:w="6037" w:type="dxa"/>
            <w:noWrap w:val="0"/>
            <w:vAlign w:val="center"/>
          </w:tcPr>
          <w:p w14:paraId="10FE35C0">
            <w:pPr>
              <w:tabs>
                <w:tab w:val="left" w:pos="4860"/>
              </w:tabs>
              <w:spacing w:line="440" w:lineRule="exact"/>
              <w:jc w:val="center"/>
              <w:rPr>
                <w:rFonts w:hint="eastAsia" w:ascii="仿宋" w:hAnsi="仿宋" w:eastAsia="仿宋" w:cs="仿宋"/>
                <w:b/>
                <w:color w:val="auto"/>
                <w:sz w:val="24"/>
                <w:highlight w:val="none"/>
                <w:lang w:eastAsia="zh-CN"/>
              </w:rPr>
            </w:pPr>
            <w:r>
              <w:rPr>
                <w:rFonts w:hint="eastAsia" w:ascii="仿宋" w:hAnsi="仿宋" w:eastAsia="仿宋" w:cs="仿宋"/>
                <w:b w:val="0"/>
                <w:bCs/>
                <w:color w:val="auto"/>
                <w:sz w:val="24"/>
                <w:highlight w:val="none"/>
                <w:lang w:eastAsia="zh-CN"/>
              </w:rPr>
              <w:t>2026年环翠区农村供水基础设施专项工程构建多元化人员能力提升体系服务项目</w:t>
            </w:r>
          </w:p>
        </w:tc>
      </w:tr>
      <w:tr w14:paraId="3B21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32" w:type="dxa"/>
            <w:noWrap w:val="0"/>
            <w:vAlign w:val="center"/>
          </w:tcPr>
          <w:p w14:paraId="56DB3CB6">
            <w:pPr>
              <w:tabs>
                <w:tab w:val="left" w:pos="4860"/>
              </w:tabs>
              <w:spacing w:line="440" w:lineRule="exact"/>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2</w:t>
            </w:r>
          </w:p>
        </w:tc>
        <w:tc>
          <w:tcPr>
            <w:tcW w:w="1830" w:type="dxa"/>
            <w:noWrap w:val="0"/>
            <w:vAlign w:val="center"/>
          </w:tcPr>
          <w:p w14:paraId="7E22345C">
            <w:pPr>
              <w:tabs>
                <w:tab w:val="left" w:pos="4860"/>
              </w:tabs>
              <w:spacing w:line="440" w:lineRule="exact"/>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投标报价</w:t>
            </w:r>
          </w:p>
        </w:tc>
        <w:tc>
          <w:tcPr>
            <w:tcW w:w="6037" w:type="dxa"/>
            <w:noWrap w:val="0"/>
            <w:vAlign w:val="center"/>
          </w:tcPr>
          <w:p w14:paraId="5909FE5B">
            <w:pPr>
              <w:tabs>
                <w:tab w:val="left" w:pos="4860"/>
              </w:tabs>
              <w:spacing w:line="440" w:lineRule="exact"/>
              <w:jc w:val="center"/>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u w:val="single"/>
                <w:lang w:val="en-US" w:eastAsia="zh-CN"/>
              </w:rPr>
              <w:t xml:space="preserve">           </w:t>
            </w:r>
            <w:r>
              <w:rPr>
                <w:rFonts w:hint="eastAsia" w:ascii="仿宋" w:hAnsi="仿宋" w:eastAsia="仿宋" w:cs="仿宋"/>
                <w:b w:val="0"/>
                <w:bCs/>
                <w:color w:val="auto"/>
                <w:sz w:val="24"/>
                <w:highlight w:val="none"/>
                <w:lang w:val="en-US" w:eastAsia="zh-CN"/>
              </w:rPr>
              <w:t>元</w:t>
            </w:r>
          </w:p>
        </w:tc>
      </w:tr>
      <w:tr w14:paraId="1406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732" w:type="dxa"/>
            <w:noWrap w:val="0"/>
            <w:vAlign w:val="center"/>
          </w:tcPr>
          <w:p w14:paraId="75A8E4F1">
            <w:pPr>
              <w:tabs>
                <w:tab w:val="left" w:pos="4860"/>
              </w:tabs>
              <w:spacing w:line="44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830" w:type="dxa"/>
            <w:noWrap w:val="0"/>
            <w:vAlign w:val="center"/>
          </w:tcPr>
          <w:p w14:paraId="39CA805D">
            <w:pPr>
              <w:tabs>
                <w:tab w:val="left" w:pos="4860"/>
              </w:tabs>
              <w:spacing w:line="44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pacing w:val="8"/>
                <w:sz w:val="24"/>
                <w:highlight w:val="none"/>
              </w:rPr>
              <w:t>服务</w:t>
            </w:r>
            <w:r>
              <w:rPr>
                <w:rFonts w:hint="eastAsia" w:ascii="仿宋" w:hAnsi="仿宋" w:eastAsia="仿宋" w:cs="仿宋"/>
                <w:color w:val="auto"/>
                <w:spacing w:val="8"/>
                <w:sz w:val="24"/>
                <w:highlight w:val="none"/>
                <w:lang w:val="en-US" w:eastAsia="zh-CN"/>
              </w:rPr>
              <w:t>期限</w:t>
            </w:r>
          </w:p>
        </w:tc>
        <w:tc>
          <w:tcPr>
            <w:tcW w:w="6037" w:type="dxa"/>
            <w:noWrap w:val="0"/>
            <w:vAlign w:val="center"/>
          </w:tcPr>
          <w:p w14:paraId="706CB6E2">
            <w:pPr>
              <w:tabs>
                <w:tab w:val="left" w:pos="4860"/>
              </w:tabs>
              <w:spacing w:line="440" w:lineRule="exact"/>
              <w:rPr>
                <w:rFonts w:hint="default" w:eastAsia="宋体"/>
                <w:highlight w:val="none"/>
                <w:lang w:val="en-US" w:eastAsia="zh-CN"/>
              </w:rPr>
            </w:pPr>
            <w:r>
              <w:rPr>
                <w:rFonts w:hint="eastAsia" w:ascii="仿宋" w:hAnsi="仿宋" w:eastAsia="仿宋" w:cs="仿宋"/>
                <w:color w:val="auto"/>
                <w:spacing w:val="8"/>
                <w:sz w:val="24"/>
                <w:highlight w:val="none"/>
                <w:lang w:eastAsia="zh-CN"/>
              </w:rPr>
              <w:t>自合同签订之日至2028年12月31日。</w:t>
            </w:r>
          </w:p>
        </w:tc>
      </w:tr>
      <w:tr w14:paraId="0766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jc w:val="center"/>
        </w:trPr>
        <w:tc>
          <w:tcPr>
            <w:tcW w:w="732" w:type="dxa"/>
            <w:noWrap w:val="0"/>
            <w:vAlign w:val="center"/>
          </w:tcPr>
          <w:p w14:paraId="14D1E65F">
            <w:pPr>
              <w:tabs>
                <w:tab w:val="left" w:pos="4860"/>
              </w:tabs>
              <w:spacing w:line="44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830" w:type="dxa"/>
            <w:noWrap w:val="0"/>
            <w:vAlign w:val="center"/>
          </w:tcPr>
          <w:p w14:paraId="1D77B255">
            <w:pPr>
              <w:tabs>
                <w:tab w:val="left" w:pos="4860"/>
              </w:tabs>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投标声明</w:t>
            </w:r>
          </w:p>
        </w:tc>
        <w:tc>
          <w:tcPr>
            <w:tcW w:w="6037" w:type="dxa"/>
            <w:noWrap w:val="0"/>
            <w:vAlign w:val="center"/>
          </w:tcPr>
          <w:p w14:paraId="4BA7278A">
            <w:pPr>
              <w:snapToGrid w:val="0"/>
              <w:spacing w:line="240" w:lineRule="exact"/>
              <w:rPr>
                <w:rFonts w:hint="eastAsia" w:ascii="仿宋" w:hAnsi="仿宋" w:eastAsia="仿宋" w:cs="仿宋"/>
                <w:color w:val="auto"/>
                <w:sz w:val="24"/>
                <w:szCs w:val="24"/>
                <w:highlight w:val="none"/>
              </w:rPr>
            </w:pPr>
          </w:p>
        </w:tc>
      </w:tr>
    </w:tbl>
    <w:p w14:paraId="43E3F31E">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仿宋" w:hAnsi="仿宋" w:eastAsia="仿宋" w:cs="仿宋"/>
          <w:color w:val="auto"/>
          <w:sz w:val="24"/>
          <w:szCs w:val="24"/>
          <w:highlight w:val="none"/>
        </w:rPr>
      </w:pPr>
    </w:p>
    <w:p w14:paraId="6082C700">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注：1.投标声明用于填写除投标报价、服务期限外的其它主要内容，由投标人自行确定，做到言简意赅无歧义。</w:t>
      </w:r>
    </w:p>
    <w:p w14:paraId="02CA4423">
      <w:pPr>
        <w:snapToGrid w:val="0"/>
        <w:spacing w:line="360" w:lineRule="auto"/>
        <w:ind w:firstLine="240" w:firstLineChars="100"/>
        <w:rPr>
          <w:rFonts w:hint="eastAsia" w:ascii="仿宋" w:hAnsi="仿宋" w:eastAsia="仿宋" w:cs="仿宋"/>
          <w:sz w:val="24"/>
          <w:szCs w:val="24"/>
          <w:highlight w:val="none"/>
        </w:rPr>
      </w:pPr>
    </w:p>
    <w:p w14:paraId="03EED182">
      <w:pPr>
        <w:pStyle w:val="38"/>
        <w:rPr>
          <w:rFonts w:hint="eastAsia"/>
          <w:highlight w:val="none"/>
        </w:rPr>
      </w:pPr>
    </w:p>
    <w:p w14:paraId="6187CDC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E457AF8">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7C831DF">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70611C54">
      <w:pPr>
        <w:jc w:val="center"/>
        <w:rPr>
          <w:rFonts w:ascii="仿宋" w:hAnsi="仿宋" w:eastAsia="仿宋" w:cs="仿宋"/>
          <w:color w:val="000000"/>
          <w:sz w:val="28"/>
          <w:szCs w:val="28"/>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6"/>
          <w:szCs w:val="36"/>
          <w:highlight w:val="none"/>
        </w:rPr>
        <w:t>投标人信用承诺书</w:t>
      </w:r>
    </w:p>
    <w:p w14:paraId="2CA416D2">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为营造公平竞争、规范有序的市场环境，树立诚信守法经营形象。本单位郑重承诺：</w:t>
      </w:r>
    </w:p>
    <w:p w14:paraId="016CAD09">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一、我方在此声明，本次招标投标活动中申报的所有资料都是真实、准确完整的，如发现提供虚假资料，或与事实不符而导致投标无效，甚至造成任何法律和经济责任，完全由我方负责。</w:t>
      </w:r>
    </w:p>
    <w:p w14:paraId="7C5D9AF3">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二、我方在本次投标活动中绝无资质挂靠、串标、围标情形，若经贵方查出，立即取消我方投标资格并承担相应的法律责任。</w:t>
      </w:r>
    </w:p>
    <w:p w14:paraId="0A832F73">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三、我方在以往的招标投标活动中，无重大违法、违规的不良记录；或虽有不良记录，但已超过处理期限。</w:t>
      </w:r>
    </w:p>
    <w:p w14:paraId="78830600">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四、我方及参与本次投标的相关人员承诺近三年无行贿犯罪记录。如有不实，愿意承担一切后果。</w:t>
      </w:r>
    </w:p>
    <w:p w14:paraId="6CEB10D5">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五、我方一旦中标，将按规定及时与招标人签订合同，严格按照投标文件中所承诺的</w:t>
      </w:r>
      <w:r>
        <w:rPr>
          <w:rFonts w:hint="eastAsia" w:ascii="仿宋" w:hAnsi="仿宋" w:eastAsia="仿宋" w:cs="仿宋"/>
          <w:bCs/>
          <w:color w:val="000000"/>
          <w:sz w:val="24"/>
          <w:szCs w:val="24"/>
          <w:highlight w:val="none"/>
          <w:lang w:val="en-US" w:eastAsia="zh-CN"/>
        </w:rPr>
        <w:t>服务质量</w:t>
      </w:r>
      <w:r>
        <w:rPr>
          <w:rFonts w:hint="eastAsia" w:ascii="仿宋" w:hAnsi="仿宋" w:eastAsia="仿宋" w:cs="仿宋"/>
          <w:bCs/>
          <w:color w:val="000000"/>
          <w:sz w:val="24"/>
          <w:szCs w:val="24"/>
          <w:highlight w:val="none"/>
        </w:rPr>
        <w:t>等内容组织实施。</w:t>
      </w:r>
    </w:p>
    <w:p w14:paraId="476C2371">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六、自觉接受社会各界的监督，依法接受有关行政机关的事中事后监管和执法检查，并如实提供有关情况和材料。</w:t>
      </w:r>
    </w:p>
    <w:p w14:paraId="5DC23E80">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七、严格遵守国家法律、法规、规章和相关政策规定，积极参与社会信用体系建设，倡树以信笃行，以诚兴业的传统美德，争当信用市民，争创信用企业。</w:t>
      </w:r>
    </w:p>
    <w:p w14:paraId="4C5DC973">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八、本《信用承诺书》同意向社会公开。</w:t>
      </w:r>
    </w:p>
    <w:p w14:paraId="04636BBD">
      <w:pPr>
        <w:pStyle w:val="60"/>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Cs/>
          <w:color w:val="000000"/>
          <w:sz w:val="24"/>
          <w:szCs w:val="24"/>
          <w:highlight w:val="none"/>
        </w:rPr>
      </w:pPr>
    </w:p>
    <w:p w14:paraId="2547F0DD">
      <w:pPr>
        <w:pStyle w:val="83"/>
        <w:keepNext w:val="0"/>
        <w:keepLines w:val="0"/>
        <w:pageBreakBefore w:val="0"/>
        <w:widowControl w:val="0"/>
        <w:kinsoku/>
        <w:wordWrap/>
        <w:overflowPunct/>
        <w:topLinePunct w:val="0"/>
        <w:bidi w:val="0"/>
        <w:spacing w:line="360" w:lineRule="auto"/>
        <w:textAlignment w:val="auto"/>
        <w:rPr>
          <w:rFonts w:hint="eastAsia"/>
          <w:highlight w:val="none"/>
        </w:rPr>
      </w:pPr>
    </w:p>
    <w:p w14:paraId="2C13B3A8">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承诺单位：                          （盖章）</w:t>
      </w:r>
    </w:p>
    <w:p w14:paraId="2FFEE3B0">
      <w:pPr>
        <w:keepNext w:val="0"/>
        <w:keepLines w:val="0"/>
        <w:pageBreakBefore w:val="0"/>
        <w:widowControl w:val="0"/>
        <w:kinsoku/>
        <w:wordWrap/>
        <w:overflowPunct/>
        <w:topLinePunct w:val="0"/>
        <w:bidi w:val="0"/>
        <w:snapToGrid w:val="0"/>
        <w:spacing w:line="360" w:lineRule="auto"/>
        <w:ind w:firstLine="3360" w:firstLineChars="1400"/>
        <w:textAlignment w:val="auto"/>
        <w:rPr>
          <w:rFonts w:hint="eastAsia" w:ascii="仿宋" w:hAnsi="仿宋" w:eastAsia="仿宋" w:cs="仿宋"/>
          <w:bCs/>
          <w:color w:val="000000"/>
          <w:sz w:val="24"/>
          <w:szCs w:val="24"/>
          <w:highlight w:val="none"/>
        </w:rPr>
        <w:sectPr>
          <w:headerReference r:id="rId14" w:type="default"/>
          <w:pgSz w:w="11906" w:h="16838"/>
          <w:pgMar w:top="1440" w:right="1803" w:bottom="1440" w:left="1803" w:header="851" w:footer="992" w:gutter="0"/>
          <w:pgNumType w:fmt="decimal"/>
          <w:cols w:space="720" w:num="1"/>
          <w:docGrid w:type="lines" w:linePitch="319" w:charSpace="0"/>
        </w:sectPr>
      </w:pPr>
      <w:r>
        <w:rPr>
          <w:rFonts w:hint="eastAsia" w:ascii="仿宋" w:hAnsi="仿宋" w:eastAsia="仿宋" w:cs="仿宋"/>
          <w:bCs/>
          <w:color w:val="000000"/>
          <w:sz w:val="24"/>
          <w:szCs w:val="24"/>
          <w:highlight w:val="none"/>
        </w:rPr>
        <w:t xml:space="preserve"> </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年    月    日</w:t>
      </w:r>
    </w:p>
    <w:p w14:paraId="7511BC47">
      <w:pPr>
        <w:pStyle w:val="38"/>
        <w:jc w:val="center"/>
        <w:rPr>
          <w:rFonts w:ascii="仿宋" w:hAnsi="仿宋" w:eastAsia="仿宋" w:cs="仿宋"/>
          <w:b/>
          <w:bCs/>
          <w:sz w:val="36"/>
          <w:szCs w:val="36"/>
          <w:highlight w:val="none"/>
        </w:rPr>
      </w:pPr>
      <w:r>
        <w:rPr>
          <w:rFonts w:hint="eastAsia" w:ascii="仿宋" w:hAnsi="仿宋" w:eastAsia="仿宋" w:cs="仿宋"/>
          <w:b/>
          <w:bCs/>
          <w:kern w:val="2"/>
          <w:sz w:val="36"/>
          <w:szCs w:val="36"/>
          <w:highlight w:val="none"/>
        </w:rPr>
        <w:t>投标人资格证明文件</w:t>
      </w:r>
    </w:p>
    <w:p w14:paraId="12B150EC">
      <w:pPr>
        <w:pStyle w:val="23"/>
        <w:wordWrap w:val="0"/>
        <w:spacing w:line="520" w:lineRule="exact"/>
        <w:rPr>
          <w:rFonts w:hint="eastAsia" w:ascii="仿宋" w:hAnsi="仿宋" w:eastAsia="仿宋" w:cs="仿宋"/>
          <w:b/>
          <w:bCs/>
          <w:sz w:val="24"/>
          <w:szCs w:val="24"/>
          <w:highlight w:val="none"/>
        </w:rPr>
      </w:pPr>
      <w:bookmarkStart w:id="44" w:name="_Toc179632811"/>
      <w:bookmarkStart w:id="45" w:name="_Toc246996359"/>
      <w:bookmarkStart w:id="46" w:name="_Toc144974860"/>
      <w:bookmarkStart w:id="47" w:name="_Toc246997102"/>
      <w:bookmarkStart w:id="48" w:name="_Toc152045791"/>
      <w:bookmarkStart w:id="49" w:name="_Toc152042580"/>
      <w:bookmarkStart w:id="50" w:name="_Toc376531086"/>
      <w:bookmarkStart w:id="51" w:name="_Toc421535651"/>
      <w:bookmarkStart w:id="52" w:name="_Toc247085877"/>
    </w:p>
    <w:p w14:paraId="6C3E6522">
      <w:pPr>
        <w:pStyle w:val="23"/>
        <w:wordWrap w:val="0"/>
        <w:spacing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投标人有效的营业执照扫描件</w:t>
      </w:r>
    </w:p>
    <w:p w14:paraId="182D1889">
      <w:pPr>
        <w:pStyle w:val="23"/>
        <w:spacing w:line="520" w:lineRule="exact"/>
        <w:rPr>
          <w:rFonts w:hint="eastAsia" w:ascii="仿宋" w:hAnsi="仿宋" w:eastAsia="仿宋" w:cs="仿宋"/>
          <w:b/>
          <w:sz w:val="44"/>
          <w:szCs w:val="44"/>
          <w:highlight w:val="none"/>
        </w:rPr>
      </w:pPr>
    </w:p>
    <w:p w14:paraId="07657AD8">
      <w:pPr>
        <w:pStyle w:val="23"/>
        <w:spacing w:line="520" w:lineRule="exact"/>
        <w:jc w:val="right"/>
        <w:rPr>
          <w:rFonts w:hint="eastAsia" w:ascii="仿宋" w:hAnsi="仿宋" w:eastAsia="仿宋" w:cs="仿宋"/>
          <w:b/>
          <w:bCs/>
          <w:sz w:val="30"/>
          <w:szCs w:val="30"/>
          <w:highlight w:val="none"/>
        </w:rPr>
      </w:pPr>
    </w:p>
    <w:p w14:paraId="1BA22142">
      <w:pPr>
        <w:pStyle w:val="23"/>
        <w:spacing w:line="520" w:lineRule="exact"/>
        <w:jc w:val="left"/>
        <w:rPr>
          <w:rFonts w:hint="eastAsia" w:ascii="仿宋" w:hAnsi="仿宋" w:eastAsia="仿宋" w:cs="仿宋"/>
          <w:sz w:val="24"/>
          <w:szCs w:val="24"/>
          <w:highlight w:val="none"/>
        </w:rPr>
      </w:pPr>
    </w:p>
    <w:p w14:paraId="7810DF00">
      <w:pPr>
        <w:pStyle w:val="23"/>
        <w:spacing w:line="520" w:lineRule="exact"/>
        <w:jc w:val="left"/>
        <w:rPr>
          <w:rFonts w:hint="eastAsia" w:ascii="仿宋" w:hAnsi="仿宋" w:eastAsia="仿宋" w:cs="仿宋"/>
          <w:sz w:val="24"/>
          <w:szCs w:val="24"/>
          <w:highlight w:val="none"/>
        </w:rPr>
      </w:pPr>
    </w:p>
    <w:p w14:paraId="6DC853A1">
      <w:pPr>
        <w:pStyle w:val="23"/>
        <w:spacing w:line="520" w:lineRule="exact"/>
        <w:jc w:val="left"/>
        <w:rPr>
          <w:rFonts w:hint="eastAsia" w:ascii="仿宋" w:hAnsi="仿宋" w:eastAsia="仿宋" w:cs="仿宋"/>
          <w:sz w:val="24"/>
          <w:szCs w:val="24"/>
          <w:highlight w:val="none"/>
        </w:rPr>
      </w:pPr>
    </w:p>
    <w:p w14:paraId="4C38C054">
      <w:pPr>
        <w:pStyle w:val="23"/>
        <w:spacing w:line="520" w:lineRule="exact"/>
        <w:jc w:val="left"/>
        <w:rPr>
          <w:rFonts w:hint="eastAsia" w:ascii="仿宋" w:hAnsi="仿宋" w:eastAsia="仿宋" w:cs="仿宋"/>
          <w:sz w:val="24"/>
          <w:szCs w:val="24"/>
          <w:highlight w:val="none"/>
        </w:rPr>
      </w:pPr>
    </w:p>
    <w:p w14:paraId="7D08F1C9">
      <w:pPr>
        <w:pStyle w:val="23"/>
        <w:spacing w:line="520" w:lineRule="exact"/>
        <w:jc w:val="left"/>
        <w:rPr>
          <w:rFonts w:hint="eastAsia" w:ascii="仿宋" w:hAnsi="仿宋" w:eastAsia="仿宋" w:cs="仿宋"/>
          <w:sz w:val="24"/>
          <w:szCs w:val="24"/>
          <w:highlight w:val="none"/>
        </w:rPr>
      </w:pPr>
    </w:p>
    <w:p w14:paraId="7AA19E53">
      <w:pPr>
        <w:pStyle w:val="23"/>
        <w:spacing w:line="520" w:lineRule="exact"/>
        <w:jc w:val="left"/>
        <w:rPr>
          <w:rFonts w:hint="eastAsia" w:ascii="仿宋" w:hAnsi="仿宋" w:eastAsia="仿宋" w:cs="仿宋"/>
          <w:sz w:val="24"/>
          <w:szCs w:val="24"/>
          <w:highlight w:val="none"/>
        </w:rPr>
      </w:pPr>
    </w:p>
    <w:p w14:paraId="4CD2F042">
      <w:pPr>
        <w:pStyle w:val="23"/>
        <w:spacing w:line="52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CB5586E">
      <w:pPr>
        <w:pStyle w:val="5"/>
        <w:jc w:val="center"/>
        <w:rPr>
          <w:rFonts w:hint="eastAsia" w:ascii="仿宋" w:hAnsi="仿宋" w:eastAsia="仿宋" w:cs="仿宋"/>
          <w:kern w:val="2"/>
          <w:sz w:val="24"/>
          <w:szCs w:val="24"/>
          <w:highlight w:val="none"/>
        </w:rPr>
      </w:pPr>
      <w:r>
        <w:rPr>
          <w:rFonts w:hint="eastAsia" w:ascii="仿宋" w:hAnsi="仿宋" w:eastAsia="仿宋" w:cs="仿宋"/>
          <w:sz w:val="24"/>
          <w:szCs w:val="24"/>
          <w:highlight w:val="none"/>
        </w:rPr>
        <w:br w:type="page"/>
      </w:r>
      <w:bookmarkEnd w:id="44"/>
      <w:bookmarkEnd w:id="45"/>
      <w:bookmarkEnd w:id="46"/>
      <w:bookmarkEnd w:id="47"/>
      <w:bookmarkEnd w:id="48"/>
      <w:bookmarkEnd w:id="49"/>
      <w:bookmarkEnd w:id="50"/>
      <w:bookmarkEnd w:id="51"/>
      <w:bookmarkEnd w:id="52"/>
      <w:bookmarkStart w:id="53" w:name="_Toc24302"/>
      <w:r>
        <w:rPr>
          <w:rFonts w:hint="eastAsia" w:ascii="仿宋" w:hAnsi="仿宋" w:eastAsia="仿宋" w:cs="仿宋"/>
          <w:kern w:val="2"/>
          <w:sz w:val="24"/>
          <w:szCs w:val="24"/>
          <w:highlight w:val="none"/>
        </w:rPr>
        <w:t>法定代表人身份证明</w:t>
      </w:r>
      <w:bookmarkEnd w:id="53"/>
    </w:p>
    <w:p w14:paraId="11FC07C9">
      <w:pPr>
        <w:spacing w:line="440" w:lineRule="exact"/>
        <w:rPr>
          <w:szCs w:val="20"/>
          <w:highlight w:val="none"/>
        </w:rPr>
      </w:pPr>
    </w:p>
    <w:p w14:paraId="351D92A3">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2ED93197">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57D89B1B">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5868295E">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4B558DD5">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56CBE679">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04FE5C75">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14:paraId="4D84C7C5">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3E488EE8">
      <w:pPr>
        <w:spacing w:line="440" w:lineRule="exact"/>
        <w:rPr>
          <w:rFonts w:hint="eastAsia" w:ascii="仿宋" w:hAnsi="仿宋" w:eastAsia="仿宋" w:cs="仿宋"/>
          <w:sz w:val="24"/>
          <w:szCs w:val="24"/>
          <w:highlight w:val="none"/>
        </w:rPr>
      </w:pPr>
    </w:p>
    <w:p w14:paraId="5E65400C">
      <w:pPr>
        <w:spacing w:line="440" w:lineRule="exact"/>
        <w:rPr>
          <w:rFonts w:hint="eastAsia" w:ascii="仿宋" w:hAnsi="仿宋" w:eastAsia="仿宋" w:cs="仿宋"/>
          <w:sz w:val="24"/>
          <w:szCs w:val="24"/>
          <w:highlight w:val="none"/>
        </w:rPr>
      </w:pPr>
    </w:p>
    <w:p w14:paraId="5CE5DBAB">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FA97E88">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406C3A1">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031AC743">
      <w:pPr>
        <w:spacing w:line="440" w:lineRule="exact"/>
        <w:rPr>
          <w:rFonts w:eastAsia="黑体"/>
          <w:szCs w:val="20"/>
          <w:highlight w:val="none"/>
        </w:rPr>
      </w:pPr>
    </w:p>
    <w:tbl>
      <w:tblPr>
        <w:tblStyle w:val="43"/>
        <w:tblpPr w:leftFromText="180" w:rightFromText="180" w:vertAnchor="text" w:horzAnchor="page" w:tblpX="3555" w:tblpY="968"/>
        <w:tblOverlap w:val="never"/>
        <w:tblW w:w="4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tblGrid>
      <w:tr w14:paraId="09417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noWrap w:val="0"/>
            <w:vAlign w:val="center"/>
          </w:tcPr>
          <w:p w14:paraId="74C190D8">
            <w:pPr>
              <w:pStyle w:val="39"/>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val="en-US" w:eastAsia="zh-CN"/>
              </w:rPr>
              <w:t>正、反面</w:t>
            </w:r>
            <w:r>
              <w:rPr>
                <w:rFonts w:hint="eastAsia" w:ascii="仿宋" w:hAnsi="仿宋" w:eastAsia="仿宋" w:cs="仿宋"/>
                <w:color w:val="auto"/>
                <w:kern w:val="2"/>
                <w:highlight w:val="none"/>
              </w:rPr>
              <w:t>扫描件）</w:t>
            </w:r>
          </w:p>
        </w:tc>
      </w:tr>
    </w:tbl>
    <w:p w14:paraId="16566F14">
      <w:pPr>
        <w:spacing w:line="44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br w:type="page"/>
      </w:r>
      <w:r>
        <w:rPr>
          <w:rFonts w:hint="eastAsia" w:ascii="仿宋" w:hAnsi="仿宋" w:eastAsia="仿宋" w:cs="仿宋"/>
          <w:b/>
          <w:bCs/>
          <w:sz w:val="24"/>
          <w:szCs w:val="24"/>
          <w:highlight w:val="none"/>
        </w:rPr>
        <w:t>法定代表人授权委托书</w:t>
      </w:r>
    </w:p>
    <w:p w14:paraId="03D71CFD">
      <w:pPr>
        <w:pStyle w:val="23"/>
        <w:spacing w:line="520" w:lineRule="exact"/>
        <w:ind w:firstLine="1110"/>
        <w:jc w:val="center"/>
        <w:rPr>
          <w:rFonts w:ascii="仿宋" w:hAnsi="仿宋" w:eastAsia="仿宋" w:cs="仿宋"/>
          <w:b/>
          <w:bCs/>
          <w:sz w:val="24"/>
          <w:szCs w:val="24"/>
          <w:highlight w:val="none"/>
        </w:rPr>
      </w:pPr>
    </w:p>
    <w:p w14:paraId="43B89D2A">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5FCD1918">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5A095D8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14:paraId="22795D30">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735F2B17">
      <w:pPr>
        <w:pStyle w:val="23"/>
        <w:spacing w:line="520" w:lineRule="exact"/>
        <w:ind w:firstLine="1111"/>
        <w:rPr>
          <w:rFonts w:ascii="仿宋" w:hAnsi="仿宋" w:eastAsia="仿宋" w:cs="仿宋"/>
          <w:sz w:val="24"/>
          <w:szCs w:val="24"/>
          <w:highlight w:val="none"/>
        </w:rPr>
      </w:pPr>
    </w:p>
    <w:p w14:paraId="3AE5E0E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0481B0A0">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46A4DBF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6BF8ABB2">
      <w:pPr>
        <w:pStyle w:val="23"/>
        <w:spacing w:line="520" w:lineRule="exact"/>
        <w:rPr>
          <w:rFonts w:ascii="仿宋" w:hAnsi="仿宋" w:eastAsia="仿宋" w:cs="仿宋"/>
          <w:sz w:val="24"/>
          <w:szCs w:val="24"/>
          <w:highlight w:val="none"/>
        </w:rPr>
      </w:pPr>
    </w:p>
    <w:p w14:paraId="523807F7">
      <w:pPr>
        <w:pStyle w:val="23"/>
        <w:spacing w:line="520" w:lineRule="exact"/>
        <w:rPr>
          <w:rFonts w:ascii="仿宋" w:hAnsi="仿宋" w:eastAsia="仿宋" w:cs="仿宋"/>
          <w:sz w:val="24"/>
          <w:szCs w:val="24"/>
          <w:highlight w:val="none"/>
        </w:rPr>
      </w:pPr>
    </w:p>
    <w:tbl>
      <w:tblPr>
        <w:tblStyle w:val="43"/>
        <w:tblpPr w:leftFromText="180" w:rightFromText="180" w:vertAnchor="text" w:tblpXSpec="center" w:tblpY="1"/>
        <w:tblOverlap w:val="never"/>
        <w:tblW w:w="4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tblGrid>
      <w:tr w14:paraId="1C03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noWrap w:val="0"/>
            <w:vAlign w:val="center"/>
          </w:tcPr>
          <w:p w14:paraId="61B9A7B0">
            <w:pPr>
              <w:pStyle w:val="39"/>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val="en-US" w:eastAsia="zh-CN"/>
              </w:rPr>
              <w:t>正、反面</w:t>
            </w:r>
            <w:r>
              <w:rPr>
                <w:rFonts w:hint="eastAsia" w:ascii="仿宋" w:hAnsi="仿宋" w:eastAsia="仿宋" w:cs="仿宋"/>
                <w:color w:val="auto"/>
                <w:kern w:val="2"/>
                <w:highlight w:val="none"/>
              </w:rPr>
              <w:t>扫描件）</w:t>
            </w:r>
          </w:p>
        </w:tc>
      </w:tr>
    </w:tbl>
    <w:p w14:paraId="6AB97BEC">
      <w:pPr>
        <w:snapToGrid w:val="0"/>
        <w:spacing w:line="360" w:lineRule="auto"/>
        <w:ind w:firstLine="480" w:firstLineChars="200"/>
        <w:jc w:val="left"/>
        <w:rPr>
          <w:rFonts w:ascii="仿宋" w:hAnsi="仿宋" w:eastAsia="仿宋" w:cs="仿宋"/>
          <w:sz w:val="24"/>
          <w:szCs w:val="24"/>
          <w:highlight w:val="none"/>
        </w:rPr>
      </w:pPr>
    </w:p>
    <w:p w14:paraId="10D68AE9">
      <w:pPr>
        <w:snapToGrid w:val="0"/>
        <w:spacing w:line="360" w:lineRule="auto"/>
        <w:ind w:firstLine="480" w:firstLineChars="200"/>
        <w:jc w:val="left"/>
        <w:rPr>
          <w:rFonts w:ascii="仿宋" w:hAnsi="仿宋" w:eastAsia="仿宋" w:cs="仿宋"/>
          <w:sz w:val="24"/>
          <w:szCs w:val="24"/>
          <w:highlight w:val="none"/>
        </w:rPr>
      </w:pPr>
    </w:p>
    <w:p w14:paraId="73F73D01">
      <w:pPr>
        <w:snapToGrid w:val="0"/>
        <w:spacing w:line="360" w:lineRule="auto"/>
        <w:ind w:firstLine="480" w:firstLineChars="200"/>
        <w:jc w:val="left"/>
        <w:rPr>
          <w:rFonts w:ascii="仿宋" w:hAnsi="仿宋" w:eastAsia="仿宋" w:cs="仿宋"/>
          <w:sz w:val="24"/>
          <w:szCs w:val="24"/>
          <w:highlight w:val="none"/>
        </w:rPr>
      </w:pPr>
    </w:p>
    <w:p w14:paraId="4C8C6291">
      <w:pPr>
        <w:snapToGrid w:val="0"/>
        <w:spacing w:line="360" w:lineRule="auto"/>
        <w:ind w:firstLine="480" w:firstLineChars="200"/>
        <w:jc w:val="left"/>
        <w:rPr>
          <w:rFonts w:ascii="仿宋" w:hAnsi="仿宋" w:eastAsia="仿宋" w:cs="仿宋"/>
          <w:sz w:val="24"/>
          <w:szCs w:val="24"/>
          <w:highlight w:val="none"/>
        </w:rPr>
      </w:pPr>
    </w:p>
    <w:p w14:paraId="1BCCC047">
      <w:pPr>
        <w:snapToGrid w:val="0"/>
        <w:spacing w:line="360" w:lineRule="auto"/>
        <w:ind w:firstLine="480" w:firstLineChars="200"/>
        <w:jc w:val="left"/>
        <w:rPr>
          <w:rFonts w:ascii="仿宋" w:hAnsi="仿宋" w:eastAsia="仿宋" w:cs="仿宋"/>
          <w:sz w:val="24"/>
          <w:szCs w:val="24"/>
          <w:highlight w:val="none"/>
        </w:rPr>
      </w:pPr>
    </w:p>
    <w:p w14:paraId="63C8A691">
      <w:pPr>
        <w:snapToGrid w:val="0"/>
        <w:spacing w:line="360" w:lineRule="auto"/>
        <w:ind w:firstLine="480" w:firstLineChars="200"/>
        <w:jc w:val="left"/>
        <w:rPr>
          <w:rFonts w:ascii="仿宋" w:hAnsi="仿宋" w:eastAsia="仿宋" w:cs="仿宋"/>
          <w:sz w:val="24"/>
          <w:szCs w:val="24"/>
          <w:highlight w:val="none"/>
        </w:rPr>
      </w:pPr>
    </w:p>
    <w:p w14:paraId="381C668B">
      <w:pPr>
        <w:snapToGrid w:val="0"/>
        <w:spacing w:line="360" w:lineRule="auto"/>
        <w:ind w:firstLine="480" w:firstLineChars="200"/>
        <w:jc w:val="left"/>
        <w:rPr>
          <w:rFonts w:ascii="仿宋" w:hAnsi="仿宋" w:eastAsia="仿宋" w:cs="仿宋"/>
          <w:sz w:val="24"/>
          <w:szCs w:val="24"/>
          <w:highlight w:val="none"/>
        </w:rPr>
      </w:pPr>
    </w:p>
    <w:p w14:paraId="13D45264">
      <w:pPr>
        <w:snapToGrid w:val="0"/>
        <w:spacing w:line="360" w:lineRule="auto"/>
        <w:ind w:firstLine="480" w:firstLineChars="200"/>
        <w:jc w:val="left"/>
        <w:rPr>
          <w:rFonts w:ascii="仿宋" w:hAnsi="仿宋" w:eastAsia="仿宋" w:cs="仿宋"/>
          <w:sz w:val="24"/>
          <w:szCs w:val="24"/>
          <w:highlight w:val="none"/>
        </w:rPr>
      </w:pPr>
    </w:p>
    <w:p w14:paraId="45BE2E2D">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14:paraId="23D069B9">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rPr>
        <w:t>投标人参与投标的声明函</w:t>
      </w:r>
    </w:p>
    <w:p w14:paraId="39E06454">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我单位郑重承诺如下：</w:t>
      </w:r>
    </w:p>
    <w:p w14:paraId="7B4FCEF4">
      <w:pPr>
        <w:pStyle w:val="23"/>
        <w:spacing w:line="520" w:lineRule="exact"/>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具有独立承担民事责任的能力；</w:t>
      </w:r>
    </w:p>
    <w:p w14:paraId="17DB75ED">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2、具有良好的商业信誉和健全的财务会计制度；</w:t>
      </w:r>
    </w:p>
    <w:p w14:paraId="682A523E">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具有履行合同所必须设备和专业技术能力，并能提供优质的服务</w:t>
      </w:r>
      <w:r>
        <w:rPr>
          <w:rFonts w:hint="eastAsia" w:ascii="仿宋" w:hAnsi="仿宋" w:eastAsia="仿宋" w:cs="仿宋"/>
          <w:sz w:val="24"/>
          <w:szCs w:val="24"/>
          <w:highlight w:val="none"/>
        </w:rPr>
        <w:t>；</w:t>
      </w:r>
    </w:p>
    <w:p w14:paraId="4C9A6FFB">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4、具有依法缴纳税收和社会保障资金的良好记录；</w:t>
      </w:r>
    </w:p>
    <w:p w14:paraId="49286CC6">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5、参加本次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活动前三年内，在经营活动中没有重大违法记录；</w:t>
      </w:r>
    </w:p>
    <w:p w14:paraId="7A9ADECD">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6、我单位及法定代表人、委托代理人未被最高法院列入失信被执行人；</w:t>
      </w:r>
    </w:p>
    <w:p w14:paraId="3CD77B31">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7、我单位近一年在“信用中国”或“信用中国（山东）”无严重失信记录；</w:t>
      </w:r>
    </w:p>
    <w:p w14:paraId="53774B20">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8、我单位本次非联合体投标。</w:t>
      </w:r>
    </w:p>
    <w:p w14:paraId="1A22A8E7">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如我单位中标，我单位承诺不分包或转包本项目。若我单位提供虚假承诺，我单位同意所递交的投标文件做无效投标处理，并愿意接受通报，按照有关法律法规规定接受处罚，由此造成的一切经济责任和法律责任由我单位自行承担。</w:t>
      </w:r>
    </w:p>
    <w:p w14:paraId="7E43389F">
      <w:pPr>
        <w:snapToGrid w:val="0"/>
        <w:spacing w:line="560" w:lineRule="exact"/>
        <w:ind w:firstLine="562" w:firstLineChars="201"/>
        <w:rPr>
          <w:rFonts w:ascii="宋体" w:hAnsi="宋体"/>
          <w:sz w:val="28"/>
          <w:szCs w:val="28"/>
          <w:highlight w:val="none"/>
        </w:rPr>
      </w:pPr>
    </w:p>
    <w:p w14:paraId="0B9F84CB">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3D84C22E">
      <w:pPr>
        <w:snapToGrid w:val="0"/>
        <w:spacing w:line="360" w:lineRule="auto"/>
        <w:ind w:firstLine="240" w:firstLineChars="100"/>
        <w:outlineLvl w:val="0"/>
        <w:rPr>
          <w:rFonts w:hint="eastAsia" w:ascii="仿宋" w:hAnsi="仿宋" w:eastAsia="仿宋" w:cs="仿宋"/>
          <w:sz w:val="24"/>
          <w:szCs w:val="24"/>
          <w:highlight w:val="none"/>
        </w:rPr>
      </w:pPr>
      <w:bookmarkStart w:id="54" w:name="_Toc3795"/>
      <w:bookmarkStart w:id="55" w:name="_Toc30184"/>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54"/>
      <w:bookmarkEnd w:id="55"/>
    </w:p>
    <w:p w14:paraId="1DB0DA06">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NumType w:fmt="decimal"/>
          <w:cols w:space="720" w:num="1"/>
          <w:docGrid w:type="lines" w:linePitch="319" w:charSpace="0"/>
        </w:sectPr>
      </w:pPr>
      <w:r>
        <w:rPr>
          <w:rFonts w:hint="eastAsia" w:ascii="仿宋" w:hAnsi="仿宋" w:eastAsia="仿宋" w:cs="仿宋"/>
          <w:sz w:val="24"/>
          <w:szCs w:val="24"/>
          <w:highlight w:val="none"/>
        </w:rPr>
        <w:t>日期：</w:t>
      </w:r>
    </w:p>
    <w:p w14:paraId="442E407D">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15951465">
      <w:pPr>
        <w:snapToGrid w:val="0"/>
        <w:spacing w:line="360" w:lineRule="auto"/>
        <w:jc w:val="center"/>
        <w:rPr>
          <w:rFonts w:hint="eastAsia" w:ascii="仿宋" w:hAnsi="仿宋" w:eastAsia="仿宋" w:cs="仿宋"/>
          <w:b/>
          <w:bCs/>
          <w:sz w:val="36"/>
          <w:szCs w:val="36"/>
          <w:highlight w:val="none"/>
        </w:rPr>
      </w:pPr>
    </w:p>
    <w:p w14:paraId="1B711A6D">
      <w:pPr>
        <w:snapToGrid w:val="0"/>
        <w:spacing w:line="360" w:lineRule="auto"/>
        <w:jc w:val="center"/>
        <w:rPr>
          <w:rFonts w:hint="eastAsia" w:ascii="仿宋" w:hAnsi="仿宋" w:eastAsia="仿宋" w:cs="仿宋"/>
          <w:b/>
          <w:bCs/>
          <w:sz w:val="36"/>
          <w:szCs w:val="36"/>
          <w:highlight w:val="none"/>
        </w:rPr>
      </w:pPr>
    </w:p>
    <w:p w14:paraId="083E7CC9">
      <w:pPr>
        <w:snapToGrid w:val="0"/>
        <w:spacing w:line="360" w:lineRule="auto"/>
        <w:jc w:val="center"/>
        <w:rPr>
          <w:rFonts w:hint="eastAsia" w:ascii="仿宋" w:hAnsi="仿宋" w:eastAsia="仿宋" w:cs="仿宋"/>
          <w:b/>
          <w:bCs/>
          <w:sz w:val="36"/>
          <w:szCs w:val="36"/>
          <w:highlight w:val="none"/>
        </w:rPr>
      </w:pPr>
    </w:p>
    <w:p w14:paraId="1C89288C">
      <w:pPr>
        <w:snapToGrid w:val="0"/>
        <w:spacing w:line="360" w:lineRule="auto"/>
        <w:jc w:val="center"/>
        <w:rPr>
          <w:rFonts w:hint="eastAsia" w:ascii="仿宋" w:hAnsi="仿宋" w:eastAsia="仿宋" w:cs="仿宋"/>
          <w:b/>
          <w:bCs/>
          <w:sz w:val="36"/>
          <w:szCs w:val="36"/>
          <w:highlight w:val="none"/>
        </w:rPr>
      </w:pPr>
    </w:p>
    <w:p w14:paraId="5A480CBE">
      <w:pPr>
        <w:snapToGrid w:val="0"/>
        <w:spacing w:line="360" w:lineRule="auto"/>
        <w:jc w:val="center"/>
        <w:rPr>
          <w:rFonts w:hint="eastAsia" w:ascii="仿宋" w:hAnsi="仿宋" w:eastAsia="仿宋" w:cs="仿宋"/>
          <w:b/>
          <w:bCs/>
          <w:sz w:val="36"/>
          <w:szCs w:val="36"/>
          <w:highlight w:val="none"/>
        </w:rPr>
      </w:pPr>
    </w:p>
    <w:p w14:paraId="587961C9">
      <w:pPr>
        <w:snapToGrid w:val="0"/>
        <w:spacing w:line="360" w:lineRule="auto"/>
        <w:jc w:val="center"/>
        <w:rPr>
          <w:rFonts w:hint="eastAsia" w:ascii="仿宋" w:hAnsi="仿宋" w:eastAsia="仿宋" w:cs="仿宋"/>
          <w:b/>
          <w:bCs/>
          <w:sz w:val="36"/>
          <w:szCs w:val="36"/>
          <w:highlight w:val="none"/>
        </w:rPr>
      </w:pPr>
    </w:p>
    <w:p w14:paraId="27D61B92">
      <w:pPr>
        <w:snapToGrid w:val="0"/>
        <w:spacing w:line="360" w:lineRule="auto"/>
        <w:jc w:val="center"/>
        <w:rPr>
          <w:rFonts w:hint="eastAsia" w:ascii="仿宋" w:hAnsi="仿宋" w:eastAsia="仿宋" w:cs="仿宋"/>
          <w:b/>
          <w:bCs/>
          <w:sz w:val="36"/>
          <w:szCs w:val="36"/>
          <w:highlight w:val="none"/>
        </w:rPr>
      </w:pPr>
    </w:p>
    <w:p w14:paraId="1B956474">
      <w:pPr>
        <w:snapToGrid w:val="0"/>
        <w:spacing w:line="360" w:lineRule="auto"/>
        <w:jc w:val="center"/>
        <w:rPr>
          <w:rFonts w:hint="eastAsia" w:ascii="仿宋" w:hAnsi="仿宋" w:eastAsia="仿宋" w:cs="仿宋"/>
          <w:b/>
          <w:bCs/>
          <w:sz w:val="36"/>
          <w:szCs w:val="36"/>
          <w:highlight w:val="none"/>
        </w:rPr>
      </w:pPr>
    </w:p>
    <w:p w14:paraId="597D82F9">
      <w:pPr>
        <w:snapToGrid w:val="0"/>
        <w:spacing w:line="360" w:lineRule="auto"/>
        <w:jc w:val="center"/>
        <w:rPr>
          <w:rFonts w:hint="eastAsia" w:ascii="仿宋" w:hAnsi="仿宋" w:eastAsia="仿宋" w:cs="仿宋"/>
          <w:b/>
          <w:bCs/>
          <w:sz w:val="36"/>
          <w:szCs w:val="36"/>
          <w:highlight w:val="none"/>
        </w:rPr>
      </w:pPr>
    </w:p>
    <w:p w14:paraId="7F99D5D9">
      <w:pPr>
        <w:snapToGrid w:val="0"/>
        <w:spacing w:line="360" w:lineRule="auto"/>
        <w:jc w:val="center"/>
        <w:rPr>
          <w:rFonts w:hint="eastAsia" w:ascii="仿宋" w:hAnsi="仿宋" w:eastAsia="仿宋" w:cs="仿宋"/>
          <w:b/>
          <w:bCs/>
          <w:sz w:val="36"/>
          <w:szCs w:val="36"/>
          <w:highlight w:val="none"/>
        </w:rPr>
      </w:pPr>
    </w:p>
    <w:p w14:paraId="57271410">
      <w:pPr>
        <w:snapToGrid w:val="0"/>
        <w:spacing w:line="360" w:lineRule="auto"/>
        <w:jc w:val="center"/>
        <w:rPr>
          <w:rFonts w:hint="eastAsia" w:ascii="仿宋" w:hAnsi="仿宋" w:eastAsia="仿宋" w:cs="仿宋"/>
          <w:b/>
          <w:bCs/>
          <w:sz w:val="36"/>
          <w:szCs w:val="36"/>
          <w:highlight w:val="none"/>
        </w:rPr>
      </w:pPr>
    </w:p>
    <w:p w14:paraId="2A7D4665">
      <w:pPr>
        <w:snapToGrid w:val="0"/>
        <w:spacing w:line="360" w:lineRule="auto"/>
        <w:jc w:val="center"/>
        <w:rPr>
          <w:rFonts w:hint="eastAsia" w:ascii="仿宋" w:hAnsi="仿宋" w:eastAsia="仿宋" w:cs="仿宋"/>
          <w:b/>
          <w:bCs/>
          <w:sz w:val="36"/>
          <w:szCs w:val="36"/>
          <w:highlight w:val="none"/>
        </w:rPr>
      </w:pPr>
    </w:p>
    <w:p w14:paraId="48B4DC8C">
      <w:pPr>
        <w:snapToGrid w:val="0"/>
        <w:spacing w:line="360" w:lineRule="auto"/>
        <w:jc w:val="center"/>
        <w:rPr>
          <w:rFonts w:hint="eastAsia" w:ascii="仿宋" w:hAnsi="仿宋" w:eastAsia="仿宋" w:cs="仿宋"/>
          <w:b/>
          <w:bCs/>
          <w:sz w:val="36"/>
          <w:szCs w:val="36"/>
          <w:highlight w:val="none"/>
        </w:rPr>
      </w:pPr>
    </w:p>
    <w:p w14:paraId="7F32BCD0">
      <w:pPr>
        <w:snapToGrid w:val="0"/>
        <w:spacing w:line="360" w:lineRule="auto"/>
        <w:jc w:val="center"/>
        <w:rPr>
          <w:rFonts w:hint="eastAsia" w:ascii="仿宋" w:hAnsi="仿宋" w:eastAsia="仿宋" w:cs="仿宋"/>
          <w:b/>
          <w:bCs/>
          <w:sz w:val="36"/>
          <w:szCs w:val="36"/>
          <w:highlight w:val="none"/>
        </w:rPr>
      </w:pPr>
    </w:p>
    <w:p w14:paraId="6EF7DCBE">
      <w:pPr>
        <w:snapToGrid w:val="0"/>
        <w:spacing w:line="360" w:lineRule="auto"/>
        <w:jc w:val="center"/>
        <w:rPr>
          <w:rFonts w:hint="eastAsia" w:ascii="仿宋" w:hAnsi="仿宋" w:eastAsia="仿宋" w:cs="仿宋"/>
          <w:b/>
          <w:bCs/>
          <w:sz w:val="36"/>
          <w:szCs w:val="36"/>
          <w:highlight w:val="none"/>
        </w:rPr>
      </w:pPr>
    </w:p>
    <w:p w14:paraId="6EFDC2BF">
      <w:pPr>
        <w:snapToGrid w:val="0"/>
        <w:spacing w:line="360" w:lineRule="auto"/>
        <w:jc w:val="center"/>
        <w:rPr>
          <w:rFonts w:hint="eastAsia" w:ascii="仿宋" w:hAnsi="仿宋" w:eastAsia="仿宋" w:cs="仿宋"/>
          <w:b/>
          <w:bCs/>
          <w:sz w:val="36"/>
          <w:szCs w:val="36"/>
          <w:highlight w:val="none"/>
        </w:rPr>
      </w:pPr>
    </w:p>
    <w:p w14:paraId="3CFEAB63">
      <w:pPr>
        <w:snapToGrid w:val="0"/>
        <w:spacing w:line="360" w:lineRule="auto"/>
        <w:jc w:val="center"/>
        <w:rPr>
          <w:rFonts w:hint="eastAsia" w:ascii="仿宋" w:hAnsi="仿宋" w:eastAsia="仿宋" w:cs="仿宋"/>
          <w:b/>
          <w:bCs/>
          <w:sz w:val="36"/>
          <w:szCs w:val="36"/>
          <w:highlight w:val="none"/>
        </w:rPr>
      </w:pPr>
    </w:p>
    <w:p w14:paraId="3D608F24">
      <w:pPr>
        <w:snapToGrid w:val="0"/>
        <w:spacing w:line="360" w:lineRule="auto"/>
        <w:jc w:val="center"/>
        <w:rPr>
          <w:rFonts w:hint="eastAsia" w:ascii="仿宋" w:hAnsi="仿宋" w:eastAsia="仿宋" w:cs="仿宋"/>
          <w:b/>
          <w:bCs/>
          <w:sz w:val="36"/>
          <w:szCs w:val="36"/>
          <w:highlight w:val="none"/>
        </w:rPr>
      </w:pPr>
    </w:p>
    <w:p w14:paraId="5877971E">
      <w:pPr>
        <w:keepNext w:val="0"/>
        <w:keepLines w:val="0"/>
        <w:pageBreakBefore w:val="0"/>
        <w:widowControl w:val="0"/>
        <w:kinsoku/>
        <w:wordWrap w:val="0"/>
        <w:overflowPunct/>
        <w:topLinePunct w:val="0"/>
        <w:autoSpaceDE/>
        <w:autoSpaceDN/>
        <w:bidi w:val="0"/>
        <w:adjustRightInd/>
        <w:snapToGrid w:val="0"/>
        <w:spacing w:line="560" w:lineRule="exact"/>
        <w:jc w:val="both"/>
        <w:textAlignment w:val="auto"/>
        <w:rPr>
          <w:rFonts w:hint="eastAsia" w:ascii="仿宋" w:hAnsi="仿宋" w:eastAsia="仿宋" w:cs="仿宋"/>
          <w:b/>
          <w:bCs/>
          <w:sz w:val="24"/>
          <w:szCs w:val="24"/>
          <w:highlight w:val="none"/>
          <w:lang w:eastAsia="zh-CN"/>
        </w:rPr>
        <w:sectPr>
          <w:pgSz w:w="11906" w:h="16838"/>
          <w:pgMar w:top="1440" w:right="1803" w:bottom="1440" w:left="1803" w:header="851" w:footer="992" w:gutter="0"/>
          <w:pgNumType w:fmt="decimal"/>
          <w:cols w:space="720" w:num="1"/>
          <w:docGrid w:type="lines" w:linePitch="319" w:charSpace="0"/>
        </w:sectPr>
      </w:pPr>
    </w:p>
    <w:p w14:paraId="2BBD7B27">
      <w:pPr>
        <w:keepNext w:val="0"/>
        <w:keepLines w:val="0"/>
        <w:pageBreakBefore w:val="0"/>
        <w:widowControl w:val="0"/>
        <w:kinsoku/>
        <w:wordWrap w:val="0"/>
        <w:overflowPunct/>
        <w:topLinePunct w:val="0"/>
        <w:autoSpaceDE/>
        <w:autoSpaceDN/>
        <w:bidi w:val="0"/>
        <w:adjustRightInd/>
        <w:snapToGrid w:val="0"/>
        <w:spacing w:line="560" w:lineRule="exact"/>
        <w:jc w:val="both"/>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投标人及其法定代表人、委托代理人未被最高法院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4"/>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519ABBF1">
      <w:pPr>
        <w:pStyle w:val="18"/>
        <w:rPr>
          <w:rFonts w:hint="eastAsia"/>
          <w:highlight w:val="none"/>
        </w:rPr>
      </w:pPr>
    </w:p>
    <w:p w14:paraId="74B9FE51">
      <w:pPr>
        <w:pStyle w:val="25"/>
        <w:ind w:left="5250"/>
        <w:rPr>
          <w:rFonts w:hint="eastAsia"/>
          <w:highlight w:val="none"/>
        </w:rPr>
      </w:pPr>
    </w:p>
    <w:p w14:paraId="4452AAB4">
      <w:pPr>
        <w:rPr>
          <w:rFonts w:hint="eastAsia"/>
          <w:highlight w:val="none"/>
        </w:rPr>
      </w:pPr>
    </w:p>
    <w:p w14:paraId="2B009EAD">
      <w:pPr>
        <w:pStyle w:val="18"/>
        <w:rPr>
          <w:rFonts w:hint="eastAsia"/>
          <w:highlight w:val="none"/>
        </w:rPr>
      </w:pPr>
    </w:p>
    <w:p w14:paraId="5BF139A4">
      <w:pPr>
        <w:pStyle w:val="25"/>
        <w:ind w:left="5250"/>
        <w:rPr>
          <w:rFonts w:hint="eastAsia"/>
          <w:highlight w:val="none"/>
        </w:rPr>
      </w:pPr>
    </w:p>
    <w:p w14:paraId="6089D1D3">
      <w:pPr>
        <w:rPr>
          <w:rFonts w:hint="eastAsia"/>
          <w:highlight w:val="none"/>
        </w:rPr>
      </w:pPr>
    </w:p>
    <w:p w14:paraId="1C44288F">
      <w:pPr>
        <w:pStyle w:val="18"/>
        <w:rPr>
          <w:rFonts w:hint="eastAsia"/>
          <w:highlight w:val="none"/>
        </w:rPr>
      </w:pPr>
    </w:p>
    <w:p w14:paraId="2EA5469D">
      <w:pPr>
        <w:pStyle w:val="25"/>
        <w:ind w:left="5250"/>
        <w:rPr>
          <w:rFonts w:hint="eastAsia"/>
          <w:highlight w:val="none"/>
        </w:rPr>
      </w:pPr>
    </w:p>
    <w:p w14:paraId="2B5EA79D">
      <w:pPr>
        <w:rPr>
          <w:rFonts w:hint="eastAsia"/>
          <w:highlight w:val="none"/>
        </w:rPr>
      </w:pPr>
    </w:p>
    <w:p w14:paraId="1301CA9D">
      <w:pPr>
        <w:pStyle w:val="18"/>
        <w:rPr>
          <w:rFonts w:hint="eastAsia"/>
          <w:highlight w:val="none"/>
        </w:rPr>
      </w:pPr>
    </w:p>
    <w:p w14:paraId="7DC8DCB6">
      <w:pPr>
        <w:pStyle w:val="25"/>
        <w:ind w:left="5250"/>
        <w:rPr>
          <w:rFonts w:hint="eastAsia"/>
          <w:highlight w:val="none"/>
        </w:rPr>
      </w:pPr>
    </w:p>
    <w:p w14:paraId="330DAEE8">
      <w:pPr>
        <w:rPr>
          <w:rFonts w:hint="eastAsia"/>
          <w:highlight w:val="none"/>
        </w:rPr>
      </w:pPr>
    </w:p>
    <w:p w14:paraId="1C8AE2FB">
      <w:pPr>
        <w:pStyle w:val="18"/>
        <w:rPr>
          <w:rFonts w:hint="eastAsia"/>
          <w:highlight w:val="none"/>
        </w:rPr>
      </w:pPr>
    </w:p>
    <w:p w14:paraId="1D234DFB">
      <w:pPr>
        <w:pStyle w:val="25"/>
        <w:ind w:left="5250"/>
        <w:rPr>
          <w:rFonts w:hint="eastAsia"/>
          <w:highlight w:val="none"/>
        </w:rPr>
      </w:pPr>
    </w:p>
    <w:p w14:paraId="1882D810">
      <w:pPr>
        <w:rPr>
          <w:rFonts w:hint="eastAsia"/>
          <w:highlight w:val="none"/>
        </w:rPr>
      </w:pPr>
    </w:p>
    <w:p w14:paraId="0DEB9DFF">
      <w:pPr>
        <w:pStyle w:val="18"/>
        <w:rPr>
          <w:rFonts w:hint="eastAsia"/>
          <w:highlight w:val="none"/>
        </w:rPr>
      </w:pPr>
    </w:p>
    <w:p w14:paraId="440F1CE8">
      <w:pPr>
        <w:pStyle w:val="25"/>
        <w:ind w:left="5250"/>
        <w:rPr>
          <w:rFonts w:hint="eastAsia"/>
          <w:highlight w:val="none"/>
        </w:rPr>
      </w:pPr>
    </w:p>
    <w:p w14:paraId="16E224D9">
      <w:pPr>
        <w:rPr>
          <w:rFonts w:hint="eastAsia"/>
          <w:highlight w:val="none"/>
        </w:rPr>
      </w:pPr>
    </w:p>
    <w:p w14:paraId="128ED698">
      <w:pPr>
        <w:pStyle w:val="18"/>
        <w:rPr>
          <w:rFonts w:hint="eastAsia"/>
          <w:highlight w:val="none"/>
        </w:rPr>
      </w:pPr>
    </w:p>
    <w:p w14:paraId="37606131">
      <w:pPr>
        <w:pStyle w:val="25"/>
        <w:ind w:left="5250"/>
        <w:rPr>
          <w:rFonts w:hint="eastAsia"/>
          <w:highlight w:val="none"/>
        </w:rPr>
      </w:pPr>
    </w:p>
    <w:p w14:paraId="715212A7">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附通过网站查询信息记录，包含投标人及其法定代表人、授权委托代理人失信被执行人情况网页截图（省份为全部）</w:t>
      </w:r>
    </w:p>
    <w:p w14:paraId="78396AD2">
      <w:pPr>
        <w:rPr>
          <w:rFonts w:hint="eastAsia"/>
          <w:highlight w:val="none"/>
        </w:rPr>
      </w:pPr>
    </w:p>
    <w:p w14:paraId="3BE93778">
      <w:pPr>
        <w:pStyle w:val="18"/>
        <w:rPr>
          <w:rFonts w:hint="eastAsia"/>
          <w:highlight w:val="none"/>
        </w:rPr>
      </w:pPr>
    </w:p>
    <w:p w14:paraId="31A208B1">
      <w:pPr>
        <w:pStyle w:val="18"/>
        <w:jc w:val="center"/>
        <w:rPr>
          <w:rFonts w:hint="eastAsia" w:ascii="仿宋" w:hAnsi="仿宋" w:eastAsia="仿宋" w:cs="仿宋"/>
          <w:b/>
          <w:bCs/>
          <w:kern w:val="2"/>
          <w:sz w:val="24"/>
          <w:highlight w:val="none"/>
        </w:rPr>
      </w:pPr>
      <w:r>
        <w:rPr>
          <w:rFonts w:hint="eastAsia" w:ascii="仿宋" w:hAnsi="仿宋" w:eastAsia="仿宋" w:cs="仿宋"/>
          <w:b/>
          <w:bCs/>
          <w:sz w:val="24"/>
          <w:highlight w:val="none"/>
        </w:rPr>
        <w:br w:type="page"/>
      </w:r>
      <w:r>
        <w:rPr>
          <w:rFonts w:hint="eastAsia" w:ascii="仿宋" w:hAnsi="仿宋" w:eastAsia="仿宋" w:cs="仿宋"/>
          <w:b/>
          <w:bCs/>
          <w:kern w:val="2"/>
          <w:sz w:val="24"/>
          <w:highlight w:val="none"/>
        </w:rPr>
        <w:t>投标人近一年无严重失信记录</w:t>
      </w:r>
    </w:p>
    <w:p w14:paraId="671F8575">
      <w:pPr>
        <w:pStyle w:val="18"/>
        <w:jc w:val="center"/>
        <w:rPr>
          <w:rFonts w:hint="eastAsia" w:ascii="仿宋" w:hAnsi="仿宋" w:eastAsia="仿宋" w:cs="仿宋"/>
          <w:b/>
          <w:bCs/>
          <w:kern w:val="2"/>
          <w:sz w:val="24"/>
          <w:highlight w:val="none"/>
        </w:rPr>
      </w:pPr>
    </w:p>
    <w:p w14:paraId="5C7D8FE0">
      <w:pPr>
        <w:rPr>
          <w:rFonts w:hint="eastAsia"/>
          <w:highlight w:val="none"/>
        </w:rPr>
      </w:pPr>
    </w:p>
    <w:p w14:paraId="471BD48D">
      <w:pPr>
        <w:snapToGrid w:val="0"/>
        <w:spacing w:line="560" w:lineRule="exact"/>
        <w:ind w:firstLine="482" w:firstLineChars="201"/>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rPr>
        <w:t>附通过信用中国（查询网址：</w:t>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HYPERLINK "https://www.creditchina.gov.cn）或信用中国（山东）（https:/credit.shandong.gov.cn）查询的信用报告（）" </w:instrText>
      </w:r>
      <w:r>
        <w:rPr>
          <w:rFonts w:ascii="仿宋" w:hAnsi="仿宋" w:eastAsia="仿宋" w:cs="仿宋"/>
          <w:color w:val="auto"/>
          <w:sz w:val="24"/>
          <w:szCs w:val="24"/>
          <w:highlight w:val="none"/>
        </w:rPr>
        <w:fldChar w:fldCharType="separate"/>
      </w:r>
      <w:r>
        <w:rPr>
          <w:rStyle w:val="54"/>
          <w:rFonts w:ascii="仿宋" w:hAnsi="仿宋" w:eastAsia="仿宋" w:cs="仿宋"/>
          <w:color w:val="auto"/>
          <w:sz w:val="24"/>
          <w:szCs w:val="24"/>
          <w:highlight w:val="none"/>
        </w:rPr>
        <w:t>https://www.creditchina.gov.cn）或信用中国（山东）（https://credit.shandong.gov.cn）查询的信用报告</w:t>
      </w:r>
      <w:r>
        <w:rPr>
          <w:rStyle w:val="54"/>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个体工商户可提供通过“信用中国”各省级分站网站下载的无“严重失信主体名单”记录或无“失信惩戒信息”记录的公共信用信息报告</w:t>
      </w:r>
      <w:r>
        <w:rPr>
          <w:rStyle w:val="54"/>
          <w:rFonts w:hint="eastAsia" w:ascii="仿宋" w:hAnsi="仿宋" w:eastAsia="仿宋" w:cs="仿宋"/>
          <w:color w:val="auto"/>
          <w:sz w:val="24"/>
          <w:szCs w:val="24"/>
          <w:highlight w:val="none"/>
          <w:lang w:eastAsia="zh-CN"/>
        </w:rPr>
        <w:t>）</w:t>
      </w:r>
      <w:r>
        <w:rPr>
          <w:rFonts w:ascii="仿宋" w:hAnsi="仿宋" w:eastAsia="仿宋" w:cs="仿宋"/>
          <w:color w:val="auto"/>
          <w:sz w:val="24"/>
          <w:szCs w:val="24"/>
          <w:highlight w:val="none"/>
        </w:rPr>
        <w:fldChar w:fldCharType="end"/>
      </w:r>
    </w:p>
    <w:p w14:paraId="11C7DDC7">
      <w:pPr>
        <w:snapToGrid w:val="0"/>
        <w:spacing w:line="560" w:lineRule="exact"/>
        <w:ind w:firstLine="482" w:firstLineChars="201"/>
        <w:jc w:val="left"/>
        <w:rPr>
          <w:rFonts w:hint="eastAsia" w:ascii="仿宋" w:hAnsi="仿宋" w:eastAsia="仿宋" w:cs="仿宋"/>
          <w:color w:val="000000"/>
          <w:sz w:val="24"/>
          <w:szCs w:val="24"/>
          <w:highlight w:val="none"/>
          <w:lang w:eastAsia="zh-CN"/>
        </w:rPr>
      </w:pPr>
    </w:p>
    <w:p w14:paraId="31CF0959">
      <w:pPr>
        <w:pStyle w:val="14"/>
        <w:rPr>
          <w:rFonts w:hint="eastAsia" w:ascii="仿宋" w:hAnsi="仿宋" w:eastAsia="仿宋" w:cs="仿宋"/>
          <w:b/>
          <w:bCs/>
          <w:color w:val="000000"/>
          <w:sz w:val="24"/>
          <w:szCs w:val="24"/>
          <w:highlight w:val="none"/>
          <w:lang w:val="en-US" w:eastAsia="zh-CN"/>
        </w:rPr>
      </w:pPr>
    </w:p>
    <w:p w14:paraId="45543185">
      <w:pPr>
        <w:pStyle w:val="14"/>
        <w:rPr>
          <w:rFonts w:hint="eastAsia" w:ascii="仿宋" w:hAnsi="仿宋" w:eastAsia="仿宋" w:cs="仿宋"/>
          <w:b/>
          <w:bCs/>
          <w:color w:val="000000"/>
          <w:sz w:val="24"/>
          <w:szCs w:val="24"/>
          <w:highlight w:val="none"/>
          <w:lang w:val="en-US" w:eastAsia="zh-CN"/>
        </w:rPr>
      </w:pPr>
    </w:p>
    <w:p w14:paraId="65041995">
      <w:pPr>
        <w:pStyle w:val="14"/>
        <w:spacing w:line="360" w:lineRule="auto"/>
        <w:rPr>
          <w:rFonts w:hint="eastAsia" w:ascii="仿宋" w:hAnsi="仿宋" w:eastAsia="仿宋" w:cs="仿宋"/>
          <w:b/>
          <w:bCs/>
          <w:color w:val="000000"/>
          <w:sz w:val="24"/>
          <w:szCs w:val="24"/>
          <w:highlight w:val="none"/>
          <w:lang w:val="en-US" w:eastAsia="zh-CN"/>
        </w:rPr>
      </w:pPr>
    </w:p>
    <w:p w14:paraId="3EA7D7B9">
      <w:pPr>
        <w:pStyle w:val="14"/>
        <w:spacing w:line="360" w:lineRule="auto"/>
        <w:ind w:left="0" w:leftChars="0" w:firstLine="0" w:firstLineChars="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注：近一年是指2025年11月1日至查询日止，查询日期不早于招标文件开始获取日期。</w:t>
      </w:r>
    </w:p>
    <w:p w14:paraId="7A7ECE3E">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rPr>
        <w:t>投标人认为需要提供的其他资质资格证明文件</w:t>
      </w:r>
    </w:p>
    <w:p w14:paraId="585553CE">
      <w:pPr>
        <w:snapToGrid w:val="0"/>
        <w:spacing w:line="360" w:lineRule="auto"/>
        <w:ind w:left="559" w:leftChars="266" w:firstLine="2400" w:firstLineChars="1000"/>
        <w:jc w:val="left"/>
        <w:rPr>
          <w:rFonts w:ascii="仿宋" w:hAnsi="仿宋" w:eastAsia="仿宋" w:cs="仿宋"/>
          <w:sz w:val="24"/>
          <w:szCs w:val="24"/>
          <w:highlight w:val="none"/>
        </w:rPr>
      </w:pPr>
    </w:p>
    <w:p w14:paraId="274457AA">
      <w:pPr>
        <w:snapToGrid w:val="0"/>
        <w:spacing w:line="360" w:lineRule="auto"/>
        <w:ind w:left="559" w:leftChars="266" w:firstLine="2400" w:firstLineChars="1000"/>
        <w:jc w:val="left"/>
        <w:rPr>
          <w:rFonts w:ascii="仿宋" w:hAnsi="仿宋" w:eastAsia="仿宋" w:cs="仿宋"/>
          <w:sz w:val="24"/>
          <w:szCs w:val="24"/>
          <w:highlight w:val="none"/>
        </w:rPr>
      </w:pPr>
    </w:p>
    <w:p w14:paraId="439CC4C1">
      <w:pPr>
        <w:snapToGrid w:val="0"/>
        <w:spacing w:line="360" w:lineRule="auto"/>
        <w:ind w:left="559" w:leftChars="266" w:firstLine="2400" w:firstLineChars="1000"/>
        <w:jc w:val="left"/>
        <w:rPr>
          <w:rFonts w:ascii="仿宋" w:hAnsi="仿宋" w:eastAsia="仿宋" w:cs="仿宋"/>
          <w:sz w:val="24"/>
          <w:szCs w:val="24"/>
          <w:highlight w:val="none"/>
        </w:rPr>
      </w:pPr>
    </w:p>
    <w:p w14:paraId="04545441">
      <w:pPr>
        <w:snapToGrid w:val="0"/>
        <w:spacing w:line="360" w:lineRule="auto"/>
        <w:ind w:left="559" w:leftChars="266" w:firstLine="2400" w:firstLineChars="1000"/>
        <w:jc w:val="left"/>
        <w:rPr>
          <w:rFonts w:ascii="仿宋" w:hAnsi="仿宋" w:eastAsia="仿宋" w:cs="仿宋"/>
          <w:sz w:val="24"/>
          <w:szCs w:val="24"/>
          <w:highlight w:val="none"/>
        </w:rPr>
      </w:pPr>
    </w:p>
    <w:p w14:paraId="15385A6A">
      <w:pPr>
        <w:snapToGrid w:val="0"/>
        <w:spacing w:line="360" w:lineRule="auto"/>
        <w:ind w:left="559" w:leftChars="266" w:firstLine="2400" w:firstLineChars="1000"/>
        <w:jc w:val="left"/>
        <w:rPr>
          <w:rFonts w:ascii="仿宋" w:hAnsi="仿宋" w:eastAsia="仿宋" w:cs="仿宋"/>
          <w:sz w:val="24"/>
          <w:szCs w:val="24"/>
          <w:highlight w:val="none"/>
        </w:rPr>
      </w:pPr>
    </w:p>
    <w:p w14:paraId="4C2D21B9">
      <w:pPr>
        <w:pStyle w:val="38"/>
        <w:rPr>
          <w:rFonts w:ascii="仿宋" w:hAnsi="仿宋" w:eastAsia="仿宋" w:cs="仿宋"/>
          <w:szCs w:val="24"/>
          <w:highlight w:val="none"/>
        </w:rPr>
      </w:pPr>
    </w:p>
    <w:p w14:paraId="3CAD6322">
      <w:pPr>
        <w:pStyle w:val="38"/>
        <w:rPr>
          <w:rFonts w:ascii="仿宋" w:hAnsi="仿宋" w:eastAsia="仿宋" w:cs="仿宋"/>
          <w:szCs w:val="24"/>
          <w:highlight w:val="none"/>
        </w:rPr>
      </w:pPr>
    </w:p>
    <w:p w14:paraId="7D61B5F7">
      <w:pPr>
        <w:pStyle w:val="38"/>
        <w:rPr>
          <w:rFonts w:ascii="仿宋" w:hAnsi="仿宋" w:eastAsia="仿宋" w:cs="仿宋"/>
          <w:szCs w:val="24"/>
          <w:highlight w:val="none"/>
        </w:rPr>
      </w:pPr>
    </w:p>
    <w:p w14:paraId="5FA0C294">
      <w:pPr>
        <w:pStyle w:val="38"/>
        <w:rPr>
          <w:rFonts w:ascii="仿宋" w:hAnsi="仿宋" w:eastAsia="仿宋" w:cs="仿宋"/>
          <w:szCs w:val="24"/>
          <w:highlight w:val="none"/>
        </w:rPr>
      </w:pPr>
    </w:p>
    <w:p w14:paraId="73A2AE65">
      <w:pPr>
        <w:pStyle w:val="38"/>
        <w:rPr>
          <w:rFonts w:ascii="仿宋" w:hAnsi="仿宋" w:eastAsia="仿宋" w:cs="仿宋"/>
          <w:szCs w:val="24"/>
          <w:highlight w:val="none"/>
        </w:rPr>
      </w:pPr>
    </w:p>
    <w:p w14:paraId="7117DD15">
      <w:pPr>
        <w:spacing w:line="360" w:lineRule="exact"/>
        <w:ind w:right="1120" w:firstLine="3000" w:firstLineChars="1250"/>
        <w:rPr>
          <w:rFonts w:hint="eastAsia" w:ascii="仿宋" w:hAnsi="仿宋" w:eastAsia="仿宋" w:cs="仿宋"/>
          <w:sz w:val="24"/>
          <w:highlight w:val="none"/>
        </w:rPr>
      </w:pPr>
    </w:p>
    <w:p w14:paraId="0167B174">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7486F50B">
      <w:pPr>
        <w:pStyle w:val="23"/>
        <w:tabs>
          <w:tab w:val="left" w:pos="580"/>
          <w:tab w:val="left" w:pos="8400"/>
        </w:tabs>
        <w:ind w:right="100" w:rightChars="0"/>
        <w:jc w:val="center"/>
        <w:rPr>
          <w:rFonts w:ascii="仿宋" w:hAnsi="仿宋" w:eastAsia="仿宋" w:cs="仿宋"/>
          <w:b/>
          <w:bCs/>
          <w:sz w:val="36"/>
          <w:szCs w:val="36"/>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投标人基本情况表</w:t>
      </w:r>
    </w:p>
    <w:tbl>
      <w:tblPr>
        <w:tblStyle w:val="43"/>
        <w:tblW w:w="9720" w:type="dxa"/>
        <w:jc w:val="center"/>
        <w:tblLayout w:type="fixed"/>
        <w:tblCellMar>
          <w:top w:w="0" w:type="dxa"/>
          <w:left w:w="108" w:type="dxa"/>
          <w:bottom w:w="0" w:type="dxa"/>
          <w:right w:w="108" w:type="dxa"/>
        </w:tblCellMar>
      </w:tblPr>
      <w:tblGrid>
        <w:gridCol w:w="1960"/>
        <w:gridCol w:w="1218"/>
        <w:gridCol w:w="879"/>
        <w:gridCol w:w="1430"/>
        <w:gridCol w:w="353"/>
        <w:gridCol w:w="1399"/>
        <w:gridCol w:w="379"/>
        <w:gridCol w:w="975"/>
        <w:gridCol w:w="1127"/>
      </w:tblGrid>
      <w:tr w14:paraId="479F8788">
        <w:tblPrEx>
          <w:tblCellMar>
            <w:top w:w="0" w:type="dxa"/>
            <w:left w:w="108" w:type="dxa"/>
            <w:bottom w:w="0" w:type="dxa"/>
            <w:right w:w="108" w:type="dxa"/>
          </w:tblCellMar>
        </w:tblPrEx>
        <w:trPr>
          <w:trHeight w:val="512"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2B77A77E">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投标单位名称</w:t>
            </w:r>
          </w:p>
        </w:tc>
        <w:tc>
          <w:tcPr>
            <w:tcW w:w="7760" w:type="dxa"/>
            <w:gridSpan w:val="8"/>
            <w:tcBorders>
              <w:top w:val="single" w:color="auto" w:sz="4" w:space="0"/>
              <w:left w:val="nil"/>
              <w:bottom w:val="single" w:color="auto" w:sz="4" w:space="0"/>
              <w:right w:val="single" w:color="auto" w:sz="4" w:space="0"/>
            </w:tcBorders>
            <w:noWrap w:val="0"/>
            <w:vAlign w:val="center"/>
          </w:tcPr>
          <w:p w14:paraId="50B5411F">
            <w:pPr>
              <w:topLinePunct/>
              <w:snapToGrid w:val="0"/>
              <w:spacing w:line="240" w:lineRule="atLeast"/>
              <w:jc w:val="center"/>
              <w:rPr>
                <w:rFonts w:ascii="仿宋" w:hAnsi="仿宋" w:eastAsia="仿宋" w:cs="仿宋"/>
                <w:sz w:val="24"/>
                <w:szCs w:val="24"/>
                <w:highlight w:val="none"/>
              </w:rPr>
            </w:pPr>
          </w:p>
        </w:tc>
      </w:tr>
      <w:tr w14:paraId="3F8A0D9B">
        <w:tblPrEx>
          <w:tblCellMar>
            <w:top w:w="0" w:type="dxa"/>
            <w:left w:w="108" w:type="dxa"/>
            <w:bottom w:w="0" w:type="dxa"/>
            <w:right w:w="108" w:type="dxa"/>
          </w:tblCellMar>
        </w:tblPrEx>
        <w:trPr>
          <w:trHeight w:val="643"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17C588FF">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注册地址</w:t>
            </w:r>
          </w:p>
        </w:tc>
        <w:tc>
          <w:tcPr>
            <w:tcW w:w="3880" w:type="dxa"/>
            <w:gridSpan w:val="4"/>
            <w:tcBorders>
              <w:top w:val="single" w:color="auto" w:sz="4" w:space="0"/>
              <w:left w:val="nil"/>
              <w:bottom w:val="single" w:color="auto" w:sz="4" w:space="0"/>
              <w:right w:val="single" w:color="auto" w:sz="4" w:space="0"/>
            </w:tcBorders>
            <w:noWrap w:val="0"/>
            <w:vAlign w:val="center"/>
          </w:tcPr>
          <w:p w14:paraId="3B6B12EE">
            <w:pPr>
              <w:topLinePunct/>
              <w:snapToGrid w:val="0"/>
              <w:spacing w:line="240" w:lineRule="atLeast"/>
              <w:jc w:val="center"/>
              <w:rPr>
                <w:rFonts w:ascii="仿宋" w:hAnsi="仿宋" w:eastAsia="仿宋" w:cs="仿宋"/>
                <w:sz w:val="24"/>
                <w:szCs w:val="24"/>
                <w:highlight w:val="none"/>
              </w:rPr>
            </w:pPr>
          </w:p>
        </w:tc>
        <w:tc>
          <w:tcPr>
            <w:tcW w:w="1399" w:type="dxa"/>
            <w:tcBorders>
              <w:top w:val="single" w:color="auto" w:sz="4" w:space="0"/>
              <w:left w:val="nil"/>
              <w:bottom w:val="single" w:color="auto" w:sz="4" w:space="0"/>
              <w:right w:val="single" w:color="auto" w:sz="4" w:space="0"/>
            </w:tcBorders>
            <w:noWrap w:val="0"/>
            <w:vAlign w:val="center"/>
          </w:tcPr>
          <w:p w14:paraId="70DC84D6">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邮政编码</w:t>
            </w:r>
          </w:p>
        </w:tc>
        <w:tc>
          <w:tcPr>
            <w:tcW w:w="2481" w:type="dxa"/>
            <w:gridSpan w:val="3"/>
            <w:tcBorders>
              <w:top w:val="single" w:color="auto" w:sz="4" w:space="0"/>
              <w:left w:val="nil"/>
              <w:bottom w:val="single" w:color="auto" w:sz="4" w:space="0"/>
              <w:right w:val="single" w:color="auto" w:sz="4" w:space="0"/>
            </w:tcBorders>
            <w:noWrap w:val="0"/>
            <w:vAlign w:val="center"/>
          </w:tcPr>
          <w:p w14:paraId="3450C755">
            <w:pPr>
              <w:topLinePunct/>
              <w:snapToGrid w:val="0"/>
              <w:spacing w:line="240" w:lineRule="atLeast"/>
              <w:jc w:val="center"/>
              <w:rPr>
                <w:rFonts w:ascii="仿宋" w:hAnsi="仿宋" w:eastAsia="仿宋" w:cs="仿宋"/>
                <w:sz w:val="24"/>
                <w:szCs w:val="24"/>
                <w:highlight w:val="none"/>
              </w:rPr>
            </w:pPr>
          </w:p>
        </w:tc>
      </w:tr>
      <w:tr w14:paraId="721C4FDA">
        <w:tblPrEx>
          <w:tblCellMar>
            <w:top w:w="0" w:type="dxa"/>
            <w:left w:w="108" w:type="dxa"/>
            <w:bottom w:w="0" w:type="dxa"/>
            <w:right w:w="108" w:type="dxa"/>
          </w:tblCellMar>
        </w:tblPrEx>
        <w:trPr>
          <w:cantSplit/>
          <w:trHeight w:val="637" w:hRule="atLeast"/>
          <w:jc w:val="center"/>
        </w:trPr>
        <w:tc>
          <w:tcPr>
            <w:tcW w:w="1960" w:type="dxa"/>
            <w:vMerge w:val="restart"/>
            <w:tcBorders>
              <w:top w:val="nil"/>
              <w:left w:val="single" w:color="auto" w:sz="4" w:space="0"/>
              <w:bottom w:val="single" w:color="auto" w:sz="4" w:space="0"/>
              <w:right w:val="single" w:color="auto" w:sz="4" w:space="0"/>
            </w:tcBorders>
            <w:noWrap w:val="0"/>
            <w:vAlign w:val="center"/>
          </w:tcPr>
          <w:p w14:paraId="45E4770E">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联系方式</w:t>
            </w:r>
          </w:p>
        </w:tc>
        <w:tc>
          <w:tcPr>
            <w:tcW w:w="1218" w:type="dxa"/>
            <w:tcBorders>
              <w:top w:val="single" w:color="auto" w:sz="4" w:space="0"/>
              <w:left w:val="nil"/>
              <w:bottom w:val="single" w:color="auto" w:sz="4" w:space="0"/>
              <w:right w:val="single" w:color="auto" w:sz="4" w:space="0"/>
            </w:tcBorders>
            <w:noWrap w:val="0"/>
            <w:vAlign w:val="center"/>
          </w:tcPr>
          <w:p w14:paraId="7F9EAA21">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联系人</w:t>
            </w:r>
          </w:p>
        </w:tc>
        <w:tc>
          <w:tcPr>
            <w:tcW w:w="2662" w:type="dxa"/>
            <w:gridSpan w:val="3"/>
            <w:tcBorders>
              <w:top w:val="single" w:color="auto" w:sz="4" w:space="0"/>
              <w:left w:val="nil"/>
              <w:bottom w:val="single" w:color="auto" w:sz="4" w:space="0"/>
              <w:right w:val="single" w:color="auto" w:sz="4" w:space="0"/>
            </w:tcBorders>
            <w:noWrap w:val="0"/>
            <w:vAlign w:val="center"/>
          </w:tcPr>
          <w:p w14:paraId="01069150">
            <w:pPr>
              <w:topLinePunct/>
              <w:snapToGrid w:val="0"/>
              <w:spacing w:line="240" w:lineRule="atLeast"/>
              <w:jc w:val="center"/>
              <w:rPr>
                <w:rFonts w:ascii="仿宋" w:hAnsi="仿宋" w:eastAsia="仿宋" w:cs="仿宋"/>
                <w:sz w:val="24"/>
                <w:szCs w:val="24"/>
                <w:highlight w:val="none"/>
              </w:rPr>
            </w:pPr>
          </w:p>
        </w:tc>
        <w:tc>
          <w:tcPr>
            <w:tcW w:w="1399" w:type="dxa"/>
            <w:tcBorders>
              <w:top w:val="single" w:color="auto" w:sz="4" w:space="0"/>
              <w:left w:val="nil"/>
              <w:bottom w:val="single" w:color="auto" w:sz="4" w:space="0"/>
              <w:right w:val="single" w:color="auto" w:sz="4" w:space="0"/>
            </w:tcBorders>
            <w:noWrap w:val="0"/>
            <w:vAlign w:val="center"/>
          </w:tcPr>
          <w:p w14:paraId="48927119">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电 话</w:t>
            </w:r>
          </w:p>
        </w:tc>
        <w:tc>
          <w:tcPr>
            <w:tcW w:w="2481" w:type="dxa"/>
            <w:gridSpan w:val="3"/>
            <w:tcBorders>
              <w:top w:val="single" w:color="auto" w:sz="4" w:space="0"/>
              <w:left w:val="nil"/>
              <w:bottom w:val="single" w:color="auto" w:sz="4" w:space="0"/>
              <w:right w:val="single" w:color="auto" w:sz="4" w:space="0"/>
            </w:tcBorders>
            <w:noWrap w:val="0"/>
            <w:vAlign w:val="center"/>
          </w:tcPr>
          <w:p w14:paraId="22E329B0">
            <w:pPr>
              <w:topLinePunct/>
              <w:snapToGrid w:val="0"/>
              <w:spacing w:line="240" w:lineRule="atLeast"/>
              <w:jc w:val="center"/>
              <w:rPr>
                <w:rFonts w:ascii="仿宋" w:hAnsi="仿宋" w:eastAsia="仿宋" w:cs="仿宋"/>
                <w:sz w:val="24"/>
                <w:szCs w:val="24"/>
                <w:highlight w:val="none"/>
              </w:rPr>
            </w:pPr>
          </w:p>
        </w:tc>
      </w:tr>
      <w:tr w14:paraId="1B5D7307">
        <w:tblPrEx>
          <w:tblCellMar>
            <w:top w:w="0" w:type="dxa"/>
            <w:left w:w="108" w:type="dxa"/>
            <w:bottom w:w="0" w:type="dxa"/>
            <w:right w:w="108" w:type="dxa"/>
          </w:tblCellMar>
        </w:tblPrEx>
        <w:trPr>
          <w:cantSplit/>
          <w:trHeight w:val="645" w:hRule="atLeast"/>
          <w:jc w:val="center"/>
        </w:trPr>
        <w:tc>
          <w:tcPr>
            <w:tcW w:w="1960" w:type="dxa"/>
            <w:vMerge w:val="continue"/>
            <w:tcBorders>
              <w:top w:val="nil"/>
              <w:left w:val="single" w:color="auto" w:sz="4" w:space="0"/>
              <w:bottom w:val="single" w:color="auto" w:sz="4" w:space="0"/>
              <w:right w:val="single" w:color="auto" w:sz="4" w:space="0"/>
            </w:tcBorders>
            <w:noWrap w:val="0"/>
            <w:vAlign w:val="center"/>
          </w:tcPr>
          <w:p w14:paraId="4EDC3BF7">
            <w:pPr>
              <w:widowControl/>
              <w:snapToGrid w:val="0"/>
              <w:spacing w:line="240" w:lineRule="atLeast"/>
              <w:jc w:val="left"/>
              <w:rPr>
                <w:rFonts w:ascii="仿宋" w:hAnsi="仿宋" w:eastAsia="仿宋" w:cs="仿宋"/>
                <w:sz w:val="24"/>
                <w:szCs w:val="24"/>
                <w:highlight w:val="none"/>
              </w:rPr>
            </w:pPr>
          </w:p>
        </w:tc>
        <w:tc>
          <w:tcPr>
            <w:tcW w:w="1218" w:type="dxa"/>
            <w:tcBorders>
              <w:top w:val="single" w:color="auto" w:sz="4" w:space="0"/>
              <w:left w:val="nil"/>
              <w:bottom w:val="single" w:color="auto" w:sz="4" w:space="0"/>
              <w:right w:val="single" w:color="auto" w:sz="4" w:space="0"/>
            </w:tcBorders>
            <w:noWrap w:val="0"/>
            <w:vAlign w:val="center"/>
          </w:tcPr>
          <w:p w14:paraId="652BAD3F">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传  真</w:t>
            </w:r>
          </w:p>
        </w:tc>
        <w:tc>
          <w:tcPr>
            <w:tcW w:w="2662" w:type="dxa"/>
            <w:gridSpan w:val="3"/>
            <w:tcBorders>
              <w:top w:val="single" w:color="auto" w:sz="4" w:space="0"/>
              <w:left w:val="nil"/>
              <w:bottom w:val="single" w:color="auto" w:sz="4" w:space="0"/>
              <w:right w:val="single" w:color="auto" w:sz="4" w:space="0"/>
            </w:tcBorders>
            <w:noWrap w:val="0"/>
            <w:vAlign w:val="center"/>
          </w:tcPr>
          <w:p w14:paraId="20C2AC43">
            <w:pPr>
              <w:topLinePunct/>
              <w:snapToGrid w:val="0"/>
              <w:spacing w:line="240" w:lineRule="atLeast"/>
              <w:jc w:val="center"/>
              <w:rPr>
                <w:rFonts w:ascii="仿宋" w:hAnsi="仿宋" w:eastAsia="仿宋" w:cs="仿宋"/>
                <w:sz w:val="24"/>
                <w:szCs w:val="24"/>
                <w:highlight w:val="none"/>
              </w:rPr>
            </w:pPr>
          </w:p>
        </w:tc>
        <w:tc>
          <w:tcPr>
            <w:tcW w:w="1399" w:type="dxa"/>
            <w:tcBorders>
              <w:top w:val="single" w:color="auto" w:sz="4" w:space="0"/>
              <w:left w:val="nil"/>
              <w:bottom w:val="single" w:color="auto" w:sz="4" w:space="0"/>
              <w:right w:val="single" w:color="auto" w:sz="4" w:space="0"/>
            </w:tcBorders>
            <w:noWrap w:val="0"/>
            <w:vAlign w:val="center"/>
          </w:tcPr>
          <w:p w14:paraId="3B002CBD">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网 址</w:t>
            </w:r>
          </w:p>
        </w:tc>
        <w:tc>
          <w:tcPr>
            <w:tcW w:w="2481" w:type="dxa"/>
            <w:gridSpan w:val="3"/>
            <w:tcBorders>
              <w:top w:val="single" w:color="auto" w:sz="4" w:space="0"/>
              <w:left w:val="nil"/>
              <w:bottom w:val="single" w:color="auto" w:sz="4" w:space="0"/>
              <w:right w:val="single" w:color="auto" w:sz="4" w:space="0"/>
            </w:tcBorders>
            <w:noWrap w:val="0"/>
            <w:vAlign w:val="center"/>
          </w:tcPr>
          <w:p w14:paraId="09C90867">
            <w:pPr>
              <w:topLinePunct/>
              <w:snapToGrid w:val="0"/>
              <w:spacing w:line="240" w:lineRule="atLeast"/>
              <w:jc w:val="center"/>
              <w:rPr>
                <w:rFonts w:ascii="仿宋" w:hAnsi="仿宋" w:eastAsia="仿宋" w:cs="仿宋"/>
                <w:sz w:val="24"/>
                <w:szCs w:val="24"/>
                <w:highlight w:val="none"/>
              </w:rPr>
            </w:pPr>
          </w:p>
        </w:tc>
      </w:tr>
      <w:tr w14:paraId="2BE54DB7">
        <w:tblPrEx>
          <w:tblCellMar>
            <w:top w:w="0" w:type="dxa"/>
            <w:left w:w="108" w:type="dxa"/>
            <w:bottom w:w="0" w:type="dxa"/>
            <w:right w:w="108" w:type="dxa"/>
          </w:tblCellMar>
        </w:tblPrEx>
        <w:trPr>
          <w:trHeight w:val="640"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47A21E4D">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1218" w:type="dxa"/>
            <w:tcBorders>
              <w:top w:val="single" w:color="auto" w:sz="4" w:space="0"/>
              <w:left w:val="nil"/>
              <w:bottom w:val="single" w:color="auto" w:sz="4" w:space="0"/>
              <w:right w:val="single" w:color="auto" w:sz="4" w:space="0"/>
            </w:tcBorders>
            <w:noWrap w:val="0"/>
            <w:vAlign w:val="center"/>
          </w:tcPr>
          <w:p w14:paraId="445989D4">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姓名</w:t>
            </w:r>
          </w:p>
        </w:tc>
        <w:tc>
          <w:tcPr>
            <w:tcW w:w="879" w:type="dxa"/>
            <w:tcBorders>
              <w:top w:val="single" w:color="auto" w:sz="4" w:space="0"/>
              <w:left w:val="nil"/>
              <w:bottom w:val="single" w:color="auto" w:sz="4" w:space="0"/>
              <w:right w:val="single" w:color="auto" w:sz="4" w:space="0"/>
            </w:tcBorders>
            <w:noWrap w:val="0"/>
            <w:vAlign w:val="center"/>
          </w:tcPr>
          <w:p w14:paraId="5AB5386D">
            <w:pPr>
              <w:topLinePunct/>
              <w:snapToGrid w:val="0"/>
              <w:spacing w:line="240" w:lineRule="atLeast"/>
              <w:jc w:val="center"/>
              <w:rPr>
                <w:rFonts w:ascii="仿宋" w:hAnsi="仿宋" w:eastAsia="仿宋" w:cs="仿宋"/>
                <w:sz w:val="24"/>
                <w:szCs w:val="24"/>
                <w:highlight w:val="none"/>
              </w:rPr>
            </w:pPr>
          </w:p>
        </w:tc>
        <w:tc>
          <w:tcPr>
            <w:tcW w:w="1430" w:type="dxa"/>
            <w:tcBorders>
              <w:top w:val="single" w:color="auto" w:sz="4" w:space="0"/>
              <w:left w:val="nil"/>
              <w:bottom w:val="single" w:color="auto" w:sz="4" w:space="0"/>
              <w:right w:val="single" w:color="auto" w:sz="4" w:space="0"/>
            </w:tcBorders>
            <w:noWrap w:val="0"/>
            <w:vAlign w:val="center"/>
          </w:tcPr>
          <w:p w14:paraId="29B8DE0D">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技术职称</w:t>
            </w:r>
          </w:p>
        </w:tc>
        <w:tc>
          <w:tcPr>
            <w:tcW w:w="2131" w:type="dxa"/>
            <w:gridSpan w:val="3"/>
            <w:tcBorders>
              <w:top w:val="single" w:color="auto" w:sz="4" w:space="0"/>
              <w:left w:val="nil"/>
              <w:bottom w:val="single" w:color="auto" w:sz="4" w:space="0"/>
              <w:right w:val="single" w:color="auto" w:sz="4" w:space="0"/>
            </w:tcBorders>
            <w:noWrap w:val="0"/>
            <w:vAlign w:val="center"/>
          </w:tcPr>
          <w:p w14:paraId="5D475D3F">
            <w:pPr>
              <w:topLinePunct/>
              <w:snapToGrid w:val="0"/>
              <w:spacing w:line="240" w:lineRule="atLeast"/>
              <w:jc w:val="center"/>
              <w:rPr>
                <w:rFonts w:ascii="仿宋" w:hAnsi="仿宋" w:eastAsia="仿宋" w:cs="仿宋"/>
                <w:sz w:val="24"/>
                <w:szCs w:val="24"/>
                <w:highlight w:val="none"/>
              </w:rPr>
            </w:pPr>
          </w:p>
        </w:tc>
        <w:tc>
          <w:tcPr>
            <w:tcW w:w="975" w:type="dxa"/>
            <w:tcBorders>
              <w:top w:val="single" w:color="auto" w:sz="4" w:space="0"/>
              <w:left w:val="nil"/>
              <w:bottom w:val="single" w:color="auto" w:sz="4" w:space="0"/>
              <w:right w:val="single" w:color="auto" w:sz="4" w:space="0"/>
            </w:tcBorders>
            <w:noWrap w:val="0"/>
            <w:vAlign w:val="center"/>
          </w:tcPr>
          <w:p w14:paraId="7730B2AC">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电话</w:t>
            </w:r>
          </w:p>
        </w:tc>
        <w:tc>
          <w:tcPr>
            <w:tcW w:w="1127" w:type="dxa"/>
            <w:tcBorders>
              <w:top w:val="single" w:color="auto" w:sz="4" w:space="0"/>
              <w:left w:val="nil"/>
              <w:bottom w:val="single" w:color="auto" w:sz="4" w:space="0"/>
              <w:right w:val="single" w:color="auto" w:sz="4" w:space="0"/>
            </w:tcBorders>
            <w:noWrap w:val="0"/>
            <w:vAlign w:val="center"/>
          </w:tcPr>
          <w:p w14:paraId="07E4A6F0">
            <w:pPr>
              <w:topLinePunct/>
              <w:snapToGrid w:val="0"/>
              <w:spacing w:line="240" w:lineRule="atLeast"/>
              <w:jc w:val="center"/>
              <w:rPr>
                <w:rFonts w:ascii="仿宋" w:hAnsi="仿宋" w:eastAsia="仿宋" w:cs="仿宋"/>
                <w:sz w:val="24"/>
                <w:szCs w:val="24"/>
                <w:highlight w:val="none"/>
              </w:rPr>
            </w:pPr>
          </w:p>
        </w:tc>
      </w:tr>
      <w:tr w14:paraId="396609ED">
        <w:tblPrEx>
          <w:tblCellMar>
            <w:top w:w="0" w:type="dxa"/>
            <w:left w:w="108" w:type="dxa"/>
            <w:bottom w:w="0" w:type="dxa"/>
            <w:right w:w="108" w:type="dxa"/>
          </w:tblCellMar>
        </w:tblPrEx>
        <w:trPr>
          <w:trHeight w:val="1181" w:hRule="atLeast"/>
          <w:jc w:val="center"/>
        </w:trPr>
        <w:tc>
          <w:tcPr>
            <w:tcW w:w="1960" w:type="dxa"/>
            <w:tcBorders>
              <w:top w:val="single" w:color="auto" w:sz="4" w:space="0"/>
              <w:left w:val="single" w:color="auto" w:sz="4" w:space="0"/>
              <w:right w:val="single" w:color="auto" w:sz="4" w:space="0"/>
            </w:tcBorders>
            <w:noWrap w:val="0"/>
            <w:vAlign w:val="center"/>
          </w:tcPr>
          <w:p w14:paraId="34531F23">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097" w:type="dxa"/>
            <w:gridSpan w:val="2"/>
            <w:tcBorders>
              <w:top w:val="single" w:color="auto" w:sz="4" w:space="0"/>
              <w:left w:val="nil"/>
              <w:right w:val="single" w:color="auto" w:sz="4" w:space="0"/>
            </w:tcBorders>
            <w:noWrap w:val="0"/>
            <w:vAlign w:val="center"/>
          </w:tcPr>
          <w:p w14:paraId="7EE960EF">
            <w:pPr>
              <w:topLinePunct/>
              <w:snapToGrid w:val="0"/>
              <w:spacing w:line="240" w:lineRule="atLeast"/>
              <w:jc w:val="center"/>
              <w:rPr>
                <w:rFonts w:ascii="仿宋" w:hAnsi="仿宋" w:eastAsia="仿宋" w:cs="仿宋"/>
                <w:sz w:val="24"/>
                <w:szCs w:val="24"/>
                <w:highlight w:val="none"/>
              </w:rPr>
            </w:pPr>
          </w:p>
        </w:tc>
        <w:tc>
          <w:tcPr>
            <w:tcW w:w="5663" w:type="dxa"/>
            <w:gridSpan w:val="6"/>
            <w:tcBorders>
              <w:top w:val="single" w:color="auto" w:sz="4" w:space="0"/>
              <w:left w:val="nil"/>
              <w:bottom w:val="single" w:color="auto" w:sz="4" w:space="0"/>
              <w:right w:val="single" w:color="auto" w:sz="4" w:space="0"/>
            </w:tcBorders>
            <w:noWrap w:val="0"/>
            <w:vAlign w:val="center"/>
          </w:tcPr>
          <w:p w14:paraId="1B661B16">
            <w:pPr>
              <w:topLinePunct/>
              <w:snapToGrid w:val="0"/>
              <w:spacing w:line="240" w:lineRule="atLeast"/>
              <w:jc w:val="left"/>
              <w:rPr>
                <w:rFonts w:ascii="仿宋" w:hAnsi="仿宋" w:eastAsia="仿宋" w:cs="仿宋"/>
                <w:sz w:val="24"/>
                <w:szCs w:val="24"/>
                <w:highlight w:val="none"/>
              </w:rPr>
            </w:pPr>
            <w:r>
              <w:rPr>
                <w:rFonts w:hint="eastAsia" w:ascii="仿宋" w:hAnsi="仿宋" w:eastAsia="仿宋" w:cs="仿宋"/>
                <w:sz w:val="24"/>
                <w:szCs w:val="24"/>
                <w:highlight w:val="none"/>
              </w:rPr>
              <w:t>员工总人数：</w:t>
            </w:r>
          </w:p>
        </w:tc>
      </w:tr>
      <w:tr w14:paraId="42485C18">
        <w:tblPrEx>
          <w:tblCellMar>
            <w:top w:w="0" w:type="dxa"/>
            <w:left w:w="108" w:type="dxa"/>
            <w:bottom w:w="0" w:type="dxa"/>
            <w:right w:w="108" w:type="dxa"/>
          </w:tblCellMar>
        </w:tblPrEx>
        <w:trPr>
          <w:cantSplit/>
          <w:trHeight w:val="642"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023741FB">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营业执照号</w:t>
            </w:r>
          </w:p>
        </w:tc>
        <w:tc>
          <w:tcPr>
            <w:tcW w:w="7760" w:type="dxa"/>
            <w:gridSpan w:val="8"/>
            <w:tcBorders>
              <w:top w:val="single" w:color="auto" w:sz="4" w:space="0"/>
              <w:left w:val="nil"/>
              <w:bottom w:val="single" w:color="auto" w:sz="4" w:space="0"/>
              <w:right w:val="single" w:color="auto" w:sz="4" w:space="0"/>
            </w:tcBorders>
            <w:noWrap w:val="0"/>
            <w:vAlign w:val="center"/>
          </w:tcPr>
          <w:p w14:paraId="730D198B">
            <w:pPr>
              <w:topLinePunct/>
              <w:snapToGrid w:val="0"/>
              <w:spacing w:line="240" w:lineRule="atLeast"/>
              <w:jc w:val="center"/>
              <w:rPr>
                <w:rFonts w:ascii="仿宋" w:hAnsi="仿宋" w:eastAsia="仿宋" w:cs="仿宋"/>
                <w:sz w:val="24"/>
                <w:szCs w:val="24"/>
                <w:highlight w:val="none"/>
              </w:rPr>
            </w:pPr>
          </w:p>
        </w:tc>
      </w:tr>
      <w:tr w14:paraId="6B681833">
        <w:tblPrEx>
          <w:tblCellMar>
            <w:top w:w="0" w:type="dxa"/>
            <w:left w:w="108" w:type="dxa"/>
            <w:bottom w:w="0" w:type="dxa"/>
            <w:right w:w="108" w:type="dxa"/>
          </w:tblCellMar>
        </w:tblPrEx>
        <w:trPr>
          <w:cantSplit/>
          <w:trHeight w:val="636"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0365D625">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注册资金</w:t>
            </w:r>
          </w:p>
        </w:tc>
        <w:tc>
          <w:tcPr>
            <w:tcW w:w="7760" w:type="dxa"/>
            <w:gridSpan w:val="8"/>
            <w:tcBorders>
              <w:top w:val="single" w:color="auto" w:sz="4" w:space="0"/>
              <w:left w:val="nil"/>
              <w:bottom w:val="single" w:color="auto" w:sz="4" w:space="0"/>
              <w:right w:val="single" w:color="auto" w:sz="4" w:space="0"/>
            </w:tcBorders>
            <w:noWrap w:val="0"/>
            <w:vAlign w:val="center"/>
          </w:tcPr>
          <w:p w14:paraId="710281EC">
            <w:pPr>
              <w:topLinePunct/>
              <w:snapToGrid w:val="0"/>
              <w:spacing w:line="240" w:lineRule="atLeast"/>
              <w:jc w:val="center"/>
              <w:rPr>
                <w:rFonts w:ascii="仿宋" w:hAnsi="仿宋" w:eastAsia="仿宋" w:cs="仿宋"/>
                <w:sz w:val="24"/>
                <w:szCs w:val="24"/>
                <w:highlight w:val="none"/>
              </w:rPr>
            </w:pPr>
          </w:p>
        </w:tc>
      </w:tr>
      <w:tr w14:paraId="0B78DBFF">
        <w:tblPrEx>
          <w:tblCellMar>
            <w:top w:w="0" w:type="dxa"/>
            <w:left w:w="108" w:type="dxa"/>
            <w:bottom w:w="0" w:type="dxa"/>
            <w:right w:w="108" w:type="dxa"/>
          </w:tblCellMar>
        </w:tblPrEx>
        <w:trPr>
          <w:cantSplit/>
          <w:trHeight w:val="658"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092D3AFA">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基本账户</w:t>
            </w:r>
          </w:p>
          <w:p w14:paraId="7E845357">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开户银行</w:t>
            </w:r>
          </w:p>
        </w:tc>
        <w:tc>
          <w:tcPr>
            <w:tcW w:w="7760" w:type="dxa"/>
            <w:gridSpan w:val="8"/>
            <w:tcBorders>
              <w:top w:val="single" w:color="auto" w:sz="4" w:space="0"/>
              <w:left w:val="nil"/>
              <w:bottom w:val="single" w:color="auto" w:sz="4" w:space="0"/>
              <w:right w:val="single" w:color="auto" w:sz="4" w:space="0"/>
            </w:tcBorders>
            <w:noWrap w:val="0"/>
            <w:vAlign w:val="center"/>
          </w:tcPr>
          <w:p w14:paraId="47A1161D">
            <w:pPr>
              <w:topLinePunct/>
              <w:snapToGrid w:val="0"/>
              <w:spacing w:line="240" w:lineRule="atLeast"/>
              <w:jc w:val="center"/>
              <w:rPr>
                <w:rFonts w:ascii="仿宋" w:hAnsi="仿宋" w:eastAsia="仿宋" w:cs="仿宋"/>
                <w:sz w:val="24"/>
                <w:szCs w:val="24"/>
                <w:highlight w:val="none"/>
              </w:rPr>
            </w:pPr>
          </w:p>
        </w:tc>
      </w:tr>
      <w:tr w14:paraId="633CDDE4">
        <w:tblPrEx>
          <w:tblCellMar>
            <w:top w:w="0" w:type="dxa"/>
            <w:left w:w="108" w:type="dxa"/>
            <w:bottom w:w="0" w:type="dxa"/>
            <w:right w:w="108" w:type="dxa"/>
          </w:tblCellMar>
        </w:tblPrEx>
        <w:trPr>
          <w:cantSplit/>
          <w:trHeight w:val="430"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78E370AF">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基本账户账号</w:t>
            </w:r>
          </w:p>
        </w:tc>
        <w:tc>
          <w:tcPr>
            <w:tcW w:w="7760" w:type="dxa"/>
            <w:gridSpan w:val="8"/>
            <w:tcBorders>
              <w:top w:val="single" w:color="auto" w:sz="4" w:space="0"/>
              <w:left w:val="nil"/>
              <w:bottom w:val="single" w:color="auto" w:sz="4" w:space="0"/>
              <w:right w:val="single" w:color="auto" w:sz="4" w:space="0"/>
            </w:tcBorders>
            <w:noWrap w:val="0"/>
            <w:vAlign w:val="center"/>
          </w:tcPr>
          <w:p w14:paraId="42CCF251">
            <w:pPr>
              <w:topLinePunct/>
              <w:snapToGrid w:val="0"/>
              <w:spacing w:line="240" w:lineRule="atLeast"/>
              <w:jc w:val="center"/>
              <w:rPr>
                <w:rFonts w:ascii="仿宋" w:hAnsi="仿宋" w:eastAsia="仿宋" w:cs="仿宋"/>
                <w:sz w:val="24"/>
                <w:szCs w:val="24"/>
                <w:highlight w:val="none"/>
              </w:rPr>
            </w:pPr>
          </w:p>
        </w:tc>
      </w:tr>
      <w:tr w14:paraId="70AD1DCC">
        <w:tblPrEx>
          <w:tblCellMar>
            <w:top w:w="0" w:type="dxa"/>
            <w:left w:w="108" w:type="dxa"/>
            <w:bottom w:w="0" w:type="dxa"/>
            <w:right w:w="108" w:type="dxa"/>
          </w:tblCellMar>
        </w:tblPrEx>
        <w:trPr>
          <w:trHeight w:val="1639" w:hRule="atLeast"/>
          <w:jc w:val="center"/>
        </w:trPr>
        <w:tc>
          <w:tcPr>
            <w:tcW w:w="1960" w:type="dxa"/>
            <w:tcBorders>
              <w:top w:val="single" w:color="auto" w:sz="4" w:space="0"/>
              <w:left w:val="single" w:color="auto" w:sz="4" w:space="0"/>
              <w:right w:val="single" w:color="auto" w:sz="4" w:space="0"/>
            </w:tcBorders>
            <w:noWrap w:val="0"/>
            <w:vAlign w:val="center"/>
          </w:tcPr>
          <w:p w14:paraId="28076462">
            <w:pPr>
              <w:topLinePunct/>
              <w:snapToGrid w:val="0"/>
              <w:spacing w:line="240" w:lineRule="atLeast"/>
              <w:ind w:firstLine="240" w:firstLineChars="100"/>
              <w:jc w:val="center"/>
              <w:rPr>
                <w:rFonts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7760" w:type="dxa"/>
            <w:gridSpan w:val="8"/>
            <w:tcBorders>
              <w:top w:val="single" w:color="auto" w:sz="4" w:space="0"/>
              <w:left w:val="nil"/>
              <w:right w:val="single" w:color="auto" w:sz="4" w:space="0"/>
            </w:tcBorders>
            <w:noWrap w:val="0"/>
            <w:vAlign w:val="center"/>
          </w:tcPr>
          <w:p w14:paraId="4CDE525E">
            <w:pPr>
              <w:topLinePunct/>
              <w:snapToGrid w:val="0"/>
              <w:spacing w:line="240" w:lineRule="atLeast"/>
              <w:rPr>
                <w:rFonts w:ascii="仿宋" w:hAnsi="仿宋" w:eastAsia="仿宋" w:cs="仿宋"/>
                <w:sz w:val="24"/>
                <w:szCs w:val="24"/>
                <w:highlight w:val="none"/>
              </w:rPr>
            </w:pPr>
          </w:p>
        </w:tc>
      </w:tr>
      <w:tr w14:paraId="01CE6A79">
        <w:tblPrEx>
          <w:tblCellMar>
            <w:top w:w="0" w:type="dxa"/>
            <w:left w:w="108" w:type="dxa"/>
            <w:bottom w:w="0" w:type="dxa"/>
            <w:right w:w="108" w:type="dxa"/>
          </w:tblCellMar>
        </w:tblPrEx>
        <w:trPr>
          <w:trHeight w:val="1086" w:hRule="atLeast"/>
          <w:jc w:val="center"/>
        </w:trPr>
        <w:tc>
          <w:tcPr>
            <w:tcW w:w="1960" w:type="dxa"/>
            <w:tcBorders>
              <w:top w:val="single" w:color="auto" w:sz="4" w:space="0"/>
              <w:left w:val="single" w:color="auto" w:sz="4" w:space="0"/>
              <w:bottom w:val="single" w:color="auto" w:sz="4" w:space="0"/>
              <w:right w:val="single" w:color="auto" w:sz="4" w:space="0"/>
            </w:tcBorders>
            <w:noWrap w:val="0"/>
            <w:vAlign w:val="center"/>
          </w:tcPr>
          <w:p w14:paraId="61F2AD1A">
            <w:pPr>
              <w:topLinePunct/>
              <w:snapToGrid w:val="0"/>
              <w:spacing w:line="240" w:lineRule="atLeast"/>
              <w:jc w:val="center"/>
              <w:rPr>
                <w:rFonts w:ascii="仿宋" w:hAnsi="仿宋" w:eastAsia="仿宋" w:cs="仿宋"/>
                <w:sz w:val="24"/>
                <w:szCs w:val="24"/>
                <w:highlight w:val="none"/>
              </w:rPr>
            </w:pPr>
            <w:r>
              <w:rPr>
                <w:rFonts w:hint="eastAsia" w:ascii="仿宋" w:hAnsi="仿宋" w:eastAsia="仿宋" w:cs="仿宋"/>
                <w:sz w:val="24"/>
                <w:szCs w:val="24"/>
                <w:highlight w:val="none"/>
              </w:rPr>
              <w:t>备注</w:t>
            </w:r>
          </w:p>
        </w:tc>
        <w:tc>
          <w:tcPr>
            <w:tcW w:w="7760" w:type="dxa"/>
            <w:gridSpan w:val="8"/>
            <w:tcBorders>
              <w:top w:val="single" w:color="auto" w:sz="4" w:space="0"/>
              <w:left w:val="nil"/>
              <w:bottom w:val="single" w:color="auto" w:sz="4" w:space="0"/>
              <w:right w:val="single" w:color="auto" w:sz="4" w:space="0"/>
            </w:tcBorders>
            <w:noWrap w:val="0"/>
            <w:vAlign w:val="center"/>
          </w:tcPr>
          <w:p w14:paraId="3FA822A7">
            <w:pPr>
              <w:topLinePunct/>
              <w:snapToGrid w:val="0"/>
              <w:spacing w:line="240" w:lineRule="atLeast"/>
              <w:jc w:val="center"/>
              <w:rPr>
                <w:rFonts w:ascii="仿宋" w:hAnsi="仿宋" w:eastAsia="仿宋" w:cs="仿宋"/>
                <w:sz w:val="24"/>
                <w:szCs w:val="24"/>
                <w:highlight w:val="none"/>
              </w:rPr>
            </w:pPr>
          </w:p>
        </w:tc>
      </w:tr>
    </w:tbl>
    <w:p w14:paraId="251CBD97">
      <w:pPr>
        <w:spacing w:line="520" w:lineRule="exact"/>
        <w:jc w:val="left"/>
        <w:rPr>
          <w:rFonts w:ascii="仿宋" w:hAnsi="仿宋" w:eastAsia="仿宋" w:cs="仿宋"/>
          <w:sz w:val="24"/>
          <w:szCs w:val="24"/>
          <w:highlight w:val="none"/>
        </w:rPr>
      </w:pPr>
    </w:p>
    <w:p w14:paraId="61A3C0D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BAA459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74AD09AD">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440EB5A2">
      <w:pPr>
        <w:snapToGrid w:val="0"/>
        <w:spacing w:line="360" w:lineRule="auto"/>
        <w:rPr>
          <w:rFonts w:ascii="仿宋" w:hAnsi="仿宋" w:eastAsia="仿宋" w:cs="仿宋"/>
          <w:b/>
          <w:bCs/>
          <w:sz w:val="24"/>
          <w:szCs w:val="24"/>
          <w:highlight w:val="none"/>
        </w:rPr>
      </w:pPr>
    </w:p>
    <w:p w14:paraId="62CA154B">
      <w:pPr>
        <w:spacing w:line="600" w:lineRule="auto"/>
        <w:jc w:val="center"/>
        <w:rPr>
          <w:rFonts w:hint="eastAsia" w:ascii="仿宋" w:hAnsi="仿宋" w:eastAsia="仿宋" w:cs="仿宋"/>
          <w:b/>
          <w:bCs/>
          <w:color w:val="auto"/>
          <w:kern w:val="0"/>
          <w:sz w:val="30"/>
          <w:szCs w:val="30"/>
          <w:highlight w:val="none"/>
          <w:lang w:val="en-US" w:eastAsia="zh-CN"/>
        </w:rPr>
      </w:pPr>
      <w:r>
        <w:rPr>
          <w:rFonts w:ascii="仿宋" w:hAnsi="仿宋" w:eastAsia="仿宋"/>
          <w:highlight w:val="none"/>
        </w:rPr>
        <w:br w:type="page"/>
      </w:r>
      <w:r>
        <w:rPr>
          <w:rFonts w:hint="eastAsia" w:ascii="仿宋" w:hAnsi="仿宋" w:eastAsia="仿宋" w:cs="仿宋"/>
          <w:b/>
          <w:bCs/>
          <w:color w:val="auto"/>
          <w:kern w:val="0"/>
          <w:sz w:val="30"/>
          <w:szCs w:val="30"/>
          <w:highlight w:val="none"/>
          <w:lang w:val="en-US" w:eastAsia="zh-CN"/>
        </w:rPr>
        <w:t>关联关系声明函</w:t>
      </w:r>
    </w:p>
    <w:p w14:paraId="3FBC6C53">
      <w:pPr>
        <w:spacing w:line="480" w:lineRule="exact"/>
        <w:rPr>
          <w:rFonts w:hint="eastAsia"/>
          <w:bCs/>
          <w:color w:val="auto"/>
          <w:highlight w:val="none"/>
        </w:rPr>
      </w:pPr>
    </w:p>
    <w:p w14:paraId="525CFC58">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7F67E212">
      <w:pPr>
        <w:spacing w:line="560" w:lineRule="exact"/>
        <w:ind w:firstLine="480" w:firstLineChars="200"/>
        <w:rPr>
          <w:rFonts w:hint="eastAsia" w:ascii="仿宋" w:hAnsi="仿宋" w:eastAsia="仿宋" w:cs="仿宋"/>
          <w:color w:val="auto"/>
          <w:sz w:val="24"/>
          <w:szCs w:val="24"/>
          <w:highlight w:val="none"/>
        </w:rPr>
      </w:pPr>
    </w:p>
    <w:p w14:paraId="3A739BFB">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6885E3BD">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4C985A7B">
      <w:pPr>
        <w:spacing w:line="560" w:lineRule="exact"/>
        <w:rPr>
          <w:rFonts w:hint="eastAsia" w:ascii="仿宋" w:hAnsi="仿宋" w:eastAsia="仿宋" w:cs="仿宋"/>
          <w:color w:val="auto"/>
          <w:sz w:val="24"/>
          <w:szCs w:val="24"/>
          <w:highlight w:val="none"/>
        </w:rPr>
      </w:pPr>
    </w:p>
    <w:p w14:paraId="23DC75B9">
      <w:pPr>
        <w:spacing w:line="560" w:lineRule="exact"/>
        <w:rPr>
          <w:rFonts w:hint="eastAsia" w:ascii="仿宋" w:hAnsi="仿宋" w:eastAsia="仿宋" w:cs="仿宋"/>
          <w:color w:val="auto"/>
          <w:sz w:val="24"/>
          <w:szCs w:val="24"/>
          <w:highlight w:val="none"/>
        </w:rPr>
      </w:pPr>
    </w:p>
    <w:p w14:paraId="6CE35980">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524FC4CF">
      <w:pPr>
        <w:spacing w:line="560" w:lineRule="exact"/>
        <w:rPr>
          <w:rFonts w:hint="eastAsia" w:ascii="仿宋" w:hAnsi="仿宋" w:eastAsia="仿宋" w:cs="仿宋"/>
          <w:color w:val="auto"/>
          <w:sz w:val="24"/>
          <w:szCs w:val="24"/>
          <w:highlight w:val="none"/>
        </w:rPr>
      </w:pPr>
    </w:p>
    <w:p w14:paraId="0CE26EF2">
      <w:pPr>
        <w:spacing w:line="560" w:lineRule="exact"/>
        <w:rPr>
          <w:rFonts w:hint="eastAsia" w:ascii="仿宋" w:hAnsi="仿宋" w:eastAsia="仿宋" w:cs="仿宋"/>
          <w:color w:val="auto"/>
          <w:sz w:val="24"/>
          <w:szCs w:val="24"/>
          <w:highlight w:val="none"/>
        </w:rPr>
      </w:pPr>
    </w:p>
    <w:p w14:paraId="782CD14B">
      <w:pPr>
        <w:pStyle w:val="14"/>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6F72C60A">
      <w:pPr>
        <w:pStyle w:val="14"/>
        <w:spacing w:line="360" w:lineRule="auto"/>
        <w:ind w:left="0" w:leftChars="0" w:firstLine="0" w:firstLineChars="0"/>
        <w:jc w:val="center"/>
        <w:rPr>
          <w:rFonts w:hint="eastAsia" w:ascii="仿宋" w:hAnsi="仿宋" w:eastAsia="仿宋" w:cs="仿宋"/>
          <w:color w:val="auto"/>
          <w:sz w:val="24"/>
          <w:szCs w:val="24"/>
          <w:highlight w:val="none"/>
        </w:rPr>
      </w:pPr>
    </w:p>
    <w:p w14:paraId="4EDCBE07">
      <w:pPr>
        <w:pStyle w:val="14"/>
        <w:spacing w:line="360" w:lineRule="auto"/>
        <w:ind w:left="0" w:leftChars="0" w:firstLine="0" w:firstLineChars="0"/>
        <w:jc w:val="center"/>
        <w:rPr>
          <w:rFonts w:hint="eastAsia" w:ascii="仿宋" w:hAnsi="仿宋" w:eastAsia="仿宋" w:cs="仿宋"/>
          <w:color w:val="auto"/>
          <w:sz w:val="24"/>
          <w:szCs w:val="24"/>
          <w:highlight w:val="none"/>
        </w:rPr>
      </w:pPr>
    </w:p>
    <w:p w14:paraId="3D8B7F06">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817BD49">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75634C4C">
      <w:pPr>
        <w:pStyle w:val="14"/>
        <w:spacing w:line="360" w:lineRule="auto"/>
        <w:ind w:left="0" w:lef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日期：</w:t>
      </w:r>
    </w:p>
    <w:p w14:paraId="0DBA37E1">
      <w:pPr>
        <w:pStyle w:val="14"/>
        <w:spacing w:line="360" w:lineRule="auto"/>
        <w:ind w:left="0" w:leftChars="0" w:firstLine="0" w:firstLineChars="0"/>
        <w:jc w:val="center"/>
        <w:rPr>
          <w:rFonts w:hint="eastAsia" w:ascii="仿宋" w:hAnsi="仿宋" w:eastAsia="仿宋"/>
          <w:b/>
          <w:bCs/>
          <w:sz w:val="30"/>
          <w:szCs w:val="30"/>
          <w:highlight w:val="none"/>
        </w:rPr>
      </w:pPr>
      <w:r>
        <w:rPr>
          <w:rFonts w:ascii="仿宋" w:hAnsi="仿宋" w:eastAsia="仿宋"/>
          <w:highlight w:val="none"/>
        </w:rPr>
        <w:br w:type="page"/>
      </w:r>
      <w:bookmarkStart w:id="56" w:name="_Toc23357"/>
      <w:r>
        <w:rPr>
          <w:rFonts w:hint="eastAsia" w:ascii="仿宋" w:hAnsi="仿宋" w:eastAsia="仿宋"/>
          <w:b/>
          <w:bCs/>
          <w:sz w:val="30"/>
          <w:szCs w:val="30"/>
          <w:highlight w:val="none"/>
        </w:rPr>
        <w:t>类似</w:t>
      </w:r>
      <w:r>
        <w:rPr>
          <w:rFonts w:hint="eastAsia" w:ascii="仿宋" w:hAnsi="仿宋" w:eastAsia="仿宋"/>
          <w:b/>
          <w:bCs/>
          <w:sz w:val="30"/>
          <w:szCs w:val="30"/>
          <w:highlight w:val="none"/>
          <w:lang w:val="en-US" w:eastAsia="zh-CN"/>
        </w:rPr>
        <w:t>业绩汇总</w:t>
      </w:r>
      <w:r>
        <w:rPr>
          <w:rFonts w:hint="eastAsia" w:ascii="仿宋" w:hAnsi="仿宋" w:eastAsia="仿宋"/>
          <w:b/>
          <w:bCs/>
          <w:sz w:val="30"/>
          <w:szCs w:val="30"/>
          <w:highlight w:val="none"/>
        </w:rPr>
        <w:t>表</w:t>
      </w:r>
    </w:p>
    <w:tbl>
      <w:tblPr>
        <w:tblStyle w:val="43"/>
        <w:tblW w:w="9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2115"/>
        <w:gridCol w:w="2283"/>
        <w:gridCol w:w="1305"/>
        <w:gridCol w:w="1279"/>
        <w:gridCol w:w="1620"/>
      </w:tblGrid>
      <w:tr w14:paraId="7F67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782" w:type="dxa"/>
            <w:noWrap w:val="0"/>
            <w:vAlign w:val="center"/>
          </w:tcPr>
          <w:p w14:paraId="01FC2F4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115" w:type="dxa"/>
            <w:noWrap w:val="0"/>
            <w:vAlign w:val="center"/>
          </w:tcPr>
          <w:p w14:paraId="725A61B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招标人</w:t>
            </w:r>
          </w:p>
        </w:tc>
        <w:tc>
          <w:tcPr>
            <w:tcW w:w="2283" w:type="dxa"/>
            <w:noWrap w:val="0"/>
            <w:vAlign w:val="center"/>
          </w:tcPr>
          <w:p w14:paraId="675E377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305" w:type="dxa"/>
            <w:noWrap w:val="0"/>
            <w:vAlign w:val="center"/>
          </w:tcPr>
          <w:p w14:paraId="0CD98F2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合同额</w:t>
            </w:r>
          </w:p>
          <w:p w14:paraId="7D33B96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（万元）</w:t>
            </w:r>
          </w:p>
        </w:tc>
        <w:tc>
          <w:tcPr>
            <w:tcW w:w="1279" w:type="dxa"/>
            <w:noWrap w:val="0"/>
            <w:vAlign w:val="center"/>
          </w:tcPr>
          <w:p w14:paraId="62BC584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合同签订</w:t>
            </w:r>
          </w:p>
          <w:p w14:paraId="6A1F09F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tc>
        <w:tc>
          <w:tcPr>
            <w:tcW w:w="1620" w:type="dxa"/>
            <w:noWrap w:val="0"/>
            <w:vAlign w:val="center"/>
          </w:tcPr>
          <w:p w14:paraId="74548A6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420B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5C688C7B">
            <w:pPr>
              <w:rPr>
                <w:rFonts w:hint="eastAsia" w:ascii="仿宋" w:hAnsi="仿宋" w:eastAsia="仿宋" w:cs="仿宋"/>
                <w:sz w:val="24"/>
                <w:szCs w:val="24"/>
                <w:highlight w:val="none"/>
              </w:rPr>
            </w:pPr>
          </w:p>
        </w:tc>
        <w:tc>
          <w:tcPr>
            <w:tcW w:w="2115" w:type="dxa"/>
            <w:noWrap w:val="0"/>
            <w:vAlign w:val="center"/>
          </w:tcPr>
          <w:p w14:paraId="7B859064">
            <w:pPr>
              <w:rPr>
                <w:rFonts w:hint="eastAsia" w:ascii="仿宋" w:hAnsi="仿宋" w:eastAsia="仿宋" w:cs="仿宋"/>
                <w:sz w:val="24"/>
                <w:szCs w:val="24"/>
                <w:highlight w:val="none"/>
              </w:rPr>
            </w:pPr>
          </w:p>
        </w:tc>
        <w:tc>
          <w:tcPr>
            <w:tcW w:w="2283" w:type="dxa"/>
            <w:noWrap w:val="0"/>
            <w:vAlign w:val="center"/>
          </w:tcPr>
          <w:p w14:paraId="696935EF">
            <w:pPr>
              <w:rPr>
                <w:rFonts w:hint="eastAsia" w:ascii="仿宋" w:hAnsi="仿宋" w:eastAsia="仿宋" w:cs="仿宋"/>
                <w:sz w:val="24"/>
                <w:szCs w:val="24"/>
                <w:highlight w:val="none"/>
              </w:rPr>
            </w:pPr>
          </w:p>
        </w:tc>
        <w:tc>
          <w:tcPr>
            <w:tcW w:w="1305" w:type="dxa"/>
            <w:noWrap w:val="0"/>
            <w:vAlign w:val="center"/>
          </w:tcPr>
          <w:p w14:paraId="1B4A6EE5">
            <w:pPr>
              <w:rPr>
                <w:rFonts w:hint="eastAsia" w:ascii="仿宋" w:hAnsi="仿宋" w:eastAsia="仿宋" w:cs="仿宋"/>
                <w:sz w:val="24"/>
                <w:szCs w:val="24"/>
                <w:highlight w:val="none"/>
              </w:rPr>
            </w:pPr>
          </w:p>
        </w:tc>
        <w:tc>
          <w:tcPr>
            <w:tcW w:w="1279" w:type="dxa"/>
            <w:noWrap w:val="0"/>
            <w:vAlign w:val="center"/>
          </w:tcPr>
          <w:p w14:paraId="32DCC72E">
            <w:pPr>
              <w:rPr>
                <w:rFonts w:hint="eastAsia" w:ascii="仿宋" w:hAnsi="仿宋" w:eastAsia="仿宋" w:cs="仿宋"/>
                <w:sz w:val="24"/>
                <w:szCs w:val="24"/>
                <w:highlight w:val="none"/>
              </w:rPr>
            </w:pPr>
          </w:p>
        </w:tc>
        <w:tc>
          <w:tcPr>
            <w:tcW w:w="1620" w:type="dxa"/>
            <w:noWrap w:val="0"/>
            <w:vAlign w:val="center"/>
          </w:tcPr>
          <w:p w14:paraId="7FEC486F">
            <w:pPr>
              <w:rPr>
                <w:rFonts w:hint="eastAsia" w:ascii="仿宋" w:hAnsi="仿宋" w:eastAsia="仿宋" w:cs="仿宋"/>
                <w:sz w:val="24"/>
                <w:szCs w:val="24"/>
                <w:highlight w:val="none"/>
              </w:rPr>
            </w:pPr>
          </w:p>
        </w:tc>
      </w:tr>
      <w:tr w14:paraId="6199B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71D726F7">
            <w:pPr>
              <w:rPr>
                <w:rFonts w:hint="eastAsia" w:ascii="仿宋" w:hAnsi="仿宋" w:eastAsia="仿宋" w:cs="仿宋"/>
                <w:sz w:val="24"/>
                <w:szCs w:val="24"/>
                <w:highlight w:val="none"/>
              </w:rPr>
            </w:pPr>
          </w:p>
        </w:tc>
        <w:tc>
          <w:tcPr>
            <w:tcW w:w="2115" w:type="dxa"/>
            <w:noWrap w:val="0"/>
            <w:vAlign w:val="center"/>
          </w:tcPr>
          <w:p w14:paraId="04BFD2A0">
            <w:pPr>
              <w:rPr>
                <w:rFonts w:hint="eastAsia" w:ascii="仿宋" w:hAnsi="仿宋" w:eastAsia="仿宋" w:cs="仿宋"/>
                <w:sz w:val="24"/>
                <w:szCs w:val="24"/>
                <w:highlight w:val="none"/>
              </w:rPr>
            </w:pPr>
          </w:p>
        </w:tc>
        <w:tc>
          <w:tcPr>
            <w:tcW w:w="2283" w:type="dxa"/>
            <w:noWrap w:val="0"/>
            <w:vAlign w:val="center"/>
          </w:tcPr>
          <w:p w14:paraId="296A3133">
            <w:pPr>
              <w:rPr>
                <w:rFonts w:hint="eastAsia" w:ascii="仿宋" w:hAnsi="仿宋" w:eastAsia="仿宋" w:cs="仿宋"/>
                <w:sz w:val="24"/>
                <w:szCs w:val="24"/>
                <w:highlight w:val="none"/>
              </w:rPr>
            </w:pPr>
          </w:p>
        </w:tc>
        <w:tc>
          <w:tcPr>
            <w:tcW w:w="1305" w:type="dxa"/>
            <w:noWrap w:val="0"/>
            <w:vAlign w:val="center"/>
          </w:tcPr>
          <w:p w14:paraId="6D9C4D97">
            <w:pPr>
              <w:rPr>
                <w:rFonts w:hint="eastAsia" w:ascii="仿宋" w:hAnsi="仿宋" w:eastAsia="仿宋" w:cs="仿宋"/>
                <w:sz w:val="24"/>
                <w:szCs w:val="24"/>
                <w:highlight w:val="none"/>
              </w:rPr>
            </w:pPr>
          </w:p>
        </w:tc>
        <w:tc>
          <w:tcPr>
            <w:tcW w:w="1279" w:type="dxa"/>
            <w:noWrap w:val="0"/>
            <w:vAlign w:val="center"/>
          </w:tcPr>
          <w:p w14:paraId="6EEACC4C">
            <w:pPr>
              <w:rPr>
                <w:rFonts w:hint="eastAsia" w:ascii="仿宋" w:hAnsi="仿宋" w:eastAsia="仿宋" w:cs="仿宋"/>
                <w:sz w:val="24"/>
                <w:szCs w:val="24"/>
                <w:highlight w:val="none"/>
              </w:rPr>
            </w:pPr>
          </w:p>
        </w:tc>
        <w:tc>
          <w:tcPr>
            <w:tcW w:w="1620" w:type="dxa"/>
            <w:noWrap w:val="0"/>
            <w:vAlign w:val="center"/>
          </w:tcPr>
          <w:p w14:paraId="67D1CC98">
            <w:pPr>
              <w:rPr>
                <w:rFonts w:hint="eastAsia" w:ascii="仿宋" w:hAnsi="仿宋" w:eastAsia="仿宋" w:cs="仿宋"/>
                <w:sz w:val="24"/>
                <w:szCs w:val="24"/>
                <w:highlight w:val="none"/>
              </w:rPr>
            </w:pPr>
          </w:p>
        </w:tc>
      </w:tr>
      <w:tr w14:paraId="6908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470E650D">
            <w:pPr>
              <w:rPr>
                <w:rFonts w:hint="eastAsia" w:ascii="仿宋" w:hAnsi="仿宋" w:eastAsia="仿宋" w:cs="仿宋"/>
                <w:sz w:val="24"/>
                <w:szCs w:val="24"/>
                <w:highlight w:val="none"/>
              </w:rPr>
            </w:pPr>
          </w:p>
        </w:tc>
        <w:tc>
          <w:tcPr>
            <w:tcW w:w="2115" w:type="dxa"/>
            <w:noWrap w:val="0"/>
            <w:vAlign w:val="center"/>
          </w:tcPr>
          <w:p w14:paraId="60D3AA75">
            <w:pPr>
              <w:rPr>
                <w:rFonts w:hint="eastAsia" w:ascii="仿宋" w:hAnsi="仿宋" w:eastAsia="仿宋" w:cs="仿宋"/>
                <w:sz w:val="24"/>
                <w:szCs w:val="24"/>
                <w:highlight w:val="none"/>
              </w:rPr>
            </w:pPr>
          </w:p>
        </w:tc>
        <w:tc>
          <w:tcPr>
            <w:tcW w:w="2283" w:type="dxa"/>
            <w:noWrap w:val="0"/>
            <w:vAlign w:val="center"/>
          </w:tcPr>
          <w:p w14:paraId="7379D27A">
            <w:pPr>
              <w:rPr>
                <w:rFonts w:hint="eastAsia" w:ascii="仿宋" w:hAnsi="仿宋" w:eastAsia="仿宋" w:cs="仿宋"/>
                <w:sz w:val="24"/>
                <w:szCs w:val="24"/>
                <w:highlight w:val="none"/>
              </w:rPr>
            </w:pPr>
          </w:p>
        </w:tc>
        <w:tc>
          <w:tcPr>
            <w:tcW w:w="1305" w:type="dxa"/>
            <w:noWrap w:val="0"/>
            <w:vAlign w:val="center"/>
          </w:tcPr>
          <w:p w14:paraId="14A4E83A">
            <w:pPr>
              <w:rPr>
                <w:rFonts w:hint="eastAsia" w:ascii="仿宋" w:hAnsi="仿宋" w:eastAsia="仿宋" w:cs="仿宋"/>
                <w:sz w:val="24"/>
                <w:szCs w:val="24"/>
                <w:highlight w:val="none"/>
              </w:rPr>
            </w:pPr>
          </w:p>
        </w:tc>
        <w:tc>
          <w:tcPr>
            <w:tcW w:w="1279" w:type="dxa"/>
            <w:noWrap w:val="0"/>
            <w:vAlign w:val="center"/>
          </w:tcPr>
          <w:p w14:paraId="60A27D7B">
            <w:pPr>
              <w:rPr>
                <w:rFonts w:hint="eastAsia" w:ascii="仿宋" w:hAnsi="仿宋" w:eastAsia="仿宋" w:cs="仿宋"/>
                <w:sz w:val="24"/>
                <w:szCs w:val="24"/>
                <w:highlight w:val="none"/>
              </w:rPr>
            </w:pPr>
          </w:p>
        </w:tc>
        <w:tc>
          <w:tcPr>
            <w:tcW w:w="1620" w:type="dxa"/>
            <w:noWrap w:val="0"/>
            <w:vAlign w:val="center"/>
          </w:tcPr>
          <w:p w14:paraId="5A250F8D">
            <w:pPr>
              <w:rPr>
                <w:rFonts w:hint="eastAsia" w:ascii="仿宋" w:hAnsi="仿宋" w:eastAsia="仿宋" w:cs="仿宋"/>
                <w:sz w:val="24"/>
                <w:szCs w:val="24"/>
                <w:highlight w:val="none"/>
              </w:rPr>
            </w:pPr>
          </w:p>
        </w:tc>
      </w:tr>
      <w:tr w14:paraId="2DAF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0686B6CD">
            <w:pPr>
              <w:rPr>
                <w:rFonts w:hint="eastAsia" w:ascii="仿宋" w:hAnsi="仿宋" w:eastAsia="仿宋" w:cs="仿宋"/>
                <w:sz w:val="24"/>
                <w:szCs w:val="24"/>
                <w:highlight w:val="none"/>
              </w:rPr>
            </w:pPr>
          </w:p>
        </w:tc>
        <w:tc>
          <w:tcPr>
            <w:tcW w:w="2115" w:type="dxa"/>
            <w:noWrap w:val="0"/>
            <w:vAlign w:val="center"/>
          </w:tcPr>
          <w:p w14:paraId="40D9C23A">
            <w:pPr>
              <w:rPr>
                <w:rFonts w:hint="eastAsia" w:ascii="仿宋" w:hAnsi="仿宋" w:eastAsia="仿宋" w:cs="仿宋"/>
                <w:sz w:val="24"/>
                <w:szCs w:val="24"/>
                <w:highlight w:val="none"/>
              </w:rPr>
            </w:pPr>
          </w:p>
        </w:tc>
        <w:tc>
          <w:tcPr>
            <w:tcW w:w="2283" w:type="dxa"/>
            <w:noWrap w:val="0"/>
            <w:vAlign w:val="center"/>
          </w:tcPr>
          <w:p w14:paraId="764ACE6D">
            <w:pPr>
              <w:rPr>
                <w:rFonts w:hint="eastAsia" w:ascii="仿宋" w:hAnsi="仿宋" w:eastAsia="仿宋" w:cs="仿宋"/>
                <w:sz w:val="24"/>
                <w:szCs w:val="24"/>
                <w:highlight w:val="none"/>
              </w:rPr>
            </w:pPr>
          </w:p>
        </w:tc>
        <w:tc>
          <w:tcPr>
            <w:tcW w:w="1305" w:type="dxa"/>
            <w:noWrap w:val="0"/>
            <w:vAlign w:val="center"/>
          </w:tcPr>
          <w:p w14:paraId="35C0CB52">
            <w:pPr>
              <w:rPr>
                <w:rFonts w:hint="eastAsia" w:ascii="仿宋" w:hAnsi="仿宋" w:eastAsia="仿宋" w:cs="仿宋"/>
                <w:sz w:val="24"/>
                <w:szCs w:val="24"/>
                <w:highlight w:val="none"/>
              </w:rPr>
            </w:pPr>
          </w:p>
        </w:tc>
        <w:tc>
          <w:tcPr>
            <w:tcW w:w="1279" w:type="dxa"/>
            <w:noWrap w:val="0"/>
            <w:vAlign w:val="center"/>
          </w:tcPr>
          <w:p w14:paraId="7B922413">
            <w:pPr>
              <w:rPr>
                <w:rFonts w:hint="eastAsia" w:ascii="仿宋" w:hAnsi="仿宋" w:eastAsia="仿宋" w:cs="仿宋"/>
                <w:sz w:val="24"/>
                <w:szCs w:val="24"/>
                <w:highlight w:val="none"/>
              </w:rPr>
            </w:pPr>
          </w:p>
        </w:tc>
        <w:tc>
          <w:tcPr>
            <w:tcW w:w="1620" w:type="dxa"/>
            <w:noWrap w:val="0"/>
            <w:vAlign w:val="center"/>
          </w:tcPr>
          <w:p w14:paraId="4E774C2D">
            <w:pPr>
              <w:rPr>
                <w:rFonts w:hint="eastAsia" w:ascii="仿宋" w:hAnsi="仿宋" w:eastAsia="仿宋" w:cs="仿宋"/>
                <w:sz w:val="24"/>
                <w:szCs w:val="24"/>
                <w:highlight w:val="none"/>
              </w:rPr>
            </w:pPr>
          </w:p>
        </w:tc>
      </w:tr>
      <w:tr w14:paraId="1C2A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7CDE747A">
            <w:pPr>
              <w:rPr>
                <w:rFonts w:hint="eastAsia" w:ascii="仿宋" w:hAnsi="仿宋" w:eastAsia="仿宋" w:cs="仿宋"/>
                <w:sz w:val="24"/>
                <w:szCs w:val="24"/>
                <w:highlight w:val="none"/>
              </w:rPr>
            </w:pPr>
          </w:p>
        </w:tc>
        <w:tc>
          <w:tcPr>
            <w:tcW w:w="2115" w:type="dxa"/>
            <w:noWrap w:val="0"/>
            <w:vAlign w:val="center"/>
          </w:tcPr>
          <w:p w14:paraId="26771962">
            <w:pPr>
              <w:rPr>
                <w:rFonts w:hint="eastAsia" w:ascii="仿宋" w:hAnsi="仿宋" w:eastAsia="仿宋" w:cs="仿宋"/>
                <w:sz w:val="24"/>
                <w:szCs w:val="24"/>
                <w:highlight w:val="none"/>
              </w:rPr>
            </w:pPr>
          </w:p>
        </w:tc>
        <w:tc>
          <w:tcPr>
            <w:tcW w:w="2283" w:type="dxa"/>
            <w:noWrap w:val="0"/>
            <w:vAlign w:val="center"/>
          </w:tcPr>
          <w:p w14:paraId="359D7E20">
            <w:pPr>
              <w:rPr>
                <w:rFonts w:hint="eastAsia" w:ascii="仿宋" w:hAnsi="仿宋" w:eastAsia="仿宋" w:cs="仿宋"/>
                <w:sz w:val="24"/>
                <w:szCs w:val="24"/>
                <w:highlight w:val="none"/>
              </w:rPr>
            </w:pPr>
          </w:p>
        </w:tc>
        <w:tc>
          <w:tcPr>
            <w:tcW w:w="1305" w:type="dxa"/>
            <w:noWrap w:val="0"/>
            <w:vAlign w:val="center"/>
          </w:tcPr>
          <w:p w14:paraId="6883C540">
            <w:pPr>
              <w:rPr>
                <w:rFonts w:hint="eastAsia" w:ascii="仿宋" w:hAnsi="仿宋" w:eastAsia="仿宋" w:cs="仿宋"/>
                <w:sz w:val="24"/>
                <w:szCs w:val="24"/>
                <w:highlight w:val="none"/>
              </w:rPr>
            </w:pPr>
          </w:p>
        </w:tc>
        <w:tc>
          <w:tcPr>
            <w:tcW w:w="1279" w:type="dxa"/>
            <w:noWrap w:val="0"/>
            <w:vAlign w:val="center"/>
          </w:tcPr>
          <w:p w14:paraId="45E0E1D3">
            <w:pPr>
              <w:rPr>
                <w:rFonts w:hint="eastAsia" w:ascii="仿宋" w:hAnsi="仿宋" w:eastAsia="仿宋" w:cs="仿宋"/>
                <w:sz w:val="24"/>
                <w:szCs w:val="24"/>
                <w:highlight w:val="none"/>
              </w:rPr>
            </w:pPr>
          </w:p>
        </w:tc>
        <w:tc>
          <w:tcPr>
            <w:tcW w:w="1620" w:type="dxa"/>
            <w:noWrap w:val="0"/>
            <w:vAlign w:val="center"/>
          </w:tcPr>
          <w:p w14:paraId="2F4DCB92">
            <w:pPr>
              <w:rPr>
                <w:rFonts w:hint="eastAsia" w:ascii="仿宋" w:hAnsi="仿宋" w:eastAsia="仿宋" w:cs="仿宋"/>
                <w:sz w:val="24"/>
                <w:szCs w:val="24"/>
                <w:highlight w:val="none"/>
              </w:rPr>
            </w:pPr>
          </w:p>
        </w:tc>
      </w:tr>
      <w:tr w14:paraId="01C0C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31E429C8">
            <w:pPr>
              <w:rPr>
                <w:rFonts w:hint="eastAsia" w:ascii="仿宋" w:hAnsi="仿宋" w:eastAsia="仿宋" w:cs="仿宋"/>
                <w:sz w:val="24"/>
                <w:szCs w:val="24"/>
                <w:highlight w:val="none"/>
              </w:rPr>
            </w:pPr>
          </w:p>
        </w:tc>
        <w:tc>
          <w:tcPr>
            <w:tcW w:w="2115" w:type="dxa"/>
            <w:noWrap w:val="0"/>
            <w:vAlign w:val="center"/>
          </w:tcPr>
          <w:p w14:paraId="1D587CE2">
            <w:pPr>
              <w:rPr>
                <w:rFonts w:hint="eastAsia" w:ascii="仿宋" w:hAnsi="仿宋" w:eastAsia="仿宋" w:cs="仿宋"/>
                <w:sz w:val="24"/>
                <w:szCs w:val="24"/>
                <w:highlight w:val="none"/>
              </w:rPr>
            </w:pPr>
          </w:p>
        </w:tc>
        <w:tc>
          <w:tcPr>
            <w:tcW w:w="2283" w:type="dxa"/>
            <w:noWrap w:val="0"/>
            <w:vAlign w:val="center"/>
          </w:tcPr>
          <w:p w14:paraId="365562B7">
            <w:pPr>
              <w:rPr>
                <w:rFonts w:hint="eastAsia" w:ascii="仿宋" w:hAnsi="仿宋" w:eastAsia="仿宋" w:cs="仿宋"/>
                <w:sz w:val="24"/>
                <w:szCs w:val="24"/>
                <w:highlight w:val="none"/>
              </w:rPr>
            </w:pPr>
          </w:p>
        </w:tc>
        <w:tc>
          <w:tcPr>
            <w:tcW w:w="1305" w:type="dxa"/>
            <w:noWrap w:val="0"/>
            <w:vAlign w:val="center"/>
          </w:tcPr>
          <w:p w14:paraId="187739E0">
            <w:pPr>
              <w:rPr>
                <w:rFonts w:hint="eastAsia" w:ascii="仿宋" w:hAnsi="仿宋" w:eastAsia="仿宋" w:cs="仿宋"/>
                <w:sz w:val="24"/>
                <w:szCs w:val="24"/>
                <w:highlight w:val="none"/>
              </w:rPr>
            </w:pPr>
          </w:p>
        </w:tc>
        <w:tc>
          <w:tcPr>
            <w:tcW w:w="1279" w:type="dxa"/>
            <w:noWrap w:val="0"/>
            <w:vAlign w:val="center"/>
          </w:tcPr>
          <w:p w14:paraId="711F78D7">
            <w:pPr>
              <w:rPr>
                <w:rFonts w:hint="eastAsia" w:ascii="仿宋" w:hAnsi="仿宋" w:eastAsia="仿宋" w:cs="仿宋"/>
                <w:sz w:val="24"/>
                <w:szCs w:val="24"/>
                <w:highlight w:val="none"/>
              </w:rPr>
            </w:pPr>
          </w:p>
        </w:tc>
        <w:tc>
          <w:tcPr>
            <w:tcW w:w="1620" w:type="dxa"/>
            <w:noWrap w:val="0"/>
            <w:vAlign w:val="center"/>
          </w:tcPr>
          <w:p w14:paraId="0E124B7E">
            <w:pPr>
              <w:rPr>
                <w:rFonts w:hint="eastAsia" w:ascii="仿宋" w:hAnsi="仿宋" w:eastAsia="仿宋" w:cs="仿宋"/>
                <w:sz w:val="24"/>
                <w:szCs w:val="24"/>
                <w:highlight w:val="none"/>
              </w:rPr>
            </w:pPr>
          </w:p>
        </w:tc>
      </w:tr>
      <w:tr w14:paraId="7E796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041CCA1C">
            <w:pPr>
              <w:rPr>
                <w:rFonts w:hint="eastAsia" w:ascii="仿宋" w:hAnsi="仿宋" w:eastAsia="仿宋" w:cs="仿宋"/>
                <w:sz w:val="24"/>
                <w:szCs w:val="24"/>
                <w:highlight w:val="none"/>
              </w:rPr>
            </w:pPr>
          </w:p>
        </w:tc>
        <w:tc>
          <w:tcPr>
            <w:tcW w:w="2115" w:type="dxa"/>
            <w:noWrap w:val="0"/>
            <w:vAlign w:val="center"/>
          </w:tcPr>
          <w:p w14:paraId="7ECF7727">
            <w:pPr>
              <w:rPr>
                <w:rFonts w:hint="eastAsia" w:ascii="仿宋" w:hAnsi="仿宋" w:eastAsia="仿宋" w:cs="仿宋"/>
                <w:sz w:val="24"/>
                <w:szCs w:val="24"/>
                <w:highlight w:val="none"/>
              </w:rPr>
            </w:pPr>
          </w:p>
        </w:tc>
        <w:tc>
          <w:tcPr>
            <w:tcW w:w="2283" w:type="dxa"/>
            <w:noWrap w:val="0"/>
            <w:vAlign w:val="center"/>
          </w:tcPr>
          <w:p w14:paraId="66A50C64">
            <w:pPr>
              <w:rPr>
                <w:rFonts w:hint="eastAsia" w:ascii="仿宋" w:hAnsi="仿宋" w:eastAsia="仿宋" w:cs="仿宋"/>
                <w:sz w:val="24"/>
                <w:szCs w:val="24"/>
                <w:highlight w:val="none"/>
              </w:rPr>
            </w:pPr>
          </w:p>
        </w:tc>
        <w:tc>
          <w:tcPr>
            <w:tcW w:w="1305" w:type="dxa"/>
            <w:noWrap w:val="0"/>
            <w:vAlign w:val="center"/>
          </w:tcPr>
          <w:p w14:paraId="2E9D8799">
            <w:pPr>
              <w:rPr>
                <w:rFonts w:hint="eastAsia" w:ascii="仿宋" w:hAnsi="仿宋" w:eastAsia="仿宋" w:cs="仿宋"/>
                <w:sz w:val="24"/>
                <w:szCs w:val="24"/>
                <w:highlight w:val="none"/>
              </w:rPr>
            </w:pPr>
          </w:p>
        </w:tc>
        <w:tc>
          <w:tcPr>
            <w:tcW w:w="1279" w:type="dxa"/>
            <w:noWrap w:val="0"/>
            <w:vAlign w:val="center"/>
          </w:tcPr>
          <w:p w14:paraId="3FDC40F2">
            <w:pPr>
              <w:rPr>
                <w:rFonts w:hint="eastAsia" w:ascii="仿宋" w:hAnsi="仿宋" w:eastAsia="仿宋" w:cs="仿宋"/>
                <w:sz w:val="24"/>
                <w:szCs w:val="24"/>
                <w:highlight w:val="none"/>
              </w:rPr>
            </w:pPr>
          </w:p>
        </w:tc>
        <w:tc>
          <w:tcPr>
            <w:tcW w:w="1620" w:type="dxa"/>
            <w:noWrap w:val="0"/>
            <w:vAlign w:val="center"/>
          </w:tcPr>
          <w:p w14:paraId="4F28BF8E">
            <w:pPr>
              <w:rPr>
                <w:rFonts w:hint="eastAsia" w:ascii="仿宋" w:hAnsi="仿宋" w:eastAsia="仿宋" w:cs="仿宋"/>
                <w:sz w:val="24"/>
                <w:szCs w:val="24"/>
                <w:highlight w:val="none"/>
              </w:rPr>
            </w:pPr>
          </w:p>
        </w:tc>
      </w:tr>
      <w:tr w14:paraId="5F73A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41D36E84">
            <w:pP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2115" w:type="dxa"/>
            <w:noWrap w:val="0"/>
            <w:vAlign w:val="center"/>
          </w:tcPr>
          <w:p w14:paraId="2D1B3693">
            <w:pPr>
              <w:rPr>
                <w:rFonts w:hint="eastAsia" w:ascii="仿宋" w:hAnsi="仿宋" w:eastAsia="仿宋" w:cs="仿宋"/>
                <w:sz w:val="24"/>
                <w:szCs w:val="24"/>
                <w:highlight w:val="none"/>
              </w:rPr>
            </w:pPr>
          </w:p>
        </w:tc>
        <w:tc>
          <w:tcPr>
            <w:tcW w:w="2283" w:type="dxa"/>
            <w:noWrap w:val="0"/>
            <w:vAlign w:val="center"/>
          </w:tcPr>
          <w:p w14:paraId="2230AC7D">
            <w:pPr>
              <w:rPr>
                <w:rFonts w:hint="eastAsia" w:ascii="仿宋" w:hAnsi="仿宋" w:eastAsia="仿宋" w:cs="仿宋"/>
                <w:sz w:val="24"/>
                <w:szCs w:val="24"/>
                <w:highlight w:val="none"/>
              </w:rPr>
            </w:pPr>
          </w:p>
        </w:tc>
        <w:tc>
          <w:tcPr>
            <w:tcW w:w="1305" w:type="dxa"/>
            <w:noWrap w:val="0"/>
            <w:vAlign w:val="center"/>
          </w:tcPr>
          <w:p w14:paraId="68C0A941">
            <w:pPr>
              <w:rPr>
                <w:rFonts w:hint="eastAsia" w:ascii="仿宋" w:hAnsi="仿宋" w:eastAsia="仿宋" w:cs="仿宋"/>
                <w:sz w:val="24"/>
                <w:szCs w:val="24"/>
                <w:highlight w:val="none"/>
              </w:rPr>
            </w:pPr>
          </w:p>
        </w:tc>
        <w:tc>
          <w:tcPr>
            <w:tcW w:w="1279" w:type="dxa"/>
            <w:noWrap w:val="0"/>
            <w:vAlign w:val="center"/>
          </w:tcPr>
          <w:p w14:paraId="2F1F20A1">
            <w:pPr>
              <w:rPr>
                <w:rFonts w:hint="eastAsia" w:ascii="仿宋" w:hAnsi="仿宋" w:eastAsia="仿宋" w:cs="仿宋"/>
                <w:sz w:val="24"/>
                <w:szCs w:val="24"/>
                <w:highlight w:val="none"/>
              </w:rPr>
            </w:pPr>
          </w:p>
        </w:tc>
        <w:tc>
          <w:tcPr>
            <w:tcW w:w="1620" w:type="dxa"/>
            <w:noWrap w:val="0"/>
            <w:vAlign w:val="center"/>
          </w:tcPr>
          <w:p w14:paraId="10113B1C">
            <w:pPr>
              <w:rPr>
                <w:rFonts w:hint="eastAsia" w:ascii="仿宋" w:hAnsi="仿宋" w:eastAsia="仿宋" w:cs="仿宋"/>
                <w:sz w:val="24"/>
                <w:szCs w:val="24"/>
                <w:highlight w:val="none"/>
              </w:rPr>
            </w:pPr>
          </w:p>
        </w:tc>
      </w:tr>
      <w:tr w14:paraId="2869D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82" w:type="dxa"/>
            <w:noWrap w:val="0"/>
            <w:vAlign w:val="center"/>
          </w:tcPr>
          <w:p w14:paraId="5980BD6B">
            <w:pPr>
              <w:rPr>
                <w:rFonts w:hint="eastAsia" w:ascii="仿宋" w:hAnsi="仿宋" w:eastAsia="仿宋" w:cs="仿宋"/>
                <w:sz w:val="24"/>
                <w:szCs w:val="24"/>
                <w:highlight w:val="none"/>
              </w:rPr>
            </w:pPr>
          </w:p>
        </w:tc>
        <w:tc>
          <w:tcPr>
            <w:tcW w:w="2115" w:type="dxa"/>
            <w:noWrap w:val="0"/>
            <w:vAlign w:val="center"/>
          </w:tcPr>
          <w:p w14:paraId="6C1881AC">
            <w:pPr>
              <w:rPr>
                <w:rFonts w:hint="eastAsia" w:ascii="仿宋" w:hAnsi="仿宋" w:eastAsia="仿宋" w:cs="仿宋"/>
                <w:sz w:val="24"/>
                <w:szCs w:val="24"/>
                <w:highlight w:val="none"/>
              </w:rPr>
            </w:pPr>
          </w:p>
        </w:tc>
        <w:tc>
          <w:tcPr>
            <w:tcW w:w="2283" w:type="dxa"/>
            <w:noWrap w:val="0"/>
            <w:vAlign w:val="center"/>
          </w:tcPr>
          <w:p w14:paraId="602DB6F5">
            <w:pPr>
              <w:rPr>
                <w:rFonts w:hint="eastAsia" w:ascii="仿宋" w:hAnsi="仿宋" w:eastAsia="仿宋" w:cs="仿宋"/>
                <w:sz w:val="24"/>
                <w:szCs w:val="24"/>
                <w:highlight w:val="none"/>
              </w:rPr>
            </w:pPr>
          </w:p>
        </w:tc>
        <w:tc>
          <w:tcPr>
            <w:tcW w:w="1305" w:type="dxa"/>
            <w:noWrap w:val="0"/>
            <w:vAlign w:val="center"/>
          </w:tcPr>
          <w:p w14:paraId="539552D3">
            <w:pPr>
              <w:rPr>
                <w:rFonts w:hint="eastAsia" w:ascii="仿宋" w:hAnsi="仿宋" w:eastAsia="仿宋" w:cs="仿宋"/>
                <w:sz w:val="24"/>
                <w:szCs w:val="24"/>
                <w:highlight w:val="none"/>
              </w:rPr>
            </w:pPr>
          </w:p>
        </w:tc>
        <w:tc>
          <w:tcPr>
            <w:tcW w:w="1279" w:type="dxa"/>
            <w:noWrap w:val="0"/>
            <w:vAlign w:val="center"/>
          </w:tcPr>
          <w:p w14:paraId="22830D77">
            <w:pPr>
              <w:rPr>
                <w:rFonts w:hint="eastAsia" w:ascii="仿宋" w:hAnsi="仿宋" w:eastAsia="仿宋" w:cs="仿宋"/>
                <w:sz w:val="24"/>
                <w:szCs w:val="24"/>
                <w:highlight w:val="none"/>
              </w:rPr>
            </w:pPr>
          </w:p>
        </w:tc>
        <w:tc>
          <w:tcPr>
            <w:tcW w:w="1620" w:type="dxa"/>
            <w:noWrap w:val="0"/>
            <w:vAlign w:val="center"/>
          </w:tcPr>
          <w:p w14:paraId="2AC55757">
            <w:pPr>
              <w:rPr>
                <w:rFonts w:hint="eastAsia" w:ascii="仿宋" w:hAnsi="仿宋" w:eastAsia="仿宋" w:cs="仿宋"/>
                <w:sz w:val="24"/>
                <w:szCs w:val="24"/>
                <w:highlight w:val="none"/>
              </w:rPr>
            </w:pPr>
          </w:p>
        </w:tc>
      </w:tr>
    </w:tbl>
    <w:p w14:paraId="33EDDF31">
      <w:pPr>
        <w:pStyle w:val="14"/>
        <w:spacing w:line="360" w:lineRule="auto"/>
        <w:ind w:left="0" w:leftChars="0" w:firstLine="0" w:firstLineChars="0"/>
        <w:jc w:val="both"/>
        <w:rPr>
          <w:rFonts w:hint="eastAsia" w:ascii="仿宋" w:hAnsi="仿宋" w:eastAsia="仿宋"/>
          <w:b/>
          <w:bCs/>
          <w:sz w:val="30"/>
          <w:szCs w:val="30"/>
          <w:highlight w:val="none"/>
        </w:rPr>
      </w:pPr>
      <w:r>
        <w:rPr>
          <w:rFonts w:hint="eastAsia" w:ascii="仿宋" w:hAnsi="仿宋" w:eastAsia="仿宋" w:cs="仿宋"/>
          <w:b w:val="0"/>
          <w:bCs w:val="0"/>
          <w:sz w:val="24"/>
          <w:szCs w:val="24"/>
          <w:highlight w:val="none"/>
        </w:rPr>
        <w:t>注：附</w:t>
      </w:r>
      <w:r>
        <w:rPr>
          <w:rFonts w:hint="eastAsia" w:ascii="仿宋" w:hAnsi="仿宋" w:eastAsia="仿宋" w:cs="仿宋"/>
          <w:b w:val="0"/>
          <w:bCs w:val="0"/>
          <w:sz w:val="24"/>
          <w:szCs w:val="24"/>
          <w:highlight w:val="none"/>
          <w:lang w:val="en-US" w:eastAsia="zh-CN"/>
        </w:rPr>
        <w:t>评分细则要求的证明材料</w:t>
      </w:r>
      <w:r>
        <w:rPr>
          <w:rFonts w:hint="eastAsia" w:ascii="仿宋" w:hAnsi="仿宋" w:eastAsia="仿宋" w:cs="仿宋"/>
          <w:b w:val="0"/>
          <w:bCs w:val="0"/>
          <w:sz w:val="24"/>
          <w:szCs w:val="24"/>
          <w:highlight w:val="none"/>
        </w:rPr>
        <w:t>，否则不予计分。</w:t>
      </w:r>
    </w:p>
    <w:p w14:paraId="773F762B">
      <w:pPr>
        <w:pStyle w:val="14"/>
        <w:spacing w:line="360" w:lineRule="auto"/>
        <w:ind w:left="0" w:leftChars="0" w:firstLine="0" w:firstLineChars="0"/>
        <w:jc w:val="center"/>
        <w:rPr>
          <w:rFonts w:ascii="仿宋" w:hAnsi="仿宋" w:eastAsia="仿宋"/>
          <w:highlight w:val="none"/>
        </w:rPr>
      </w:pPr>
    </w:p>
    <w:p w14:paraId="7B5EABFC">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AA610DD">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F8E2DD9">
      <w:pPr>
        <w:pStyle w:val="14"/>
        <w:spacing w:line="360" w:lineRule="auto"/>
        <w:ind w:left="0" w:leftChars="0" w:firstLine="0" w:firstLineChars="0"/>
        <w:jc w:val="both"/>
        <w:rPr>
          <w:rFonts w:ascii="仿宋" w:hAnsi="仿宋" w:eastAsia="仿宋"/>
          <w:highlight w:val="none"/>
        </w:rPr>
      </w:pPr>
      <w:r>
        <w:rPr>
          <w:rFonts w:hint="eastAsia" w:ascii="仿宋" w:hAnsi="仿宋" w:eastAsia="仿宋" w:cs="仿宋"/>
          <w:sz w:val="24"/>
          <w:szCs w:val="24"/>
          <w:highlight w:val="none"/>
        </w:rPr>
        <w:t>日期：</w:t>
      </w:r>
    </w:p>
    <w:p w14:paraId="366EF3F6">
      <w:pPr>
        <w:pStyle w:val="14"/>
        <w:spacing w:line="360" w:lineRule="auto"/>
        <w:ind w:left="0" w:leftChars="0" w:firstLine="0" w:firstLineChars="0"/>
        <w:jc w:val="center"/>
        <w:rPr>
          <w:rFonts w:ascii="仿宋" w:hAnsi="仿宋" w:eastAsia="仿宋"/>
          <w:highlight w:val="none"/>
        </w:rPr>
      </w:pPr>
    </w:p>
    <w:bookmarkEnd w:id="56"/>
    <w:p w14:paraId="7182C3B7">
      <w:pPr>
        <w:pStyle w:val="14"/>
        <w:spacing w:line="360" w:lineRule="auto"/>
        <w:ind w:left="0" w:leftChars="0" w:firstLine="0" w:firstLineChars="0"/>
        <w:jc w:val="both"/>
        <w:rPr>
          <w:rFonts w:hint="eastAsia" w:ascii="仿宋" w:hAnsi="仿宋" w:eastAsia="仿宋" w:cs="Times New Roman"/>
          <w:b/>
          <w:bCs/>
          <w:sz w:val="30"/>
          <w:szCs w:val="30"/>
          <w:highlight w:val="none"/>
        </w:rPr>
      </w:pPr>
    </w:p>
    <w:p w14:paraId="7B4B3DD1">
      <w:pPr>
        <w:snapToGrid w:val="0"/>
        <w:spacing w:line="360" w:lineRule="auto"/>
        <w:ind w:firstLine="301" w:firstLineChars="100"/>
        <w:jc w:val="center"/>
        <w:rPr>
          <w:rFonts w:hint="eastAsia" w:ascii="仿宋" w:hAnsi="仿宋" w:eastAsia="仿宋" w:cs="仿宋"/>
          <w:b/>
          <w:bCs/>
          <w:sz w:val="30"/>
          <w:szCs w:val="30"/>
          <w:highlight w:val="none"/>
          <w:lang w:val="en-US" w:eastAsia="zh-CN"/>
        </w:rPr>
      </w:pPr>
    </w:p>
    <w:p w14:paraId="396D5E85">
      <w:pPr>
        <w:snapToGrid w:val="0"/>
        <w:spacing w:line="360" w:lineRule="auto"/>
        <w:ind w:firstLine="301" w:firstLineChars="100"/>
        <w:jc w:val="center"/>
        <w:rPr>
          <w:rFonts w:hint="eastAsia" w:ascii="仿宋" w:hAnsi="仿宋" w:eastAsia="仿宋" w:cs="仿宋"/>
          <w:b/>
          <w:bCs/>
          <w:sz w:val="30"/>
          <w:szCs w:val="30"/>
          <w:highlight w:val="none"/>
          <w:lang w:val="en-US" w:eastAsia="zh-CN"/>
        </w:rPr>
        <w:sectPr>
          <w:headerReference r:id="rId15" w:type="default"/>
          <w:footerReference r:id="rId16" w:type="default"/>
          <w:pgSz w:w="11906" w:h="16838"/>
          <w:pgMar w:top="1440" w:right="1803" w:bottom="1440" w:left="1803" w:header="851" w:footer="992" w:gutter="0"/>
          <w:pgNumType w:fmt="decimal"/>
          <w:cols w:space="720" w:num="1"/>
          <w:docGrid w:type="lines" w:linePitch="319" w:charSpace="0"/>
        </w:sectPr>
      </w:pPr>
    </w:p>
    <w:p w14:paraId="38A7B32F">
      <w:pPr>
        <w:snapToGrid w:val="0"/>
        <w:spacing w:line="360" w:lineRule="auto"/>
        <w:ind w:firstLine="301" w:firstLineChars="100"/>
        <w:jc w:val="center"/>
        <w:rPr>
          <w:rFonts w:ascii="仿宋" w:hAnsi="仿宋" w:eastAsia="仿宋" w:cs="仿宋"/>
          <w:b/>
          <w:bCs/>
          <w:sz w:val="30"/>
          <w:szCs w:val="30"/>
          <w:highlight w:val="none"/>
        </w:rPr>
      </w:pPr>
      <w:r>
        <w:rPr>
          <w:rFonts w:hint="eastAsia" w:ascii="仿宋" w:hAnsi="仿宋" w:eastAsia="仿宋" w:cs="仿宋"/>
          <w:b/>
          <w:bCs/>
          <w:sz w:val="30"/>
          <w:szCs w:val="30"/>
          <w:highlight w:val="none"/>
          <w:lang w:val="en-US" w:eastAsia="zh-CN"/>
        </w:rPr>
        <w:t>投标</w:t>
      </w:r>
      <w:r>
        <w:rPr>
          <w:rFonts w:hint="eastAsia" w:ascii="仿宋" w:hAnsi="仿宋" w:eastAsia="仿宋" w:cs="仿宋"/>
          <w:b/>
          <w:bCs/>
          <w:sz w:val="30"/>
          <w:szCs w:val="30"/>
          <w:highlight w:val="none"/>
        </w:rPr>
        <w:t>偏离表</w:t>
      </w:r>
    </w:p>
    <w:p w14:paraId="182AC526">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p w14:paraId="2C4E4CBD">
      <w:pPr>
        <w:spacing w:line="360" w:lineRule="exact"/>
        <w:jc w:val="center"/>
        <w:rPr>
          <w:rFonts w:ascii="仿宋" w:hAnsi="仿宋" w:eastAsia="仿宋" w:cs="仿宋"/>
          <w:bCs/>
          <w:sz w:val="24"/>
          <w:szCs w:val="24"/>
          <w:highlight w:val="none"/>
        </w:rPr>
      </w:pPr>
    </w:p>
    <w:tbl>
      <w:tblPr>
        <w:tblStyle w:val="43"/>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7117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08B9324E">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4F80817D">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083D552A">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0E099379">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25DF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4E63105E">
            <w:pPr>
              <w:pStyle w:val="23"/>
              <w:spacing w:line="400" w:lineRule="exact"/>
              <w:rPr>
                <w:rFonts w:ascii="仿宋" w:hAnsi="仿宋" w:eastAsia="仿宋" w:cs="仿宋"/>
                <w:sz w:val="24"/>
                <w:szCs w:val="24"/>
                <w:highlight w:val="none"/>
              </w:rPr>
            </w:pPr>
          </w:p>
        </w:tc>
        <w:tc>
          <w:tcPr>
            <w:tcW w:w="1236" w:type="dxa"/>
            <w:noWrap w:val="0"/>
            <w:vAlign w:val="top"/>
          </w:tcPr>
          <w:p w14:paraId="45965886">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223CB19B">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00FC30C2">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189E05F9">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713C84F7">
            <w:pPr>
              <w:pStyle w:val="23"/>
              <w:spacing w:line="400" w:lineRule="exact"/>
              <w:jc w:val="center"/>
              <w:rPr>
                <w:rFonts w:ascii="仿宋" w:hAnsi="仿宋" w:eastAsia="仿宋" w:cs="仿宋"/>
                <w:sz w:val="24"/>
                <w:szCs w:val="24"/>
                <w:highlight w:val="none"/>
              </w:rPr>
            </w:pPr>
          </w:p>
        </w:tc>
      </w:tr>
      <w:tr w14:paraId="336B0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4276CC12">
            <w:pPr>
              <w:pStyle w:val="23"/>
              <w:spacing w:line="400" w:lineRule="exact"/>
              <w:rPr>
                <w:rFonts w:ascii="仿宋" w:hAnsi="仿宋" w:eastAsia="仿宋" w:cs="仿宋"/>
                <w:sz w:val="24"/>
                <w:szCs w:val="24"/>
                <w:highlight w:val="none"/>
              </w:rPr>
            </w:pPr>
          </w:p>
        </w:tc>
        <w:tc>
          <w:tcPr>
            <w:tcW w:w="1236" w:type="dxa"/>
            <w:noWrap w:val="0"/>
            <w:vAlign w:val="top"/>
          </w:tcPr>
          <w:p w14:paraId="73947E16">
            <w:pPr>
              <w:pStyle w:val="23"/>
              <w:spacing w:line="400" w:lineRule="exact"/>
              <w:rPr>
                <w:rFonts w:ascii="仿宋" w:hAnsi="仿宋" w:eastAsia="仿宋" w:cs="仿宋"/>
                <w:sz w:val="24"/>
                <w:szCs w:val="24"/>
                <w:highlight w:val="none"/>
              </w:rPr>
            </w:pPr>
          </w:p>
        </w:tc>
        <w:tc>
          <w:tcPr>
            <w:tcW w:w="2657" w:type="dxa"/>
            <w:noWrap w:val="0"/>
            <w:vAlign w:val="top"/>
          </w:tcPr>
          <w:p w14:paraId="7811F557">
            <w:pPr>
              <w:pStyle w:val="23"/>
              <w:spacing w:line="400" w:lineRule="exact"/>
              <w:rPr>
                <w:rFonts w:ascii="仿宋" w:hAnsi="仿宋" w:eastAsia="仿宋" w:cs="仿宋"/>
                <w:sz w:val="24"/>
                <w:szCs w:val="24"/>
                <w:highlight w:val="none"/>
              </w:rPr>
            </w:pPr>
          </w:p>
        </w:tc>
        <w:tc>
          <w:tcPr>
            <w:tcW w:w="1417" w:type="dxa"/>
            <w:noWrap w:val="0"/>
            <w:vAlign w:val="top"/>
          </w:tcPr>
          <w:p w14:paraId="6CC744E4">
            <w:pPr>
              <w:pStyle w:val="23"/>
              <w:spacing w:line="400" w:lineRule="exact"/>
              <w:rPr>
                <w:rFonts w:ascii="仿宋" w:hAnsi="仿宋" w:eastAsia="仿宋" w:cs="仿宋"/>
                <w:sz w:val="24"/>
                <w:szCs w:val="24"/>
                <w:highlight w:val="none"/>
              </w:rPr>
            </w:pPr>
          </w:p>
        </w:tc>
        <w:tc>
          <w:tcPr>
            <w:tcW w:w="2694" w:type="dxa"/>
            <w:noWrap w:val="0"/>
            <w:vAlign w:val="top"/>
          </w:tcPr>
          <w:p w14:paraId="08F8AA71">
            <w:pPr>
              <w:pStyle w:val="23"/>
              <w:spacing w:line="400" w:lineRule="exact"/>
              <w:rPr>
                <w:rFonts w:ascii="仿宋" w:hAnsi="仿宋" w:eastAsia="仿宋" w:cs="仿宋"/>
                <w:sz w:val="24"/>
                <w:szCs w:val="24"/>
                <w:highlight w:val="none"/>
              </w:rPr>
            </w:pPr>
          </w:p>
        </w:tc>
        <w:tc>
          <w:tcPr>
            <w:tcW w:w="1293" w:type="dxa"/>
            <w:noWrap w:val="0"/>
            <w:vAlign w:val="top"/>
          </w:tcPr>
          <w:p w14:paraId="153E588E">
            <w:pPr>
              <w:pStyle w:val="23"/>
              <w:spacing w:line="400" w:lineRule="exact"/>
              <w:rPr>
                <w:rFonts w:ascii="仿宋" w:hAnsi="仿宋" w:eastAsia="仿宋" w:cs="仿宋"/>
                <w:sz w:val="24"/>
                <w:szCs w:val="24"/>
                <w:highlight w:val="none"/>
              </w:rPr>
            </w:pPr>
          </w:p>
        </w:tc>
      </w:tr>
      <w:tr w14:paraId="5AEA7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05180400">
            <w:pPr>
              <w:pStyle w:val="23"/>
              <w:spacing w:line="400" w:lineRule="exact"/>
              <w:rPr>
                <w:rFonts w:ascii="仿宋" w:hAnsi="仿宋" w:eastAsia="仿宋" w:cs="仿宋"/>
                <w:sz w:val="24"/>
                <w:szCs w:val="24"/>
                <w:highlight w:val="none"/>
              </w:rPr>
            </w:pPr>
          </w:p>
        </w:tc>
        <w:tc>
          <w:tcPr>
            <w:tcW w:w="1236" w:type="dxa"/>
            <w:noWrap w:val="0"/>
            <w:vAlign w:val="top"/>
          </w:tcPr>
          <w:p w14:paraId="2869FEB8">
            <w:pPr>
              <w:pStyle w:val="23"/>
              <w:spacing w:line="400" w:lineRule="exact"/>
              <w:rPr>
                <w:rFonts w:ascii="仿宋" w:hAnsi="仿宋" w:eastAsia="仿宋" w:cs="仿宋"/>
                <w:sz w:val="24"/>
                <w:szCs w:val="24"/>
                <w:highlight w:val="none"/>
              </w:rPr>
            </w:pPr>
          </w:p>
        </w:tc>
        <w:tc>
          <w:tcPr>
            <w:tcW w:w="2657" w:type="dxa"/>
            <w:noWrap w:val="0"/>
            <w:vAlign w:val="top"/>
          </w:tcPr>
          <w:p w14:paraId="685B8947">
            <w:pPr>
              <w:pStyle w:val="23"/>
              <w:spacing w:line="400" w:lineRule="exact"/>
              <w:rPr>
                <w:rFonts w:ascii="仿宋" w:hAnsi="仿宋" w:eastAsia="仿宋" w:cs="仿宋"/>
                <w:sz w:val="24"/>
                <w:szCs w:val="24"/>
                <w:highlight w:val="none"/>
              </w:rPr>
            </w:pPr>
          </w:p>
        </w:tc>
        <w:tc>
          <w:tcPr>
            <w:tcW w:w="1417" w:type="dxa"/>
            <w:noWrap w:val="0"/>
            <w:vAlign w:val="top"/>
          </w:tcPr>
          <w:p w14:paraId="7FD68311">
            <w:pPr>
              <w:pStyle w:val="23"/>
              <w:spacing w:line="400" w:lineRule="exact"/>
              <w:rPr>
                <w:rFonts w:ascii="仿宋" w:hAnsi="仿宋" w:eastAsia="仿宋" w:cs="仿宋"/>
                <w:sz w:val="24"/>
                <w:szCs w:val="24"/>
                <w:highlight w:val="none"/>
              </w:rPr>
            </w:pPr>
          </w:p>
        </w:tc>
        <w:tc>
          <w:tcPr>
            <w:tcW w:w="2694" w:type="dxa"/>
            <w:noWrap w:val="0"/>
            <w:vAlign w:val="top"/>
          </w:tcPr>
          <w:p w14:paraId="4B9917B3">
            <w:pPr>
              <w:pStyle w:val="23"/>
              <w:spacing w:line="400" w:lineRule="exact"/>
              <w:rPr>
                <w:rFonts w:ascii="仿宋" w:hAnsi="仿宋" w:eastAsia="仿宋" w:cs="仿宋"/>
                <w:sz w:val="24"/>
                <w:szCs w:val="24"/>
                <w:highlight w:val="none"/>
              </w:rPr>
            </w:pPr>
          </w:p>
        </w:tc>
        <w:tc>
          <w:tcPr>
            <w:tcW w:w="1293" w:type="dxa"/>
            <w:noWrap w:val="0"/>
            <w:vAlign w:val="top"/>
          </w:tcPr>
          <w:p w14:paraId="364803F8">
            <w:pPr>
              <w:pStyle w:val="23"/>
              <w:spacing w:line="400" w:lineRule="exact"/>
              <w:rPr>
                <w:rFonts w:ascii="仿宋" w:hAnsi="仿宋" w:eastAsia="仿宋" w:cs="仿宋"/>
                <w:sz w:val="24"/>
                <w:szCs w:val="24"/>
                <w:highlight w:val="none"/>
              </w:rPr>
            </w:pPr>
          </w:p>
        </w:tc>
      </w:tr>
      <w:tr w14:paraId="50D3C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A628456">
            <w:pPr>
              <w:pStyle w:val="23"/>
              <w:spacing w:line="400" w:lineRule="exact"/>
              <w:rPr>
                <w:rFonts w:ascii="仿宋" w:hAnsi="仿宋" w:eastAsia="仿宋" w:cs="仿宋"/>
                <w:sz w:val="24"/>
                <w:szCs w:val="24"/>
                <w:highlight w:val="none"/>
              </w:rPr>
            </w:pPr>
          </w:p>
        </w:tc>
        <w:tc>
          <w:tcPr>
            <w:tcW w:w="1236" w:type="dxa"/>
            <w:noWrap w:val="0"/>
            <w:vAlign w:val="top"/>
          </w:tcPr>
          <w:p w14:paraId="5783FEC0">
            <w:pPr>
              <w:pStyle w:val="23"/>
              <w:spacing w:line="400" w:lineRule="exact"/>
              <w:rPr>
                <w:rFonts w:ascii="仿宋" w:hAnsi="仿宋" w:eastAsia="仿宋" w:cs="仿宋"/>
                <w:sz w:val="24"/>
                <w:szCs w:val="24"/>
                <w:highlight w:val="none"/>
              </w:rPr>
            </w:pPr>
          </w:p>
        </w:tc>
        <w:tc>
          <w:tcPr>
            <w:tcW w:w="2657" w:type="dxa"/>
            <w:noWrap w:val="0"/>
            <w:vAlign w:val="top"/>
          </w:tcPr>
          <w:p w14:paraId="3A8FE96F">
            <w:pPr>
              <w:pStyle w:val="23"/>
              <w:spacing w:line="400" w:lineRule="exact"/>
              <w:rPr>
                <w:rFonts w:ascii="仿宋" w:hAnsi="仿宋" w:eastAsia="仿宋" w:cs="仿宋"/>
                <w:sz w:val="24"/>
                <w:szCs w:val="24"/>
                <w:highlight w:val="none"/>
              </w:rPr>
            </w:pPr>
          </w:p>
        </w:tc>
        <w:tc>
          <w:tcPr>
            <w:tcW w:w="1417" w:type="dxa"/>
            <w:noWrap w:val="0"/>
            <w:vAlign w:val="top"/>
          </w:tcPr>
          <w:p w14:paraId="21E3F619">
            <w:pPr>
              <w:pStyle w:val="23"/>
              <w:spacing w:line="400" w:lineRule="exact"/>
              <w:rPr>
                <w:rFonts w:ascii="仿宋" w:hAnsi="仿宋" w:eastAsia="仿宋" w:cs="仿宋"/>
                <w:sz w:val="24"/>
                <w:szCs w:val="24"/>
                <w:highlight w:val="none"/>
              </w:rPr>
            </w:pPr>
          </w:p>
        </w:tc>
        <w:tc>
          <w:tcPr>
            <w:tcW w:w="2694" w:type="dxa"/>
            <w:noWrap w:val="0"/>
            <w:vAlign w:val="top"/>
          </w:tcPr>
          <w:p w14:paraId="462DD7C6">
            <w:pPr>
              <w:pStyle w:val="23"/>
              <w:spacing w:line="400" w:lineRule="exact"/>
              <w:rPr>
                <w:rFonts w:ascii="仿宋" w:hAnsi="仿宋" w:eastAsia="仿宋" w:cs="仿宋"/>
                <w:sz w:val="24"/>
                <w:szCs w:val="24"/>
                <w:highlight w:val="none"/>
              </w:rPr>
            </w:pPr>
          </w:p>
        </w:tc>
        <w:tc>
          <w:tcPr>
            <w:tcW w:w="1293" w:type="dxa"/>
            <w:noWrap w:val="0"/>
            <w:vAlign w:val="top"/>
          </w:tcPr>
          <w:p w14:paraId="3DCA13C2">
            <w:pPr>
              <w:pStyle w:val="23"/>
              <w:spacing w:line="400" w:lineRule="exact"/>
              <w:rPr>
                <w:rFonts w:ascii="仿宋" w:hAnsi="仿宋" w:eastAsia="仿宋" w:cs="仿宋"/>
                <w:sz w:val="24"/>
                <w:szCs w:val="24"/>
                <w:highlight w:val="none"/>
              </w:rPr>
            </w:pPr>
          </w:p>
        </w:tc>
      </w:tr>
      <w:tr w14:paraId="32EDD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4DB7300">
            <w:pPr>
              <w:pStyle w:val="23"/>
              <w:spacing w:line="400" w:lineRule="exact"/>
              <w:rPr>
                <w:rFonts w:ascii="仿宋" w:hAnsi="仿宋" w:eastAsia="仿宋" w:cs="仿宋"/>
                <w:sz w:val="24"/>
                <w:szCs w:val="24"/>
                <w:highlight w:val="none"/>
              </w:rPr>
            </w:pPr>
          </w:p>
        </w:tc>
        <w:tc>
          <w:tcPr>
            <w:tcW w:w="1236" w:type="dxa"/>
            <w:noWrap w:val="0"/>
            <w:vAlign w:val="top"/>
          </w:tcPr>
          <w:p w14:paraId="6D2F9CAF">
            <w:pPr>
              <w:pStyle w:val="23"/>
              <w:spacing w:line="400" w:lineRule="exact"/>
              <w:rPr>
                <w:rFonts w:ascii="仿宋" w:hAnsi="仿宋" w:eastAsia="仿宋" w:cs="仿宋"/>
                <w:sz w:val="24"/>
                <w:szCs w:val="24"/>
                <w:highlight w:val="none"/>
              </w:rPr>
            </w:pPr>
          </w:p>
        </w:tc>
        <w:tc>
          <w:tcPr>
            <w:tcW w:w="2657" w:type="dxa"/>
            <w:noWrap w:val="0"/>
            <w:vAlign w:val="top"/>
          </w:tcPr>
          <w:p w14:paraId="23F73AD9">
            <w:pPr>
              <w:pStyle w:val="23"/>
              <w:spacing w:line="400" w:lineRule="exact"/>
              <w:rPr>
                <w:rFonts w:ascii="仿宋" w:hAnsi="仿宋" w:eastAsia="仿宋" w:cs="仿宋"/>
                <w:sz w:val="24"/>
                <w:szCs w:val="24"/>
                <w:highlight w:val="none"/>
              </w:rPr>
            </w:pPr>
          </w:p>
        </w:tc>
        <w:tc>
          <w:tcPr>
            <w:tcW w:w="1417" w:type="dxa"/>
            <w:noWrap w:val="0"/>
            <w:vAlign w:val="top"/>
          </w:tcPr>
          <w:p w14:paraId="1EB87373">
            <w:pPr>
              <w:pStyle w:val="23"/>
              <w:spacing w:line="400" w:lineRule="exact"/>
              <w:rPr>
                <w:rFonts w:ascii="仿宋" w:hAnsi="仿宋" w:eastAsia="仿宋" w:cs="仿宋"/>
                <w:sz w:val="24"/>
                <w:szCs w:val="24"/>
                <w:highlight w:val="none"/>
              </w:rPr>
            </w:pPr>
          </w:p>
        </w:tc>
        <w:tc>
          <w:tcPr>
            <w:tcW w:w="2694" w:type="dxa"/>
            <w:noWrap w:val="0"/>
            <w:vAlign w:val="top"/>
          </w:tcPr>
          <w:p w14:paraId="5C5BCAA6">
            <w:pPr>
              <w:pStyle w:val="23"/>
              <w:spacing w:line="400" w:lineRule="exact"/>
              <w:rPr>
                <w:rFonts w:ascii="仿宋" w:hAnsi="仿宋" w:eastAsia="仿宋" w:cs="仿宋"/>
                <w:sz w:val="24"/>
                <w:szCs w:val="24"/>
                <w:highlight w:val="none"/>
              </w:rPr>
            </w:pPr>
          </w:p>
        </w:tc>
        <w:tc>
          <w:tcPr>
            <w:tcW w:w="1293" w:type="dxa"/>
            <w:noWrap w:val="0"/>
            <w:vAlign w:val="top"/>
          </w:tcPr>
          <w:p w14:paraId="4B2741A3">
            <w:pPr>
              <w:pStyle w:val="23"/>
              <w:spacing w:line="400" w:lineRule="exact"/>
              <w:rPr>
                <w:rFonts w:ascii="仿宋" w:hAnsi="仿宋" w:eastAsia="仿宋" w:cs="仿宋"/>
                <w:sz w:val="24"/>
                <w:szCs w:val="24"/>
                <w:highlight w:val="none"/>
              </w:rPr>
            </w:pPr>
          </w:p>
        </w:tc>
      </w:tr>
      <w:tr w14:paraId="102E8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0F1F19D1">
            <w:pPr>
              <w:pStyle w:val="23"/>
              <w:spacing w:line="400" w:lineRule="exact"/>
              <w:rPr>
                <w:rFonts w:ascii="仿宋" w:hAnsi="仿宋" w:eastAsia="仿宋" w:cs="仿宋"/>
                <w:sz w:val="24"/>
                <w:szCs w:val="24"/>
                <w:highlight w:val="none"/>
              </w:rPr>
            </w:pPr>
          </w:p>
        </w:tc>
        <w:tc>
          <w:tcPr>
            <w:tcW w:w="1236" w:type="dxa"/>
            <w:noWrap w:val="0"/>
            <w:vAlign w:val="top"/>
          </w:tcPr>
          <w:p w14:paraId="26787D96">
            <w:pPr>
              <w:pStyle w:val="23"/>
              <w:spacing w:line="400" w:lineRule="exact"/>
              <w:rPr>
                <w:rFonts w:ascii="仿宋" w:hAnsi="仿宋" w:eastAsia="仿宋" w:cs="仿宋"/>
                <w:sz w:val="24"/>
                <w:szCs w:val="24"/>
                <w:highlight w:val="none"/>
              </w:rPr>
            </w:pPr>
          </w:p>
        </w:tc>
        <w:tc>
          <w:tcPr>
            <w:tcW w:w="2657" w:type="dxa"/>
            <w:noWrap w:val="0"/>
            <w:vAlign w:val="top"/>
          </w:tcPr>
          <w:p w14:paraId="039C7856">
            <w:pPr>
              <w:pStyle w:val="23"/>
              <w:spacing w:line="400" w:lineRule="exact"/>
              <w:rPr>
                <w:rFonts w:ascii="仿宋" w:hAnsi="仿宋" w:eastAsia="仿宋" w:cs="仿宋"/>
                <w:sz w:val="24"/>
                <w:szCs w:val="24"/>
                <w:highlight w:val="none"/>
              </w:rPr>
            </w:pPr>
          </w:p>
        </w:tc>
        <w:tc>
          <w:tcPr>
            <w:tcW w:w="1417" w:type="dxa"/>
            <w:noWrap w:val="0"/>
            <w:vAlign w:val="top"/>
          </w:tcPr>
          <w:p w14:paraId="6D16CD62">
            <w:pPr>
              <w:pStyle w:val="23"/>
              <w:spacing w:line="400" w:lineRule="exact"/>
              <w:rPr>
                <w:rFonts w:ascii="仿宋" w:hAnsi="仿宋" w:eastAsia="仿宋" w:cs="仿宋"/>
                <w:sz w:val="24"/>
                <w:szCs w:val="24"/>
                <w:highlight w:val="none"/>
              </w:rPr>
            </w:pPr>
          </w:p>
        </w:tc>
        <w:tc>
          <w:tcPr>
            <w:tcW w:w="2694" w:type="dxa"/>
            <w:noWrap w:val="0"/>
            <w:vAlign w:val="top"/>
          </w:tcPr>
          <w:p w14:paraId="03BD351B">
            <w:pPr>
              <w:pStyle w:val="23"/>
              <w:spacing w:line="400" w:lineRule="exact"/>
              <w:rPr>
                <w:rFonts w:ascii="仿宋" w:hAnsi="仿宋" w:eastAsia="仿宋" w:cs="仿宋"/>
                <w:sz w:val="24"/>
                <w:szCs w:val="24"/>
                <w:highlight w:val="none"/>
              </w:rPr>
            </w:pPr>
          </w:p>
        </w:tc>
        <w:tc>
          <w:tcPr>
            <w:tcW w:w="1293" w:type="dxa"/>
            <w:noWrap w:val="0"/>
            <w:vAlign w:val="top"/>
          </w:tcPr>
          <w:p w14:paraId="0F0E5BD9">
            <w:pPr>
              <w:pStyle w:val="23"/>
              <w:spacing w:line="400" w:lineRule="exact"/>
              <w:rPr>
                <w:rFonts w:ascii="仿宋" w:hAnsi="仿宋" w:eastAsia="仿宋" w:cs="仿宋"/>
                <w:sz w:val="24"/>
                <w:szCs w:val="24"/>
                <w:highlight w:val="none"/>
              </w:rPr>
            </w:pPr>
          </w:p>
        </w:tc>
      </w:tr>
      <w:tr w14:paraId="653FF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0AF5F9DF">
            <w:pPr>
              <w:pStyle w:val="23"/>
              <w:spacing w:line="400" w:lineRule="exact"/>
              <w:rPr>
                <w:rFonts w:ascii="仿宋" w:hAnsi="仿宋" w:eastAsia="仿宋" w:cs="仿宋"/>
                <w:sz w:val="24"/>
                <w:szCs w:val="24"/>
                <w:highlight w:val="none"/>
              </w:rPr>
            </w:pPr>
          </w:p>
        </w:tc>
        <w:tc>
          <w:tcPr>
            <w:tcW w:w="1236" w:type="dxa"/>
            <w:noWrap w:val="0"/>
            <w:vAlign w:val="top"/>
          </w:tcPr>
          <w:p w14:paraId="39DB1813">
            <w:pPr>
              <w:pStyle w:val="23"/>
              <w:spacing w:line="400" w:lineRule="exact"/>
              <w:rPr>
                <w:rFonts w:ascii="仿宋" w:hAnsi="仿宋" w:eastAsia="仿宋" w:cs="仿宋"/>
                <w:sz w:val="24"/>
                <w:szCs w:val="24"/>
                <w:highlight w:val="none"/>
              </w:rPr>
            </w:pPr>
          </w:p>
        </w:tc>
        <w:tc>
          <w:tcPr>
            <w:tcW w:w="2657" w:type="dxa"/>
            <w:noWrap w:val="0"/>
            <w:vAlign w:val="top"/>
          </w:tcPr>
          <w:p w14:paraId="3E8E8153">
            <w:pPr>
              <w:pStyle w:val="23"/>
              <w:spacing w:line="400" w:lineRule="exact"/>
              <w:rPr>
                <w:rFonts w:ascii="仿宋" w:hAnsi="仿宋" w:eastAsia="仿宋" w:cs="仿宋"/>
                <w:sz w:val="24"/>
                <w:szCs w:val="24"/>
                <w:highlight w:val="none"/>
              </w:rPr>
            </w:pPr>
          </w:p>
        </w:tc>
        <w:tc>
          <w:tcPr>
            <w:tcW w:w="1417" w:type="dxa"/>
            <w:noWrap w:val="0"/>
            <w:vAlign w:val="top"/>
          </w:tcPr>
          <w:p w14:paraId="6EDE0B08">
            <w:pPr>
              <w:pStyle w:val="23"/>
              <w:spacing w:line="400" w:lineRule="exact"/>
              <w:rPr>
                <w:rFonts w:ascii="仿宋" w:hAnsi="仿宋" w:eastAsia="仿宋" w:cs="仿宋"/>
                <w:sz w:val="24"/>
                <w:szCs w:val="24"/>
                <w:highlight w:val="none"/>
              </w:rPr>
            </w:pPr>
          </w:p>
        </w:tc>
        <w:tc>
          <w:tcPr>
            <w:tcW w:w="2694" w:type="dxa"/>
            <w:noWrap w:val="0"/>
            <w:vAlign w:val="top"/>
          </w:tcPr>
          <w:p w14:paraId="66C8720C">
            <w:pPr>
              <w:pStyle w:val="23"/>
              <w:spacing w:line="400" w:lineRule="exact"/>
              <w:rPr>
                <w:rFonts w:ascii="仿宋" w:hAnsi="仿宋" w:eastAsia="仿宋" w:cs="仿宋"/>
                <w:sz w:val="24"/>
                <w:szCs w:val="24"/>
                <w:highlight w:val="none"/>
              </w:rPr>
            </w:pPr>
          </w:p>
        </w:tc>
        <w:tc>
          <w:tcPr>
            <w:tcW w:w="1293" w:type="dxa"/>
            <w:noWrap w:val="0"/>
            <w:vAlign w:val="top"/>
          </w:tcPr>
          <w:p w14:paraId="1BCA3598">
            <w:pPr>
              <w:pStyle w:val="23"/>
              <w:spacing w:line="400" w:lineRule="exact"/>
              <w:rPr>
                <w:rFonts w:ascii="仿宋" w:hAnsi="仿宋" w:eastAsia="仿宋" w:cs="仿宋"/>
                <w:sz w:val="24"/>
                <w:szCs w:val="24"/>
                <w:highlight w:val="none"/>
              </w:rPr>
            </w:pPr>
          </w:p>
        </w:tc>
      </w:tr>
      <w:tr w14:paraId="7176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61879CBD">
            <w:pPr>
              <w:pStyle w:val="23"/>
              <w:spacing w:line="400" w:lineRule="exact"/>
              <w:rPr>
                <w:rFonts w:ascii="仿宋" w:hAnsi="仿宋" w:eastAsia="仿宋" w:cs="仿宋"/>
                <w:sz w:val="24"/>
                <w:szCs w:val="24"/>
                <w:highlight w:val="none"/>
              </w:rPr>
            </w:pPr>
          </w:p>
        </w:tc>
        <w:tc>
          <w:tcPr>
            <w:tcW w:w="1236" w:type="dxa"/>
            <w:noWrap w:val="0"/>
            <w:vAlign w:val="top"/>
          </w:tcPr>
          <w:p w14:paraId="5D6A16E1">
            <w:pPr>
              <w:pStyle w:val="23"/>
              <w:spacing w:line="400" w:lineRule="exact"/>
              <w:rPr>
                <w:rFonts w:ascii="仿宋" w:hAnsi="仿宋" w:eastAsia="仿宋" w:cs="仿宋"/>
                <w:sz w:val="24"/>
                <w:szCs w:val="24"/>
                <w:highlight w:val="none"/>
              </w:rPr>
            </w:pPr>
          </w:p>
        </w:tc>
        <w:tc>
          <w:tcPr>
            <w:tcW w:w="2657" w:type="dxa"/>
            <w:noWrap w:val="0"/>
            <w:vAlign w:val="top"/>
          </w:tcPr>
          <w:p w14:paraId="3B15CD40">
            <w:pPr>
              <w:pStyle w:val="23"/>
              <w:spacing w:line="400" w:lineRule="exact"/>
              <w:rPr>
                <w:rFonts w:ascii="仿宋" w:hAnsi="仿宋" w:eastAsia="仿宋" w:cs="仿宋"/>
                <w:sz w:val="24"/>
                <w:szCs w:val="24"/>
                <w:highlight w:val="none"/>
              </w:rPr>
            </w:pPr>
          </w:p>
        </w:tc>
        <w:tc>
          <w:tcPr>
            <w:tcW w:w="1417" w:type="dxa"/>
            <w:noWrap w:val="0"/>
            <w:vAlign w:val="top"/>
          </w:tcPr>
          <w:p w14:paraId="43F3DD57">
            <w:pPr>
              <w:pStyle w:val="23"/>
              <w:spacing w:line="400" w:lineRule="exact"/>
              <w:rPr>
                <w:rFonts w:ascii="仿宋" w:hAnsi="仿宋" w:eastAsia="仿宋" w:cs="仿宋"/>
                <w:sz w:val="24"/>
                <w:szCs w:val="24"/>
                <w:highlight w:val="none"/>
              </w:rPr>
            </w:pPr>
          </w:p>
        </w:tc>
        <w:tc>
          <w:tcPr>
            <w:tcW w:w="2694" w:type="dxa"/>
            <w:noWrap w:val="0"/>
            <w:vAlign w:val="top"/>
          </w:tcPr>
          <w:p w14:paraId="675F0A1D">
            <w:pPr>
              <w:pStyle w:val="23"/>
              <w:spacing w:line="400" w:lineRule="exact"/>
              <w:rPr>
                <w:rFonts w:ascii="仿宋" w:hAnsi="仿宋" w:eastAsia="仿宋" w:cs="仿宋"/>
                <w:sz w:val="24"/>
                <w:szCs w:val="24"/>
                <w:highlight w:val="none"/>
              </w:rPr>
            </w:pPr>
          </w:p>
        </w:tc>
        <w:tc>
          <w:tcPr>
            <w:tcW w:w="1293" w:type="dxa"/>
            <w:noWrap w:val="0"/>
            <w:vAlign w:val="top"/>
          </w:tcPr>
          <w:p w14:paraId="564F8015">
            <w:pPr>
              <w:pStyle w:val="23"/>
              <w:spacing w:line="400" w:lineRule="exact"/>
              <w:rPr>
                <w:rFonts w:ascii="仿宋" w:hAnsi="仿宋" w:eastAsia="仿宋" w:cs="仿宋"/>
                <w:sz w:val="24"/>
                <w:szCs w:val="24"/>
                <w:highlight w:val="none"/>
              </w:rPr>
            </w:pPr>
          </w:p>
        </w:tc>
      </w:tr>
      <w:tr w14:paraId="4187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43102282">
            <w:pPr>
              <w:pStyle w:val="23"/>
              <w:spacing w:line="400" w:lineRule="exact"/>
              <w:rPr>
                <w:rFonts w:ascii="仿宋" w:hAnsi="仿宋" w:eastAsia="仿宋" w:cs="仿宋"/>
                <w:sz w:val="24"/>
                <w:szCs w:val="24"/>
                <w:highlight w:val="none"/>
              </w:rPr>
            </w:pPr>
          </w:p>
        </w:tc>
        <w:tc>
          <w:tcPr>
            <w:tcW w:w="1236" w:type="dxa"/>
            <w:noWrap w:val="0"/>
            <w:vAlign w:val="top"/>
          </w:tcPr>
          <w:p w14:paraId="3F93B6AD">
            <w:pPr>
              <w:pStyle w:val="23"/>
              <w:spacing w:line="400" w:lineRule="exact"/>
              <w:rPr>
                <w:rFonts w:ascii="仿宋" w:hAnsi="仿宋" w:eastAsia="仿宋" w:cs="仿宋"/>
                <w:sz w:val="24"/>
                <w:szCs w:val="24"/>
                <w:highlight w:val="none"/>
              </w:rPr>
            </w:pPr>
          </w:p>
        </w:tc>
        <w:tc>
          <w:tcPr>
            <w:tcW w:w="2657" w:type="dxa"/>
            <w:noWrap w:val="0"/>
            <w:vAlign w:val="top"/>
          </w:tcPr>
          <w:p w14:paraId="36E7456E">
            <w:pPr>
              <w:pStyle w:val="23"/>
              <w:spacing w:line="400" w:lineRule="exact"/>
              <w:rPr>
                <w:rFonts w:ascii="仿宋" w:hAnsi="仿宋" w:eastAsia="仿宋" w:cs="仿宋"/>
                <w:sz w:val="24"/>
                <w:szCs w:val="24"/>
                <w:highlight w:val="none"/>
              </w:rPr>
            </w:pPr>
          </w:p>
        </w:tc>
        <w:tc>
          <w:tcPr>
            <w:tcW w:w="1417" w:type="dxa"/>
            <w:noWrap w:val="0"/>
            <w:vAlign w:val="top"/>
          </w:tcPr>
          <w:p w14:paraId="66864974">
            <w:pPr>
              <w:pStyle w:val="23"/>
              <w:spacing w:line="400" w:lineRule="exact"/>
              <w:rPr>
                <w:rFonts w:ascii="仿宋" w:hAnsi="仿宋" w:eastAsia="仿宋" w:cs="仿宋"/>
                <w:sz w:val="24"/>
                <w:szCs w:val="24"/>
                <w:highlight w:val="none"/>
              </w:rPr>
            </w:pPr>
          </w:p>
        </w:tc>
        <w:tc>
          <w:tcPr>
            <w:tcW w:w="2694" w:type="dxa"/>
            <w:noWrap w:val="0"/>
            <w:vAlign w:val="top"/>
          </w:tcPr>
          <w:p w14:paraId="6A33EE81">
            <w:pPr>
              <w:pStyle w:val="23"/>
              <w:spacing w:line="400" w:lineRule="exact"/>
              <w:rPr>
                <w:rFonts w:ascii="仿宋" w:hAnsi="仿宋" w:eastAsia="仿宋" w:cs="仿宋"/>
                <w:sz w:val="24"/>
                <w:szCs w:val="24"/>
                <w:highlight w:val="none"/>
              </w:rPr>
            </w:pPr>
          </w:p>
        </w:tc>
        <w:tc>
          <w:tcPr>
            <w:tcW w:w="1293" w:type="dxa"/>
            <w:noWrap w:val="0"/>
            <w:vAlign w:val="top"/>
          </w:tcPr>
          <w:p w14:paraId="472F399F">
            <w:pPr>
              <w:pStyle w:val="23"/>
              <w:spacing w:line="400" w:lineRule="exact"/>
              <w:rPr>
                <w:rFonts w:ascii="仿宋" w:hAnsi="仿宋" w:eastAsia="仿宋" w:cs="仿宋"/>
                <w:sz w:val="24"/>
                <w:szCs w:val="24"/>
                <w:highlight w:val="none"/>
              </w:rPr>
            </w:pPr>
          </w:p>
        </w:tc>
      </w:tr>
    </w:tbl>
    <w:p w14:paraId="6FA1BA07">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7F2C710A">
      <w:pPr>
        <w:spacing w:line="360" w:lineRule="exact"/>
        <w:ind w:firstLine="4200" w:firstLineChars="1750"/>
        <w:rPr>
          <w:rFonts w:ascii="仿宋" w:hAnsi="仿宋" w:eastAsia="仿宋" w:cs="仿宋"/>
          <w:sz w:val="24"/>
          <w:szCs w:val="24"/>
          <w:highlight w:val="none"/>
        </w:rPr>
      </w:pPr>
    </w:p>
    <w:p w14:paraId="2F704F6A">
      <w:pPr>
        <w:spacing w:line="360" w:lineRule="exact"/>
        <w:ind w:firstLine="4200" w:firstLineChars="1750"/>
        <w:rPr>
          <w:rFonts w:ascii="仿宋" w:hAnsi="仿宋" w:eastAsia="仿宋" w:cs="仿宋"/>
          <w:sz w:val="24"/>
          <w:szCs w:val="24"/>
          <w:highlight w:val="none"/>
        </w:rPr>
      </w:pPr>
    </w:p>
    <w:p w14:paraId="0F57AB1F">
      <w:pPr>
        <w:spacing w:line="360" w:lineRule="exact"/>
        <w:ind w:firstLine="4200" w:firstLineChars="1750"/>
        <w:rPr>
          <w:rFonts w:ascii="仿宋" w:hAnsi="仿宋" w:eastAsia="仿宋" w:cs="仿宋"/>
          <w:sz w:val="24"/>
          <w:szCs w:val="24"/>
          <w:highlight w:val="none"/>
        </w:rPr>
      </w:pPr>
    </w:p>
    <w:p w14:paraId="5BFE0C5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6479BD6">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7A9A04A9">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034B79CC">
      <w:pPr>
        <w:spacing w:line="460" w:lineRule="exact"/>
        <w:jc w:val="center"/>
        <w:rPr>
          <w:rFonts w:hint="eastAsia" w:ascii="仿宋" w:hAnsi="仿宋" w:eastAsia="仿宋" w:cs="仿宋"/>
          <w:b/>
          <w:kern w:val="0"/>
          <w:sz w:val="36"/>
          <w:szCs w:val="36"/>
          <w:highlight w:val="none"/>
        </w:rPr>
      </w:pPr>
    </w:p>
    <w:p w14:paraId="32B7BB86">
      <w:pPr>
        <w:tabs>
          <w:tab w:val="left" w:pos="2809"/>
          <w:tab w:val="center" w:pos="4210"/>
        </w:tabs>
        <w:snapToGrid w:val="0"/>
        <w:spacing w:line="360" w:lineRule="auto"/>
        <w:jc w:val="lef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tab/>
      </w:r>
    </w:p>
    <w:p w14:paraId="4F478AEC">
      <w:pPr>
        <w:tabs>
          <w:tab w:val="left" w:pos="2809"/>
          <w:tab w:val="center" w:pos="4210"/>
        </w:tabs>
        <w:snapToGrid w:val="0"/>
        <w:spacing w:line="360" w:lineRule="auto"/>
        <w:jc w:val="left"/>
        <w:rPr>
          <w:rFonts w:hint="eastAsia" w:ascii="仿宋" w:hAnsi="仿宋" w:eastAsia="仿宋" w:cs="仿宋"/>
          <w:b/>
          <w:sz w:val="36"/>
          <w:szCs w:val="36"/>
          <w:highlight w:val="none"/>
          <w:lang w:val="en-US" w:eastAsia="zh-CN"/>
        </w:rPr>
      </w:pPr>
    </w:p>
    <w:p w14:paraId="5C031494">
      <w:pPr>
        <w:snapToGrid w:val="0"/>
        <w:spacing w:line="360" w:lineRule="auto"/>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技术部分</w:t>
      </w:r>
    </w:p>
    <w:bookmarkEnd w:id="32"/>
    <w:p w14:paraId="4D7312B7">
      <w:pPr>
        <w:snapToGrid w:val="0"/>
        <w:spacing w:line="360" w:lineRule="auto"/>
        <w:jc w:val="left"/>
        <w:rPr>
          <w:rFonts w:hint="eastAsia" w:ascii="仿宋" w:hAnsi="仿宋" w:eastAsia="仿宋" w:cs="仿宋"/>
          <w:sz w:val="24"/>
          <w:szCs w:val="24"/>
          <w:highlight w:val="none"/>
          <w:lang w:val="en-US" w:eastAsia="zh-CN"/>
        </w:rPr>
      </w:pPr>
      <w:bookmarkStart w:id="57" w:name="_Toc20066"/>
      <w:bookmarkStart w:id="58" w:name="_Toc30899"/>
      <w:r>
        <w:rPr>
          <w:rFonts w:hint="eastAsia" w:ascii="仿宋" w:hAnsi="仿宋" w:eastAsia="仿宋" w:cs="仿宋"/>
          <w:sz w:val="24"/>
          <w:szCs w:val="24"/>
          <w:highlight w:val="none"/>
          <w:lang w:val="en-US" w:eastAsia="zh-CN"/>
        </w:rPr>
        <w:t>包括但不限于以下内容：</w:t>
      </w:r>
    </w:p>
    <w:bookmarkEnd w:id="57"/>
    <w:bookmarkEnd w:id="58"/>
    <w:p w14:paraId="3F61A79B">
      <w:pPr>
        <w:pStyle w:val="4"/>
        <w:numPr>
          <w:ilvl w:val="0"/>
          <w:numId w:val="0"/>
        </w:numPr>
        <w:bidi w:val="0"/>
        <w:ind w:leftChars="0"/>
        <w:jc w:val="both"/>
        <w:rPr>
          <w:rFonts w:hint="eastAsia" w:ascii="仿宋" w:hAnsi="仿宋" w:eastAsia="仿宋" w:cs="仿宋"/>
          <w:b w:val="0"/>
          <w:kern w:val="2"/>
          <w:sz w:val="24"/>
          <w:szCs w:val="24"/>
          <w:highlight w:val="none"/>
          <w:lang w:val="en-US" w:eastAsia="zh-CN" w:bidi="ar-SA"/>
        </w:rPr>
      </w:pPr>
      <w:bookmarkStart w:id="59" w:name="_Toc22577"/>
      <w:bookmarkStart w:id="60" w:name="_Toc247085855"/>
      <w:bookmarkStart w:id="61" w:name="_Toc179632789"/>
      <w:bookmarkStart w:id="62" w:name="_Toc152042554"/>
      <w:bookmarkStart w:id="63" w:name="_Toc246997083"/>
      <w:bookmarkStart w:id="64" w:name="_Toc376531076"/>
      <w:bookmarkStart w:id="65" w:name="_Toc152045772"/>
      <w:bookmarkStart w:id="66" w:name="_Toc144974834"/>
      <w:bookmarkStart w:id="67" w:name="_Toc246996340"/>
      <w:r>
        <w:rPr>
          <w:rFonts w:hint="eastAsia" w:ascii="仿宋" w:hAnsi="仿宋" w:cs="仿宋"/>
          <w:b w:val="0"/>
          <w:kern w:val="2"/>
          <w:sz w:val="24"/>
          <w:szCs w:val="24"/>
          <w:highlight w:val="none"/>
          <w:lang w:val="en-US" w:eastAsia="zh-CN" w:bidi="ar-SA"/>
        </w:rPr>
        <w:t>1、</w:t>
      </w:r>
      <w:r>
        <w:rPr>
          <w:rFonts w:hint="eastAsia" w:ascii="仿宋" w:hAnsi="仿宋" w:eastAsia="仿宋" w:cs="仿宋"/>
          <w:b w:val="0"/>
          <w:kern w:val="2"/>
          <w:sz w:val="24"/>
          <w:szCs w:val="24"/>
          <w:highlight w:val="none"/>
          <w:lang w:val="en-US" w:eastAsia="zh-CN" w:bidi="ar-SA"/>
        </w:rPr>
        <w:t>项目团队配置</w:t>
      </w:r>
    </w:p>
    <w:p w14:paraId="638300FD">
      <w:pPr>
        <w:pStyle w:val="4"/>
        <w:numPr>
          <w:ilvl w:val="0"/>
          <w:numId w:val="0"/>
        </w:numPr>
        <w:bidi w:val="0"/>
        <w:ind w:leftChars="0"/>
        <w:jc w:val="both"/>
        <w:rPr>
          <w:rFonts w:hint="eastAsia" w:ascii="仿宋" w:hAnsi="仿宋" w:eastAsia="仿宋" w:cs="仿宋"/>
          <w:b w:val="0"/>
          <w:kern w:val="2"/>
          <w:sz w:val="24"/>
          <w:szCs w:val="24"/>
          <w:highlight w:val="none"/>
          <w:lang w:val="en-US" w:eastAsia="zh-CN" w:bidi="ar-SA"/>
        </w:rPr>
      </w:pPr>
      <w:r>
        <w:rPr>
          <w:rFonts w:hint="eastAsia" w:ascii="仿宋" w:hAnsi="仿宋" w:cs="仿宋"/>
          <w:b w:val="0"/>
          <w:kern w:val="2"/>
          <w:sz w:val="24"/>
          <w:szCs w:val="24"/>
          <w:highlight w:val="none"/>
          <w:lang w:val="en-US" w:eastAsia="zh-CN" w:bidi="ar-SA"/>
        </w:rPr>
        <w:t>2、</w:t>
      </w:r>
      <w:r>
        <w:rPr>
          <w:rFonts w:hint="eastAsia" w:ascii="仿宋" w:hAnsi="仿宋" w:eastAsia="仿宋" w:cs="仿宋"/>
          <w:b w:val="0"/>
          <w:kern w:val="2"/>
          <w:sz w:val="24"/>
          <w:szCs w:val="24"/>
          <w:highlight w:val="none"/>
          <w:lang w:val="en-US" w:eastAsia="zh-CN" w:bidi="ar-SA"/>
        </w:rPr>
        <w:t>整体服务方案</w:t>
      </w:r>
    </w:p>
    <w:p w14:paraId="25211B4E">
      <w:pPr>
        <w:pStyle w:val="4"/>
        <w:numPr>
          <w:ilvl w:val="0"/>
          <w:numId w:val="0"/>
        </w:numPr>
        <w:bidi w:val="0"/>
        <w:ind w:leftChars="0"/>
        <w:jc w:val="both"/>
        <w:rPr>
          <w:rFonts w:hint="eastAsia" w:ascii="仿宋" w:hAnsi="仿宋" w:eastAsia="仿宋" w:cs="仿宋"/>
          <w:b w:val="0"/>
          <w:kern w:val="2"/>
          <w:sz w:val="24"/>
          <w:szCs w:val="24"/>
          <w:highlight w:val="none"/>
          <w:lang w:val="en-US" w:eastAsia="zh-CN" w:bidi="ar-SA"/>
        </w:rPr>
      </w:pPr>
      <w:r>
        <w:rPr>
          <w:rFonts w:hint="eastAsia" w:ascii="仿宋" w:hAnsi="仿宋" w:cs="仿宋"/>
          <w:b w:val="0"/>
          <w:kern w:val="2"/>
          <w:sz w:val="24"/>
          <w:szCs w:val="24"/>
          <w:highlight w:val="none"/>
          <w:lang w:val="en-US" w:eastAsia="zh-CN" w:bidi="ar-SA"/>
        </w:rPr>
        <w:t>3、</w:t>
      </w:r>
      <w:r>
        <w:rPr>
          <w:rFonts w:hint="eastAsia" w:ascii="仿宋" w:hAnsi="仿宋" w:eastAsia="仿宋" w:cs="仿宋"/>
          <w:b w:val="0"/>
          <w:kern w:val="2"/>
          <w:sz w:val="24"/>
          <w:szCs w:val="24"/>
          <w:highlight w:val="none"/>
          <w:lang w:val="en-US" w:eastAsia="zh-CN" w:bidi="ar-SA"/>
        </w:rPr>
        <w:t>差异化培训实施方案</w:t>
      </w:r>
    </w:p>
    <w:p w14:paraId="26A3830E">
      <w:pPr>
        <w:pStyle w:val="4"/>
        <w:numPr>
          <w:ilvl w:val="0"/>
          <w:numId w:val="0"/>
        </w:numPr>
        <w:bidi w:val="0"/>
        <w:ind w:leftChars="0"/>
        <w:jc w:val="both"/>
        <w:rPr>
          <w:rFonts w:hint="eastAsia" w:ascii="仿宋" w:hAnsi="仿宋" w:eastAsia="仿宋" w:cs="仿宋"/>
          <w:b w:val="0"/>
          <w:kern w:val="2"/>
          <w:sz w:val="24"/>
          <w:szCs w:val="24"/>
          <w:highlight w:val="none"/>
          <w:lang w:val="en-US" w:eastAsia="zh-CN" w:bidi="ar-SA"/>
        </w:rPr>
      </w:pPr>
      <w:r>
        <w:rPr>
          <w:rFonts w:hint="eastAsia" w:ascii="仿宋" w:hAnsi="仿宋" w:cs="仿宋"/>
          <w:b w:val="0"/>
          <w:kern w:val="2"/>
          <w:sz w:val="24"/>
          <w:szCs w:val="24"/>
          <w:highlight w:val="none"/>
          <w:lang w:val="en-US" w:eastAsia="zh-CN" w:bidi="ar-SA"/>
        </w:rPr>
        <w:t>4、</w:t>
      </w:r>
      <w:r>
        <w:rPr>
          <w:rFonts w:hint="eastAsia" w:ascii="仿宋" w:hAnsi="仿宋" w:eastAsia="仿宋" w:cs="仿宋"/>
          <w:b w:val="0"/>
          <w:kern w:val="2"/>
          <w:sz w:val="24"/>
          <w:szCs w:val="24"/>
          <w:highlight w:val="none"/>
          <w:lang w:val="en-US" w:eastAsia="zh-CN" w:bidi="ar-SA"/>
        </w:rPr>
        <w:t>应急演练实施方案</w:t>
      </w:r>
    </w:p>
    <w:p w14:paraId="78E577EE">
      <w:pPr>
        <w:pStyle w:val="4"/>
        <w:numPr>
          <w:ilvl w:val="0"/>
          <w:numId w:val="0"/>
        </w:numPr>
        <w:bidi w:val="0"/>
        <w:ind w:leftChars="0"/>
        <w:jc w:val="both"/>
        <w:rPr>
          <w:rFonts w:hint="eastAsia" w:ascii="仿宋" w:hAnsi="仿宋" w:eastAsia="仿宋" w:cs="仿宋"/>
          <w:b w:val="0"/>
          <w:kern w:val="2"/>
          <w:sz w:val="24"/>
          <w:szCs w:val="24"/>
          <w:highlight w:val="none"/>
          <w:lang w:val="en-US" w:eastAsia="zh-CN" w:bidi="ar-SA"/>
        </w:rPr>
      </w:pPr>
      <w:r>
        <w:rPr>
          <w:rFonts w:hint="eastAsia" w:ascii="仿宋" w:hAnsi="仿宋" w:cs="仿宋"/>
          <w:b w:val="0"/>
          <w:kern w:val="2"/>
          <w:sz w:val="24"/>
          <w:szCs w:val="24"/>
          <w:highlight w:val="none"/>
          <w:lang w:val="en-US" w:eastAsia="zh-CN" w:bidi="ar-SA"/>
        </w:rPr>
        <w:t>5、</w:t>
      </w:r>
      <w:r>
        <w:rPr>
          <w:rFonts w:hint="eastAsia" w:ascii="仿宋" w:hAnsi="仿宋" w:eastAsia="仿宋" w:cs="仿宋"/>
          <w:b w:val="0"/>
          <w:kern w:val="2"/>
          <w:sz w:val="24"/>
          <w:szCs w:val="24"/>
          <w:highlight w:val="none"/>
          <w:lang w:val="en-US" w:eastAsia="zh-CN" w:bidi="ar-SA"/>
        </w:rPr>
        <w:t>质量保障、进度管控及成果交付</w:t>
      </w:r>
    </w:p>
    <w:p w14:paraId="3947388C">
      <w:pPr>
        <w:pStyle w:val="4"/>
        <w:numPr>
          <w:ilvl w:val="0"/>
          <w:numId w:val="0"/>
        </w:numPr>
        <w:bidi w:val="0"/>
        <w:ind w:leftChars="0"/>
        <w:jc w:val="center"/>
        <w:rPr>
          <w:rFonts w:hint="eastAsia"/>
          <w:highlight w:val="none"/>
        </w:rPr>
      </w:pPr>
    </w:p>
    <w:p w14:paraId="6EF70F20">
      <w:pPr>
        <w:pStyle w:val="4"/>
        <w:numPr>
          <w:ilvl w:val="0"/>
          <w:numId w:val="0"/>
        </w:numPr>
        <w:bidi w:val="0"/>
        <w:ind w:leftChars="0"/>
        <w:jc w:val="center"/>
        <w:rPr>
          <w:rFonts w:hint="eastAsia"/>
          <w:highlight w:val="none"/>
        </w:rPr>
      </w:pPr>
    </w:p>
    <w:p w14:paraId="666C0E10">
      <w:pPr>
        <w:pStyle w:val="4"/>
        <w:numPr>
          <w:ilvl w:val="0"/>
          <w:numId w:val="0"/>
        </w:numPr>
        <w:bidi w:val="0"/>
        <w:ind w:leftChars="0"/>
        <w:jc w:val="center"/>
        <w:rPr>
          <w:rFonts w:hint="eastAsia"/>
          <w:highlight w:val="none"/>
        </w:rPr>
      </w:pPr>
    </w:p>
    <w:p w14:paraId="05578C52">
      <w:pPr>
        <w:pStyle w:val="4"/>
        <w:numPr>
          <w:ilvl w:val="0"/>
          <w:numId w:val="0"/>
        </w:numPr>
        <w:bidi w:val="0"/>
        <w:ind w:leftChars="0"/>
        <w:jc w:val="center"/>
        <w:rPr>
          <w:rFonts w:hint="eastAsia"/>
          <w:highlight w:val="none"/>
        </w:rPr>
      </w:pPr>
    </w:p>
    <w:p w14:paraId="0E4EF430">
      <w:pPr>
        <w:pStyle w:val="4"/>
        <w:numPr>
          <w:ilvl w:val="0"/>
          <w:numId w:val="0"/>
        </w:numPr>
        <w:bidi w:val="0"/>
        <w:ind w:leftChars="0"/>
        <w:jc w:val="center"/>
        <w:rPr>
          <w:rFonts w:hint="eastAsia"/>
          <w:highlight w:val="none"/>
        </w:rPr>
      </w:pPr>
    </w:p>
    <w:p w14:paraId="36EA65BC">
      <w:pPr>
        <w:pStyle w:val="4"/>
        <w:numPr>
          <w:ilvl w:val="0"/>
          <w:numId w:val="0"/>
        </w:numPr>
        <w:bidi w:val="0"/>
        <w:ind w:leftChars="0"/>
        <w:jc w:val="center"/>
        <w:rPr>
          <w:rFonts w:hint="eastAsia"/>
          <w:highlight w:val="none"/>
        </w:rPr>
      </w:pPr>
    </w:p>
    <w:p w14:paraId="02059F85">
      <w:pPr>
        <w:pStyle w:val="4"/>
        <w:numPr>
          <w:ilvl w:val="0"/>
          <w:numId w:val="0"/>
        </w:numPr>
        <w:bidi w:val="0"/>
        <w:ind w:leftChars="0"/>
        <w:jc w:val="center"/>
        <w:rPr>
          <w:rFonts w:hint="eastAsia"/>
          <w:highlight w:val="none"/>
        </w:rPr>
      </w:pPr>
    </w:p>
    <w:p w14:paraId="3A4D4443">
      <w:pPr>
        <w:pStyle w:val="4"/>
        <w:numPr>
          <w:ilvl w:val="0"/>
          <w:numId w:val="0"/>
        </w:numPr>
        <w:bidi w:val="0"/>
        <w:ind w:leftChars="0"/>
        <w:jc w:val="center"/>
        <w:rPr>
          <w:rFonts w:hint="eastAsia"/>
          <w:highlight w:val="none"/>
        </w:rPr>
      </w:pPr>
    </w:p>
    <w:p w14:paraId="389F2068">
      <w:pPr>
        <w:pStyle w:val="4"/>
        <w:numPr>
          <w:ilvl w:val="0"/>
          <w:numId w:val="0"/>
        </w:numPr>
        <w:bidi w:val="0"/>
        <w:ind w:leftChars="0"/>
        <w:jc w:val="center"/>
        <w:rPr>
          <w:rFonts w:hint="eastAsia"/>
          <w:highlight w:val="none"/>
        </w:rPr>
      </w:pPr>
    </w:p>
    <w:p w14:paraId="1C4F6DFC">
      <w:pPr>
        <w:pStyle w:val="4"/>
        <w:numPr>
          <w:ilvl w:val="0"/>
          <w:numId w:val="0"/>
        </w:numPr>
        <w:bidi w:val="0"/>
        <w:ind w:leftChars="0"/>
        <w:jc w:val="center"/>
        <w:rPr>
          <w:rFonts w:hint="eastAsia"/>
          <w:highlight w:val="none"/>
        </w:rPr>
      </w:pPr>
    </w:p>
    <w:p w14:paraId="13330264">
      <w:pPr>
        <w:pStyle w:val="4"/>
        <w:numPr>
          <w:ilvl w:val="0"/>
          <w:numId w:val="0"/>
        </w:numPr>
        <w:bidi w:val="0"/>
        <w:ind w:leftChars="0"/>
        <w:jc w:val="center"/>
        <w:rPr>
          <w:rFonts w:hint="eastAsia"/>
          <w:highlight w:val="none"/>
        </w:rPr>
      </w:pPr>
    </w:p>
    <w:p w14:paraId="7F5FA30A">
      <w:pPr>
        <w:pStyle w:val="4"/>
        <w:numPr>
          <w:ilvl w:val="0"/>
          <w:numId w:val="0"/>
        </w:numPr>
        <w:bidi w:val="0"/>
        <w:ind w:leftChars="0"/>
        <w:jc w:val="center"/>
        <w:rPr>
          <w:rFonts w:hint="eastAsia"/>
          <w:highlight w:val="none"/>
        </w:rPr>
      </w:pPr>
    </w:p>
    <w:p w14:paraId="3C024917">
      <w:pPr>
        <w:rPr>
          <w:rFonts w:hint="eastAsia"/>
          <w:highlight w:val="none"/>
        </w:rPr>
      </w:pPr>
    </w:p>
    <w:p w14:paraId="3243A241">
      <w:pPr>
        <w:rPr>
          <w:rFonts w:hint="eastAsia"/>
          <w:highlight w:val="none"/>
        </w:rPr>
      </w:pPr>
    </w:p>
    <w:p w14:paraId="1C9F271B">
      <w:pPr>
        <w:rPr>
          <w:rFonts w:hint="eastAsia"/>
          <w:highlight w:val="none"/>
        </w:rPr>
      </w:pPr>
    </w:p>
    <w:p w14:paraId="33E0D55B">
      <w:pPr>
        <w:rPr>
          <w:rFonts w:hint="eastAsia"/>
          <w:highlight w:val="none"/>
        </w:rPr>
      </w:pPr>
    </w:p>
    <w:p w14:paraId="765DF67E">
      <w:pPr>
        <w:pStyle w:val="4"/>
        <w:numPr>
          <w:ilvl w:val="0"/>
          <w:numId w:val="0"/>
        </w:numPr>
        <w:bidi w:val="0"/>
        <w:ind w:leftChars="0"/>
        <w:jc w:val="center"/>
        <w:rPr>
          <w:rFonts w:hint="eastAsia"/>
          <w:highlight w:val="none"/>
        </w:rPr>
      </w:pPr>
    </w:p>
    <w:p w14:paraId="156ED12A">
      <w:pPr>
        <w:rPr>
          <w:rFonts w:hint="eastAsia"/>
          <w:highlight w:val="none"/>
        </w:rPr>
      </w:pPr>
    </w:p>
    <w:p w14:paraId="102EC75B">
      <w:pPr>
        <w:pStyle w:val="4"/>
        <w:numPr>
          <w:ilvl w:val="0"/>
          <w:numId w:val="0"/>
        </w:numPr>
        <w:bidi w:val="0"/>
        <w:ind w:leftChars="0"/>
        <w:jc w:val="center"/>
        <w:rPr>
          <w:rFonts w:hint="eastAsia" w:ascii="仿宋" w:hAnsi="仿宋" w:eastAsia="仿宋" w:cs="仿宋"/>
          <w:b w:val="0"/>
          <w:szCs w:val="28"/>
          <w:highlight w:val="none"/>
        </w:rPr>
      </w:pPr>
      <w:r>
        <w:rPr>
          <w:rFonts w:hint="eastAsia"/>
          <w:highlight w:val="none"/>
        </w:rPr>
        <w:t>第六部分 合同条款及格式</w:t>
      </w:r>
    </w:p>
    <w:p w14:paraId="280EE9DC">
      <w:pPr>
        <w:snapToGrid w:val="0"/>
        <w:spacing w:line="360" w:lineRule="auto"/>
        <w:jc w:val="left"/>
        <w:rPr>
          <w:rFonts w:hint="eastAsia"/>
          <w:highlight w:val="none"/>
        </w:rPr>
      </w:pPr>
    </w:p>
    <w:p w14:paraId="2E67F473">
      <w:pPr>
        <w:keepNext w:val="0"/>
        <w:keepLines w:val="0"/>
        <w:pageBreakBefore w:val="0"/>
        <w:kinsoku/>
        <w:wordWrap/>
        <w:overflowPunct/>
        <w:topLinePunct w:val="0"/>
        <w:autoSpaceDE/>
        <w:autoSpaceDN/>
        <w:bidi w:val="0"/>
        <w:spacing w:line="600" w:lineRule="exact"/>
        <w:jc w:val="right"/>
        <w:textAlignment w:val="auto"/>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lang w:val="en-US" w:eastAsia="zh-CN"/>
        </w:rPr>
        <w:t xml:space="preserve">  </w:t>
      </w:r>
      <w:r>
        <w:rPr>
          <w:rFonts w:hint="eastAsia" w:ascii="仿宋" w:hAnsi="仿宋" w:eastAsia="仿宋" w:cs="仿宋"/>
          <w:b/>
          <w:sz w:val="30"/>
          <w:szCs w:val="30"/>
          <w:highlight w:val="none"/>
          <w:lang w:val="en-US" w:eastAsia="zh-CN"/>
        </w:rPr>
        <w:t>合同编号：</w:t>
      </w:r>
    </w:p>
    <w:p w14:paraId="3EE6D588">
      <w:pPr>
        <w:keepNext w:val="0"/>
        <w:keepLines w:val="0"/>
        <w:pageBreakBefore w:val="0"/>
        <w:kinsoku/>
        <w:wordWrap/>
        <w:overflowPunct/>
        <w:topLinePunct w:val="0"/>
        <w:autoSpaceDE/>
        <w:autoSpaceDN/>
        <w:bidi w:val="0"/>
        <w:spacing w:line="600" w:lineRule="exact"/>
        <w:jc w:val="center"/>
        <w:textAlignment w:val="auto"/>
        <w:rPr>
          <w:rFonts w:hint="eastAsia" w:ascii="宋体" w:hAnsi="宋体" w:eastAsia="宋体" w:cs="宋体"/>
          <w:b/>
          <w:sz w:val="30"/>
          <w:szCs w:val="30"/>
          <w:highlight w:val="none"/>
          <w:lang w:val="en-US" w:eastAsia="zh-CN"/>
        </w:rPr>
      </w:pPr>
    </w:p>
    <w:p w14:paraId="4C06B541">
      <w:pPr>
        <w:keepNext w:val="0"/>
        <w:keepLines w:val="0"/>
        <w:pageBreakBefore w:val="0"/>
        <w:kinsoku/>
        <w:wordWrap/>
        <w:overflowPunct/>
        <w:topLinePunct w:val="0"/>
        <w:autoSpaceDE/>
        <w:autoSpaceDN/>
        <w:bidi w:val="0"/>
        <w:spacing w:line="600" w:lineRule="exact"/>
        <w:jc w:val="both"/>
        <w:textAlignment w:val="auto"/>
        <w:rPr>
          <w:rFonts w:hint="eastAsia" w:ascii="宋体" w:hAnsi="宋体" w:eastAsia="宋体" w:cs="宋体"/>
          <w:b/>
          <w:sz w:val="30"/>
          <w:szCs w:val="30"/>
          <w:highlight w:val="none"/>
          <w:lang w:val="en-US" w:eastAsia="zh-CN"/>
        </w:rPr>
      </w:pPr>
    </w:p>
    <w:p w14:paraId="450D1A90">
      <w:pPr>
        <w:keepNext w:val="0"/>
        <w:keepLines w:val="0"/>
        <w:pageBreakBefore w:val="0"/>
        <w:numPr>
          <w:ilvl w:val="0"/>
          <w:numId w:val="0"/>
        </w:numPr>
        <w:kinsoku/>
        <w:wordWrap/>
        <w:overflowPunct/>
        <w:topLinePunct w:val="0"/>
        <w:autoSpaceDE/>
        <w:autoSpaceDN/>
        <w:bidi w:val="0"/>
        <w:adjustRightInd/>
        <w:snapToGrid/>
        <w:spacing w:line="600" w:lineRule="exact"/>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2026年环翠区农村供水基础设施专项工程构建多元化人员能力提升体系服务项目</w:t>
      </w:r>
    </w:p>
    <w:p w14:paraId="40B72D34">
      <w:pPr>
        <w:keepNext w:val="0"/>
        <w:keepLines w:val="0"/>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0"/>
          <w:szCs w:val="30"/>
          <w:highlight w:val="none"/>
          <w:lang w:val="en-US" w:eastAsia="zh-CN"/>
        </w:rPr>
      </w:pPr>
    </w:p>
    <w:p w14:paraId="4C713C7F">
      <w:pPr>
        <w:pStyle w:val="2"/>
        <w:keepNext w:val="0"/>
        <w:keepLines w:val="0"/>
        <w:pageBreakBefore w:val="0"/>
        <w:kinsoku/>
        <w:wordWrap/>
        <w:overflowPunct/>
        <w:topLinePunct w:val="0"/>
        <w:autoSpaceDE/>
        <w:autoSpaceDN/>
        <w:bidi w:val="0"/>
        <w:spacing w:line="600" w:lineRule="exact"/>
        <w:textAlignment w:val="auto"/>
        <w:rPr>
          <w:rFonts w:hint="eastAsia" w:ascii="仿宋_GB2312" w:hAnsi="仿宋_GB2312" w:eastAsia="仿宋_GB2312" w:cs="仿宋_GB2312"/>
          <w:b/>
          <w:sz w:val="30"/>
          <w:szCs w:val="30"/>
          <w:highlight w:val="none"/>
          <w:lang w:val="en-US" w:eastAsia="zh-CN"/>
        </w:rPr>
      </w:pPr>
    </w:p>
    <w:p w14:paraId="304C5EF7">
      <w:pPr>
        <w:pStyle w:val="2"/>
        <w:keepNext w:val="0"/>
        <w:keepLines w:val="0"/>
        <w:pageBreakBefore w:val="0"/>
        <w:kinsoku/>
        <w:wordWrap/>
        <w:overflowPunct/>
        <w:topLinePunct w:val="0"/>
        <w:autoSpaceDE/>
        <w:autoSpaceDN/>
        <w:bidi w:val="0"/>
        <w:spacing w:line="600" w:lineRule="exact"/>
        <w:textAlignment w:val="auto"/>
        <w:rPr>
          <w:rFonts w:hint="eastAsia" w:ascii="仿宋_GB2312" w:hAnsi="仿宋_GB2312" w:eastAsia="仿宋_GB2312" w:cs="仿宋_GB2312"/>
          <w:b/>
          <w:sz w:val="30"/>
          <w:szCs w:val="30"/>
          <w:highlight w:val="none"/>
          <w:lang w:val="en-US" w:eastAsia="zh-CN"/>
        </w:rPr>
      </w:pPr>
    </w:p>
    <w:p w14:paraId="5B54B374">
      <w:pPr>
        <w:pStyle w:val="2"/>
        <w:keepNext w:val="0"/>
        <w:keepLines w:val="0"/>
        <w:pageBreakBefore w:val="0"/>
        <w:kinsoku/>
        <w:wordWrap/>
        <w:overflowPunct/>
        <w:topLinePunct w:val="0"/>
        <w:autoSpaceDE/>
        <w:autoSpaceDN/>
        <w:bidi w:val="0"/>
        <w:spacing w:line="600" w:lineRule="exact"/>
        <w:ind w:left="0" w:leftChars="0" w:firstLine="0" w:firstLineChars="0"/>
        <w:textAlignment w:val="auto"/>
        <w:rPr>
          <w:rFonts w:hint="eastAsia" w:ascii="仿宋_GB2312" w:hAnsi="仿宋_GB2312" w:eastAsia="仿宋_GB2312" w:cs="仿宋_GB2312"/>
          <w:b/>
          <w:sz w:val="30"/>
          <w:szCs w:val="30"/>
          <w:highlight w:val="none"/>
          <w:lang w:val="en-US" w:eastAsia="zh-CN"/>
        </w:rPr>
      </w:pPr>
    </w:p>
    <w:p w14:paraId="69F26F98">
      <w:pPr>
        <w:pStyle w:val="2"/>
        <w:keepNext w:val="0"/>
        <w:keepLines w:val="0"/>
        <w:pageBreakBefore w:val="0"/>
        <w:kinsoku/>
        <w:wordWrap/>
        <w:overflowPunct/>
        <w:topLinePunct w:val="0"/>
        <w:autoSpaceDE/>
        <w:autoSpaceDN/>
        <w:bidi w:val="0"/>
        <w:spacing w:line="600" w:lineRule="exact"/>
        <w:textAlignment w:val="auto"/>
        <w:rPr>
          <w:rFonts w:hint="eastAsia" w:ascii="仿宋_GB2312" w:hAnsi="仿宋_GB2312" w:eastAsia="仿宋_GB2312" w:cs="仿宋_GB2312"/>
          <w:b/>
          <w:sz w:val="30"/>
          <w:szCs w:val="30"/>
          <w:highlight w:val="none"/>
          <w:lang w:val="en-US" w:eastAsia="zh-CN"/>
        </w:rPr>
      </w:pPr>
    </w:p>
    <w:p w14:paraId="651C1156">
      <w:pPr>
        <w:pStyle w:val="2"/>
        <w:keepNext w:val="0"/>
        <w:keepLines w:val="0"/>
        <w:pageBreakBefore w:val="0"/>
        <w:kinsoku/>
        <w:wordWrap/>
        <w:overflowPunct/>
        <w:topLinePunct w:val="0"/>
        <w:autoSpaceDE/>
        <w:autoSpaceDN/>
        <w:bidi w:val="0"/>
        <w:spacing w:line="600" w:lineRule="exact"/>
        <w:textAlignment w:val="auto"/>
        <w:rPr>
          <w:rFonts w:hint="eastAsia" w:ascii="仿宋_GB2312" w:hAnsi="仿宋_GB2312" w:eastAsia="仿宋_GB2312" w:cs="仿宋_GB2312"/>
          <w:b/>
          <w:sz w:val="30"/>
          <w:szCs w:val="30"/>
          <w:highlight w:val="none"/>
          <w:lang w:val="en-US" w:eastAsia="zh-CN"/>
        </w:rPr>
      </w:pPr>
    </w:p>
    <w:p w14:paraId="29AE61CF">
      <w:pPr>
        <w:keepNext w:val="0"/>
        <w:keepLines w:val="0"/>
        <w:pageBreakBefore w:val="0"/>
        <w:kinsoku/>
        <w:wordWrap/>
        <w:overflowPunct/>
        <w:topLinePunct w:val="0"/>
        <w:autoSpaceDE/>
        <w:autoSpaceDN/>
        <w:bidi w:val="0"/>
        <w:spacing w:line="600" w:lineRule="exact"/>
        <w:jc w:val="both"/>
        <w:textAlignment w:val="auto"/>
        <w:rPr>
          <w:rFonts w:hint="eastAsia" w:ascii="仿宋_GB2312" w:hAnsi="仿宋_GB2312" w:eastAsia="仿宋_GB2312" w:cs="仿宋_GB2312"/>
          <w:b w:val="0"/>
          <w:bCs/>
          <w:sz w:val="30"/>
          <w:szCs w:val="30"/>
          <w:highlight w:val="none"/>
        </w:rPr>
      </w:pPr>
    </w:p>
    <w:p w14:paraId="5169D6B7">
      <w:pPr>
        <w:keepNext w:val="0"/>
        <w:keepLines w:val="0"/>
        <w:pageBreakBefore w:val="0"/>
        <w:kinsoku/>
        <w:wordWrap/>
        <w:overflowPunct/>
        <w:topLinePunct w:val="0"/>
        <w:autoSpaceDE/>
        <w:autoSpaceDN/>
        <w:bidi w:val="0"/>
        <w:spacing w:line="600" w:lineRule="exact"/>
        <w:ind w:firstLine="600" w:firstLineChars="200"/>
        <w:jc w:val="both"/>
        <w:textAlignment w:val="auto"/>
        <w:rPr>
          <w:rFonts w:hint="eastAsia" w:ascii="华文仿宋" w:hAnsi="华文仿宋" w:eastAsia="华文仿宋" w:cs="华文仿宋"/>
          <w:b w:val="0"/>
          <w:bCs/>
          <w:sz w:val="30"/>
          <w:szCs w:val="24"/>
          <w:highlight w:val="none"/>
          <w:lang w:eastAsia="zh-CN"/>
        </w:rPr>
      </w:pPr>
      <w:r>
        <w:rPr>
          <w:rFonts w:hint="eastAsia" w:ascii="华文仿宋" w:hAnsi="华文仿宋" w:eastAsia="华文仿宋" w:cs="华文仿宋"/>
          <w:b w:val="0"/>
          <w:bCs/>
          <w:sz w:val="30"/>
          <w:szCs w:val="24"/>
          <w:highlight w:val="none"/>
        </w:rPr>
        <w:t>甲方</w:t>
      </w:r>
      <w:r>
        <w:rPr>
          <w:rFonts w:hint="eastAsia" w:ascii="华文仿宋" w:hAnsi="华文仿宋" w:eastAsia="华文仿宋" w:cs="华文仿宋"/>
          <w:b w:val="0"/>
          <w:bCs/>
          <w:sz w:val="30"/>
          <w:szCs w:val="24"/>
          <w:highlight w:val="none"/>
          <w:lang w:eastAsia="zh-CN"/>
        </w:rPr>
        <w:t>：威海市环翠区通达市政工程有限公司</w:t>
      </w:r>
    </w:p>
    <w:p w14:paraId="4B10871E">
      <w:pPr>
        <w:keepNext w:val="0"/>
        <w:keepLines w:val="0"/>
        <w:pageBreakBefore w:val="0"/>
        <w:kinsoku/>
        <w:wordWrap/>
        <w:overflowPunct/>
        <w:topLinePunct w:val="0"/>
        <w:autoSpaceDE/>
        <w:autoSpaceDN/>
        <w:bidi w:val="0"/>
        <w:spacing w:line="600" w:lineRule="exact"/>
        <w:ind w:firstLine="600" w:firstLineChars="200"/>
        <w:jc w:val="both"/>
        <w:textAlignment w:val="auto"/>
        <w:rPr>
          <w:rFonts w:hint="eastAsia" w:ascii="华文仿宋" w:hAnsi="华文仿宋" w:eastAsia="华文仿宋" w:cs="华文仿宋"/>
          <w:b w:val="0"/>
          <w:bCs/>
          <w:sz w:val="30"/>
          <w:szCs w:val="30"/>
          <w:highlight w:val="none"/>
        </w:rPr>
      </w:pPr>
      <w:r>
        <w:rPr>
          <w:rFonts w:hint="eastAsia" w:ascii="华文仿宋" w:hAnsi="华文仿宋" w:eastAsia="华文仿宋" w:cs="华文仿宋"/>
          <w:b w:val="0"/>
          <w:bCs/>
          <w:sz w:val="30"/>
          <w:szCs w:val="24"/>
          <w:highlight w:val="none"/>
        </w:rPr>
        <w:t>乙方：</w:t>
      </w:r>
    </w:p>
    <w:p w14:paraId="61CC4592">
      <w:pPr>
        <w:pStyle w:val="2"/>
        <w:keepNext w:val="0"/>
        <w:keepLines w:val="0"/>
        <w:pageBreakBefore w:val="0"/>
        <w:kinsoku/>
        <w:wordWrap/>
        <w:overflowPunct/>
        <w:topLinePunct w:val="0"/>
        <w:autoSpaceDE/>
        <w:autoSpaceDN/>
        <w:bidi w:val="0"/>
        <w:spacing w:line="600" w:lineRule="exact"/>
        <w:textAlignment w:val="auto"/>
        <w:rPr>
          <w:rFonts w:hint="eastAsia"/>
          <w:highlight w:val="none"/>
        </w:rPr>
      </w:pPr>
    </w:p>
    <w:p w14:paraId="353252A9">
      <w:pPr>
        <w:pStyle w:val="2"/>
        <w:keepNext w:val="0"/>
        <w:keepLines w:val="0"/>
        <w:pageBreakBefore w:val="0"/>
        <w:kinsoku/>
        <w:wordWrap/>
        <w:overflowPunct/>
        <w:topLinePunct w:val="0"/>
        <w:autoSpaceDE/>
        <w:autoSpaceDN/>
        <w:bidi w:val="0"/>
        <w:spacing w:line="600" w:lineRule="exact"/>
        <w:textAlignment w:val="auto"/>
        <w:rPr>
          <w:rFonts w:hint="eastAsia"/>
          <w:highlight w:val="none"/>
        </w:rPr>
      </w:pPr>
    </w:p>
    <w:p w14:paraId="1D5A1025">
      <w:pPr>
        <w:pStyle w:val="2"/>
        <w:keepNext w:val="0"/>
        <w:keepLines w:val="0"/>
        <w:pageBreakBefore w:val="0"/>
        <w:kinsoku/>
        <w:wordWrap/>
        <w:overflowPunct/>
        <w:topLinePunct w:val="0"/>
        <w:autoSpaceDE/>
        <w:autoSpaceDN/>
        <w:bidi w:val="0"/>
        <w:spacing w:line="600" w:lineRule="exact"/>
        <w:textAlignment w:val="auto"/>
        <w:rPr>
          <w:rFonts w:hint="eastAsia"/>
          <w:highlight w:val="none"/>
        </w:rPr>
      </w:pPr>
    </w:p>
    <w:p w14:paraId="35EF5290">
      <w:pPr>
        <w:pStyle w:val="2"/>
        <w:keepNext w:val="0"/>
        <w:keepLines w:val="0"/>
        <w:pageBreakBefore w:val="0"/>
        <w:kinsoku/>
        <w:wordWrap/>
        <w:overflowPunct/>
        <w:topLinePunct w:val="0"/>
        <w:autoSpaceDE/>
        <w:autoSpaceDN/>
        <w:bidi w:val="0"/>
        <w:spacing w:line="600" w:lineRule="exact"/>
        <w:ind w:left="0" w:leftChars="0" w:firstLine="0" w:firstLineChars="0"/>
        <w:textAlignment w:val="auto"/>
        <w:rPr>
          <w:rFonts w:hint="eastAsia"/>
          <w:highlight w:val="none"/>
        </w:rPr>
      </w:pPr>
    </w:p>
    <w:p w14:paraId="7176464B">
      <w:pPr>
        <w:pStyle w:val="2"/>
        <w:keepNext w:val="0"/>
        <w:keepLines w:val="0"/>
        <w:pageBreakBefore w:val="0"/>
        <w:kinsoku/>
        <w:wordWrap/>
        <w:overflowPunct/>
        <w:topLinePunct w:val="0"/>
        <w:autoSpaceDE/>
        <w:autoSpaceDN/>
        <w:bidi w:val="0"/>
        <w:spacing w:line="600" w:lineRule="exact"/>
        <w:ind w:left="0" w:leftChars="0" w:firstLine="0" w:firstLineChars="0"/>
        <w:textAlignment w:val="auto"/>
        <w:rPr>
          <w:rFonts w:hint="eastAsia"/>
          <w:highlight w:val="none"/>
        </w:rPr>
      </w:pPr>
    </w:p>
    <w:p w14:paraId="134BB6C6">
      <w:pPr>
        <w:keepNext w:val="0"/>
        <w:keepLines w:val="0"/>
        <w:pageBreakBefore w:val="0"/>
        <w:widowControl w:val="0"/>
        <w:kinsoku/>
        <w:wordWrap/>
        <w:overflowPunct/>
        <w:topLinePunct w:val="0"/>
        <w:autoSpaceDE/>
        <w:autoSpaceDN/>
        <w:bidi w:val="0"/>
        <w:spacing w:line="360" w:lineRule="auto"/>
        <w:ind w:firstLine="456" w:firstLineChars="190"/>
        <w:textAlignment w:val="auto"/>
        <w:rPr>
          <w:rFonts w:hint="eastAsia" w:ascii="仿宋" w:hAnsi="仿宋" w:eastAsia="仿宋" w:cs="仿宋"/>
          <w:sz w:val="24"/>
          <w:szCs w:val="24"/>
          <w:highlight w:val="none"/>
        </w:rPr>
      </w:pPr>
    </w:p>
    <w:p w14:paraId="4682607F">
      <w:pPr>
        <w:keepNext w:val="0"/>
        <w:keepLines w:val="0"/>
        <w:pageBreakBefore w:val="0"/>
        <w:widowControl w:val="0"/>
        <w:kinsoku/>
        <w:wordWrap/>
        <w:overflowPunct/>
        <w:topLinePunct w:val="0"/>
        <w:autoSpaceDE/>
        <w:autoSpaceDN/>
        <w:bidi w:val="0"/>
        <w:spacing w:line="360" w:lineRule="auto"/>
        <w:ind w:firstLine="456" w:firstLineChars="19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甲乙双方本着公平合理、平等互惠、诚实守信的原则，根据《中华人民共和国民法典》及相关法律、法规之规定，就</w:t>
      </w:r>
      <w:r>
        <w:rPr>
          <w:rFonts w:hint="eastAsia" w:ascii="仿宋" w:hAnsi="仿宋" w:eastAsia="仿宋" w:cs="仿宋"/>
          <w:sz w:val="24"/>
          <w:szCs w:val="24"/>
          <w:highlight w:val="none"/>
          <w:lang w:val="en-US" w:eastAsia="zh-CN"/>
        </w:rPr>
        <w:t>构建多元化人员能力提升体系服务</w:t>
      </w:r>
      <w:r>
        <w:rPr>
          <w:rFonts w:hint="eastAsia" w:ascii="仿宋" w:hAnsi="仿宋" w:eastAsia="仿宋" w:cs="仿宋"/>
          <w:sz w:val="24"/>
          <w:szCs w:val="24"/>
          <w:highlight w:val="none"/>
        </w:rPr>
        <w:t>相关事宜经友好协商签订本合同，以兹共同遵守。</w:t>
      </w:r>
    </w:p>
    <w:p w14:paraId="5255F56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、价款</w:t>
      </w:r>
    </w:p>
    <w:p w14:paraId="2FDCD02A">
      <w:pPr>
        <w:keepNext w:val="0"/>
        <w:keepLines w:val="0"/>
        <w:pageBreakBefore w:val="0"/>
        <w:widowControl w:val="0"/>
        <w:kinsoku/>
        <w:wordWrap/>
        <w:overflowPunct/>
        <w:topLinePunct w:val="0"/>
        <w:autoSpaceDE/>
        <w:autoSpaceDN/>
        <w:bidi w:val="0"/>
        <w:spacing w:line="360" w:lineRule="auto"/>
        <w:ind w:firstLine="456" w:firstLineChars="19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本合同总价款为人民币</w:t>
      </w:r>
      <w:r>
        <w:rPr>
          <w:rFonts w:hint="eastAsia" w:ascii="仿宋" w:hAnsi="仿宋" w:eastAsia="仿宋" w:cs="仿宋"/>
          <w:color w:val="auto"/>
          <w:sz w:val="24"/>
          <w:szCs w:val="24"/>
          <w:highlight w:val="none"/>
          <w:u w:val="single"/>
          <w:lang w:val="en-US" w:eastAsia="zh-CN"/>
        </w:rPr>
        <w:t xml:space="preserve">          元整</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eastAsia="zh-CN"/>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本价格为含</w:t>
      </w:r>
    </w:p>
    <w:p w14:paraId="7C988A80">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税率增值税、</w:t>
      </w:r>
      <w:r>
        <w:rPr>
          <w:rFonts w:hint="eastAsia" w:ascii="仿宋" w:hAnsi="仿宋" w:eastAsia="仿宋" w:cs="仿宋"/>
          <w:sz w:val="24"/>
          <w:szCs w:val="24"/>
          <w:highlight w:val="none"/>
          <w:lang w:eastAsia="zh-CN"/>
        </w:rPr>
        <w:t>售后服务等全部费用）</w:t>
      </w:r>
    </w:p>
    <w:p w14:paraId="62FCEE7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技术要求</w:t>
      </w:r>
    </w:p>
    <w:p w14:paraId="76305687">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针对管理人员、技术骨干和一线操作员的不同需求，开展涵盖设备维护、智慧水务系统应用、安全生产及成本控制等内容的差异化培训。管理人员侧重安全管理、成本管控、应急统筹，技术骨干侧重设备维护、智慧水务系统运维，一线操作员侧重现场实操、岗位安全操作；集中培训主要讲师在线下集中开展全员培训，以便快速掌握学习内容，培训结束后通过考试或评估确保参训人员达标。2026年培训次数1次，2027-2028年每年不少于2次。</w:t>
      </w:r>
    </w:p>
    <w:p w14:paraId="033DAE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2、服务团队要求</w:t>
      </w:r>
    </w:p>
    <w:p w14:paraId="5B583C50">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专业资质过硬。讲师需具备农村饮水安全、水利工程、供水运维、水质检测、安全生产、管网维修等相关工作经验，熟悉农村供水工程建设、运行管护、水质保障、水费收缴、规范化管理等相关政策及实操技能。</w:t>
      </w:r>
    </w:p>
    <w:p w14:paraId="078C4040">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业务能力精湛。熟悉国家、省市农村供水行业标准、管理制度及最新政策文件，精通水厂日常运维、水处理工艺、管网排查抢修、水压调控、水质消毒、设备保养、隐患排查等实操内容，能够结合农村供水点位分散、设施老旧、运维难度大的实际开展针对性授课。</w:t>
      </w:r>
    </w:p>
    <w:p w14:paraId="3DEED8A4">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授课经验丰富。备基层培训授课经验，语言通俗易懂，能够贴合村级水管员、水厂运维人员的工作实际，擅长案例教学、实操讲解，可针对性解答基层供水工作难点、堵点问题，杜绝理论化、脱离实际的授课模式。</w:t>
      </w:r>
    </w:p>
    <w:p w14:paraId="0A36C2FA">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职业素养良好。政治立场坚定，责任心强，作风严谨，熟悉基层工作实际，能够严格遵守培训纪律，认真完成授课、答疑、实操指导等各项培训任务。</w:t>
      </w:r>
    </w:p>
    <w:p w14:paraId="73C12087">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（5）统筹协调能力强。团队人员熟悉培训组织流程，能够负责培训方案落实、学员通知、课程编排、场地布置、物资准备、现场统筹等工作，保障培训有序开展。</w:t>
      </w:r>
    </w:p>
    <w:p w14:paraId="0FEC6982">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（6）熟悉行业工作。团队需了解农村供水行业基本工作内容，能够配合师资开展现场实操教学、资料发放、课堂管理、学员考勤、培训资料整理归档等工作。</w:t>
      </w:r>
    </w:p>
    <w:p w14:paraId="36E11015">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（7）服务保障到位.具备良好的服务意识和应急处置能力，能够及时处理培训过程中的突发情况，做好全程后勤保障、秩序维护、影像记录、总结汇总等工作，确保培训质量和培训成效。</w:t>
      </w:r>
    </w:p>
    <w:p w14:paraId="7278E920">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（8）纪律作风规范。团队成员工作认真细致、执行力强，严格遵守培训工作纪律，全程规范开展组织服务工作，确保培训高效、务实、落地见效。</w:t>
      </w:r>
    </w:p>
    <w:p w14:paraId="2774352D">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开展常态化应急演练。方案包含演练策划、脚本编制、现场组织、现场处置、安全保障、演练评估、应急预案优化、成果归档全套内容；可提供爆管、水质污染双场景实战演练脚本，演练完成后可出具评估报告并提出应急预案修订优化建议，实战性强，能够很好满足常态化实战演练需求。演练内容包含（但不限于）爆管、水质污染等实战演练，可根据实际情况增加农村供水相关操作性较强的实战演练。2026年应急演练次数1次，2027-2028年每季度1次。</w:t>
      </w:r>
    </w:p>
    <w:p w14:paraId="10643A28">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 xml:space="preserve">4、成果交付清单齐全，明确培训课件、签到资料、考核记录、演练脚本、影像资料、演练评估报告等交付物；质量管控、进度预警、延期处置措施完善，可很好保障项目按期高质量交付。 </w:t>
      </w:r>
    </w:p>
    <w:p w14:paraId="64CA162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、服务期限</w:t>
      </w:r>
    </w:p>
    <w:p w14:paraId="1D3E64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自合同签订之日</w:t>
      </w:r>
      <w:r>
        <w:rPr>
          <w:rFonts w:hint="eastAsia" w:ascii="仿宋" w:hAnsi="仿宋" w:eastAsia="仿宋" w:cs="仿宋"/>
          <w:color w:val="auto"/>
          <w:sz w:val="24"/>
          <w:szCs w:val="24"/>
          <w:highlight w:val="none"/>
          <w:lang w:val="en-US" w:eastAsia="zh-CN"/>
        </w:rPr>
        <w:t>至2028年12月31日</w:t>
      </w:r>
      <w:r>
        <w:rPr>
          <w:rFonts w:hint="eastAsia" w:ascii="仿宋" w:hAnsi="仿宋" w:eastAsia="仿宋" w:cs="仿宋"/>
          <w:color w:val="auto"/>
          <w:sz w:val="24"/>
          <w:szCs w:val="24"/>
          <w:highlight w:val="none"/>
        </w:rPr>
        <w:t>。</w:t>
      </w:r>
    </w:p>
    <w:p w14:paraId="7A36B4B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、双方的权利与义务</w:t>
      </w:r>
    </w:p>
    <w:p w14:paraId="61719431">
      <w:pPr>
        <w:keepNext w:val="0"/>
        <w:keepLines w:val="0"/>
        <w:pageBreakBefore w:val="0"/>
        <w:widowControl w:val="0"/>
        <w:kinsoku/>
        <w:wordWrap/>
        <w:overflowPunct/>
        <w:topLinePunct w:val="0"/>
        <w:autoSpaceDE/>
        <w:autoSpaceDN/>
        <w:bidi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（一）甲方的权利与义务：</w:t>
      </w:r>
    </w:p>
    <w:p w14:paraId="1D385E28">
      <w:pPr>
        <w:keepNext w:val="0"/>
        <w:keepLines w:val="0"/>
        <w:pageBreakBefore w:val="0"/>
        <w:widowControl w:val="0"/>
        <w:kinsoku/>
        <w:wordWrap/>
        <w:overflowPunct/>
        <w:topLinePunct w:val="0"/>
        <w:autoSpaceDE/>
        <w:autoSpaceDN/>
        <w:bidi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1、有权对乙方承诺的服务和实际提供的服务进行考核；</w:t>
      </w:r>
    </w:p>
    <w:p w14:paraId="00277BB0">
      <w:pPr>
        <w:keepNext w:val="0"/>
        <w:keepLines w:val="0"/>
        <w:pageBreakBefore w:val="0"/>
        <w:widowControl w:val="0"/>
        <w:kinsoku/>
        <w:wordWrap/>
        <w:overflowPunct/>
        <w:topLinePunct w:val="0"/>
        <w:autoSpaceDE/>
        <w:autoSpaceDN/>
        <w:bidi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2、有权要求乙方对不符合合同的行为进行整改。</w:t>
      </w:r>
    </w:p>
    <w:p w14:paraId="5DAE2F89">
      <w:pPr>
        <w:keepNext w:val="0"/>
        <w:keepLines w:val="0"/>
        <w:pageBreakBefore w:val="0"/>
        <w:widowControl w:val="0"/>
        <w:kinsoku/>
        <w:wordWrap/>
        <w:overflowPunct/>
        <w:topLinePunct w:val="0"/>
        <w:autoSpaceDE/>
        <w:autoSpaceDN/>
        <w:bidi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（二）乙方的权利与义务：</w:t>
      </w:r>
    </w:p>
    <w:p w14:paraId="644F2D02">
      <w:pPr>
        <w:keepNext w:val="0"/>
        <w:keepLines w:val="0"/>
        <w:pageBreakBefore w:val="0"/>
        <w:widowControl w:val="0"/>
        <w:kinsoku/>
        <w:wordWrap/>
        <w:overflowPunct/>
        <w:topLinePunct w:val="0"/>
        <w:autoSpaceDE/>
        <w:autoSpaceDN/>
        <w:bidi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1、在服务时间内，乙方应确保人员稳定，如果乙方拟派人员发生变化，影响到提供服务时，应当及时通知甲方，并协商处理方法，否则由此而造成的损失由乙方承担；</w:t>
      </w:r>
    </w:p>
    <w:p w14:paraId="47E74AB3">
      <w:pPr>
        <w:keepNext w:val="0"/>
        <w:keepLines w:val="0"/>
        <w:pageBreakBefore w:val="0"/>
        <w:widowControl w:val="0"/>
        <w:kinsoku/>
        <w:wordWrap/>
        <w:overflowPunct/>
        <w:topLinePunct w:val="0"/>
        <w:autoSpaceDE/>
        <w:autoSpaceDN/>
        <w:bidi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2、服务时间内乙方应接受甲方的监督检查，对甲方提出的意见应当及时进行整改。</w:t>
      </w:r>
    </w:p>
    <w:p w14:paraId="6E27216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、付款</w:t>
      </w:r>
    </w:p>
    <w:p w14:paraId="51DB03A8">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合同签订后，甲方每年年底根据乙方完成的培训及演练任务按照投标报价清单据实结算，支付到当年结算金额的100%。（</w:t>
      </w:r>
      <w:r>
        <w:rPr>
          <w:rFonts w:hint="eastAsia" w:ascii="仿宋" w:hAnsi="仿宋" w:eastAsia="仿宋" w:cs="仿宋"/>
          <w:color w:val="auto"/>
          <w:sz w:val="24"/>
          <w:szCs w:val="24"/>
          <w:highlight w:val="none"/>
          <w:lang w:eastAsia="zh-CN"/>
        </w:rPr>
        <w:t>合同价款的税金均按的</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%计取，后需按此税率开具增值税专用发票。若出现因承包人纳税资格所开具的增值税专用发票税率与报价税率不一致的情况，最终结算时税率按照承包人实际开具的增值税专用发票税率计取，并扣除税差。</w:t>
      </w:r>
      <w:r>
        <w:rPr>
          <w:rFonts w:hint="eastAsia" w:ascii="仿宋" w:hAnsi="仿宋" w:eastAsia="仿宋" w:cs="仿宋"/>
          <w:color w:val="auto"/>
          <w:sz w:val="24"/>
          <w:szCs w:val="24"/>
          <w:highlight w:val="none"/>
          <w:lang w:val="en-US" w:eastAsia="zh-CN"/>
        </w:rPr>
        <w:t>）</w:t>
      </w:r>
    </w:p>
    <w:p w14:paraId="0DCB741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、服务承诺</w:t>
      </w:r>
    </w:p>
    <w:p w14:paraId="1C6DFF4E">
      <w:pPr>
        <w:keepNext w:val="0"/>
        <w:keepLines w:val="0"/>
        <w:pageBreakBefore w:val="0"/>
        <w:widowControl w:val="0"/>
        <w:kinsoku/>
        <w:wordWrap/>
        <w:overflowPunct/>
        <w:topLinePunct w:val="0"/>
        <w:autoSpaceDE/>
        <w:autoSpaceDN/>
        <w:bidi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1、乙方要保证提供优质的服务，其服务必须达到其承诺。</w:t>
      </w:r>
    </w:p>
    <w:p w14:paraId="0F6D1CF3">
      <w:pPr>
        <w:keepNext w:val="0"/>
        <w:keepLines w:val="0"/>
        <w:pageBreakBefore w:val="0"/>
        <w:widowControl w:val="0"/>
        <w:kinsoku/>
        <w:wordWrap/>
        <w:overflowPunct/>
        <w:topLinePunct w:val="0"/>
        <w:autoSpaceDE/>
        <w:autoSpaceDN/>
        <w:bidi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2、乙方承诺所有活动内容均符合国家法律法规要求，政治立场正确，符合社会主义价值观和先进文化发展要求，无任何反动、封建迷信和存在争议等的内容。</w:t>
      </w:r>
    </w:p>
    <w:p w14:paraId="57B3AF3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、变更、修改及转让</w:t>
      </w:r>
    </w:p>
    <w:p w14:paraId="2C8D61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乙方应严格按合同要求提供服务，未经甲方书面同意，乙方不得擅自就服务期限、服务承诺以及其他的合同条款进行变更、修改；不得部分或者全部转让其应履行的合同义务。</w:t>
      </w:r>
    </w:p>
    <w:p w14:paraId="726E56D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本合同书没有具体列出明确规定和要求的按照竞争性磋商文件的规定和要求及响应文件的承诺执行。</w:t>
      </w:r>
    </w:p>
    <w:p w14:paraId="5EA5CE9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九</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竞争性磋商文件没有明确规定和要求的依照法律、法规和甲方的规定和办法执行。</w:t>
      </w:r>
    </w:p>
    <w:p w14:paraId="78C076D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十</w:t>
      </w:r>
      <w:r>
        <w:rPr>
          <w:rFonts w:hint="eastAsia" w:ascii="仿宋" w:hAnsi="仿宋" w:eastAsia="仿宋" w:cs="仿宋"/>
          <w:b/>
          <w:color w:val="auto"/>
          <w:sz w:val="24"/>
          <w:szCs w:val="24"/>
          <w:highlight w:val="none"/>
        </w:rPr>
        <w:t>、合同的解除</w:t>
      </w:r>
    </w:p>
    <w:p w14:paraId="56250A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的变更：甲方有权通知乙方变更本合同约定的服务内容，乙方应该满足。如因此而导致本合同总金额的增加，双方应按照本合同相关约定签署书面补充协议。未签署书面补充协议而导致的实际费用的增加都将被视为该费用已经包含在本合同约定的合同总额内，或者乙方放弃要求甲方支付增加的费用的权利。</w:t>
      </w:r>
    </w:p>
    <w:p w14:paraId="66C179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2、乙方有下列情形之一的，甲方有权解除合同，并要求乙方承担本合同标的额30%的违约金：</w:t>
      </w:r>
    </w:p>
    <w:p w14:paraId="6A4AAF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（1）乙方提供的服务人员的数量不能满足正常服务需求的；</w:t>
      </w:r>
    </w:p>
    <w:p w14:paraId="626616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提供的服务包括但不限于售后服务，应按本合同约定的时间提供服务，未经甲方书面同意逾期两次提供服务或提供服务时态度恶劣经甲方向乙方投诉两次后乙方未更换服务人员或连续两次提供服务不能满足甲方需要的。</w:t>
      </w:r>
    </w:p>
    <w:p w14:paraId="7EFD37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（3）乙方经营状况或者资信情况严重恶化，有不能履行义务的可能，经甲方通知之日起7日内未恢复履行能力且未提供甲方认可的担保的；</w:t>
      </w:r>
    </w:p>
    <w:p w14:paraId="7C3C9F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（4）乙方报价有谋取暴利之嫌或出现商业欺诈行为时；</w:t>
      </w:r>
    </w:p>
    <w:p w14:paraId="17C4D2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甲方收到举报乙方在投标过程中存在围标、串标等情形，经甲方核查后可要求乙方进行澄清说明，配合调查。乙方需在接到甲方通知之日起3日内进行澄清，乙方需配合出具材料、进行调查，若乙方不予配合，未澄清说明或澄清说明后仍不能排除前述情形嫌疑的；</w:t>
      </w:r>
    </w:p>
    <w:p w14:paraId="6A298E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甲方收到举报乙方的投标文件存在弄虚作假等情形，甲方可要求乙方进行澄清说明，配合调查。乙方需在接到甲方通知之日起3日内进行澄清，乙方需配合出具材料、进行调查，若乙方不予配合，未澄清说明或澄清说明后仍不能排除弄虚作假嫌疑的；</w:t>
      </w:r>
    </w:p>
    <w:p w14:paraId="302E31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rPr>
        <w:t>（7）乙方提出或被他人提出破产申请。</w:t>
      </w:r>
    </w:p>
    <w:p w14:paraId="3EACBCB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、违约责任</w:t>
      </w:r>
    </w:p>
    <w:p w14:paraId="52571D3A">
      <w:pPr>
        <w:pStyle w:val="2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1、乙方违反有关的法律法规或者合同的其他约定（规定），甲方将责令其严格按照合同的约定履行义务。乙方无正当理由拒不履行的，纳入诚信记录，情节严重的，并与其解除合同。</w:t>
      </w:r>
    </w:p>
    <w:p w14:paraId="143F250D">
      <w:pPr>
        <w:keepNext w:val="0"/>
        <w:keepLines w:val="0"/>
        <w:pageBreakBefore w:val="0"/>
        <w:widowControl w:val="0"/>
        <w:kinsoku/>
        <w:wordWrap/>
        <w:overflowPunct/>
        <w:topLinePunct w:val="0"/>
        <w:autoSpaceDE/>
        <w:autoSpaceDN/>
        <w:bidi w:val="0"/>
        <w:snapToGrid w:val="0"/>
        <w:spacing w:line="360" w:lineRule="auto"/>
        <w:ind w:firstLine="424" w:firstLineChars="177"/>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2、乙方违反第</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条服务期限的约定，逾期提供服务或者经验收不合格而重新提供服务，每逾期一日按照逾期部分合同价款的</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向甲方交纳违约金，不足一日，按一日计算。逾期超过20日，甲方有权解除合同，乙方应收到甲方解除合同的通知后3日内返还已支付但未履行部分的价款，并承担合同总价款30%的违约金，还应对甲方造成的损失承担全部赔偿责任。</w:t>
      </w:r>
    </w:p>
    <w:p w14:paraId="0A8CD8AB">
      <w:pPr>
        <w:keepNext w:val="0"/>
        <w:keepLines w:val="0"/>
        <w:pageBreakBefore w:val="0"/>
        <w:widowControl w:val="0"/>
        <w:kinsoku/>
        <w:wordWrap/>
        <w:overflowPunct/>
        <w:topLinePunct w:val="0"/>
        <w:autoSpaceDE/>
        <w:autoSpaceDN/>
        <w:bidi w:val="0"/>
        <w:snapToGrid w:val="0"/>
        <w:spacing w:line="360" w:lineRule="auto"/>
        <w:ind w:firstLine="424" w:firstLineChars="177"/>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3、若乙方不能按期交付发票，若在甲方通知的合理时间内仍不能履行，甲方有权解除合同并要求乙方承担合同总金额20%的违约金。</w:t>
      </w:r>
    </w:p>
    <w:p w14:paraId="3A4C13F5">
      <w:pPr>
        <w:keepNext w:val="0"/>
        <w:keepLines w:val="0"/>
        <w:pageBreakBefore w:val="0"/>
        <w:widowControl w:val="0"/>
        <w:kinsoku/>
        <w:wordWrap/>
        <w:overflowPunct/>
        <w:topLinePunct w:val="0"/>
        <w:autoSpaceDE/>
        <w:autoSpaceDN/>
        <w:bidi w:val="0"/>
        <w:snapToGrid w:val="0"/>
        <w:spacing w:line="360" w:lineRule="auto"/>
        <w:ind w:firstLine="424" w:firstLineChars="177"/>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、若乙方在履行合同过程中有不正当竞争行为，甲方有权解除合同，并按《中华人民共和国反不正当竞争法》之规定由有关部门追究其法律责任。</w:t>
      </w:r>
    </w:p>
    <w:p w14:paraId="58555BC5">
      <w:pPr>
        <w:keepNext w:val="0"/>
        <w:keepLines w:val="0"/>
        <w:pageBreakBefore w:val="0"/>
        <w:widowControl w:val="0"/>
        <w:kinsoku/>
        <w:wordWrap/>
        <w:overflowPunct/>
        <w:topLinePunct w:val="0"/>
        <w:autoSpaceDE/>
        <w:autoSpaceDN/>
        <w:bidi w:val="0"/>
        <w:snapToGrid w:val="0"/>
        <w:spacing w:line="360" w:lineRule="auto"/>
        <w:ind w:firstLine="424" w:firstLineChars="177"/>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、若因乙方违约导致诉讼，甲方因此产生的一切损失包括但不限于律师费、担保费、鉴定费等费用由乙方承担。</w:t>
      </w:r>
    </w:p>
    <w:p w14:paraId="544BD1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、任何一方因为不可抗力，如：战争，火灾，台风，洪水，地震或其他双方共同认为属于不可抗力的原因而被迫停止或推迟合同的执行，则合同执行将相应顺延，顺延的时间等于不可抗力发生作用的时间。</w:t>
      </w:r>
    </w:p>
    <w:p w14:paraId="4638AA2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7</w:t>
      </w:r>
      <w:r>
        <w:rPr>
          <w:rFonts w:hint="eastAsia" w:ascii="仿宋" w:hAnsi="仿宋" w:eastAsia="仿宋" w:cs="仿宋"/>
          <w:color w:val="auto"/>
          <w:kern w:val="2"/>
          <w:sz w:val="24"/>
          <w:szCs w:val="24"/>
          <w:highlight w:val="none"/>
        </w:rPr>
        <w:t>、受影响的一方应将不可抗力的出现尽快通过电传或传真方式通知另一方。在不可抗力出现后14天内，受影响的一方应向另一方提供一份有关权威机构出具的证书并通过快件或挂号信寄至另一方以便其检验和确认。</w:t>
      </w:r>
    </w:p>
    <w:p w14:paraId="55FC0F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8</w:t>
      </w:r>
      <w:r>
        <w:rPr>
          <w:rFonts w:hint="eastAsia" w:ascii="仿宋" w:hAnsi="仿宋" w:eastAsia="仿宋" w:cs="仿宋"/>
          <w:color w:val="auto"/>
          <w:kern w:val="2"/>
          <w:sz w:val="24"/>
          <w:szCs w:val="24"/>
          <w:highlight w:val="none"/>
        </w:rPr>
        <w:t>、受影响的一方应在不可抗力终止或被排除后尽快通过电传或传真通知另一方，并通过挂号信方式通知另一方不可抗力已终结或排除，并继续合同的履行。</w:t>
      </w:r>
    </w:p>
    <w:p w14:paraId="0B4DE3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9</w:t>
      </w:r>
      <w:r>
        <w:rPr>
          <w:rFonts w:hint="eastAsia" w:ascii="仿宋" w:hAnsi="仿宋" w:eastAsia="仿宋" w:cs="仿宋"/>
          <w:color w:val="auto"/>
          <w:kern w:val="2"/>
          <w:sz w:val="24"/>
          <w:szCs w:val="24"/>
          <w:highlight w:val="none"/>
        </w:rPr>
        <w:t>、如果不可抗力持续作用超过60天，双方将通过友好协商解决未来的合同执行问题。</w:t>
      </w:r>
    </w:p>
    <w:p w14:paraId="56A0E0D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、争议解决</w:t>
      </w:r>
    </w:p>
    <w:p w14:paraId="73708B3F">
      <w:pPr>
        <w:pStyle w:val="2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1、甲乙各方应通过友好协商，解决在执行本合同中所发生的或与本合同有关的一切争端。如双方协商不成，可向</w:t>
      </w:r>
      <w:r>
        <w:rPr>
          <w:rFonts w:hint="eastAsia" w:ascii="仿宋" w:hAnsi="仿宋" w:eastAsia="仿宋" w:cs="仿宋"/>
          <w:color w:val="auto"/>
          <w:sz w:val="24"/>
          <w:szCs w:val="24"/>
          <w:highlight w:val="none"/>
          <w:lang w:val="en-US" w:eastAsia="zh-CN"/>
        </w:rPr>
        <w:t>甲方所在地人</w:t>
      </w:r>
      <w:r>
        <w:rPr>
          <w:rFonts w:hint="eastAsia" w:ascii="仿宋" w:hAnsi="仿宋" w:eastAsia="仿宋" w:cs="仿宋"/>
          <w:color w:val="auto"/>
          <w:sz w:val="24"/>
          <w:szCs w:val="24"/>
          <w:highlight w:val="none"/>
        </w:rPr>
        <w:t>民法院提起诉讼。</w:t>
      </w:r>
    </w:p>
    <w:p w14:paraId="263F79C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2、在诉讼期间，本合同无争议的部分应继续执行。</w:t>
      </w:r>
    </w:p>
    <w:p w14:paraId="6B492367">
      <w:pPr>
        <w:keepNext w:val="0"/>
        <w:keepLines w:val="0"/>
        <w:pageBreakBefore w:val="0"/>
        <w:widowControl w:val="0"/>
        <w:kinsoku/>
        <w:wordWrap/>
        <w:overflowPunct/>
        <w:topLinePunct w:val="0"/>
        <w:autoSpaceDE/>
        <w:autoSpaceDN/>
        <w:bidi w:val="0"/>
        <w:snapToGrid w:val="0"/>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3、本合同争议的解决适用中华人民共和国相关法律。</w:t>
      </w:r>
    </w:p>
    <w:p w14:paraId="7AAEBF7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、合同生效</w:t>
      </w:r>
    </w:p>
    <w:p w14:paraId="316D4D28">
      <w:pPr>
        <w:pStyle w:val="2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1、本合同未尽事宜由甲、乙双方本着平等、互利的原则另行协商确定，并制作书面补充合同。</w:t>
      </w:r>
    </w:p>
    <w:p w14:paraId="7A4DAA70">
      <w:pPr>
        <w:pStyle w:val="2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2、本合同任何一条款成为非法、无效或不可强制执行并不影响本合同其它条款的效力及可强制执行性。</w:t>
      </w:r>
    </w:p>
    <w:p w14:paraId="62F35C9E">
      <w:pPr>
        <w:pStyle w:val="2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3、本合同自双方法定代表人或授权代表签字</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盖章后正式生效。</w:t>
      </w:r>
    </w:p>
    <w:p w14:paraId="2E443F8E">
      <w:pPr>
        <w:pStyle w:val="2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4、本合同正本一式贰份，甲、乙双方各持壹份，各份文本具有相同的法律效力。</w:t>
      </w:r>
    </w:p>
    <w:p w14:paraId="27D3063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其他约定</w:t>
      </w:r>
    </w:p>
    <w:p w14:paraId="1A90C065">
      <w:pPr>
        <w:pStyle w:val="2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双方承诺本合同约定的联系地址为双方送达法律文书及其他文件的送达地址，一方若发生变更应及时书面通知另一方，未书面通知的视为未变更，另一方将文件寄送到该地址即视为送达。若因一方提供的联系地址不准确或者拒收，导致邮寄的文件被退回的，则文件被退回之日视为送达之日。</w:t>
      </w:r>
    </w:p>
    <w:p w14:paraId="38180A92">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甲方地址：</w:t>
      </w:r>
    </w:p>
    <w:p w14:paraId="1DA8CC5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指定联系人：</w:t>
      </w:r>
      <w:r>
        <w:rPr>
          <w:rFonts w:hint="eastAsia" w:ascii="仿宋" w:hAnsi="仿宋" w:eastAsia="仿宋" w:cs="仿宋"/>
          <w:color w:val="auto"/>
          <w:kern w:val="0"/>
          <w:sz w:val="24"/>
          <w:szCs w:val="24"/>
          <w:highlight w:val="none"/>
          <w:lang w:val="en-US" w:eastAsia="zh-CN" w:bidi="ar-SA"/>
        </w:rPr>
        <w:tab/>
      </w:r>
      <w:r>
        <w:rPr>
          <w:rFonts w:hint="eastAsia" w:ascii="仿宋" w:hAnsi="仿宋" w:eastAsia="仿宋" w:cs="仿宋"/>
          <w:color w:val="auto"/>
          <w:kern w:val="0"/>
          <w:sz w:val="24"/>
          <w:szCs w:val="24"/>
          <w:highlight w:val="none"/>
          <w:lang w:val="en-US" w:eastAsia="zh-CN" w:bidi="ar-SA"/>
        </w:rPr>
        <w:t xml:space="preserve">           联系方式：</w:t>
      </w:r>
    </w:p>
    <w:p w14:paraId="14FD07B7">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 xml:space="preserve">乙方地址：  </w:t>
      </w:r>
    </w:p>
    <w:p w14:paraId="44E1FDB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 xml:space="preserve">指定联系人：                           联系方式： </w:t>
      </w:r>
    </w:p>
    <w:p w14:paraId="77745E6D">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2、一方的联系人和联系方式发生变更应提前七日书面通知另一方，未书面通知的视为未变更，另一方将法律文书及其他文件交付该联系人即视为送达。</w:t>
      </w:r>
    </w:p>
    <w:p w14:paraId="651168CF">
      <w:pPr>
        <w:pStyle w:val="2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p>
    <w:p w14:paraId="7ABFE508">
      <w:pPr>
        <w:keepNext w:val="0"/>
        <w:keepLines w:val="0"/>
        <w:pageBreakBefore w:val="0"/>
        <w:widowControl w:val="0"/>
        <w:kinsoku/>
        <w:wordWrap/>
        <w:overflowPunct/>
        <w:topLinePunct w:val="0"/>
        <w:autoSpaceDE/>
        <w:autoSpaceDN/>
        <w:bidi w:val="0"/>
        <w:adjustRightInd w:val="0"/>
        <w:snapToGrid w:val="0"/>
        <w:spacing w:line="360" w:lineRule="auto"/>
        <w:ind w:left="960" w:hanging="960" w:hangingChars="4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 xml:space="preserve">甲方：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val="en-US" w:eastAsia="zh-CN"/>
        </w:rPr>
        <w:tab/>
      </w:r>
      <w:r>
        <w:rPr>
          <w:rFonts w:hint="eastAsia" w:ascii="仿宋" w:hAnsi="仿宋" w:eastAsia="仿宋" w:cs="仿宋"/>
          <w:color w:val="auto"/>
          <w:sz w:val="24"/>
          <w:szCs w:val="24"/>
          <w:highlight w:val="none"/>
          <w:u w:val="none"/>
          <w:lang w:val="en-US" w:eastAsia="zh-CN"/>
        </w:rPr>
        <w:tab/>
      </w:r>
      <w:r>
        <w:rPr>
          <w:rFonts w:hint="eastAsia" w:ascii="仿宋" w:hAnsi="仿宋" w:eastAsia="仿宋" w:cs="仿宋"/>
          <w:color w:val="auto"/>
          <w:sz w:val="24"/>
          <w:szCs w:val="24"/>
          <w:highlight w:val="none"/>
          <w:u w:val="none"/>
          <w:lang w:val="en-US" w:eastAsia="zh-CN"/>
        </w:rPr>
        <w:tab/>
      </w:r>
      <w:r>
        <w:rPr>
          <w:rFonts w:hint="eastAsia" w:ascii="仿宋" w:hAnsi="仿宋" w:eastAsia="仿宋" w:cs="仿宋"/>
          <w:color w:val="auto"/>
          <w:sz w:val="24"/>
          <w:szCs w:val="24"/>
          <w:highlight w:val="none"/>
          <w:u w:val="none"/>
          <w:lang w:val="en-US" w:eastAsia="zh-CN"/>
        </w:rPr>
        <w:tab/>
      </w:r>
      <w:r>
        <w:rPr>
          <w:rFonts w:hint="eastAsia" w:ascii="仿宋" w:hAnsi="仿宋" w:eastAsia="仿宋" w:cs="仿宋"/>
          <w:color w:val="auto"/>
          <w:sz w:val="24"/>
          <w:szCs w:val="24"/>
          <w:highlight w:val="none"/>
          <w:u w:val="none"/>
          <w:lang w:val="en-US" w:eastAsia="zh-CN"/>
        </w:rPr>
        <w:tab/>
      </w:r>
      <w:r>
        <w:rPr>
          <w:rFonts w:hint="eastAsia" w:ascii="仿宋" w:hAnsi="仿宋" w:eastAsia="仿宋" w:cs="仿宋"/>
          <w:color w:val="auto"/>
          <w:sz w:val="24"/>
          <w:szCs w:val="24"/>
          <w:highlight w:val="none"/>
          <w:u w:val="none"/>
          <w:lang w:val="en-US" w:eastAsia="zh-CN"/>
        </w:rPr>
        <w:tab/>
      </w:r>
      <w:r>
        <w:rPr>
          <w:rFonts w:hint="eastAsia" w:ascii="仿宋" w:hAnsi="仿宋" w:eastAsia="仿宋" w:cs="仿宋"/>
          <w:color w:val="auto"/>
          <w:sz w:val="24"/>
          <w:szCs w:val="24"/>
          <w:highlight w:val="none"/>
          <w:u w:val="none"/>
          <w:lang w:val="en-US" w:eastAsia="zh-CN"/>
        </w:rPr>
        <w:tab/>
      </w:r>
      <w:r>
        <w:rPr>
          <w:rFonts w:hint="eastAsia" w:ascii="仿宋" w:hAnsi="仿宋" w:eastAsia="仿宋" w:cs="仿宋"/>
          <w:color w:val="auto"/>
          <w:sz w:val="24"/>
          <w:szCs w:val="24"/>
          <w:highlight w:val="none"/>
          <w:u w:val="none"/>
          <w:lang w:val="en-US" w:eastAsia="zh-CN"/>
        </w:rPr>
        <w:t xml:space="preserve">  </w:t>
      </w:r>
    </w:p>
    <w:p w14:paraId="258C503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单位公章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单位公章：</w:t>
      </w:r>
    </w:p>
    <w:p w14:paraId="360E484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法定代表人（或授权代表人）</w:t>
      </w:r>
      <w:r>
        <w:rPr>
          <w:rFonts w:hint="eastAsia" w:ascii="仿宋" w:hAnsi="仿宋" w:eastAsia="仿宋" w:cs="仿宋"/>
          <w:color w:val="auto"/>
          <w:sz w:val="24"/>
          <w:szCs w:val="24"/>
          <w:highlight w:val="none"/>
          <w:lang w:val="en-US" w:eastAsia="zh-CN"/>
        </w:rPr>
        <w:t>盖章</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法定代表人（或授权代表人）</w:t>
      </w:r>
      <w:r>
        <w:rPr>
          <w:rFonts w:hint="eastAsia" w:ascii="仿宋" w:hAnsi="仿宋" w:eastAsia="仿宋" w:cs="仿宋"/>
          <w:color w:val="auto"/>
          <w:sz w:val="24"/>
          <w:szCs w:val="24"/>
          <w:highlight w:val="none"/>
          <w:lang w:val="en-US" w:eastAsia="zh-CN"/>
        </w:rPr>
        <w:t>盖章</w:t>
      </w:r>
      <w:r>
        <w:rPr>
          <w:rFonts w:hint="eastAsia" w:ascii="仿宋" w:hAnsi="仿宋" w:eastAsia="仿宋" w:cs="仿宋"/>
          <w:color w:val="auto"/>
          <w:sz w:val="24"/>
          <w:szCs w:val="24"/>
          <w:highlight w:val="none"/>
        </w:rPr>
        <w:t>：</w:t>
      </w:r>
    </w:p>
    <w:p w14:paraId="4685BC53">
      <w:pPr>
        <w:pStyle w:val="36"/>
        <w:keepNext w:val="0"/>
        <w:keepLines w:val="0"/>
        <w:pageBreakBefore w:val="0"/>
        <w:widowControl w:val="0"/>
        <w:tabs>
          <w:tab w:val="right" w:leader="dot" w:pos="8296"/>
          <w:tab w:val="clear" w:pos="8985"/>
        </w:tabs>
        <w:kinsoku/>
        <w:wordWrap/>
        <w:overflowPunct/>
        <w:topLinePunct w:val="0"/>
        <w:autoSpaceDE/>
        <w:autoSpaceDN/>
        <w:bidi w:val="0"/>
        <w:spacing w:line="360" w:lineRule="auto"/>
        <w:ind w:left="0" w:leftChars="0" w:firstLine="0" w:firstLineChars="0"/>
        <w:textAlignment w:val="auto"/>
        <w:rPr>
          <w:rFonts w:hint="default" w:eastAsiaTheme="minorEastAsia"/>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签订日期：                                  签订日期：</w:t>
      </w:r>
    </w:p>
    <w:p w14:paraId="4A710FE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b/>
          <w:bCs/>
          <w:sz w:val="36"/>
          <w:szCs w:val="36"/>
          <w:highlight w:val="none"/>
        </w:rPr>
        <w:sectPr>
          <w:pgSz w:w="11906" w:h="16838"/>
          <w:pgMar w:top="1440" w:right="1803" w:bottom="1440" w:left="1803" w:header="851" w:footer="992" w:gutter="0"/>
          <w:pgNumType w:fmt="decimal"/>
          <w:cols w:space="720" w:num="1"/>
          <w:docGrid w:type="lines" w:linePitch="319" w:charSpace="0"/>
        </w:sectPr>
      </w:pPr>
    </w:p>
    <w:p w14:paraId="7B96FE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36"/>
          <w:szCs w:val="36"/>
          <w:highlight w:val="none"/>
          <w:lang w:eastAsia="zh-CN"/>
        </w:rPr>
      </w:pPr>
      <w:r>
        <w:rPr>
          <w:rFonts w:hint="eastAsia" w:ascii="仿宋" w:hAnsi="仿宋" w:eastAsia="仿宋" w:cs="仿宋"/>
          <w:b/>
          <w:bCs/>
          <w:sz w:val="36"/>
          <w:szCs w:val="36"/>
          <w:highlight w:val="none"/>
          <w:lang w:eastAsia="zh-CN"/>
        </w:rPr>
        <w:t>威海市环翠区通达市政工程有限公司</w:t>
      </w:r>
    </w:p>
    <w:p w14:paraId="276D69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廉洁合作协议</w:t>
      </w:r>
    </w:p>
    <w:p w14:paraId="3CAD7A9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4"/>
          <w:szCs w:val="24"/>
          <w:highlight w:val="none"/>
        </w:rPr>
      </w:pPr>
    </w:p>
    <w:p w14:paraId="703F634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签订方名称：</w:t>
      </w:r>
      <w:r>
        <w:rPr>
          <w:rFonts w:hint="eastAsia" w:ascii="仿宋" w:hAnsi="仿宋" w:eastAsia="仿宋" w:cs="仿宋"/>
          <w:sz w:val="24"/>
          <w:szCs w:val="24"/>
          <w:highlight w:val="none"/>
          <w:lang w:eastAsia="zh-CN"/>
        </w:rPr>
        <w:t>威海市环翠区通达市政工程有限公司</w:t>
      </w:r>
      <w:r>
        <w:rPr>
          <w:rFonts w:hint="eastAsia" w:ascii="仿宋" w:hAnsi="仿宋" w:eastAsia="仿宋" w:cs="仿宋"/>
          <w:sz w:val="24"/>
          <w:szCs w:val="24"/>
          <w:highlight w:val="none"/>
        </w:rPr>
        <w:t>（简称</w:t>
      </w:r>
      <w:r>
        <w:rPr>
          <w:rFonts w:hint="eastAsia" w:ascii="仿宋" w:hAnsi="仿宋" w:eastAsia="仿宋" w:cs="仿宋"/>
          <w:sz w:val="24"/>
          <w:szCs w:val="24"/>
          <w:highlight w:val="none"/>
          <w:lang w:val="en-US" w:eastAsia="zh-CN"/>
        </w:rPr>
        <w:t>通达市政工程有限公司</w:t>
      </w:r>
      <w:r>
        <w:rPr>
          <w:rFonts w:hint="eastAsia" w:ascii="仿宋" w:hAnsi="仿宋" w:eastAsia="仿宋" w:cs="仿宋"/>
          <w:sz w:val="24"/>
          <w:szCs w:val="24"/>
          <w:highlight w:val="none"/>
        </w:rPr>
        <w:t>）</w:t>
      </w:r>
    </w:p>
    <w:p w14:paraId="24534FD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签订方名称</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（简称合作单位）</w:t>
      </w:r>
    </w:p>
    <w:p w14:paraId="5BD806AD">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tab/>
      </w:r>
    </w:p>
    <w:p w14:paraId="2F8A7D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为</w:t>
      </w:r>
      <w:r>
        <w:rPr>
          <w:rFonts w:hint="eastAsia" w:ascii="仿宋" w:hAnsi="仿宋" w:eastAsia="仿宋" w:cs="仿宋"/>
          <w:sz w:val="24"/>
          <w:szCs w:val="24"/>
          <w:highlight w:val="none"/>
          <w:lang w:val="en-US" w:eastAsia="zh-CN"/>
        </w:rPr>
        <w:t>促进</w:t>
      </w:r>
      <w:r>
        <w:rPr>
          <w:rFonts w:hint="eastAsia" w:ascii="仿宋" w:hAnsi="仿宋" w:eastAsia="仿宋" w:cs="仿宋"/>
          <w:sz w:val="24"/>
          <w:szCs w:val="24"/>
          <w:highlight w:val="none"/>
        </w:rPr>
        <w:t>双方廉洁高效合作、双方工作人员廉洁从业，经双方共同协商，就业务往来中的廉洁事宜达成一致意见，签订如下协议：</w:t>
      </w:r>
    </w:p>
    <w:p w14:paraId="14D5AB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第一条 双方的责任</w:t>
      </w:r>
    </w:p>
    <w:p w14:paraId="06255C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（一）严格遵守党和国家有关法律法规及</w:t>
      </w:r>
      <w:r>
        <w:rPr>
          <w:rFonts w:hint="eastAsia" w:ascii="仿宋" w:hAnsi="仿宋" w:eastAsia="仿宋" w:cs="仿宋"/>
          <w:sz w:val="24"/>
          <w:szCs w:val="24"/>
          <w:highlight w:val="none"/>
          <w:lang w:eastAsia="zh-CN"/>
        </w:rPr>
        <w:t>通达市政工程有限公司</w:t>
      </w:r>
      <w:r>
        <w:rPr>
          <w:rFonts w:hint="eastAsia" w:ascii="仿宋" w:hAnsi="仿宋" w:eastAsia="仿宋" w:cs="仿宋"/>
          <w:sz w:val="24"/>
          <w:szCs w:val="24"/>
          <w:highlight w:val="none"/>
        </w:rPr>
        <w:t>有关廉洁从业的制度规定。</w:t>
      </w:r>
    </w:p>
    <w:p w14:paraId="7EF03A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（二）双方本着公开、公平、诚信的原则，自觉</w:t>
      </w:r>
      <w:r>
        <w:rPr>
          <w:rFonts w:hint="eastAsia" w:ascii="仿宋" w:hAnsi="仿宋" w:eastAsia="仿宋" w:cs="仿宋"/>
          <w:sz w:val="24"/>
          <w:szCs w:val="24"/>
          <w:highlight w:val="none"/>
          <w:lang w:val="en-US" w:eastAsia="zh-CN"/>
        </w:rPr>
        <w:t>遵守协议约定</w:t>
      </w:r>
      <w:r>
        <w:rPr>
          <w:rFonts w:hint="eastAsia" w:ascii="仿宋" w:hAnsi="仿宋" w:eastAsia="仿宋" w:cs="仿宋"/>
          <w:sz w:val="24"/>
          <w:szCs w:val="24"/>
          <w:highlight w:val="none"/>
        </w:rPr>
        <w:t>，不得损害国家、集体利益以及个人合法权益。</w:t>
      </w:r>
    </w:p>
    <w:p w14:paraId="1757BE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（三）双方要加强互相监督，对违反协议行为及时提醒并予以纠正，发现违法违纪行为及时</w:t>
      </w:r>
      <w:r>
        <w:rPr>
          <w:rFonts w:hint="eastAsia" w:ascii="仿宋" w:hAnsi="仿宋" w:eastAsia="仿宋" w:cs="仿宋"/>
          <w:sz w:val="24"/>
          <w:szCs w:val="24"/>
          <w:highlight w:val="none"/>
          <w:lang w:val="en-US" w:eastAsia="zh-CN"/>
        </w:rPr>
        <w:t>告知</w:t>
      </w:r>
      <w:r>
        <w:rPr>
          <w:rFonts w:hint="eastAsia" w:ascii="仿宋" w:hAnsi="仿宋" w:eastAsia="仿宋" w:cs="仿宋"/>
          <w:sz w:val="24"/>
          <w:szCs w:val="24"/>
          <w:highlight w:val="none"/>
        </w:rPr>
        <w:t>区城投公司</w:t>
      </w:r>
      <w:r>
        <w:rPr>
          <w:rFonts w:hint="eastAsia" w:ascii="仿宋" w:hAnsi="仿宋" w:eastAsia="仿宋" w:cs="仿宋"/>
          <w:sz w:val="24"/>
          <w:szCs w:val="24"/>
          <w:highlight w:val="none"/>
        </w:rPr>
        <w:t>纪检监察机构（</w:t>
      </w:r>
      <w:r>
        <w:rPr>
          <w:rFonts w:hint="eastAsia" w:ascii="仿宋" w:hAnsi="仿宋" w:eastAsia="仿宋" w:cs="仿宋"/>
          <w:sz w:val="24"/>
          <w:szCs w:val="24"/>
          <w:highlight w:val="none"/>
          <w:lang w:val="en-US" w:eastAsia="zh-CN"/>
        </w:rPr>
        <w:t>详见第四条</w:t>
      </w:r>
      <w:r>
        <w:rPr>
          <w:rFonts w:hint="eastAsia" w:ascii="仿宋" w:hAnsi="仿宋" w:eastAsia="仿宋" w:cs="仿宋"/>
          <w:sz w:val="24"/>
          <w:szCs w:val="24"/>
          <w:highlight w:val="none"/>
        </w:rPr>
        <w:t>）。</w:t>
      </w:r>
    </w:p>
    <w:p w14:paraId="666FCC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（四）对违反《廉洁合作协议》约定的行为，</w:t>
      </w:r>
      <w:r>
        <w:rPr>
          <w:rFonts w:hint="eastAsia" w:ascii="仿宋" w:hAnsi="仿宋" w:eastAsia="仿宋" w:cs="仿宋"/>
          <w:sz w:val="24"/>
          <w:szCs w:val="24"/>
          <w:highlight w:val="none"/>
          <w:lang w:eastAsia="zh-CN"/>
        </w:rPr>
        <w:t>通达市政工程有限公司</w:t>
      </w:r>
      <w:r>
        <w:rPr>
          <w:rFonts w:hint="eastAsia" w:ascii="仿宋" w:hAnsi="仿宋" w:eastAsia="仿宋" w:cs="仿宋"/>
          <w:sz w:val="24"/>
          <w:szCs w:val="24"/>
          <w:highlight w:val="none"/>
        </w:rPr>
        <w:t>按照有关规定给予本公司相关责任人党纪、政纪处分，涉嫌犯罪的，移交司法机关追究刑事责任；合作单位人员存在</w:t>
      </w:r>
      <w:r>
        <w:rPr>
          <w:rFonts w:hint="eastAsia" w:ascii="仿宋" w:hAnsi="仿宋" w:eastAsia="仿宋" w:cs="仿宋"/>
          <w:sz w:val="24"/>
          <w:szCs w:val="24"/>
          <w:highlight w:val="none"/>
          <w:lang w:val="en-US" w:eastAsia="zh-CN"/>
        </w:rPr>
        <w:t>违反职业操守</w:t>
      </w:r>
      <w:r>
        <w:rPr>
          <w:rFonts w:hint="eastAsia" w:ascii="仿宋" w:hAnsi="仿宋" w:eastAsia="仿宋" w:cs="仿宋"/>
          <w:sz w:val="24"/>
          <w:szCs w:val="24"/>
          <w:highlight w:val="none"/>
        </w:rPr>
        <w:t>行为的，</w:t>
      </w:r>
      <w:r>
        <w:rPr>
          <w:rFonts w:hint="eastAsia" w:ascii="仿宋" w:hAnsi="仿宋" w:eastAsia="仿宋" w:cs="仿宋"/>
          <w:sz w:val="24"/>
          <w:szCs w:val="24"/>
          <w:highlight w:val="none"/>
          <w:lang w:eastAsia="zh-CN"/>
        </w:rPr>
        <w:t>通达市政工程有限公司</w:t>
      </w:r>
      <w:r>
        <w:rPr>
          <w:rFonts w:hint="eastAsia" w:ascii="仿宋" w:hAnsi="仿宋" w:eastAsia="仿宋" w:cs="仿宋"/>
          <w:sz w:val="24"/>
          <w:szCs w:val="24"/>
          <w:highlight w:val="none"/>
        </w:rPr>
        <w:t>有权利要求合作单位对</w:t>
      </w:r>
      <w:r>
        <w:rPr>
          <w:rFonts w:hint="eastAsia" w:ascii="仿宋" w:hAnsi="仿宋" w:eastAsia="仿宋" w:cs="仿宋"/>
          <w:sz w:val="24"/>
          <w:szCs w:val="24"/>
          <w:highlight w:val="none"/>
          <w:lang w:val="en-US" w:eastAsia="zh-CN"/>
        </w:rPr>
        <w:t>其</w:t>
      </w:r>
      <w:r>
        <w:rPr>
          <w:rFonts w:hint="eastAsia" w:ascii="仿宋" w:hAnsi="仿宋" w:eastAsia="仿宋" w:cs="仿宋"/>
          <w:sz w:val="24"/>
          <w:szCs w:val="24"/>
          <w:highlight w:val="none"/>
        </w:rPr>
        <w:t>人员进行查处，并保留终止相关合同、将合作单位列入合作伙伴黑名单的权利。</w:t>
      </w:r>
    </w:p>
    <w:p w14:paraId="377E73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w:t>
      </w:r>
      <w:r>
        <w:rPr>
          <w:rFonts w:hint="eastAsia" w:ascii="仿宋" w:hAnsi="仿宋" w:eastAsia="仿宋" w:cs="仿宋"/>
          <w:sz w:val="24"/>
          <w:szCs w:val="24"/>
          <w:highlight w:val="none"/>
          <w:lang w:eastAsia="zh-CN"/>
        </w:rPr>
        <w:t>通达市政工程有限公司</w:t>
      </w:r>
      <w:r>
        <w:rPr>
          <w:rFonts w:hint="eastAsia" w:ascii="仿宋" w:hAnsi="仿宋" w:eastAsia="仿宋" w:cs="仿宋"/>
          <w:sz w:val="24"/>
          <w:szCs w:val="24"/>
          <w:highlight w:val="none"/>
        </w:rPr>
        <w:t>的《廉洁合作协议》管理人员或</w:t>
      </w:r>
      <w:r>
        <w:rPr>
          <w:rFonts w:hint="eastAsia" w:ascii="仿宋" w:hAnsi="仿宋" w:eastAsia="仿宋" w:cs="仿宋"/>
          <w:sz w:val="24"/>
          <w:szCs w:val="24"/>
          <w:highlight w:val="none"/>
          <w:lang w:val="en-US" w:eastAsia="zh-CN"/>
        </w:rPr>
        <w:t>区城投公司</w:t>
      </w:r>
      <w:r>
        <w:rPr>
          <w:rFonts w:hint="eastAsia" w:ascii="仿宋" w:hAnsi="仿宋" w:eastAsia="仿宋" w:cs="仿宋"/>
          <w:sz w:val="24"/>
          <w:szCs w:val="24"/>
          <w:highlight w:val="none"/>
        </w:rPr>
        <w:t>纪检监察人员在对合同执行情况进行检查或抽查时，合作单位</w:t>
      </w:r>
      <w:r>
        <w:rPr>
          <w:rFonts w:hint="eastAsia" w:ascii="仿宋" w:hAnsi="仿宋" w:eastAsia="仿宋" w:cs="仿宋"/>
          <w:sz w:val="24"/>
          <w:szCs w:val="24"/>
          <w:highlight w:val="none"/>
          <w:lang w:val="en-US" w:eastAsia="zh-CN"/>
        </w:rPr>
        <w:t>应</w:t>
      </w:r>
      <w:r>
        <w:rPr>
          <w:rFonts w:hint="eastAsia" w:ascii="仿宋" w:hAnsi="仿宋" w:eastAsia="仿宋" w:cs="仿宋"/>
          <w:sz w:val="24"/>
          <w:szCs w:val="24"/>
          <w:highlight w:val="none"/>
        </w:rPr>
        <w:t>给予配合。双方人员存在弄虚作假、玩忽职守、包庇纵容等行为的，双方单位均应对责任人进行</w:t>
      </w:r>
      <w:r>
        <w:rPr>
          <w:rFonts w:hint="eastAsia" w:ascii="仿宋" w:hAnsi="仿宋" w:eastAsia="仿宋" w:cs="仿宋"/>
          <w:sz w:val="24"/>
          <w:szCs w:val="24"/>
          <w:highlight w:val="none"/>
          <w:lang w:val="en-US" w:eastAsia="zh-CN"/>
        </w:rPr>
        <w:t>处置</w:t>
      </w:r>
      <w:r>
        <w:rPr>
          <w:rFonts w:hint="eastAsia" w:ascii="仿宋" w:hAnsi="仿宋" w:eastAsia="仿宋" w:cs="仿宋"/>
          <w:sz w:val="24"/>
          <w:szCs w:val="24"/>
          <w:highlight w:val="none"/>
        </w:rPr>
        <w:t>。</w:t>
      </w:r>
    </w:p>
    <w:p w14:paraId="52432CB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第二条 </w:t>
      </w:r>
      <w:r>
        <w:rPr>
          <w:rFonts w:hint="eastAsia" w:ascii="仿宋" w:hAnsi="仿宋" w:eastAsia="仿宋" w:cs="仿宋"/>
          <w:b/>
          <w:bCs/>
          <w:sz w:val="24"/>
          <w:szCs w:val="24"/>
          <w:highlight w:val="none"/>
          <w:lang w:eastAsia="zh-CN"/>
        </w:rPr>
        <w:t>通达市政工程有限公司</w:t>
      </w:r>
      <w:r>
        <w:rPr>
          <w:rFonts w:hint="eastAsia" w:ascii="仿宋" w:hAnsi="仿宋" w:eastAsia="仿宋" w:cs="仿宋"/>
          <w:b/>
          <w:bCs/>
          <w:sz w:val="24"/>
          <w:szCs w:val="24"/>
          <w:highlight w:val="none"/>
        </w:rPr>
        <w:t>义务</w:t>
      </w:r>
    </w:p>
    <w:p w14:paraId="6BD612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w:t>
      </w:r>
      <w:r>
        <w:rPr>
          <w:rFonts w:hint="eastAsia" w:ascii="仿宋" w:hAnsi="仿宋" w:eastAsia="仿宋" w:cs="仿宋"/>
          <w:sz w:val="24"/>
          <w:szCs w:val="24"/>
          <w:highlight w:val="none"/>
          <w:lang w:eastAsia="zh-CN"/>
        </w:rPr>
        <w:t>通达市政工程有限公司</w:t>
      </w:r>
      <w:r>
        <w:rPr>
          <w:rFonts w:hint="eastAsia" w:ascii="仿宋" w:hAnsi="仿宋" w:eastAsia="仿宋" w:cs="仿宋"/>
          <w:sz w:val="24"/>
          <w:szCs w:val="24"/>
          <w:highlight w:val="none"/>
        </w:rPr>
        <w:t>在业务委托过程中，应做到公平、公正、公开，禁止暗箱操作</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不得泄露应当保密的项目信息。</w:t>
      </w:r>
    </w:p>
    <w:p w14:paraId="260DB6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w:t>
      </w:r>
      <w:r>
        <w:rPr>
          <w:rFonts w:hint="eastAsia" w:ascii="仿宋" w:hAnsi="仿宋" w:eastAsia="仿宋" w:cs="仿宋"/>
          <w:sz w:val="24"/>
          <w:szCs w:val="24"/>
          <w:highlight w:val="none"/>
          <w:lang w:eastAsia="zh-CN"/>
        </w:rPr>
        <w:t>通达市政工程有限公司</w:t>
      </w:r>
      <w:r>
        <w:rPr>
          <w:rFonts w:hint="eastAsia" w:ascii="仿宋" w:hAnsi="仿宋" w:eastAsia="仿宋" w:cs="仿宋"/>
          <w:sz w:val="24"/>
          <w:szCs w:val="24"/>
          <w:highlight w:val="none"/>
        </w:rPr>
        <w:t>人员及其配偶、子女、特定关系人不得与合作单位人员发生任何非工作的往来，包括但不限于以下内容：不得收受对方馈送的任何现金、贵重物品、有价证券等；不得要求或接受对方为其住房建修、婚丧嫁娶、出国等提供资助；不得介绍亲友从事与双方合作有关的业务活动；不得收受回扣；不得参加合作单位组织的宴请、娱乐、旅游等活动；不</w:t>
      </w:r>
      <w:r>
        <w:rPr>
          <w:rFonts w:hint="eastAsia" w:ascii="仿宋" w:hAnsi="仿宋" w:eastAsia="仿宋" w:cs="仿宋"/>
          <w:sz w:val="24"/>
          <w:szCs w:val="24"/>
          <w:highlight w:val="none"/>
          <w:lang w:val="en-US" w:eastAsia="zh-CN"/>
        </w:rPr>
        <w:t>得</w:t>
      </w:r>
      <w:r>
        <w:rPr>
          <w:rFonts w:hint="eastAsia" w:ascii="仿宋" w:hAnsi="仿宋" w:eastAsia="仿宋" w:cs="仿宋"/>
          <w:sz w:val="24"/>
          <w:szCs w:val="24"/>
          <w:highlight w:val="none"/>
        </w:rPr>
        <w:t>要求对方报销应由本人支付的费用等；不得吃拿卡要或变相吃拿卡要。</w:t>
      </w:r>
    </w:p>
    <w:p w14:paraId="09DBC8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w:t>
      </w:r>
      <w:r>
        <w:rPr>
          <w:rFonts w:hint="eastAsia" w:ascii="仿宋" w:hAnsi="仿宋" w:eastAsia="仿宋" w:cs="仿宋"/>
          <w:sz w:val="24"/>
          <w:szCs w:val="24"/>
          <w:highlight w:val="none"/>
          <w:lang w:eastAsia="zh-CN"/>
        </w:rPr>
        <w:t>通达市政工程有限公司</w:t>
      </w:r>
      <w:r>
        <w:rPr>
          <w:rFonts w:hint="eastAsia" w:ascii="仿宋" w:hAnsi="仿宋" w:eastAsia="仿宋" w:cs="仿宋"/>
          <w:sz w:val="24"/>
          <w:szCs w:val="24"/>
          <w:highlight w:val="none"/>
        </w:rPr>
        <w:t>人员若违反《廉洁合作协议》约定，按照有关规定给予党纪政务处分；涉嫌犯罪的，按照有关程序移送司法机关处理。</w:t>
      </w:r>
    </w:p>
    <w:p w14:paraId="7829BA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w:t>
      </w:r>
      <w:r>
        <w:rPr>
          <w:rFonts w:hint="eastAsia" w:ascii="仿宋" w:hAnsi="仿宋" w:eastAsia="仿宋" w:cs="仿宋"/>
          <w:sz w:val="24"/>
          <w:szCs w:val="24"/>
          <w:highlight w:val="none"/>
          <w:lang w:eastAsia="zh-CN"/>
        </w:rPr>
        <w:t>通达市政工程有限公司</w:t>
      </w:r>
      <w:r>
        <w:rPr>
          <w:rFonts w:hint="eastAsia" w:ascii="仿宋" w:hAnsi="仿宋" w:eastAsia="仿宋" w:cs="仿宋"/>
          <w:sz w:val="24"/>
          <w:szCs w:val="24"/>
          <w:highlight w:val="none"/>
        </w:rPr>
        <w:t>人员不得为合作单位</w:t>
      </w:r>
      <w:r>
        <w:rPr>
          <w:rFonts w:hint="eastAsia" w:ascii="仿宋" w:hAnsi="仿宋" w:eastAsia="仿宋" w:cs="仿宋"/>
          <w:sz w:val="24"/>
          <w:szCs w:val="24"/>
          <w:highlight w:val="none"/>
          <w:lang w:val="en-US" w:eastAsia="zh-CN"/>
        </w:rPr>
        <w:t>超合同约定比例结算款项</w:t>
      </w:r>
      <w:r>
        <w:rPr>
          <w:rFonts w:hint="eastAsia" w:ascii="仿宋" w:hAnsi="仿宋" w:eastAsia="仿宋" w:cs="仿宋"/>
          <w:sz w:val="24"/>
          <w:szCs w:val="24"/>
          <w:highlight w:val="none"/>
        </w:rPr>
        <w:t>、多计量、多签证或故意降低验收标准，并从中谋取私利。</w:t>
      </w:r>
    </w:p>
    <w:p w14:paraId="4D7408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w:t>
      </w:r>
      <w:r>
        <w:rPr>
          <w:rFonts w:hint="eastAsia" w:ascii="仿宋" w:hAnsi="仿宋" w:eastAsia="仿宋" w:cs="仿宋"/>
          <w:sz w:val="24"/>
          <w:szCs w:val="24"/>
          <w:highlight w:val="none"/>
          <w:lang w:eastAsia="zh-CN"/>
        </w:rPr>
        <w:t>通达市政工程有限公司</w:t>
      </w:r>
      <w:r>
        <w:rPr>
          <w:rFonts w:hint="eastAsia" w:ascii="仿宋" w:hAnsi="仿宋" w:eastAsia="仿宋" w:cs="仿宋"/>
          <w:sz w:val="24"/>
          <w:szCs w:val="24"/>
          <w:highlight w:val="none"/>
        </w:rPr>
        <w:t>人员不得利用计量、结算、支付等职务权利，故意刁难合作单位以谋取私利。</w:t>
      </w:r>
    </w:p>
    <w:p w14:paraId="0146BB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（六）</w:t>
      </w:r>
      <w:r>
        <w:rPr>
          <w:rFonts w:hint="eastAsia" w:ascii="仿宋" w:hAnsi="仿宋" w:eastAsia="仿宋" w:cs="仿宋"/>
          <w:sz w:val="24"/>
          <w:szCs w:val="24"/>
          <w:highlight w:val="none"/>
          <w:lang w:eastAsia="zh-CN"/>
        </w:rPr>
        <w:t>通达市政工程有限公司</w:t>
      </w:r>
      <w:r>
        <w:rPr>
          <w:rFonts w:hint="eastAsia" w:ascii="仿宋" w:hAnsi="仿宋" w:eastAsia="仿宋" w:cs="仿宋"/>
          <w:sz w:val="24"/>
          <w:szCs w:val="24"/>
          <w:highlight w:val="none"/>
        </w:rPr>
        <w:t>人员发现合作单位人员行贿以及其他违反《廉洁合作协议》的行为，有义务向区城投公司纪检监察机构或其他相关部门举报。</w:t>
      </w:r>
    </w:p>
    <w:p w14:paraId="6B451B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（七）对合作单位所属机构和人员存在违反 《廉洁合作协议》约定的行为，</w:t>
      </w:r>
      <w:r>
        <w:rPr>
          <w:rFonts w:hint="eastAsia" w:ascii="仿宋" w:hAnsi="仿宋" w:eastAsia="仿宋" w:cs="仿宋"/>
          <w:sz w:val="24"/>
          <w:szCs w:val="24"/>
          <w:highlight w:val="none"/>
          <w:lang w:val="en-US" w:eastAsia="zh-CN"/>
        </w:rPr>
        <w:t>通达市政工程有限公司</w:t>
      </w:r>
      <w:r>
        <w:rPr>
          <w:rFonts w:hint="eastAsia" w:ascii="仿宋" w:hAnsi="仿宋" w:eastAsia="仿宋" w:cs="仿宋"/>
          <w:sz w:val="24"/>
          <w:szCs w:val="24"/>
          <w:highlight w:val="none"/>
        </w:rPr>
        <w:t>应收集汇总有关违规证据，</w:t>
      </w:r>
      <w:r>
        <w:rPr>
          <w:rFonts w:hint="eastAsia" w:ascii="仿宋" w:hAnsi="仿宋" w:eastAsia="仿宋" w:cs="仿宋"/>
          <w:sz w:val="24"/>
          <w:szCs w:val="24"/>
          <w:highlight w:val="none"/>
          <w:lang w:val="en-US" w:eastAsia="zh-CN"/>
        </w:rPr>
        <w:t>配合合作单位调查处置</w:t>
      </w:r>
      <w:r>
        <w:rPr>
          <w:rFonts w:hint="eastAsia" w:ascii="仿宋" w:hAnsi="仿宋" w:eastAsia="仿宋" w:cs="仿宋"/>
          <w:sz w:val="24"/>
          <w:szCs w:val="24"/>
          <w:highlight w:val="none"/>
        </w:rPr>
        <w:t>。</w:t>
      </w:r>
    </w:p>
    <w:p w14:paraId="6F518E2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第三条 合作单位义务</w:t>
      </w:r>
    </w:p>
    <w:p w14:paraId="16E654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（一）合作单位不得有围标、串标、泄露双方机密，排挤其他经营者的公平竞争，在预决算、招投标和商务报价中弄虚作假、恶意高估冒算或故意以低价扰乱招投标等违反商业道德、扰乱正常竞争秩序等行为。</w:t>
      </w:r>
    </w:p>
    <w:p w14:paraId="6CBA78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（二）合作单位人员不得为获取合作利益</w:t>
      </w:r>
      <w:r>
        <w:rPr>
          <w:rFonts w:hint="eastAsia" w:ascii="仿宋" w:hAnsi="仿宋" w:eastAsia="仿宋" w:cs="仿宋"/>
          <w:sz w:val="24"/>
          <w:szCs w:val="24"/>
          <w:highlight w:val="none"/>
          <w:lang w:val="en-US" w:eastAsia="zh-CN"/>
        </w:rPr>
        <w:t>通达市政工程有限公司</w:t>
      </w:r>
      <w:r>
        <w:rPr>
          <w:rFonts w:hint="eastAsia" w:ascii="仿宋" w:hAnsi="仿宋" w:eastAsia="仿宋" w:cs="仿宋"/>
          <w:sz w:val="24"/>
          <w:szCs w:val="24"/>
          <w:highlight w:val="none"/>
        </w:rPr>
        <w:t>人员送礼、行贿，不得有向</w:t>
      </w:r>
      <w:r>
        <w:rPr>
          <w:rFonts w:hint="eastAsia" w:ascii="仿宋" w:hAnsi="仿宋" w:eastAsia="仿宋" w:cs="仿宋"/>
          <w:sz w:val="24"/>
          <w:szCs w:val="24"/>
          <w:highlight w:val="none"/>
          <w:lang w:val="en-US" w:eastAsia="zh-CN"/>
        </w:rPr>
        <w:t>通达市政工程有限公司</w:t>
      </w:r>
      <w:r>
        <w:rPr>
          <w:rFonts w:hint="eastAsia" w:ascii="仿宋" w:hAnsi="仿宋" w:eastAsia="仿宋" w:cs="仿宋"/>
          <w:sz w:val="24"/>
          <w:szCs w:val="24"/>
          <w:highlight w:val="none"/>
        </w:rPr>
        <w:t>人员提供宴请和娱乐活动及其他有违反法律法规和廉洁从业规定、影响公平交易的行为。</w:t>
      </w:r>
    </w:p>
    <w:p w14:paraId="286BA6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（三）合作单位应对其所属机构和人员严格执行《廉洁合作协议》提出明确的要求，并加强监督和管理。</w:t>
      </w:r>
    </w:p>
    <w:p w14:paraId="36EB5A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（四）合作单位应积极配合区城投公司纪检监察机构开展各项检查、核实工作</w:t>
      </w:r>
      <w:r>
        <w:rPr>
          <w:rFonts w:hint="eastAsia" w:ascii="仿宋" w:hAnsi="仿宋" w:eastAsia="仿宋" w:cs="仿宋"/>
          <w:sz w:val="24"/>
          <w:szCs w:val="24"/>
          <w:highlight w:val="none"/>
          <w:lang w:eastAsia="zh-CN"/>
        </w:rPr>
        <w:t>。</w:t>
      </w:r>
    </w:p>
    <w:p w14:paraId="2606F4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（五）合作单位发现</w:t>
      </w:r>
      <w:r>
        <w:rPr>
          <w:rFonts w:hint="eastAsia" w:ascii="仿宋" w:hAnsi="仿宋" w:eastAsia="仿宋" w:cs="仿宋"/>
          <w:sz w:val="24"/>
          <w:szCs w:val="24"/>
          <w:highlight w:val="none"/>
          <w:lang w:val="en-US" w:eastAsia="zh-CN"/>
        </w:rPr>
        <w:t>通达市政工程有限公司</w:t>
      </w:r>
      <w:r>
        <w:rPr>
          <w:rFonts w:hint="eastAsia" w:ascii="仿宋" w:hAnsi="仿宋" w:eastAsia="仿宋" w:cs="仿宋"/>
          <w:sz w:val="24"/>
          <w:szCs w:val="24"/>
          <w:highlight w:val="none"/>
        </w:rPr>
        <w:t>人员有索贿行为、受贿行为及其他不廉洁行为时，应向区城投公司纪检监察机构或其他相关部门举报，并有义务提供</w:t>
      </w:r>
      <w:r>
        <w:rPr>
          <w:rFonts w:hint="eastAsia" w:ascii="仿宋" w:hAnsi="仿宋" w:eastAsia="仿宋" w:cs="仿宋"/>
          <w:sz w:val="24"/>
          <w:szCs w:val="24"/>
          <w:highlight w:val="none"/>
          <w:lang w:val="en-US" w:eastAsia="zh-CN"/>
        </w:rPr>
        <w:t>相</w:t>
      </w:r>
      <w:r>
        <w:rPr>
          <w:rFonts w:hint="eastAsia" w:ascii="仿宋" w:hAnsi="仿宋" w:eastAsia="仿宋" w:cs="仿宋"/>
          <w:sz w:val="24"/>
          <w:szCs w:val="24"/>
          <w:highlight w:val="none"/>
        </w:rPr>
        <w:t>关证据。</w:t>
      </w:r>
    </w:p>
    <w:p w14:paraId="3B4F9BE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第四条</w:t>
      </w:r>
      <w:r>
        <w:rPr>
          <w:rFonts w:hint="eastAsia" w:ascii="仿宋" w:hAnsi="仿宋" w:eastAsia="仿宋" w:cs="仿宋"/>
          <w:b/>
          <w:bCs/>
          <w:sz w:val="24"/>
          <w:szCs w:val="24"/>
          <w:highlight w:val="none"/>
          <w:lang w:val="en-US" w:eastAsia="zh-CN"/>
        </w:rPr>
        <w:t xml:space="preserve"> </w:t>
      </w:r>
      <w:r>
        <w:rPr>
          <w:rFonts w:hint="eastAsia" w:ascii="仿宋" w:hAnsi="仿宋" w:eastAsia="仿宋" w:cs="仿宋"/>
          <w:sz w:val="24"/>
          <w:szCs w:val="24"/>
          <w:highlight w:val="none"/>
        </w:rPr>
        <w:t>区城投公司纪检监察机构受理举报电话：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0631-5239953  </w:t>
      </w:r>
      <w:r>
        <w:rPr>
          <w:rFonts w:hint="eastAsia" w:ascii="仿宋" w:hAnsi="仿宋" w:eastAsia="仿宋" w:cs="仿宋"/>
          <w:sz w:val="24"/>
          <w:szCs w:val="24"/>
          <w:highlight w:val="none"/>
          <w:u w:val="none"/>
        </w:rPr>
        <w:t>。</w:t>
      </w:r>
    </w:p>
    <w:p w14:paraId="603CA0D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第五条</w:t>
      </w:r>
      <w:r>
        <w:rPr>
          <w:rFonts w:hint="eastAsia" w:ascii="仿宋" w:hAnsi="仿宋" w:eastAsia="仿宋" w:cs="仿宋"/>
          <w:b/>
          <w:bCs/>
          <w:sz w:val="24"/>
          <w:szCs w:val="24"/>
          <w:highlight w:val="none"/>
          <w:lang w:val="en-US" w:eastAsia="zh-CN"/>
        </w:rPr>
        <w:t xml:space="preserve"> </w:t>
      </w:r>
      <w:r>
        <w:rPr>
          <w:rFonts w:hint="eastAsia" w:ascii="仿宋" w:hAnsi="仿宋" w:eastAsia="仿宋" w:cs="仿宋"/>
          <w:sz w:val="24"/>
          <w:szCs w:val="24"/>
          <w:highlight w:val="none"/>
        </w:rPr>
        <w:t>本协议双方签字盖章后生效，有效期与</w:t>
      </w:r>
      <w:r>
        <w:rPr>
          <w:rFonts w:hint="eastAsia" w:ascii="仿宋" w:hAnsi="仿宋" w:eastAsia="仿宋" w:cs="仿宋"/>
          <w:sz w:val="24"/>
          <w:szCs w:val="24"/>
          <w:highlight w:val="none"/>
          <w:lang w:val="en-US" w:eastAsia="zh-CN"/>
        </w:rPr>
        <w:t>主</w:t>
      </w:r>
      <w:r>
        <w:rPr>
          <w:rFonts w:hint="eastAsia" w:ascii="仿宋" w:hAnsi="仿宋" w:eastAsia="仿宋" w:cs="仿宋"/>
          <w:sz w:val="24"/>
          <w:szCs w:val="24"/>
          <w:highlight w:val="none"/>
        </w:rPr>
        <w:t>合同一致。</w:t>
      </w:r>
    </w:p>
    <w:p w14:paraId="423B189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第六条</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本协议一式两份，双方各执一份。</w:t>
      </w:r>
    </w:p>
    <w:p w14:paraId="69517F5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p>
    <w:p w14:paraId="066DEA8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威海市环翠区通达市政工程有限公司</w:t>
      </w:r>
      <w:r>
        <w:rPr>
          <w:rFonts w:hint="eastAsia" w:ascii="仿宋" w:hAnsi="仿宋" w:eastAsia="仿宋" w:cs="仿宋"/>
          <w:sz w:val="24"/>
          <w:szCs w:val="24"/>
          <w:highlight w:val="none"/>
        </w:rPr>
        <w:t>（公章）</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（公章）</w:t>
      </w:r>
    </w:p>
    <w:p w14:paraId="38E36FEE">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sz w:val="24"/>
          <w:szCs w:val="24"/>
          <w:highlight w:val="none"/>
        </w:rPr>
      </w:pPr>
    </w:p>
    <w:p w14:paraId="1A2127B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负责人或授权人：（签字）</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合作单位负责人：（签字）</w:t>
      </w:r>
    </w:p>
    <w:p w14:paraId="3B9607F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w:t>
      </w:r>
    </w:p>
    <w:p w14:paraId="53D9E5DF">
      <w:pPr>
        <w:rPr>
          <w:rFonts w:hint="eastAsia" w:ascii="仿宋" w:hAnsi="仿宋" w:eastAsia="仿宋" w:cs="仿宋"/>
          <w:sz w:val="24"/>
          <w:szCs w:val="24"/>
          <w:highlight w:val="none"/>
        </w:rPr>
      </w:pPr>
    </w:p>
    <w:p w14:paraId="2DF6A329">
      <w:pPr>
        <w:rPr>
          <w:rFonts w:hint="eastAsia"/>
          <w:highlight w:val="none"/>
        </w:rPr>
      </w:pPr>
    </w:p>
    <w:bookmarkEnd w:id="59"/>
    <w:bookmarkEnd w:id="60"/>
    <w:bookmarkEnd w:id="61"/>
    <w:bookmarkEnd w:id="62"/>
    <w:bookmarkEnd w:id="63"/>
    <w:bookmarkEnd w:id="64"/>
    <w:bookmarkEnd w:id="65"/>
    <w:bookmarkEnd w:id="66"/>
    <w:bookmarkEnd w:id="67"/>
    <w:p w14:paraId="3DAFEA67">
      <w:pPr>
        <w:pStyle w:val="18"/>
        <w:rPr>
          <w:rFonts w:hint="eastAsia" w:ascii="仿宋" w:hAnsi="仿宋" w:eastAsia="仿宋" w:cs="仿宋"/>
          <w:kern w:val="2"/>
          <w:sz w:val="24"/>
          <w:szCs w:val="24"/>
          <w:highlight w:val="none"/>
          <w:lang w:val="en-US" w:eastAsia="zh-CN" w:bidi="ar-SA"/>
        </w:rPr>
      </w:pPr>
    </w:p>
    <w:p w14:paraId="3F6D5E6C">
      <w:pPr>
        <w:pStyle w:val="18"/>
        <w:rPr>
          <w:rFonts w:hint="eastAsia" w:ascii="仿宋" w:hAnsi="仿宋" w:eastAsia="仿宋" w:cs="仿宋"/>
          <w:kern w:val="2"/>
          <w:sz w:val="24"/>
          <w:szCs w:val="24"/>
          <w:highlight w:val="none"/>
          <w:lang w:val="en-US" w:eastAsia="zh-CN" w:bidi="ar-SA"/>
        </w:rPr>
      </w:pPr>
    </w:p>
    <w:p w14:paraId="21AC7812">
      <w:pPr>
        <w:pStyle w:val="18"/>
        <w:rPr>
          <w:rFonts w:hint="eastAsia" w:ascii="仿宋" w:hAnsi="仿宋" w:eastAsia="仿宋" w:cs="仿宋"/>
          <w:kern w:val="2"/>
          <w:sz w:val="24"/>
          <w:szCs w:val="24"/>
          <w:highlight w:val="none"/>
          <w:lang w:val="en-US" w:eastAsia="zh-CN" w:bidi="ar-SA"/>
        </w:rPr>
      </w:pPr>
    </w:p>
    <w:p w14:paraId="4C337250">
      <w:pPr>
        <w:pStyle w:val="18"/>
        <w:rPr>
          <w:rFonts w:hint="eastAsia" w:ascii="仿宋" w:hAnsi="仿宋" w:eastAsia="仿宋" w:cs="仿宋"/>
          <w:kern w:val="2"/>
          <w:sz w:val="24"/>
          <w:szCs w:val="24"/>
          <w:highlight w:val="none"/>
          <w:lang w:val="en-US" w:eastAsia="zh-CN" w:bidi="ar-SA"/>
        </w:rPr>
      </w:pPr>
    </w:p>
    <w:p w14:paraId="508B78EF">
      <w:pPr>
        <w:pStyle w:val="18"/>
        <w:rPr>
          <w:rFonts w:hint="eastAsia" w:ascii="仿宋" w:hAnsi="仿宋" w:eastAsia="仿宋" w:cs="仿宋"/>
          <w:kern w:val="2"/>
          <w:sz w:val="24"/>
          <w:szCs w:val="24"/>
          <w:highlight w:val="none"/>
          <w:lang w:val="en-US" w:eastAsia="zh-CN" w:bidi="ar-SA"/>
        </w:rPr>
      </w:pPr>
    </w:p>
    <w:p w14:paraId="120F59C5">
      <w:pPr>
        <w:pStyle w:val="18"/>
        <w:rPr>
          <w:rFonts w:hint="eastAsia" w:ascii="仿宋" w:hAnsi="仿宋" w:eastAsia="仿宋" w:cs="仿宋"/>
          <w:kern w:val="2"/>
          <w:sz w:val="24"/>
          <w:szCs w:val="24"/>
          <w:highlight w:val="none"/>
          <w:lang w:val="en-US" w:eastAsia="zh-CN" w:bidi="ar-SA"/>
        </w:rPr>
      </w:pPr>
    </w:p>
    <w:p w14:paraId="6F24075E">
      <w:pPr>
        <w:pStyle w:val="18"/>
        <w:rPr>
          <w:rFonts w:hint="eastAsia" w:ascii="仿宋" w:hAnsi="仿宋" w:eastAsia="仿宋" w:cs="仿宋"/>
          <w:kern w:val="2"/>
          <w:sz w:val="24"/>
          <w:szCs w:val="24"/>
          <w:highlight w:val="none"/>
          <w:lang w:val="en-US" w:eastAsia="zh-CN" w:bidi="ar-SA"/>
        </w:rPr>
      </w:pPr>
    </w:p>
    <w:p w14:paraId="3A6C5B7B">
      <w:pPr>
        <w:pStyle w:val="39"/>
        <w:spacing w:before="0" w:beforeAutospacing="0" w:after="0" w:afterAutospacing="0" w:line="360" w:lineRule="auto"/>
        <w:rPr>
          <w:rFonts w:hint="eastAsia" w:ascii="仿宋" w:hAnsi="仿宋" w:eastAsia="仿宋" w:cs="仿宋"/>
          <w:b/>
          <w:bCs/>
          <w:sz w:val="24"/>
          <w:szCs w:val="24"/>
          <w:highlight w:val="none"/>
        </w:rPr>
      </w:pPr>
    </w:p>
    <w:sectPr>
      <w:pgSz w:w="11906" w:h="16838"/>
      <w:pgMar w:top="1440" w:right="1803" w:bottom="1440" w:left="1803"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 w:name="华文仿宋">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22863">
    <w:pPr>
      <w:pStyle w:val="28"/>
      <w:jc w:val="center"/>
      <w:rPr>
        <w:rFonts w:eastAsia="仿宋_GB2312"/>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8613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A5A0F">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7200983C">
                          <w:pPr>
                            <w:pStyle w:val="28"/>
                            <w:rPr>
                              <w:rFonts w:hint="eastAsia"/>
                            </w:rPr>
                          </w:pP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zo3a7zgEAAJcDAAAOAAAAAAAAAAEAIAAAAB8BAABkcnMv&#10;ZTJvRG9jLnhtbFBLBQYAAAAABgAGAFkBAABfBQAAAAA=&#10;">
              <v:fill on="f" focussize="0,0"/>
              <v:stroke on="f"/>
              <v:imagedata o:title=""/>
              <o:lock v:ext="edit" aspectratio="f"/>
              <v:textbox inset="0mm,0mm,0mm,0mm" style="mso-fit-shape-to-text:t;">
                <w:txbxContent>
                  <w:p w14:paraId="7200983C">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36DB5">
    <w:pPr>
      <w:pStyle w:val="2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B64C48">
                          <w:pPr>
                            <w:pStyle w:val="28"/>
                          </w:pPr>
                          <w:r>
                            <w:fldChar w:fldCharType="begin"/>
                          </w:r>
                          <w:r>
                            <w:instrText xml:space="preserve"> PAGE  \* MERGEFORMAT </w:instrText>
                          </w:r>
                          <w:r>
                            <w:fldChar w:fldCharType="separate"/>
                          </w:r>
                          <w:r>
                            <w:t>2</w:t>
                          </w:r>
                          <w:r>
                            <w:fldChar w:fldCharType="end"/>
                          </w:r>
                        </w:p>
                      </w:txbxContent>
                    </wps:txbx>
                    <wps:bodyPr vert="horz" wrap="none" lIns="0" tIns="0" rIns="0" bIns="0" anchor="t"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uBeRc2AEAALADAAAOAAAAAAAAAAEAIAAA&#10;AB4BAABkcnMvZTJvRG9jLnhtbFBLBQYAAAAABgAGAFkBAABoBQAAAAA=&#10;">
              <v:fill on="f" focussize="0,0"/>
              <v:stroke on="f"/>
              <v:imagedata o:title=""/>
              <o:lock v:ext="edit" aspectratio="f"/>
              <v:textbox inset="0mm,0mm,0mm,0mm" style="mso-fit-shape-to-text:t;">
                <w:txbxContent>
                  <w:p w14:paraId="4BB64C48">
                    <w:pPr>
                      <w:pStyle w:val="28"/>
                    </w:pPr>
                    <w:r>
                      <w:fldChar w:fldCharType="begin"/>
                    </w:r>
                    <w:r>
                      <w:instrText xml:space="preserve"> PAGE  \* MERGEFORMAT </w:instrText>
                    </w:r>
                    <w:r>
                      <w:fldChar w:fldCharType="separate"/>
                    </w:r>
                    <w:r>
                      <w:t>2</w:t>
                    </w:r>
                    <w:r>
                      <w:fldChar w:fldCharType="end"/>
                    </w:r>
                  </w:p>
                </w:txbxContent>
              </v:textbox>
            </v:shape>
          </w:pict>
        </mc:Fallback>
      </mc:AlternateContent>
    </w:r>
  </w:p>
  <w:p w14:paraId="490A8C97">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7F81C">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BB359B">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cPgv92AEAALADAAAOAAAAAAAAAAEAIAAA&#10;AB4BAABkcnMvZTJvRG9jLnhtbFBLBQYAAAAABgAGAFkBAABoBQAAAAA=&#10;">
              <v:fill on="f" focussize="0,0"/>
              <v:stroke on="f"/>
              <v:imagedata o:title=""/>
              <o:lock v:ext="edit" aspectratio="f"/>
              <v:textbox inset="0mm,0mm,0mm,0mm" style="mso-fit-shape-to-text:t;">
                <w:txbxContent>
                  <w:p w14:paraId="03BB359B">
                    <w:pPr>
                      <w:pStyle w:val="28"/>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3505" cy="139700"/>
              <wp:effectExtent l="0" t="0" r="0" b="0"/>
              <wp:wrapNone/>
              <wp:docPr id="2"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47B5912D">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59264;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gyIUc0AAAAAMBAAAPAAAAAAAAAAEAIAAAACIAAABkcnMv&#10;ZG93bnJldi54bWxQSwECFAAUAAAACACHTuJAIIiU3tIBAACaAwAADgAAAAAAAAABACAAAAAfAQAA&#10;ZHJzL2Uyb0RvYy54bWxQSwUGAAAAAAYABgBZAQAAYwUAAAAA&#10;">
              <v:fill on="f" focussize="0,0"/>
              <v:stroke on="f"/>
              <v:imagedata o:title=""/>
              <o:lock v:ext="edit" aspectratio="f"/>
              <v:textbox inset="0mm,0mm,0mm,0mm" style="mso-fit-shape-to-text:t;">
                <w:txbxContent>
                  <w:p w14:paraId="47B5912D">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901C1">
    <w:pPr>
      <w:pStyle w:val="28"/>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95E3E6">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Lo/qU2AEAALADAAAOAAAAAAAAAAEAIAAA&#10;AB4BAABkcnMvZTJvRG9jLnhtbFBLBQYAAAAABgAGAFkBAABoBQAAAAA=&#10;">
              <v:fill on="f" focussize="0,0"/>
              <v:stroke on="f"/>
              <v:imagedata o:title=""/>
              <o:lock v:ext="edit" aspectratio="f"/>
              <v:textbox inset="0mm,0mm,0mm,0mm" style="mso-fit-shape-to-text:t;">
                <w:txbxContent>
                  <w:p w14:paraId="1595E3E6">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C0649">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8D742">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0C9C9">
    <w:pPr>
      <w:pStyle w:val="3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5F378">
    <w:pPr>
      <w:pStyle w:val="30"/>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B70E5">
    <w:pPr>
      <w:pStyle w:val="3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24BA3">
    <w:pPr>
      <w:tabs>
        <w:tab w:val="left" w:pos="3135"/>
      </w:tabs>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900C4">
    <w:pPr>
      <w:tabs>
        <w:tab w:val="left" w:pos="3135"/>
      </w:tabs>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A5D5E">
    <w:pPr>
      <w:pStyle w:val="30"/>
      <w:pBdr>
        <w:bottom w:val="none" w:color="auto" w:sz="0" w:space="1"/>
      </w:pBdr>
      <w:wordWrap w:val="0"/>
      <w:jc w:val="right"/>
      <w:rPr>
        <w:rFonts w:hint="eastAsia"/>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BAB3A3"/>
    <w:multiLevelType w:val="singleLevel"/>
    <w:tmpl w:val="92BAB3A3"/>
    <w:lvl w:ilvl="0" w:tentative="0">
      <w:start w:val="1"/>
      <w:numFmt w:val="decimal"/>
      <w:suff w:val="nothing"/>
      <w:lvlText w:val="（%1）"/>
      <w:lvlJc w:val="left"/>
    </w:lvl>
  </w:abstractNum>
  <w:abstractNum w:abstractNumId="1">
    <w:nsid w:val="5852C880"/>
    <w:multiLevelType w:val="singleLevel"/>
    <w:tmpl w:val="5852C880"/>
    <w:lvl w:ilvl="0" w:tentative="0">
      <w:start w:val="1"/>
      <w:numFmt w:val="decimal"/>
      <w:suff w:val="nothing"/>
      <w:lvlText w:val="%1、"/>
      <w:lvlJc w:val="left"/>
    </w:lvl>
  </w:abstractNum>
  <w:abstractNum w:abstractNumId="2">
    <w:nsid w:val="60AE39CC"/>
    <w:multiLevelType w:val="multilevel"/>
    <w:tmpl w:val="60AE39CC"/>
    <w:lvl w:ilvl="0" w:tentative="0">
      <w:start w:val="1"/>
      <w:numFmt w:val="none"/>
      <w:pStyle w:val="4"/>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6"/>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9"/>
      <w:lvlText w:val="           "/>
      <w:lvlJc w:val="left"/>
      <w:pPr>
        <w:tabs>
          <w:tab w:val="left" w:pos="1440"/>
        </w:tabs>
        <w:ind w:left="1152" w:hanging="1152"/>
      </w:pPr>
      <w:rPr>
        <w:rFonts w:hint="eastAsia"/>
      </w:rPr>
    </w:lvl>
    <w:lvl w:ilvl="6" w:tentative="0">
      <w:start w:val="1"/>
      <w:numFmt w:val="decimal"/>
      <w:pStyle w:val="10"/>
      <w:lvlText w:val="%1.%2.%3.%4.%5.%6.%7"/>
      <w:lvlJc w:val="left"/>
      <w:pPr>
        <w:tabs>
          <w:tab w:val="left" w:pos="2520"/>
        </w:tabs>
        <w:ind w:left="1296" w:hanging="1296"/>
      </w:pPr>
      <w:rPr>
        <w:rFonts w:hint="eastAsia"/>
      </w:rPr>
    </w:lvl>
    <w:lvl w:ilvl="7" w:tentative="0">
      <w:start w:val="1"/>
      <w:numFmt w:val="decimal"/>
      <w:pStyle w:val="11"/>
      <w:lvlText w:val="%1.%2.%3.%4.%5.%6.%7.%8"/>
      <w:lvlJc w:val="left"/>
      <w:pPr>
        <w:tabs>
          <w:tab w:val="left" w:pos="1440"/>
        </w:tabs>
        <w:ind w:left="1440" w:hanging="1440"/>
      </w:pPr>
      <w:rPr>
        <w:rFonts w:hint="eastAsia"/>
      </w:rPr>
    </w:lvl>
    <w:lvl w:ilvl="8" w:tentative="0">
      <w:start w:val="1"/>
      <w:numFmt w:val="decimal"/>
      <w:pStyle w:val="12"/>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3840"/>
  <w:hyphenationZone w:val="360"/>
  <w:drawingGridHorizontalSpacing w:val="210"/>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hODhjMTUwZjUwNjkzMjQ0MTZlNTBlMWU0MzllYjA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C506B"/>
    <w:rsid w:val="000D1532"/>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7C79"/>
    <w:rsid w:val="002C2C01"/>
    <w:rsid w:val="002C415A"/>
    <w:rsid w:val="002C55BB"/>
    <w:rsid w:val="002D24DE"/>
    <w:rsid w:val="002D7A07"/>
    <w:rsid w:val="002E0D8C"/>
    <w:rsid w:val="002E32BC"/>
    <w:rsid w:val="002E7C2F"/>
    <w:rsid w:val="00300433"/>
    <w:rsid w:val="003024DF"/>
    <w:rsid w:val="00311618"/>
    <w:rsid w:val="0031476C"/>
    <w:rsid w:val="00314DFE"/>
    <w:rsid w:val="00325FEE"/>
    <w:rsid w:val="00330228"/>
    <w:rsid w:val="00330847"/>
    <w:rsid w:val="0034436D"/>
    <w:rsid w:val="00354EE7"/>
    <w:rsid w:val="003577A2"/>
    <w:rsid w:val="00373CC1"/>
    <w:rsid w:val="003810A9"/>
    <w:rsid w:val="00382DEE"/>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4F6"/>
    <w:rsid w:val="005330D2"/>
    <w:rsid w:val="00541829"/>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670"/>
    <w:rsid w:val="00AF3217"/>
    <w:rsid w:val="00B0188B"/>
    <w:rsid w:val="00B21447"/>
    <w:rsid w:val="00B477A1"/>
    <w:rsid w:val="00B60ADB"/>
    <w:rsid w:val="00B6507B"/>
    <w:rsid w:val="00B915CE"/>
    <w:rsid w:val="00BA7CA7"/>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CF7162"/>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C0834"/>
    <w:rsid w:val="00DD63E2"/>
    <w:rsid w:val="00DF0F35"/>
    <w:rsid w:val="00DF18E1"/>
    <w:rsid w:val="00DF1AB0"/>
    <w:rsid w:val="00DF3CC7"/>
    <w:rsid w:val="00E01FF6"/>
    <w:rsid w:val="00E36C39"/>
    <w:rsid w:val="00E42B3A"/>
    <w:rsid w:val="00E77929"/>
    <w:rsid w:val="00E83FA3"/>
    <w:rsid w:val="00E85609"/>
    <w:rsid w:val="00ED008E"/>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66286"/>
    <w:rsid w:val="010F10D8"/>
    <w:rsid w:val="012E0E67"/>
    <w:rsid w:val="013105B0"/>
    <w:rsid w:val="01386691"/>
    <w:rsid w:val="01482390"/>
    <w:rsid w:val="01626374"/>
    <w:rsid w:val="01916C5A"/>
    <w:rsid w:val="01CB1D9E"/>
    <w:rsid w:val="01DA5E9C"/>
    <w:rsid w:val="01DD59FB"/>
    <w:rsid w:val="01F15E4E"/>
    <w:rsid w:val="01F57998"/>
    <w:rsid w:val="0210458C"/>
    <w:rsid w:val="023824A9"/>
    <w:rsid w:val="02BA785F"/>
    <w:rsid w:val="02CD1F13"/>
    <w:rsid w:val="02E45D61"/>
    <w:rsid w:val="0340173B"/>
    <w:rsid w:val="035B79DB"/>
    <w:rsid w:val="035F0CD7"/>
    <w:rsid w:val="035F6F01"/>
    <w:rsid w:val="03624D3B"/>
    <w:rsid w:val="03655CA8"/>
    <w:rsid w:val="038A3960"/>
    <w:rsid w:val="03A34A56"/>
    <w:rsid w:val="03B222B1"/>
    <w:rsid w:val="03C91CE5"/>
    <w:rsid w:val="03DB1117"/>
    <w:rsid w:val="03E23B37"/>
    <w:rsid w:val="040C2BAD"/>
    <w:rsid w:val="04381749"/>
    <w:rsid w:val="04640655"/>
    <w:rsid w:val="046B128A"/>
    <w:rsid w:val="04886557"/>
    <w:rsid w:val="04893C18"/>
    <w:rsid w:val="04A643B1"/>
    <w:rsid w:val="04B949C5"/>
    <w:rsid w:val="04C237AB"/>
    <w:rsid w:val="04CD527F"/>
    <w:rsid w:val="04D57F4E"/>
    <w:rsid w:val="04E2157A"/>
    <w:rsid w:val="04E752B7"/>
    <w:rsid w:val="053C6EDC"/>
    <w:rsid w:val="053F17F0"/>
    <w:rsid w:val="053F69CD"/>
    <w:rsid w:val="05462E2F"/>
    <w:rsid w:val="058C559B"/>
    <w:rsid w:val="058E795B"/>
    <w:rsid w:val="05BE5B43"/>
    <w:rsid w:val="05E76E48"/>
    <w:rsid w:val="06053C60"/>
    <w:rsid w:val="06392DBF"/>
    <w:rsid w:val="063C1767"/>
    <w:rsid w:val="06431F2C"/>
    <w:rsid w:val="06570680"/>
    <w:rsid w:val="065E4C1C"/>
    <w:rsid w:val="0677632A"/>
    <w:rsid w:val="06952D48"/>
    <w:rsid w:val="069E0C8C"/>
    <w:rsid w:val="06AE4995"/>
    <w:rsid w:val="06B807E5"/>
    <w:rsid w:val="06BA43A3"/>
    <w:rsid w:val="06FA4322"/>
    <w:rsid w:val="070677A2"/>
    <w:rsid w:val="071E4ABC"/>
    <w:rsid w:val="072C630A"/>
    <w:rsid w:val="074C7276"/>
    <w:rsid w:val="07693BBB"/>
    <w:rsid w:val="076F5347"/>
    <w:rsid w:val="07961D7F"/>
    <w:rsid w:val="079A613C"/>
    <w:rsid w:val="07C22D32"/>
    <w:rsid w:val="07C75183"/>
    <w:rsid w:val="07F47F79"/>
    <w:rsid w:val="080F17FE"/>
    <w:rsid w:val="084E323F"/>
    <w:rsid w:val="08501519"/>
    <w:rsid w:val="087D7F38"/>
    <w:rsid w:val="08B524D4"/>
    <w:rsid w:val="08DA1CD0"/>
    <w:rsid w:val="08DA591A"/>
    <w:rsid w:val="08DF5A76"/>
    <w:rsid w:val="08ED6E6B"/>
    <w:rsid w:val="08F5187C"/>
    <w:rsid w:val="091C2D23"/>
    <w:rsid w:val="095C5D9F"/>
    <w:rsid w:val="096F5AD2"/>
    <w:rsid w:val="09B01C47"/>
    <w:rsid w:val="09B42510"/>
    <w:rsid w:val="09B933A7"/>
    <w:rsid w:val="09CD0A4B"/>
    <w:rsid w:val="09CD66ED"/>
    <w:rsid w:val="09D726B7"/>
    <w:rsid w:val="09E01682"/>
    <w:rsid w:val="09E57988"/>
    <w:rsid w:val="09F72AC1"/>
    <w:rsid w:val="0A1B5868"/>
    <w:rsid w:val="0A1F06AA"/>
    <w:rsid w:val="0A221417"/>
    <w:rsid w:val="0A40121D"/>
    <w:rsid w:val="0A554394"/>
    <w:rsid w:val="0A6C07FE"/>
    <w:rsid w:val="0A806213"/>
    <w:rsid w:val="0A9B28F7"/>
    <w:rsid w:val="0ABB2EEB"/>
    <w:rsid w:val="0AD377C9"/>
    <w:rsid w:val="0B112BB9"/>
    <w:rsid w:val="0B2E68F8"/>
    <w:rsid w:val="0B411470"/>
    <w:rsid w:val="0B474015"/>
    <w:rsid w:val="0B482350"/>
    <w:rsid w:val="0B626891"/>
    <w:rsid w:val="0B64718D"/>
    <w:rsid w:val="0BB74BDB"/>
    <w:rsid w:val="0BE107DE"/>
    <w:rsid w:val="0BE97E49"/>
    <w:rsid w:val="0C0627BD"/>
    <w:rsid w:val="0C443CCA"/>
    <w:rsid w:val="0C4C1E7D"/>
    <w:rsid w:val="0C7C445A"/>
    <w:rsid w:val="0C860B6D"/>
    <w:rsid w:val="0CBD36AE"/>
    <w:rsid w:val="0CD04E01"/>
    <w:rsid w:val="0CDB0BB0"/>
    <w:rsid w:val="0CDC4881"/>
    <w:rsid w:val="0D0878C3"/>
    <w:rsid w:val="0D0A6AC9"/>
    <w:rsid w:val="0D35493D"/>
    <w:rsid w:val="0D37494D"/>
    <w:rsid w:val="0D4572C7"/>
    <w:rsid w:val="0D4D3399"/>
    <w:rsid w:val="0D520C28"/>
    <w:rsid w:val="0D5345EC"/>
    <w:rsid w:val="0D7C003C"/>
    <w:rsid w:val="0D843E39"/>
    <w:rsid w:val="0D9D36E5"/>
    <w:rsid w:val="0DCA2A4D"/>
    <w:rsid w:val="0DDE1139"/>
    <w:rsid w:val="0E1E7AC7"/>
    <w:rsid w:val="0E413E71"/>
    <w:rsid w:val="0E7455B2"/>
    <w:rsid w:val="0E7B1AA2"/>
    <w:rsid w:val="0E7F23A4"/>
    <w:rsid w:val="0EB02274"/>
    <w:rsid w:val="0EC355B3"/>
    <w:rsid w:val="0ED36852"/>
    <w:rsid w:val="0EE52C29"/>
    <w:rsid w:val="0EF6634E"/>
    <w:rsid w:val="0EFB3A31"/>
    <w:rsid w:val="0F095A37"/>
    <w:rsid w:val="0F1A3B0B"/>
    <w:rsid w:val="0F29172E"/>
    <w:rsid w:val="0F5F1A0C"/>
    <w:rsid w:val="0F64150A"/>
    <w:rsid w:val="0F697CA7"/>
    <w:rsid w:val="0F881128"/>
    <w:rsid w:val="0F972C0D"/>
    <w:rsid w:val="0FAB7566"/>
    <w:rsid w:val="0FB0474F"/>
    <w:rsid w:val="0FBA413C"/>
    <w:rsid w:val="0FCD3553"/>
    <w:rsid w:val="0FE4264A"/>
    <w:rsid w:val="0FEA4046"/>
    <w:rsid w:val="100214D2"/>
    <w:rsid w:val="100F5919"/>
    <w:rsid w:val="102D3FF1"/>
    <w:rsid w:val="102E6638"/>
    <w:rsid w:val="10367652"/>
    <w:rsid w:val="1047087A"/>
    <w:rsid w:val="1059129A"/>
    <w:rsid w:val="106257EE"/>
    <w:rsid w:val="108B094A"/>
    <w:rsid w:val="10AA73F0"/>
    <w:rsid w:val="10AD2D88"/>
    <w:rsid w:val="10C745F1"/>
    <w:rsid w:val="10EA2BC5"/>
    <w:rsid w:val="10F414EA"/>
    <w:rsid w:val="11166793"/>
    <w:rsid w:val="111B02EE"/>
    <w:rsid w:val="112E5EC1"/>
    <w:rsid w:val="112E7D36"/>
    <w:rsid w:val="113D0F5B"/>
    <w:rsid w:val="114F2865"/>
    <w:rsid w:val="11596432"/>
    <w:rsid w:val="115F3A90"/>
    <w:rsid w:val="11892108"/>
    <w:rsid w:val="11A00C22"/>
    <w:rsid w:val="11A15B97"/>
    <w:rsid w:val="11A77CAA"/>
    <w:rsid w:val="11B54E22"/>
    <w:rsid w:val="11F33CA4"/>
    <w:rsid w:val="11FD5A62"/>
    <w:rsid w:val="120919F7"/>
    <w:rsid w:val="120E415D"/>
    <w:rsid w:val="120E4C15"/>
    <w:rsid w:val="12327377"/>
    <w:rsid w:val="12483364"/>
    <w:rsid w:val="124E024F"/>
    <w:rsid w:val="12672719"/>
    <w:rsid w:val="12767883"/>
    <w:rsid w:val="12962136"/>
    <w:rsid w:val="129B07D8"/>
    <w:rsid w:val="12A42854"/>
    <w:rsid w:val="12A87ADE"/>
    <w:rsid w:val="12AC2975"/>
    <w:rsid w:val="12AC5C2E"/>
    <w:rsid w:val="12F31522"/>
    <w:rsid w:val="12F708E7"/>
    <w:rsid w:val="130D3C66"/>
    <w:rsid w:val="13854D45"/>
    <w:rsid w:val="138D4AFE"/>
    <w:rsid w:val="13924148"/>
    <w:rsid w:val="13A31C28"/>
    <w:rsid w:val="13BB7C9E"/>
    <w:rsid w:val="13CF528F"/>
    <w:rsid w:val="13FE659F"/>
    <w:rsid w:val="14337207"/>
    <w:rsid w:val="14416EB0"/>
    <w:rsid w:val="14577569"/>
    <w:rsid w:val="147B7590"/>
    <w:rsid w:val="1481490C"/>
    <w:rsid w:val="149232D4"/>
    <w:rsid w:val="14A16D5C"/>
    <w:rsid w:val="14B6241E"/>
    <w:rsid w:val="14BA2108"/>
    <w:rsid w:val="14C76A12"/>
    <w:rsid w:val="14D36781"/>
    <w:rsid w:val="14DE7B23"/>
    <w:rsid w:val="14E25007"/>
    <w:rsid w:val="14EB18BB"/>
    <w:rsid w:val="150115A9"/>
    <w:rsid w:val="15015A4D"/>
    <w:rsid w:val="153E5A17"/>
    <w:rsid w:val="157224A6"/>
    <w:rsid w:val="15783F61"/>
    <w:rsid w:val="157F1E02"/>
    <w:rsid w:val="157F6158"/>
    <w:rsid w:val="159B6C93"/>
    <w:rsid w:val="159D39C7"/>
    <w:rsid w:val="15AE7584"/>
    <w:rsid w:val="15B37BF1"/>
    <w:rsid w:val="15C40C40"/>
    <w:rsid w:val="16096967"/>
    <w:rsid w:val="160F0D79"/>
    <w:rsid w:val="16113804"/>
    <w:rsid w:val="16432473"/>
    <w:rsid w:val="167964D4"/>
    <w:rsid w:val="16816E45"/>
    <w:rsid w:val="16890903"/>
    <w:rsid w:val="16A01D0F"/>
    <w:rsid w:val="16A62408"/>
    <w:rsid w:val="16A82624"/>
    <w:rsid w:val="16AB476B"/>
    <w:rsid w:val="16B83E57"/>
    <w:rsid w:val="16C01312"/>
    <w:rsid w:val="16C531D6"/>
    <w:rsid w:val="16E06E93"/>
    <w:rsid w:val="16ED44DA"/>
    <w:rsid w:val="170809FD"/>
    <w:rsid w:val="170E2F06"/>
    <w:rsid w:val="172C5003"/>
    <w:rsid w:val="172D4B0D"/>
    <w:rsid w:val="17632BD5"/>
    <w:rsid w:val="17B95613"/>
    <w:rsid w:val="17E23911"/>
    <w:rsid w:val="17F660E0"/>
    <w:rsid w:val="17FA3B6E"/>
    <w:rsid w:val="182A0E16"/>
    <w:rsid w:val="18315A8D"/>
    <w:rsid w:val="1840688C"/>
    <w:rsid w:val="18786026"/>
    <w:rsid w:val="18A138D4"/>
    <w:rsid w:val="18A84985"/>
    <w:rsid w:val="18AB0433"/>
    <w:rsid w:val="18AE37F5"/>
    <w:rsid w:val="18BD40B0"/>
    <w:rsid w:val="18C62E6F"/>
    <w:rsid w:val="18D641E0"/>
    <w:rsid w:val="18F05EEA"/>
    <w:rsid w:val="190136AC"/>
    <w:rsid w:val="192B3098"/>
    <w:rsid w:val="193446F8"/>
    <w:rsid w:val="193631F2"/>
    <w:rsid w:val="19870E60"/>
    <w:rsid w:val="198E6F33"/>
    <w:rsid w:val="198F7974"/>
    <w:rsid w:val="19E03E83"/>
    <w:rsid w:val="19E42FA8"/>
    <w:rsid w:val="19E92142"/>
    <w:rsid w:val="19F67A24"/>
    <w:rsid w:val="1A204BC7"/>
    <w:rsid w:val="1A2076E9"/>
    <w:rsid w:val="1A2F6FA0"/>
    <w:rsid w:val="1A4678C3"/>
    <w:rsid w:val="1A516B2E"/>
    <w:rsid w:val="1A597FD2"/>
    <w:rsid w:val="1A7F53D6"/>
    <w:rsid w:val="1A992223"/>
    <w:rsid w:val="1A9B5FFB"/>
    <w:rsid w:val="1B03607B"/>
    <w:rsid w:val="1B1C1F0C"/>
    <w:rsid w:val="1B30700B"/>
    <w:rsid w:val="1B3747DD"/>
    <w:rsid w:val="1B542592"/>
    <w:rsid w:val="1B606546"/>
    <w:rsid w:val="1B862CED"/>
    <w:rsid w:val="1BB67C61"/>
    <w:rsid w:val="1BDB6FF7"/>
    <w:rsid w:val="1BEA0FE8"/>
    <w:rsid w:val="1BF765A0"/>
    <w:rsid w:val="1C0A6AB2"/>
    <w:rsid w:val="1C0F6CA1"/>
    <w:rsid w:val="1C2F2D72"/>
    <w:rsid w:val="1C404EA7"/>
    <w:rsid w:val="1C6358AB"/>
    <w:rsid w:val="1C6B78BF"/>
    <w:rsid w:val="1C751D0C"/>
    <w:rsid w:val="1CA10EA8"/>
    <w:rsid w:val="1CBB6DCE"/>
    <w:rsid w:val="1CD21FF5"/>
    <w:rsid w:val="1CD441F2"/>
    <w:rsid w:val="1CF74F2E"/>
    <w:rsid w:val="1D2A6DE6"/>
    <w:rsid w:val="1D381D32"/>
    <w:rsid w:val="1DB25B36"/>
    <w:rsid w:val="1DCF3CD6"/>
    <w:rsid w:val="1DD50B17"/>
    <w:rsid w:val="1DD64A26"/>
    <w:rsid w:val="1DE67561"/>
    <w:rsid w:val="1DF36151"/>
    <w:rsid w:val="1DF43546"/>
    <w:rsid w:val="1DF66546"/>
    <w:rsid w:val="1E0B0B6C"/>
    <w:rsid w:val="1E0F3759"/>
    <w:rsid w:val="1E28435D"/>
    <w:rsid w:val="1E4B079E"/>
    <w:rsid w:val="1E4F15D7"/>
    <w:rsid w:val="1E8D59CB"/>
    <w:rsid w:val="1E93016B"/>
    <w:rsid w:val="1E971C7C"/>
    <w:rsid w:val="1E9D2342"/>
    <w:rsid w:val="1EAE365D"/>
    <w:rsid w:val="1EB414E9"/>
    <w:rsid w:val="1ED8781E"/>
    <w:rsid w:val="1EF108E0"/>
    <w:rsid w:val="1F52137F"/>
    <w:rsid w:val="1F5844BB"/>
    <w:rsid w:val="1F5A5197"/>
    <w:rsid w:val="1F5B1D47"/>
    <w:rsid w:val="1F606BAA"/>
    <w:rsid w:val="1F704CB9"/>
    <w:rsid w:val="1F8506BB"/>
    <w:rsid w:val="1FB11F77"/>
    <w:rsid w:val="1FBF0321"/>
    <w:rsid w:val="1FC23B38"/>
    <w:rsid w:val="1FD75EB6"/>
    <w:rsid w:val="1FFA4EF4"/>
    <w:rsid w:val="201B3E66"/>
    <w:rsid w:val="201D443F"/>
    <w:rsid w:val="203B0834"/>
    <w:rsid w:val="20444DF0"/>
    <w:rsid w:val="2051423C"/>
    <w:rsid w:val="206215A1"/>
    <w:rsid w:val="20D76825"/>
    <w:rsid w:val="2100305C"/>
    <w:rsid w:val="212C5BFF"/>
    <w:rsid w:val="21311468"/>
    <w:rsid w:val="21494A03"/>
    <w:rsid w:val="21546F1B"/>
    <w:rsid w:val="215B3D2F"/>
    <w:rsid w:val="21764C9F"/>
    <w:rsid w:val="21A67760"/>
    <w:rsid w:val="21E85818"/>
    <w:rsid w:val="21EB64F7"/>
    <w:rsid w:val="21ED5502"/>
    <w:rsid w:val="21FB7D81"/>
    <w:rsid w:val="21FF7B22"/>
    <w:rsid w:val="221548E5"/>
    <w:rsid w:val="22180E56"/>
    <w:rsid w:val="22291464"/>
    <w:rsid w:val="22422404"/>
    <w:rsid w:val="2273571C"/>
    <w:rsid w:val="22943FB4"/>
    <w:rsid w:val="22A91D27"/>
    <w:rsid w:val="22BD679F"/>
    <w:rsid w:val="22E461E8"/>
    <w:rsid w:val="22F66AC1"/>
    <w:rsid w:val="231A1E2F"/>
    <w:rsid w:val="23270F1B"/>
    <w:rsid w:val="233F7E6C"/>
    <w:rsid w:val="23496F3C"/>
    <w:rsid w:val="2356299F"/>
    <w:rsid w:val="2364587E"/>
    <w:rsid w:val="2364787B"/>
    <w:rsid w:val="23712C4B"/>
    <w:rsid w:val="238735C1"/>
    <w:rsid w:val="238B183B"/>
    <w:rsid w:val="23A607C4"/>
    <w:rsid w:val="23B34BAC"/>
    <w:rsid w:val="23B6282D"/>
    <w:rsid w:val="23C87302"/>
    <w:rsid w:val="23DA1943"/>
    <w:rsid w:val="24072542"/>
    <w:rsid w:val="241256F5"/>
    <w:rsid w:val="241E2078"/>
    <w:rsid w:val="245F5471"/>
    <w:rsid w:val="246D27B7"/>
    <w:rsid w:val="246F7C3D"/>
    <w:rsid w:val="24763D61"/>
    <w:rsid w:val="24860AAE"/>
    <w:rsid w:val="24897B3B"/>
    <w:rsid w:val="24952361"/>
    <w:rsid w:val="24F829C8"/>
    <w:rsid w:val="25100542"/>
    <w:rsid w:val="251E1CB7"/>
    <w:rsid w:val="25292B82"/>
    <w:rsid w:val="252D60F3"/>
    <w:rsid w:val="252F2B82"/>
    <w:rsid w:val="253357AE"/>
    <w:rsid w:val="2553203F"/>
    <w:rsid w:val="256376A5"/>
    <w:rsid w:val="25641E0C"/>
    <w:rsid w:val="256B5A72"/>
    <w:rsid w:val="257F463C"/>
    <w:rsid w:val="259455FA"/>
    <w:rsid w:val="25A6736C"/>
    <w:rsid w:val="25A9485D"/>
    <w:rsid w:val="25CE0A3F"/>
    <w:rsid w:val="26017313"/>
    <w:rsid w:val="2621701E"/>
    <w:rsid w:val="266271CD"/>
    <w:rsid w:val="266F4DB8"/>
    <w:rsid w:val="267B18D6"/>
    <w:rsid w:val="26A5615F"/>
    <w:rsid w:val="26BA7B53"/>
    <w:rsid w:val="26C921B6"/>
    <w:rsid w:val="26DE5BEE"/>
    <w:rsid w:val="26F73FDA"/>
    <w:rsid w:val="27106306"/>
    <w:rsid w:val="27172D0A"/>
    <w:rsid w:val="27182EAE"/>
    <w:rsid w:val="271F1251"/>
    <w:rsid w:val="27450B08"/>
    <w:rsid w:val="27623589"/>
    <w:rsid w:val="27710BD6"/>
    <w:rsid w:val="27A74232"/>
    <w:rsid w:val="27AA7A9F"/>
    <w:rsid w:val="27AC5CEC"/>
    <w:rsid w:val="27AC5F10"/>
    <w:rsid w:val="27AE55C0"/>
    <w:rsid w:val="27D33279"/>
    <w:rsid w:val="27EA0323"/>
    <w:rsid w:val="2801432B"/>
    <w:rsid w:val="28100ED0"/>
    <w:rsid w:val="2828647E"/>
    <w:rsid w:val="28341F69"/>
    <w:rsid w:val="28444694"/>
    <w:rsid w:val="28536270"/>
    <w:rsid w:val="28701C0B"/>
    <w:rsid w:val="288F4569"/>
    <w:rsid w:val="28CD1A76"/>
    <w:rsid w:val="28D24146"/>
    <w:rsid w:val="28E8191E"/>
    <w:rsid w:val="292024ED"/>
    <w:rsid w:val="2921426B"/>
    <w:rsid w:val="29402A3F"/>
    <w:rsid w:val="294855A0"/>
    <w:rsid w:val="294B33FB"/>
    <w:rsid w:val="29604B9E"/>
    <w:rsid w:val="29611D97"/>
    <w:rsid w:val="296879F1"/>
    <w:rsid w:val="296E5E94"/>
    <w:rsid w:val="297C7740"/>
    <w:rsid w:val="29810CA3"/>
    <w:rsid w:val="299077B6"/>
    <w:rsid w:val="299B1B74"/>
    <w:rsid w:val="29D26E17"/>
    <w:rsid w:val="29E8335B"/>
    <w:rsid w:val="2A405C10"/>
    <w:rsid w:val="2A4F2539"/>
    <w:rsid w:val="2A674427"/>
    <w:rsid w:val="2A7D7069"/>
    <w:rsid w:val="2A885A56"/>
    <w:rsid w:val="2A8E16D9"/>
    <w:rsid w:val="2A935D31"/>
    <w:rsid w:val="2AB0029F"/>
    <w:rsid w:val="2AB73A3B"/>
    <w:rsid w:val="2AB82A5B"/>
    <w:rsid w:val="2AC02DE2"/>
    <w:rsid w:val="2AD4533E"/>
    <w:rsid w:val="2ADA1A0E"/>
    <w:rsid w:val="2AE46A49"/>
    <w:rsid w:val="2AE82B97"/>
    <w:rsid w:val="2AE9690F"/>
    <w:rsid w:val="2AF72696"/>
    <w:rsid w:val="2B33475A"/>
    <w:rsid w:val="2B74267D"/>
    <w:rsid w:val="2B766569"/>
    <w:rsid w:val="2B807273"/>
    <w:rsid w:val="2BAD10B9"/>
    <w:rsid w:val="2BB4300F"/>
    <w:rsid w:val="2BC10E1F"/>
    <w:rsid w:val="2BE251D1"/>
    <w:rsid w:val="2C0627E4"/>
    <w:rsid w:val="2C11642A"/>
    <w:rsid w:val="2C2916B9"/>
    <w:rsid w:val="2C351E0C"/>
    <w:rsid w:val="2C6B7D79"/>
    <w:rsid w:val="2C806C46"/>
    <w:rsid w:val="2C850D88"/>
    <w:rsid w:val="2C87404C"/>
    <w:rsid w:val="2C90798A"/>
    <w:rsid w:val="2CAA00EB"/>
    <w:rsid w:val="2CB0732E"/>
    <w:rsid w:val="2CBF3DCB"/>
    <w:rsid w:val="2D013193"/>
    <w:rsid w:val="2D12304D"/>
    <w:rsid w:val="2D3227EF"/>
    <w:rsid w:val="2D3A0042"/>
    <w:rsid w:val="2D594F9E"/>
    <w:rsid w:val="2D5B77E5"/>
    <w:rsid w:val="2D5D39A4"/>
    <w:rsid w:val="2D700E84"/>
    <w:rsid w:val="2D7C322C"/>
    <w:rsid w:val="2D99553C"/>
    <w:rsid w:val="2D9B2143"/>
    <w:rsid w:val="2D9B32A7"/>
    <w:rsid w:val="2DA853C9"/>
    <w:rsid w:val="2DB01310"/>
    <w:rsid w:val="2DBE7B1D"/>
    <w:rsid w:val="2DD43EE3"/>
    <w:rsid w:val="2DF93DDE"/>
    <w:rsid w:val="2E01070E"/>
    <w:rsid w:val="2E0226E0"/>
    <w:rsid w:val="2E0E0CDE"/>
    <w:rsid w:val="2E55688B"/>
    <w:rsid w:val="2E8D146B"/>
    <w:rsid w:val="2E905A1F"/>
    <w:rsid w:val="2EB173DD"/>
    <w:rsid w:val="2EC4755A"/>
    <w:rsid w:val="2EC50E19"/>
    <w:rsid w:val="2ED81803"/>
    <w:rsid w:val="2EFA10EB"/>
    <w:rsid w:val="2F0562AC"/>
    <w:rsid w:val="2F307DD8"/>
    <w:rsid w:val="2F3747C7"/>
    <w:rsid w:val="2F38042D"/>
    <w:rsid w:val="2F716042"/>
    <w:rsid w:val="2F7905D8"/>
    <w:rsid w:val="2F7C1D5D"/>
    <w:rsid w:val="2F8476D6"/>
    <w:rsid w:val="2F912D37"/>
    <w:rsid w:val="2F972DDE"/>
    <w:rsid w:val="2F9A7B60"/>
    <w:rsid w:val="2FAD3237"/>
    <w:rsid w:val="2FBE78D0"/>
    <w:rsid w:val="2FD815CC"/>
    <w:rsid w:val="30204540"/>
    <w:rsid w:val="30281C88"/>
    <w:rsid w:val="30482662"/>
    <w:rsid w:val="307A601C"/>
    <w:rsid w:val="30A05B40"/>
    <w:rsid w:val="30AE6631"/>
    <w:rsid w:val="30C767E0"/>
    <w:rsid w:val="30CB32FB"/>
    <w:rsid w:val="30F05FA9"/>
    <w:rsid w:val="312C3C9C"/>
    <w:rsid w:val="31315E63"/>
    <w:rsid w:val="31322DBE"/>
    <w:rsid w:val="319C46DB"/>
    <w:rsid w:val="31AF2603"/>
    <w:rsid w:val="31AF29FB"/>
    <w:rsid w:val="31B007D8"/>
    <w:rsid w:val="31D6711D"/>
    <w:rsid w:val="31DD2473"/>
    <w:rsid w:val="31E56082"/>
    <w:rsid w:val="31EF2C58"/>
    <w:rsid w:val="32031D3C"/>
    <w:rsid w:val="320710EC"/>
    <w:rsid w:val="32381939"/>
    <w:rsid w:val="324042EC"/>
    <w:rsid w:val="324A2D3D"/>
    <w:rsid w:val="32522919"/>
    <w:rsid w:val="325F30A0"/>
    <w:rsid w:val="32645854"/>
    <w:rsid w:val="3267491C"/>
    <w:rsid w:val="326C73AF"/>
    <w:rsid w:val="32845DDE"/>
    <w:rsid w:val="32A25388"/>
    <w:rsid w:val="32A50F33"/>
    <w:rsid w:val="33047127"/>
    <w:rsid w:val="3325072D"/>
    <w:rsid w:val="333D3AEE"/>
    <w:rsid w:val="333F5C66"/>
    <w:rsid w:val="334119DE"/>
    <w:rsid w:val="33437504"/>
    <w:rsid w:val="3349715C"/>
    <w:rsid w:val="33520E82"/>
    <w:rsid w:val="335D7E9A"/>
    <w:rsid w:val="3361798A"/>
    <w:rsid w:val="337376BE"/>
    <w:rsid w:val="3374211D"/>
    <w:rsid w:val="33B36BA9"/>
    <w:rsid w:val="33DF247C"/>
    <w:rsid w:val="33EE54D5"/>
    <w:rsid w:val="33F13244"/>
    <w:rsid w:val="33F56325"/>
    <w:rsid w:val="340B21E3"/>
    <w:rsid w:val="340F0157"/>
    <w:rsid w:val="3432054C"/>
    <w:rsid w:val="343E5F1E"/>
    <w:rsid w:val="34425A0E"/>
    <w:rsid w:val="34693F09"/>
    <w:rsid w:val="346A57CF"/>
    <w:rsid w:val="346E408A"/>
    <w:rsid w:val="34A26271"/>
    <w:rsid w:val="34A6512B"/>
    <w:rsid w:val="34B463BC"/>
    <w:rsid w:val="34B955A4"/>
    <w:rsid w:val="34E2595F"/>
    <w:rsid w:val="34EA56C7"/>
    <w:rsid w:val="34F30AB6"/>
    <w:rsid w:val="35047151"/>
    <w:rsid w:val="35105A4F"/>
    <w:rsid w:val="351A6043"/>
    <w:rsid w:val="35501281"/>
    <w:rsid w:val="355C133F"/>
    <w:rsid w:val="35A46254"/>
    <w:rsid w:val="35AD5109"/>
    <w:rsid w:val="35AF5AAB"/>
    <w:rsid w:val="35C83CF1"/>
    <w:rsid w:val="35D00DF7"/>
    <w:rsid w:val="35EE2F59"/>
    <w:rsid w:val="35EE3B1E"/>
    <w:rsid w:val="35EF5204"/>
    <w:rsid w:val="35F83427"/>
    <w:rsid w:val="360269EC"/>
    <w:rsid w:val="36101BD5"/>
    <w:rsid w:val="36162CAE"/>
    <w:rsid w:val="363438F4"/>
    <w:rsid w:val="36456E0B"/>
    <w:rsid w:val="3666714D"/>
    <w:rsid w:val="36957FA4"/>
    <w:rsid w:val="36BE2FC7"/>
    <w:rsid w:val="36DC61ED"/>
    <w:rsid w:val="36E876EF"/>
    <w:rsid w:val="372E148E"/>
    <w:rsid w:val="372E1EF2"/>
    <w:rsid w:val="37377E86"/>
    <w:rsid w:val="373A29CC"/>
    <w:rsid w:val="37462492"/>
    <w:rsid w:val="374C5617"/>
    <w:rsid w:val="374D4B61"/>
    <w:rsid w:val="375A7CAE"/>
    <w:rsid w:val="379C2387"/>
    <w:rsid w:val="37A25000"/>
    <w:rsid w:val="37AC0C2C"/>
    <w:rsid w:val="37AD7F7D"/>
    <w:rsid w:val="3829714B"/>
    <w:rsid w:val="38397128"/>
    <w:rsid w:val="383A743E"/>
    <w:rsid w:val="38443DFC"/>
    <w:rsid w:val="384A0204"/>
    <w:rsid w:val="385E6B8E"/>
    <w:rsid w:val="38883064"/>
    <w:rsid w:val="38910B38"/>
    <w:rsid w:val="389F0980"/>
    <w:rsid w:val="38B56F92"/>
    <w:rsid w:val="38FF5606"/>
    <w:rsid w:val="39455658"/>
    <w:rsid w:val="3954746A"/>
    <w:rsid w:val="39571194"/>
    <w:rsid w:val="395D0B68"/>
    <w:rsid w:val="396B1E16"/>
    <w:rsid w:val="39854618"/>
    <w:rsid w:val="398829BE"/>
    <w:rsid w:val="39A64471"/>
    <w:rsid w:val="39AB0664"/>
    <w:rsid w:val="39AD1085"/>
    <w:rsid w:val="39E91BA4"/>
    <w:rsid w:val="3A0339D0"/>
    <w:rsid w:val="3A05154D"/>
    <w:rsid w:val="3A2705A1"/>
    <w:rsid w:val="3A541773"/>
    <w:rsid w:val="3A5B70B1"/>
    <w:rsid w:val="3A696BE8"/>
    <w:rsid w:val="3A7254FB"/>
    <w:rsid w:val="3A8521B0"/>
    <w:rsid w:val="3A873793"/>
    <w:rsid w:val="3AA16444"/>
    <w:rsid w:val="3AA811CB"/>
    <w:rsid w:val="3AD64BEA"/>
    <w:rsid w:val="3AE74832"/>
    <w:rsid w:val="3B0A066E"/>
    <w:rsid w:val="3B1B6CA7"/>
    <w:rsid w:val="3B3237CF"/>
    <w:rsid w:val="3B7423AC"/>
    <w:rsid w:val="3B9B5079"/>
    <w:rsid w:val="3BBA40DC"/>
    <w:rsid w:val="3BBE174D"/>
    <w:rsid w:val="3BC47EE7"/>
    <w:rsid w:val="3BE71216"/>
    <w:rsid w:val="3C1C30D6"/>
    <w:rsid w:val="3C1C6BB8"/>
    <w:rsid w:val="3C40441C"/>
    <w:rsid w:val="3C504ED6"/>
    <w:rsid w:val="3C6030C9"/>
    <w:rsid w:val="3C7E3202"/>
    <w:rsid w:val="3CC549B2"/>
    <w:rsid w:val="3CF7D354"/>
    <w:rsid w:val="3CFE3E64"/>
    <w:rsid w:val="3D0D60B6"/>
    <w:rsid w:val="3D162D45"/>
    <w:rsid w:val="3D281EC8"/>
    <w:rsid w:val="3D2B2B8C"/>
    <w:rsid w:val="3D3213E4"/>
    <w:rsid w:val="3D675DC6"/>
    <w:rsid w:val="3D762631"/>
    <w:rsid w:val="3D962926"/>
    <w:rsid w:val="3D995F73"/>
    <w:rsid w:val="3DAD16BA"/>
    <w:rsid w:val="3DB77C3B"/>
    <w:rsid w:val="3DD50AFB"/>
    <w:rsid w:val="3DE73182"/>
    <w:rsid w:val="3E0A303B"/>
    <w:rsid w:val="3E1E4E42"/>
    <w:rsid w:val="3E3A5ABC"/>
    <w:rsid w:val="3E4B1963"/>
    <w:rsid w:val="3E6B33DD"/>
    <w:rsid w:val="3E706C08"/>
    <w:rsid w:val="3E9F7F61"/>
    <w:rsid w:val="3EA412D0"/>
    <w:rsid w:val="3EAF4651"/>
    <w:rsid w:val="3EB05805"/>
    <w:rsid w:val="3ED2798E"/>
    <w:rsid w:val="3ED32447"/>
    <w:rsid w:val="3ED41958"/>
    <w:rsid w:val="3EE651E8"/>
    <w:rsid w:val="3EE73304"/>
    <w:rsid w:val="3F0F2990"/>
    <w:rsid w:val="3F1D32FF"/>
    <w:rsid w:val="3F252D85"/>
    <w:rsid w:val="3F2E001B"/>
    <w:rsid w:val="3F422D66"/>
    <w:rsid w:val="3F52089A"/>
    <w:rsid w:val="3F663C97"/>
    <w:rsid w:val="3F6760B2"/>
    <w:rsid w:val="3F924009"/>
    <w:rsid w:val="3FB3361B"/>
    <w:rsid w:val="3FBA7441"/>
    <w:rsid w:val="3FDD65EB"/>
    <w:rsid w:val="3FF0C5F0"/>
    <w:rsid w:val="3FF1653A"/>
    <w:rsid w:val="40010227"/>
    <w:rsid w:val="401A0D8A"/>
    <w:rsid w:val="401A675E"/>
    <w:rsid w:val="40316936"/>
    <w:rsid w:val="40380CF2"/>
    <w:rsid w:val="403A795B"/>
    <w:rsid w:val="40416B7A"/>
    <w:rsid w:val="405975F3"/>
    <w:rsid w:val="40640ABA"/>
    <w:rsid w:val="40694322"/>
    <w:rsid w:val="40771177"/>
    <w:rsid w:val="40A63F0F"/>
    <w:rsid w:val="40B27FF8"/>
    <w:rsid w:val="410A4A33"/>
    <w:rsid w:val="41100CA0"/>
    <w:rsid w:val="411173AA"/>
    <w:rsid w:val="412F08A6"/>
    <w:rsid w:val="41393CF5"/>
    <w:rsid w:val="41581E77"/>
    <w:rsid w:val="41847666"/>
    <w:rsid w:val="41DB48D2"/>
    <w:rsid w:val="41ED38E9"/>
    <w:rsid w:val="421A4B61"/>
    <w:rsid w:val="4257343A"/>
    <w:rsid w:val="42683077"/>
    <w:rsid w:val="42770885"/>
    <w:rsid w:val="429658F0"/>
    <w:rsid w:val="429926BE"/>
    <w:rsid w:val="42DE18F7"/>
    <w:rsid w:val="42FF2B6A"/>
    <w:rsid w:val="43203C12"/>
    <w:rsid w:val="432A0EB2"/>
    <w:rsid w:val="435C492E"/>
    <w:rsid w:val="436B2830"/>
    <w:rsid w:val="43B11758"/>
    <w:rsid w:val="43BC29BB"/>
    <w:rsid w:val="43CE7979"/>
    <w:rsid w:val="43D13E35"/>
    <w:rsid w:val="43D81DF9"/>
    <w:rsid w:val="43E360E1"/>
    <w:rsid w:val="440D1EAD"/>
    <w:rsid w:val="440D6593"/>
    <w:rsid w:val="441B20B5"/>
    <w:rsid w:val="44366C11"/>
    <w:rsid w:val="44475071"/>
    <w:rsid w:val="446479C9"/>
    <w:rsid w:val="44890AEF"/>
    <w:rsid w:val="449400FA"/>
    <w:rsid w:val="44A55215"/>
    <w:rsid w:val="44B50B65"/>
    <w:rsid w:val="44BF417E"/>
    <w:rsid w:val="44D6648C"/>
    <w:rsid w:val="44E20BAD"/>
    <w:rsid w:val="450F4D8A"/>
    <w:rsid w:val="45116CEE"/>
    <w:rsid w:val="456A2EB2"/>
    <w:rsid w:val="456F2434"/>
    <w:rsid w:val="457B4E0E"/>
    <w:rsid w:val="457C53C2"/>
    <w:rsid w:val="4591040A"/>
    <w:rsid w:val="45967968"/>
    <w:rsid w:val="45A97F18"/>
    <w:rsid w:val="45D71D2E"/>
    <w:rsid w:val="45FF5291"/>
    <w:rsid w:val="461C75ED"/>
    <w:rsid w:val="463C0253"/>
    <w:rsid w:val="4655719D"/>
    <w:rsid w:val="466427B7"/>
    <w:rsid w:val="46A56D72"/>
    <w:rsid w:val="46D10DCA"/>
    <w:rsid w:val="46F76745"/>
    <w:rsid w:val="46FB2EB7"/>
    <w:rsid w:val="47062619"/>
    <w:rsid w:val="470C52F4"/>
    <w:rsid w:val="47743083"/>
    <w:rsid w:val="477660CB"/>
    <w:rsid w:val="477A6AEF"/>
    <w:rsid w:val="47916B11"/>
    <w:rsid w:val="47A218BB"/>
    <w:rsid w:val="47E661C2"/>
    <w:rsid w:val="47FE0532"/>
    <w:rsid w:val="47FE17F4"/>
    <w:rsid w:val="480732DE"/>
    <w:rsid w:val="480A1F47"/>
    <w:rsid w:val="481501F8"/>
    <w:rsid w:val="481E0468"/>
    <w:rsid w:val="48204014"/>
    <w:rsid w:val="482761DD"/>
    <w:rsid w:val="483900A7"/>
    <w:rsid w:val="483E069D"/>
    <w:rsid w:val="484C163E"/>
    <w:rsid w:val="48671252"/>
    <w:rsid w:val="48695FE9"/>
    <w:rsid w:val="48743864"/>
    <w:rsid w:val="487C3758"/>
    <w:rsid w:val="488F6F88"/>
    <w:rsid w:val="48AA54D8"/>
    <w:rsid w:val="48C761F5"/>
    <w:rsid w:val="48FD1D08"/>
    <w:rsid w:val="4909363D"/>
    <w:rsid w:val="49290AF3"/>
    <w:rsid w:val="493C2AA4"/>
    <w:rsid w:val="49450A41"/>
    <w:rsid w:val="494A7B12"/>
    <w:rsid w:val="495C6F05"/>
    <w:rsid w:val="4961203A"/>
    <w:rsid w:val="497610FD"/>
    <w:rsid w:val="497E0A06"/>
    <w:rsid w:val="497F5E46"/>
    <w:rsid w:val="49851442"/>
    <w:rsid w:val="499C5935"/>
    <w:rsid w:val="49A632F3"/>
    <w:rsid w:val="49AC57B5"/>
    <w:rsid w:val="49C017D8"/>
    <w:rsid w:val="49CB3958"/>
    <w:rsid w:val="49D02721"/>
    <w:rsid w:val="49D37C56"/>
    <w:rsid w:val="4A064B19"/>
    <w:rsid w:val="4A123335"/>
    <w:rsid w:val="4A646B66"/>
    <w:rsid w:val="4A8C5F7D"/>
    <w:rsid w:val="4AA46683"/>
    <w:rsid w:val="4AA523FB"/>
    <w:rsid w:val="4ABE303F"/>
    <w:rsid w:val="4AD82813"/>
    <w:rsid w:val="4AD8457E"/>
    <w:rsid w:val="4AF17CC0"/>
    <w:rsid w:val="4AF40C8C"/>
    <w:rsid w:val="4B0A19F1"/>
    <w:rsid w:val="4B0C7CA6"/>
    <w:rsid w:val="4B1D3AD6"/>
    <w:rsid w:val="4B2C1BDB"/>
    <w:rsid w:val="4B3E66D0"/>
    <w:rsid w:val="4B460B4B"/>
    <w:rsid w:val="4B524B95"/>
    <w:rsid w:val="4B5F25AA"/>
    <w:rsid w:val="4BA97CC9"/>
    <w:rsid w:val="4BAD1567"/>
    <w:rsid w:val="4BB375DD"/>
    <w:rsid w:val="4BBE6A70"/>
    <w:rsid w:val="4BBF3681"/>
    <w:rsid w:val="4BE75159"/>
    <w:rsid w:val="4BFF6209"/>
    <w:rsid w:val="4C0118B3"/>
    <w:rsid w:val="4C3F4944"/>
    <w:rsid w:val="4C4B52F4"/>
    <w:rsid w:val="4C5543CB"/>
    <w:rsid w:val="4C72111F"/>
    <w:rsid w:val="4C746529"/>
    <w:rsid w:val="4C8C5620"/>
    <w:rsid w:val="4CAA5B12"/>
    <w:rsid w:val="4CB00FD8"/>
    <w:rsid w:val="4CB45878"/>
    <w:rsid w:val="4CF15EA5"/>
    <w:rsid w:val="4D280D19"/>
    <w:rsid w:val="4D767CDE"/>
    <w:rsid w:val="4D884537"/>
    <w:rsid w:val="4DA5476E"/>
    <w:rsid w:val="4DAE0FB6"/>
    <w:rsid w:val="4DCE1C69"/>
    <w:rsid w:val="4E3E08ED"/>
    <w:rsid w:val="4E4168DE"/>
    <w:rsid w:val="4E634E82"/>
    <w:rsid w:val="4E6B144B"/>
    <w:rsid w:val="4E8011B5"/>
    <w:rsid w:val="4EB97C5C"/>
    <w:rsid w:val="4EC36824"/>
    <w:rsid w:val="4EC531EF"/>
    <w:rsid w:val="4ECD0381"/>
    <w:rsid w:val="4ECD5AF8"/>
    <w:rsid w:val="4EEA457E"/>
    <w:rsid w:val="4F1C3164"/>
    <w:rsid w:val="4F227917"/>
    <w:rsid w:val="4F3124AF"/>
    <w:rsid w:val="4F5D32A4"/>
    <w:rsid w:val="4F61287E"/>
    <w:rsid w:val="4F67773A"/>
    <w:rsid w:val="4F7B7DFC"/>
    <w:rsid w:val="4F9842DC"/>
    <w:rsid w:val="4FA82692"/>
    <w:rsid w:val="4FAA574F"/>
    <w:rsid w:val="500D52C3"/>
    <w:rsid w:val="500F69BB"/>
    <w:rsid w:val="502542DA"/>
    <w:rsid w:val="502A7CEF"/>
    <w:rsid w:val="503365DA"/>
    <w:rsid w:val="50467DF8"/>
    <w:rsid w:val="50484129"/>
    <w:rsid w:val="504D50C7"/>
    <w:rsid w:val="50557FF7"/>
    <w:rsid w:val="50903563"/>
    <w:rsid w:val="50C854B3"/>
    <w:rsid w:val="50E2295D"/>
    <w:rsid w:val="50EA09A8"/>
    <w:rsid w:val="50EC48E0"/>
    <w:rsid w:val="50FD7827"/>
    <w:rsid w:val="51017205"/>
    <w:rsid w:val="51275918"/>
    <w:rsid w:val="5138767D"/>
    <w:rsid w:val="514477A1"/>
    <w:rsid w:val="51516BF1"/>
    <w:rsid w:val="515E513F"/>
    <w:rsid w:val="516118CD"/>
    <w:rsid w:val="51653A78"/>
    <w:rsid w:val="51675ADE"/>
    <w:rsid w:val="516F16A8"/>
    <w:rsid w:val="51B1555C"/>
    <w:rsid w:val="51B86EB8"/>
    <w:rsid w:val="51D862A4"/>
    <w:rsid w:val="51DC4954"/>
    <w:rsid w:val="51E66A28"/>
    <w:rsid w:val="5239284C"/>
    <w:rsid w:val="5247586A"/>
    <w:rsid w:val="525B4372"/>
    <w:rsid w:val="5271389B"/>
    <w:rsid w:val="52775B69"/>
    <w:rsid w:val="52927EBD"/>
    <w:rsid w:val="52953DA4"/>
    <w:rsid w:val="52C11D9C"/>
    <w:rsid w:val="52DA7128"/>
    <w:rsid w:val="52DE4138"/>
    <w:rsid w:val="531B2907"/>
    <w:rsid w:val="532A2228"/>
    <w:rsid w:val="535320ED"/>
    <w:rsid w:val="53573B10"/>
    <w:rsid w:val="536C7543"/>
    <w:rsid w:val="5371289D"/>
    <w:rsid w:val="53986FA1"/>
    <w:rsid w:val="53DC50DF"/>
    <w:rsid w:val="53DE6D19"/>
    <w:rsid w:val="53F61DBC"/>
    <w:rsid w:val="53F97A84"/>
    <w:rsid w:val="540235C5"/>
    <w:rsid w:val="54036473"/>
    <w:rsid w:val="540A5C84"/>
    <w:rsid w:val="540E63A1"/>
    <w:rsid w:val="54572372"/>
    <w:rsid w:val="546649A9"/>
    <w:rsid w:val="549C03CB"/>
    <w:rsid w:val="54A0116D"/>
    <w:rsid w:val="55124B31"/>
    <w:rsid w:val="5547140C"/>
    <w:rsid w:val="556128E7"/>
    <w:rsid w:val="557A38E3"/>
    <w:rsid w:val="55A0213D"/>
    <w:rsid w:val="55F81F79"/>
    <w:rsid w:val="55FC45E5"/>
    <w:rsid w:val="55FE354A"/>
    <w:rsid w:val="56135319"/>
    <w:rsid w:val="561540AA"/>
    <w:rsid w:val="56186177"/>
    <w:rsid w:val="562468CA"/>
    <w:rsid w:val="56464A92"/>
    <w:rsid w:val="567B624D"/>
    <w:rsid w:val="56821074"/>
    <w:rsid w:val="56A2695E"/>
    <w:rsid w:val="56AE72EE"/>
    <w:rsid w:val="56B06D7D"/>
    <w:rsid w:val="56C90818"/>
    <w:rsid w:val="56E62C85"/>
    <w:rsid w:val="56EF5522"/>
    <w:rsid w:val="571C5FED"/>
    <w:rsid w:val="57202AA2"/>
    <w:rsid w:val="572809B6"/>
    <w:rsid w:val="574B7E86"/>
    <w:rsid w:val="57591CFE"/>
    <w:rsid w:val="57727B09"/>
    <w:rsid w:val="57762675"/>
    <w:rsid w:val="57781D33"/>
    <w:rsid w:val="57910C04"/>
    <w:rsid w:val="579D6934"/>
    <w:rsid w:val="57A77A6C"/>
    <w:rsid w:val="57B517A1"/>
    <w:rsid w:val="57BB1377"/>
    <w:rsid w:val="57C849C4"/>
    <w:rsid w:val="57CC77E6"/>
    <w:rsid w:val="57F75929"/>
    <w:rsid w:val="57F93041"/>
    <w:rsid w:val="57FE70F9"/>
    <w:rsid w:val="580521C8"/>
    <w:rsid w:val="580653C7"/>
    <w:rsid w:val="58086F50"/>
    <w:rsid w:val="580A63DC"/>
    <w:rsid w:val="5822350A"/>
    <w:rsid w:val="584855C9"/>
    <w:rsid w:val="584D51F2"/>
    <w:rsid w:val="586A1A57"/>
    <w:rsid w:val="586A3B2C"/>
    <w:rsid w:val="58845D45"/>
    <w:rsid w:val="58886F88"/>
    <w:rsid w:val="58A81644"/>
    <w:rsid w:val="58AE76F6"/>
    <w:rsid w:val="58BA5585"/>
    <w:rsid w:val="58DC5F90"/>
    <w:rsid w:val="58FE6D95"/>
    <w:rsid w:val="591802DE"/>
    <w:rsid w:val="59180DE0"/>
    <w:rsid w:val="592E77F7"/>
    <w:rsid w:val="593F225C"/>
    <w:rsid w:val="595E65AD"/>
    <w:rsid w:val="598A2EE8"/>
    <w:rsid w:val="59A5436A"/>
    <w:rsid w:val="59AF4BCB"/>
    <w:rsid w:val="59B31790"/>
    <w:rsid w:val="59CC667E"/>
    <w:rsid w:val="59D23350"/>
    <w:rsid w:val="59D332EB"/>
    <w:rsid w:val="59DC02C3"/>
    <w:rsid w:val="59F14D15"/>
    <w:rsid w:val="5A0A7157"/>
    <w:rsid w:val="5A2040CD"/>
    <w:rsid w:val="5A21548F"/>
    <w:rsid w:val="5A3617C7"/>
    <w:rsid w:val="5A5149F9"/>
    <w:rsid w:val="5A874B8D"/>
    <w:rsid w:val="5AC362EC"/>
    <w:rsid w:val="5AE876A9"/>
    <w:rsid w:val="5B0C27D0"/>
    <w:rsid w:val="5B2766E1"/>
    <w:rsid w:val="5B743E4F"/>
    <w:rsid w:val="5B7E1A86"/>
    <w:rsid w:val="5B80606F"/>
    <w:rsid w:val="5B8147BE"/>
    <w:rsid w:val="5B8C5F46"/>
    <w:rsid w:val="5B8D59B9"/>
    <w:rsid w:val="5B8E27A1"/>
    <w:rsid w:val="5B922527"/>
    <w:rsid w:val="5B991B08"/>
    <w:rsid w:val="5B9C1D95"/>
    <w:rsid w:val="5BC529D0"/>
    <w:rsid w:val="5BCB6EB5"/>
    <w:rsid w:val="5BDD3BC6"/>
    <w:rsid w:val="5C164F06"/>
    <w:rsid w:val="5C323E85"/>
    <w:rsid w:val="5C395701"/>
    <w:rsid w:val="5C3C314C"/>
    <w:rsid w:val="5C3F445D"/>
    <w:rsid w:val="5C473233"/>
    <w:rsid w:val="5C741D5A"/>
    <w:rsid w:val="5C986D8B"/>
    <w:rsid w:val="5CA17A28"/>
    <w:rsid w:val="5CC77176"/>
    <w:rsid w:val="5D054418"/>
    <w:rsid w:val="5D0A2A1B"/>
    <w:rsid w:val="5D1A01D5"/>
    <w:rsid w:val="5D246CC2"/>
    <w:rsid w:val="5D2C42B6"/>
    <w:rsid w:val="5D32166B"/>
    <w:rsid w:val="5D3F0F58"/>
    <w:rsid w:val="5D6C7BC2"/>
    <w:rsid w:val="5D8265BE"/>
    <w:rsid w:val="5D9C51D6"/>
    <w:rsid w:val="5DA73589"/>
    <w:rsid w:val="5DA963BB"/>
    <w:rsid w:val="5DB02585"/>
    <w:rsid w:val="5DBD5B7D"/>
    <w:rsid w:val="5DBE6189"/>
    <w:rsid w:val="5DD706C5"/>
    <w:rsid w:val="5DDB1F64"/>
    <w:rsid w:val="5E3D78A1"/>
    <w:rsid w:val="5E53564E"/>
    <w:rsid w:val="5E573605"/>
    <w:rsid w:val="5E675658"/>
    <w:rsid w:val="5E867E4E"/>
    <w:rsid w:val="5E9828A0"/>
    <w:rsid w:val="5EA42C9D"/>
    <w:rsid w:val="5EA60EB9"/>
    <w:rsid w:val="5ED13367"/>
    <w:rsid w:val="5ED864A3"/>
    <w:rsid w:val="5EDF5F2D"/>
    <w:rsid w:val="5F0C25F1"/>
    <w:rsid w:val="5F2D6E5A"/>
    <w:rsid w:val="5F35198B"/>
    <w:rsid w:val="5F776DCD"/>
    <w:rsid w:val="5F7E529D"/>
    <w:rsid w:val="5F8959EF"/>
    <w:rsid w:val="5F904982"/>
    <w:rsid w:val="5F98725C"/>
    <w:rsid w:val="5F9A3369"/>
    <w:rsid w:val="5FC42B81"/>
    <w:rsid w:val="5FCD1E6B"/>
    <w:rsid w:val="5FD62369"/>
    <w:rsid w:val="60115C72"/>
    <w:rsid w:val="602C6CF7"/>
    <w:rsid w:val="60825B34"/>
    <w:rsid w:val="60885CA7"/>
    <w:rsid w:val="60996106"/>
    <w:rsid w:val="60A93BB5"/>
    <w:rsid w:val="60AB7B52"/>
    <w:rsid w:val="60C50CA9"/>
    <w:rsid w:val="60D37068"/>
    <w:rsid w:val="60FD2147"/>
    <w:rsid w:val="610C0686"/>
    <w:rsid w:val="610C4B2A"/>
    <w:rsid w:val="610C731A"/>
    <w:rsid w:val="613B7151"/>
    <w:rsid w:val="616E7593"/>
    <w:rsid w:val="617F102D"/>
    <w:rsid w:val="61903CAA"/>
    <w:rsid w:val="61AA4A49"/>
    <w:rsid w:val="61BE7AEB"/>
    <w:rsid w:val="61C67F99"/>
    <w:rsid w:val="61CB310F"/>
    <w:rsid w:val="61DF5064"/>
    <w:rsid w:val="61E15E97"/>
    <w:rsid w:val="620803D0"/>
    <w:rsid w:val="621C2B4B"/>
    <w:rsid w:val="62274088"/>
    <w:rsid w:val="62330006"/>
    <w:rsid w:val="62377985"/>
    <w:rsid w:val="623B64E6"/>
    <w:rsid w:val="623F2656"/>
    <w:rsid w:val="62437E19"/>
    <w:rsid w:val="624F1172"/>
    <w:rsid w:val="62742987"/>
    <w:rsid w:val="627E2A2E"/>
    <w:rsid w:val="6291580B"/>
    <w:rsid w:val="62997217"/>
    <w:rsid w:val="62A274F4"/>
    <w:rsid w:val="62AE2A2A"/>
    <w:rsid w:val="62D97B6C"/>
    <w:rsid w:val="62E91920"/>
    <w:rsid w:val="63043D0B"/>
    <w:rsid w:val="633E6281"/>
    <w:rsid w:val="636522D0"/>
    <w:rsid w:val="63662255"/>
    <w:rsid w:val="63786AA3"/>
    <w:rsid w:val="63920EDA"/>
    <w:rsid w:val="63B77CEA"/>
    <w:rsid w:val="63B92EE5"/>
    <w:rsid w:val="63C52A59"/>
    <w:rsid w:val="63D74F7B"/>
    <w:rsid w:val="63F58A11"/>
    <w:rsid w:val="63F93517"/>
    <w:rsid w:val="64014006"/>
    <w:rsid w:val="640774E2"/>
    <w:rsid w:val="642F5001"/>
    <w:rsid w:val="64656A2B"/>
    <w:rsid w:val="647924D6"/>
    <w:rsid w:val="64A008B1"/>
    <w:rsid w:val="64A30025"/>
    <w:rsid w:val="64DE6705"/>
    <w:rsid w:val="64E168BE"/>
    <w:rsid w:val="65031DA0"/>
    <w:rsid w:val="65091AAC"/>
    <w:rsid w:val="650E2619"/>
    <w:rsid w:val="652634A0"/>
    <w:rsid w:val="6558407C"/>
    <w:rsid w:val="656E190F"/>
    <w:rsid w:val="65905F2A"/>
    <w:rsid w:val="659F5D29"/>
    <w:rsid w:val="65A74DE2"/>
    <w:rsid w:val="65B975D9"/>
    <w:rsid w:val="65CC686D"/>
    <w:rsid w:val="65D379C4"/>
    <w:rsid w:val="65D8613A"/>
    <w:rsid w:val="66003482"/>
    <w:rsid w:val="661C420B"/>
    <w:rsid w:val="661F2C0A"/>
    <w:rsid w:val="66345205"/>
    <w:rsid w:val="664F7AE6"/>
    <w:rsid w:val="66697893"/>
    <w:rsid w:val="666E1440"/>
    <w:rsid w:val="66B01419"/>
    <w:rsid w:val="66B33AA8"/>
    <w:rsid w:val="66F95D5F"/>
    <w:rsid w:val="6731535F"/>
    <w:rsid w:val="674F47D2"/>
    <w:rsid w:val="676D2BA0"/>
    <w:rsid w:val="677E1BB2"/>
    <w:rsid w:val="67803BCF"/>
    <w:rsid w:val="67920832"/>
    <w:rsid w:val="6796278B"/>
    <w:rsid w:val="67BD6443"/>
    <w:rsid w:val="67C73559"/>
    <w:rsid w:val="67D619EE"/>
    <w:rsid w:val="68275CED"/>
    <w:rsid w:val="683F3A37"/>
    <w:rsid w:val="6841158A"/>
    <w:rsid w:val="68753642"/>
    <w:rsid w:val="68825AA7"/>
    <w:rsid w:val="688F1B0F"/>
    <w:rsid w:val="68A613C0"/>
    <w:rsid w:val="68A622BF"/>
    <w:rsid w:val="68AA5354"/>
    <w:rsid w:val="68B56396"/>
    <w:rsid w:val="68B91BF2"/>
    <w:rsid w:val="690600B1"/>
    <w:rsid w:val="692844CB"/>
    <w:rsid w:val="693B24AA"/>
    <w:rsid w:val="693F2021"/>
    <w:rsid w:val="697015AC"/>
    <w:rsid w:val="69961435"/>
    <w:rsid w:val="69967687"/>
    <w:rsid w:val="69B06E35"/>
    <w:rsid w:val="69DB1CD7"/>
    <w:rsid w:val="69E764F5"/>
    <w:rsid w:val="6A1D59E6"/>
    <w:rsid w:val="6A6A1D50"/>
    <w:rsid w:val="6A763BAE"/>
    <w:rsid w:val="6A8055E2"/>
    <w:rsid w:val="6AC3027B"/>
    <w:rsid w:val="6B013AC4"/>
    <w:rsid w:val="6B022B20"/>
    <w:rsid w:val="6B0B2C71"/>
    <w:rsid w:val="6B0D1E4C"/>
    <w:rsid w:val="6B120F8F"/>
    <w:rsid w:val="6B264A3A"/>
    <w:rsid w:val="6B3F6F74"/>
    <w:rsid w:val="6B514FD4"/>
    <w:rsid w:val="6B5D73DB"/>
    <w:rsid w:val="6B8A0C2F"/>
    <w:rsid w:val="6BA74108"/>
    <w:rsid w:val="6BA932CC"/>
    <w:rsid w:val="6BAA3BFF"/>
    <w:rsid w:val="6BB81B36"/>
    <w:rsid w:val="6BC631B0"/>
    <w:rsid w:val="6C263EF0"/>
    <w:rsid w:val="6C586513"/>
    <w:rsid w:val="6C5B54D6"/>
    <w:rsid w:val="6C657755"/>
    <w:rsid w:val="6C830095"/>
    <w:rsid w:val="6C9F6852"/>
    <w:rsid w:val="6CB6422F"/>
    <w:rsid w:val="6CDC3602"/>
    <w:rsid w:val="6CDD5062"/>
    <w:rsid w:val="6CFB40CE"/>
    <w:rsid w:val="6CFD7C72"/>
    <w:rsid w:val="6CFD81DF"/>
    <w:rsid w:val="6D360C7F"/>
    <w:rsid w:val="6D404378"/>
    <w:rsid w:val="6D7A0F67"/>
    <w:rsid w:val="6D820AE9"/>
    <w:rsid w:val="6DB200D0"/>
    <w:rsid w:val="6DEA4604"/>
    <w:rsid w:val="6DFB7BC5"/>
    <w:rsid w:val="6E677F64"/>
    <w:rsid w:val="6EA625E5"/>
    <w:rsid w:val="6EB94CA1"/>
    <w:rsid w:val="6EBA1E9E"/>
    <w:rsid w:val="6EBA54C6"/>
    <w:rsid w:val="6EE07AA3"/>
    <w:rsid w:val="6EEB8E5F"/>
    <w:rsid w:val="6F062841"/>
    <w:rsid w:val="6F2F1C60"/>
    <w:rsid w:val="6F541B76"/>
    <w:rsid w:val="6F806DDA"/>
    <w:rsid w:val="6F887A72"/>
    <w:rsid w:val="6F887B94"/>
    <w:rsid w:val="6F8F7052"/>
    <w:rsid w:val="6FA535AD"/>
    <w:rsid w:val="6FDC60D0"/>
    <w:rsid w:val="6FF671C3"/>
    <w:rsid w:val="6FFA62C5"/>
    <w:rsid w:val="7009145B"/>
    <w:rsid w:val="7023229D"/>
    <w:rsid w:val="702707C6"/>
    <w:rsid w:val="70351AE0"/>
    <w:rsid w:val="7048478E"/>
    <w:rsid w:val="70581A5F"/>
    <w:rsid w:val="70701516"/>
    <w:rsid w:val="708C17E3"/>
    <w:rsid w:val="70926DFA"/>
    <w:rsid w:val="709435AA"/>
    <w:rsid w:val="70B36D70"/>
    <w:rsid w:val="70B84AEA"/>
    <w:rsid w:val="70BA69D3"/>
    <w:rsid w:val="70BA73D6"/>
    <w:rsid w:val="70D171F6"/>
    <w:rsid w:val="70E26A54"/>
    <w:rsid w:val="71033031"/>
    <w:rsid w:val="71384F8A"/>
    <w:rsid w:val="715D620A"/>
    <w:rsid w:val="71786D3D"/>
    <w:rsid w:val="71A14E1B"/>
    <w:rsid w:val="71A96202"/>
    <w:rsid w:val="71C4302D"/>
    <w:rsid w:val="72010D20"/>
    <w:rsid w:val="72332C97"/>
    <w:rsid w:val="723B658D"/>
    <w:rsid w:val="724610A5"/>
    <w:rsid w:val="7261096F"/>
    <w:rsid w:val="727A76BE"/>
    <w:rsid w:val="72945F4F"/>
    <w:rsid w:val="72AB7696"/>
    <w:rsid w:val="72BF37AA"/>
    <w:rsid w:val="72CB0075"/>
    <w:rsid w:val="72E51F42"/>
    <w:rsid w:val="7306587D"/>
    <w:rsid w:val="73611ED4"/>
    <w:rsid w:val="738227C0"/>
    <w:rsid w:val="73836C60"/>
    <w:rsid w:val="73A330CC"/>
    <w:rsid w:val="73AB1F81"/>
    <w:rsid w:val="73B05A03"/>
    <w:rsid w:val="73B47087"/>
    <w:rsid w:val="73B928EF"/>
    <w:rsid w:val="73C07A59"/>
    <w:rsid w:val="73CB43D1"/>
    <w:rsid w:val="73E13BF4"/>
    <w:rsid w:val="73E32DF4"/>
    <w:rsid w:val="73E75E56"/>
    <w:rsid w:val="73F33F39"/>
    <w:rsid w:val="741E2986"/>
    <w:rsid w:val="74212644"/>
    <w:rsid w:val="742C0C8D"/>
    <w:rsid w:val="74923DE0"/>
    <w:rsid w:val="74DF5BAC"/>
    <w:rsid w:val="75100FAB"/>
    <w:rsid w:val="751D6EAE"/>
    <w:rsid w:val="75251A1D"/>
    <w:rsid w:val="753541F8"/>
    <w:rsid w:val="754B5E50"/>
    <w:rsid w:val="757A60AE"/>
    <w:rsid w:val="757C5983"/>
    <w:rsid w:val="758D193E"/>
    <w:rsid w:val="75AF517F"/>
    <w:rsid w:val="75E72B9D"/>
    <w:rsid w:val="76074E01"/>
    <w:rsid w:val="76132F33"/>
    <w:rsid w:val="761B4486"/>
    <w:rsid w:val="763A3001"/>
    <w:rsid w:val="767D7C04"/>
    <w:rsid w:val="768E6BF4"/>
    <w:rsid w:val="768F7E91"/>
    <w:rsid w:val="7696784F"/>
    <w:rsid w:val="769C6AE5"/>
    <w:rsid w:val="769E3900"/>
    <w:rsid w:val="76A55630"/>
    <w:rsid w:val="76EC115C"/>
    <w:rsid w:val="77212C85"/>
    <w:rsid w:val="772462D2"/>
    <w:rsid w:val="772E4ACD"/>
    <w:rsid w:val="773B415B"/>
    <w:rsid w:val="77562203"/>
    <w:rsid w:val="775B5161"/>
    <w:rsid w:val="77672662"/>
    <w:rsid w:val="776970C2"/>
    <w:rsid w:val="77C11D73"/>
    <w:rsid w:val="77F7692C"/>
    <w:rsid w:val="781A7BBF"/>
    <w:rsid w:val="782402BA"/>
    <w:rsid w:val="784851FE"/>
    <w:rsid w:val="784B53AE"/>
    <w:rsid w:val="7879264D"/>
    <w:rsid w:val="789B7D2E"/>
    <w:rsid w:val="78A4393C"/>
    <w:rsid w:val="78B50D66"/>
    <w:rsid w:val="78BB2421"/>
    <w:rsid w:val="78CC4E73"/>
    <w:rsid w:val="78D22B0A"/>
    <w:rsid w:val="78D611BE"/>
    <w:rsid w:val="791D02FC"/>
    <w:rsid w:val="79507852"/>
    <w:rsid w:val="7953611A"/>
    <w:rsid w:val="798B4C4F"/>
    <w:rsid w:val="799C4845"/>
    <w:rsid w:val="79AB2CDA"/>
    <w:rsid w:val="7A0A6CBA"/>
    <w:rsid w:val="7A2C50FB"/>
    <w:rsid w:val="7A545D27"/>
    <w:rsid w:val="7A8D11E4"/>
    <w:rsid w:val="7A8E0D91"/>
    <w:rsid w:val="7A97500D"/>
    <w:rsid w:val="7AA949B4"/>
    <w:rsid w:val="7AC67C05"/>
    <w:rsid w:val="7AEA7832"/>
    <w:rsid w:val="7B081318"/>
    <w:rsid w:val="7B1D3764"/>
    <w:rsid w:val="7B2D675A"/>
    <w:rsid w:val="7B3E77D2"/>
    <w:rsid w:val="7B523868"/>
    <w:rsid w:val="7B5800FE"/>
    <w:rsid w:val="7B8B02EE"/>
    <w:rsid w:val="7B91477D"/>
    <w:rsid w:val="7BA05E2A"/>
    <w:rsid w:val="7BA674A3"/>
    <w:rsid w:val="7BB726C2"/>
    <w:rsid w:val="7BBC11CF"/>
    <w:rsid w:val="7BCE7867"/>
    <w:rsid w:val="7BD54882"/>
    <w:rsid w:val="7BD65C61"/>
    <w:rsid w:val="7BEE4F06"/>
    <w:rsid w:val="7C1423E9"/>
    <w:rsid w:val="7C443F36"/>
    <w:rsid w:val="7C462ADF"/>
    <w:rsid w:val="7C4E5B9F"/>
    <w:rsid w:val="7C6333F8"/>
    <w:rsid w:val="7C813749"/>
    <w:rsid w:val="7C827D17"/>
    <w:rsid w:val="7CD6006E"/>
    <w:rsid w:val="7CDB3D33"/>
    <w:rsid w:val="7CFF3EE4"/>
    <w:rsid w:val="7D037479"/>
    <w:rsid w:val="7D1739BB"/>
    <w:rsid w:val="7D1F2F41"/>
    <w:rsid w:val="7D2E5B01"/>
    <w:rsid w:val="7D43322A"/>
    <w:rsid w:val="7D492911"/>
    <w:rsid w:val="7D4F793D"/>
    <w:rsid w:val="7D5D30A9"/>
    <w:rsid w:val="7D6060A3"/>
    <w:rsid w:val="7D606518"/>
    <w:rsid w:val="7D6F731B"/>
    <w:rsid w:val="7DA63EE4"/>
    <w:rsid w:val="7DA85D0F"/>
    <w:rsid w:val="7DA87CB9"/>
    <w:rsid w:val="7DC9F78F"/>
    <w:rsid w:val="7DE02B83"/>
    <w:rsid w:val="7DF198A7"/>
    <w:rsid w:val="7DF62846"/>
    <w:rsid w:val="7DF63C7C"/>
    <w:rsid w:val="7E0155BF"/>
    <w:rsid w:val="7E10135E"/>
    <w:rsid w:val="7E1B0471"/>
    <w:rsid w:val="7E303B61"/>
    <w:rsid w:val="7E31350E"/>
    <w:rsid w:val="7E5216DD"/>
    <w:rsid w:val="7E6416AA"/>
    <w:rsid w:val="7E795155"/>
    <w:rsid w:val="7E7D6F46"/>
    <w:rsid w:val="7E9176B2"/>
    <w:rsid w:val="7E9906DA"/>
    <w:rsid w:val="7E9E0514"/>
    <w:rsid w:val="7EA01D85"/>
    <w:rsid w:val="7EAD4944"/>
    <w:rsid w:val="7EC02B3B"/>
    <w:rsid w:val="7EC91566"/>
    <w:rsid w:val="7EF936FE"/>
    <w:rsid w:val="7EFD2FAE"/>
    <w:rsid w:val="7F0F1615"/>
    <w:rsid w:val="7F211623"/>
    <w:rsid w:val="7F397B88"/>
    <w:rsid w:val="7F49060F"/>
    <w:rsid w:val="7F564788"/>
    <w:rsid w:val="7F893483"/>
    <w:rsid w:val="7F9E2695"/>
    <w:rsid w:val="7FA4064B"/>
    <w:rsid w:val="7FD1465F"/>
    <w:rsid w:val="7FEB4820"/>
    <w:rsid w:val="7FEDFBC4"/>
    <w:rsid w:val="7FFA687E"/>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126"/>
    <w:qFormat/>
    <w:uiPriority w:val="0"/>
    <w:pPr>
      <w:keepNext/>
      <w:widowControl/>
      <w:numPr>
        <w:ilvl w:val="0"/>
        <w:numId w:val="1"/>
      </w:numPr>
      <w:spacing w:line="360" w:lineRule="auto"/>
      <w:jc w:val="center"/>
      <w:outlineLvl w:val="0"/>
    </w:pPr>
    <w:rPr>
      <w:rFonts w:ascii="黑体" w:hAnsi="黑体" w:eastAsia="仿宋"/>
      <w:b/>
      <w:kern w:val="0"/>
      <w:sz w:val="30"/>
      <w:szCs w:val="20"/>
    </w:rPr>
  </w:style>
  <w:style w:type="paragraph" w:styleId="5">
    <w:name w:val="heading 2"/>
    <w:basedOn w:val="1"/>
    <w:next w:val="1"/>
    <w:link w:val="108"/>
    <w:qFormat/>
    <w:uiPriority w:val="0"/>
    <w:pPr>
      <w:keepNext/>
      <w:keepLines/>
      <w:spacing w:before="260" w:after="260" w:line="416" w:lineRule="auto"/>
      <w:outlineLvl w:val="1"/>
    </w:pPr>
    <w:rPr>
      <w:rFonts w:ascii="Arial" w:hAnsi="Arial" w:eastAsia="黑体"/>
      <w:b/>
      <w:bCs/>
      <w:kern w:val="0"/>
      <w:sz w:val="32"/>
      <w:szCs w:val="32"/>
    </w:rPr>
  </w:style>
  <w:style w:type="paragraph" w:styleId="6">
    <w:name w:val="heading 3"/>
    <w:basedOn w:val="1"/>
    <w:next w:val="1"/>
    <w:link w:val="109"/>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7">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8">
    <w:name w:val="heading 5"/>
    <w:basedOn w:val="1"/>
    <w:next w:val="1"/>
    <w:qFormat/>
    <w:uiPriority w:val="0"/>
    <w:pPr>
      <w:keepNext/>
      <w:keepLines/>
      <w:spacing w:before="280" w:after="290" w:line="376" w:lineRule="auto"/>
      <w:outlineLvl w:val="4"/>
    </w:pPr>
    <w:rPr>
      <w:rFonts w:eastAsia="宋体"/>
      <w:b/>
      <w:sz w:val="28"/>
      <w:szCs w:val="20"/>
    </w:rPr>
  </w:style>
  <w:style w:type="paragraph" w:styleId="9">
    <w:name w:val="heading 6"/>
    <w:basedOn w:val="1"/>
    <w:next w:val="1"/>
    <w:link w:val="110"/>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10">
    <w:name w:val="heading 7"/>
    <w:basedOn w:val="1"/>
    <w:next w:val="1"/>
    <w:link w:val="111"/>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11">
    <w:name w:val="heading 8"/>
    <w:basedOn w:val="1"/>
    <w:next w:val="1"/>
    <w:link w:val="112"/>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2">
    <w:name w:val="heading 9"/>
    <w:basedOn w:val="1"/>
    <w:next w:val="1"/>
    <w:link w:val="113"/>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5">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ind w:left="200" w:leftChars="200" w:firstLine="420"/>
      <w:jc w:val="both"/>
    </w:pPr>
    <w:rPr>
      <w:rFonts w:ascii="Calibri" w:hAnsi="Calibri" w:eastAsia="宋体"/>
      <w:szCs w:val="24"/>
      <w:lang w:val="en-US"/>
    </w:rPr>
  </w:style>
  <w:style w:type="paragraph" w:styleId="3">
    <w:name w:val="Body Text Indent"/>
    <w:basedOn w:val="1"/>
    <w:link w:val="118"/>
    <w:qFormat/>
    <w:uiPriority w:val="0"/>
    <w:pPr>
      <w:spacing w:after="120"/>
      <w:ind w:left="420" w:leftChars="200"/>
    </w:pPr>
    <w:rPr>
      <w:rFonts w:ascii="宋体" w:hAnsi="宋体"/>
      <w:kern w:val="0"/>
      <w:sz w:val="20"/>
      <w:szCs w:val="24"/>
    </w:rPr>
  </w:style>
  <w:style w:type="paragraph" w:styleId="13">
    <w:name w:val="toc 7"/>
    <w:basedOn w:val="1"/>
    <w:next w:val="1"/>
    <w:semiHidden/>
    <w:qFormat/>
    <w:uiPriority w:val="0"/>
    <w:pPr>
      <w:ind w:left="1200"/>
      <w:jc w:val="left"/>
    </w:pPr>
    <w:rPr>
      <w:rFonts w:ascii="Times New Roman" w:hAnsi="Times New Roman"/>
      <w:kern w:val="0"/>
      <w:sz w:val="18"/>
      <w:szCs w:val="18"/>
    </w:rPr>
  </w:style>
  <w:style w:type="paragraph" w:styleId="14">
    <w:name w:val="Normal Indent"/>
    <w:basedOn w:val="1"/>
    <w:qFormat/>
    <w:uiPriority w:val="0"/>
    <w:pPr>
      <w:ind w:firstLine="420" w:firstLineChars="200"/>
    </w:pPr>
    <w:rPr>
      <w:rFonts w:ascii="宋体" w:hAnsi="宋体"/>
      <w:kern w:val="0"/>
      <w:sz w:val="20"/>
      <w:szCs w:val="24"/>
    </w:rPr>
  </w:style>
  <w:style w:type="paragraph" w:styleId="15">
    <w:name w:val="caption"/>
    <w:basedOn w:val="1"/>
    <w:next w:val="1"/>
    <w:qFormat/>
    <w:uiPriority w:val="99"/>
    <w:pPr>
      <w:spacing w:before="152" w:after="160"/>
    </w:pPr>
    <w:rPr>
      <w:rFonts w:ascii="Arial" w:hAnsi="Arial" w:eastAsia="黑体" w:cs="Arial"/>
      <w:sz w:val="20"/>
      <w:szCs w:val="20"/>
    </w:rPr>
  </w:style>
  <w:style w:type="paragraph" w:styleId="16">
    <w:name w:val="Document Map"/>
    <w:basedOn w:val="1"/>
    <w:link w:val="114"/>
    <w:semiHidden/>
    <w:qFormat/>
    <w:uiPriority w:val="0"/>
    <w:pPr>
      <w:shd w:val="clear" w:color="auto" w:fill="000080"/>
    </w:pPr>
    <w:rPr>
      <w:rFonts w:ascii="宋体" w:hAnsi="宋体"/>
      <w:kern w:val="0"/>
      <w:sz w:val="20"/>
      <w:szCs w:val="24"/>
    </w:rPr>
  </w:style>
  <w:style w:type="paragraph" w:styleId="17">
    <w:name w:val="annotation text"/>
    <w:basedOn w:val="1"/>
    <w:link w:val="115"/>
    <w:qFormat/>
    <w:uiPriority w:val="0"/>
    <w:pPr>
      <w:jc w:val="left"/>
    </w:pPr>
    <w:rPr>
      <w:rFonts w:ascii="Courier New" w:hAnsi="Courier New"/>
      <w:color w:val="000000"/>
      <w:kern w:val="0"/>
      <w:sz w:val="24"/>
      <w:szCs w:val="24"/>
      <w:lang w:val="zh-CN"/>
    </w:rPr>
  </w:style>
  <w:style w:type="paragraph" w:styleId="18">
    <w:name w:val="Body Text"/>
    <w:basedOn w:val="1"/>
    <w:link w:val="116"/>
    <w:qFormat/>
    <w:uiPriority w:val="0"/>
    <w:pPr>
      <w:spacing w:after="120"/>
    </w:pPr>
    <w:rPr>
      <w:rFonts w:ascii="宋体" w:hAnsi="宋体"/>
      <w:kern w:val="0"/>
      <w:sz w:val="20"/>
      <w:szCs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19"/>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17"/>
    <w:unhideWhenUsed/>
    <w:qFormat/>
    <w:uiPriority w:val="99"/>
    <w:pPr>
      <w:ind w:left="100" w:leftChars="2500"/>
    </w:pPr>
  </w:style>
  <w:style w:type="paragraph" w:styleId="26">
    <w:name w:val="Body Text Indent 2"/>
    <w:basedOn w:val="1"/>
    <w:link w:val="120"/>
    <w:qFormat/>
    <w:uiPriority w:val="0"/>
    <w:pPr>
      <w:spacing w:after="120" w:line="480" w:lineRule="auto"/>
      <w:ind w:left="420" w:leftChars="200"/>
    </w:pPr>
    <w:rPr>
      <w:rFonts w:ascii="宋体" w:hAnsi="宋体"/>
      <w:kern w:val="0"/>
      <w:sz w:val="20"/>
      <w:szCs w:val="24"/>
    </w:rPr>
  </w:style>
  <w:style w:type="paragraph" w:styleId="27">
    <w:name w:val="Balloon Text"/>
    <w:basedOn w:val="1"/>
    <w:link w:val="121"/>
    <w:unhideWhenUsed/>
    <w:qFormat/>
    <w:uiPriority w:val="99"/>
    <w:rPr>
      <w:kern w:val="0"/>
      <w:sz w:val="18"/>
      <w:szCs w:val="18"/>
    </w:rPr>
  </w:style>
  <w:style w:type="paragraph" w:styleId="28">
    <w:name w:val="footer"/>
    <w:basedOn w:val="1"/>
    <w:link w:val="122"/>
    <w:unhideWhenUsed/>
    <w:qFormat/>
    <w:uiPriority w:val="99"/>
    <w:pPr>
      <w:tabs>
        <w:tab w:val="center" w:pos="4153"/>
        <w:tab w:val="right" w:pos="8306"/>
      </w:tabs>
      <w:snapToGrid w:val="0"/>
      <w:jc w:val="left"/>
    </w:pPr>
    <w:rPr>
      <w:kern w:val="0"/>
      <w:sz w:val="18"/>
      <w:szCs w:val="18"/>
    </w:rPr>
  </w:style>
  <w:style w:type="paragraph" w:styleId="29">
    <w:name w:val="envelope return"/>
    <w:basedOn w:val="1"/>
    <w:qFormat/>
    <w:uiPriority w:val="0"/>
    <w:pPr>
      <w:snapToGrid w:val="0"/>
      <w:spacing w:line="360" w:lineRule="auto"/>
      <w:ind w:firstLine="200" w:firstLineChars="200"/>
    </w:pPr>
    <w:rPr>
      <w:rFonts w:ascii="Arial" w:hAnsi="Arial" w:cs="Arial"/>
      <w:sz w:val="24"/>
    </w:rPr>
  </w:style>
  <w:style w:type="paragraph" w:styleId="30">
    <w:name w:val="header"/>
    <w:basedOn w:val="1"/>
    <w:link w:val="12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2">
    <w:name w:val="toc 4"/>
    <w:basedOn w:val="1"/>
    <w:next w:val="1"/>
    <w:semiHidden/>
    <w:qFormat/>
    <w:uiPriority w:val="0"/>
    <w:pPr>
      <w:ind w:left="600"/>
      <w:jc w:val="left"/>
    </w:pPr>
    <w:rPr>
      <w:rFonts w:ascii="Times New Roman" w:hAnsi="Times New Roman"/>
      <w:kern w:val="0"/>
      <w:sz w:val="18"/>
      <w:szCs w:val="18"/>
    </w:rPr>
  </w:style>
  <w:style w:type="paragraph" w:styleId="33">
    <w:name w:val="Subtitle"/>
    <w:basedOn w:val="1"/>
    <w:next w:val="1"/>
    <w:qFormat/>
    <w:uiPriority w:val="0"/>
    <w:pPr>
      <w:widowControl/>
      <w:numPr>
        <w:ilvl w:val="1"/>
        <w:numId w:val="0"/>
      </w:numPr>
      <w:spacing w:after="200" w:line="276" w:lineRule="auto"/>
      <w:jc w:val="left"/>
    </w:pPr>
    <w:rPr>
      <w:rFonts w:ascii="Cambria" w:hAnsi="Cambria"/>
      <w:i/>
      <w:iCs/>
      <w:color w:val="4F81BD"/>
      <w:spacing w:val="15"/>
      <w:kern w:val="0"/>
      <w:sz w:val="24"/>
    </w:rPr>
  </w:style>
  <w:style w:type="paragraph" w:styleId="34">
    <w:name w:val="toc 6"/>
    <w:basedOn w:val="1"/>
    <w:next w:val="1"/>
    <w:semiHidden/>
    <w:qFormat/>
    <w:uiPriority w:val="0"/>
    <w:pPr>
      <w:ind w:left="1000"/>
      <w:jc w:val="left"/>
    </w:pPr>
    <w:rPr>
      <w:rFonts w:ascii="Times New Roman" w:hAnsi="Times New Roman"/>
      <w:kern w:val="0"/>
      <w:sz w:val="18"/>
      <w:szCs w:val="18"/>
    </w:rPr>
  </w:style>
  <w:style w:type="paragraph" w:styleId="35">
    <w:name w:val="Body Text Indent 3"/>
    <w:basedOn w:val="1"/>
    <w:qFormat/>
    <w:uiPriority w:val="0"/>
    <w:pPr>
      <w:spacing w:after="120" w:afterLines="0"/>
      <w:ind w:left="420" w:leftChars="200"/>
    </w:pPr>
    <w:rPr>
      <w:sz w:val="16"/>
      <w:szCs w:val="16"/>
    </w:rPr>
  </w:style>
  <w:style w:type="paragraph" w:styleId="36">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7">
    <w:name w:val="toc 9"/>
    <w:basedOn w:val="1"/>
    <w:next w:val="1"/>
    <w:semiHidden/>
    <w:qFormat/>
    <w:uiPriority w:val="0"/>
    <w:pPr>
      <w:ind w:left="1600"/>
      <w:jc w:val="left"/>
    </w:pPr>
    <w:rPr>
      <w:rFonts w:ascii="Times New Roman" w:hAnsi="Times New Roman"/>
      <w:kern w:val="0"/>
      <w:sz w:val="18"/>
      <w:szCs w:val="18"/>
    </w:rPr>
  </w:style>
  <w:style w:type="paragraph" w:styleId="38">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9">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40">
    <w:name w:val="Title"/>
    <w:basedOn w:val="1"/>
    <w:next w:val="1"/>
    <w:link w:val="124"/>
    <w:qFormat/>
    <w:uiPriority w:val="0"/>
    <w:pPr>
      <w:spacing w:before="240" w:after="60"/>
      <w:jc w:val="center"/>
      <w:outlineLvl w:val="0"/>
    </w:pPr>
    <w:rPr>
      <w:rFonts w:ascii="Arial" w:hAnsi="Arial"/>
      <w:b/>
      <w:bCs/>
      <w:kern w:val="0"/>
      <w:sz w:val="32"/>
      <w:szCs w:val="32"/>
    </w:rPr>
  </w:style>
  <w:style w:type="paragraph" w:styleId="41">
    <w:name w:val="annotation subject"/>
    <w:basedOn w:val="17"/>
    <w:next w:val="17"/>
    <w:link w:val="125"/>
    <w:semiHidden/>
    <w:qFormat/>
    <w:uiPriority w:val="0"/>
    <w:rPr>
      <w:rFonts w:ascii="宋体" w:hAnsi="宋体"/>
      <w:b/>
      <w:bCs/>
    </w:rPr>
  </w:style>
  <w:style w:type="paragraph" w:styleId="42">
    <w:name w:val="Body Text First Indent"/>
    <w:basedOn w:val="18"/>
    <w:next w:val="1"/>
    <w:qFormat/>
    <w:uiPriority w:val="99"/>
    <w:pPr>
      <w:ind w:firstLine="420" w:firstLineChars="100"/>
    </w:pPr>
    <w:rPr>
      <w:rFonts w:ascii="Times New Roman" w:hAnsi="Times New Roman"/>
      <w:sz w:val="21"/>
      <w:szCs w:val="24"/>
    </w:rPr>
  </w:style>
  <w:style w:type="table" w:styleId="44">
    <w:name w:val="Table Grid"/>
    <w:basedOn w:val="4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22"/>
    <w:rPr>
      <w:b/>
      <w:bCs/>
    </w:rPr>
  </w:style>
  <w:style w:type="character" w:styleId="47">
    <w:name w:val="page number"/>
    <w:qFormat/>
    <w:uiPriority w:val="0"/>
  </w:style>
  <w:style w:type="character" w:styleId="48">
    <w:name w:val="FollowedHyperlink"/>
    <w:qFormat/>
    <w:uiPriority w:val="0"/>
    <w:rPr>
      <w:rFonts w:hint="eastAsia" w:ascii="微软雅黑" w:hAnsi="微软雅黑" w:eastAsia="微软雅黑" w:cs="微软雅黑"/>
      <w:color w:val="333333"/>
      <w:sz w:val="21"/>
      <w:szCs w:val="21"/>
      <w:u w:val="none"/>
    </w:rPr>
  </w:style>
  <w:style w:type="character" w:styleId="49">
    <w:name w:val="Emphasis"/>
    <w:qFormat/>
    <w:uiPriority w:val="20"/>
  </w:style>
  <w:style w:type="character" w:styleId="50">
    <w:name w:val="HTML Definition"/>
    <w:unhideWhenUsed/>
    <w:qFormat/>
    <w:uiPriority w:val="99"/>
  </w:style>
  <w:style w:type="character" w:styleId="51">
    <w:name w:val="HTML Typewriter"/>
    <w:unhideWhenUsed/>
    <w:qFormat/>
    <w:uiPriority w:val="99"/>
    <w:rPr>
      <w:rFonts w:hint="default" w:ascii="monospace" w:hAnsi="monospace" w:eastAsia="monospace" w:cs="monospace"/>
      <w:sz w:val="20"/>
    </w:rPr>
  </w:style>
  <w:style w:type="character" w:styleId="52">
    <w:name w:val="HTML Acronym"/>
    <w:unhideWhenUsed/>
    <w:qFormat/>
    <w:uiPriority w:val="99"/>
  </w:style>
  <w:style w:type="character" w:styleId="53">
    <w:name w:val="HTML Variable"/>
    <w:unhideWhenUsed/>
    <w:qFormat/>
    <w:uiPriority w:val="99"/>
  </w:style>
  <w:style w:type="character" w:styleId="54">
    <w:name w:val="Hyperlink"/>
    <w:qFormat/>
    <w:uiPriority w:val="0"/>
    <w:rPr>
      <w:rFonts w:hint="eastAsia" w:ascii="微软雅黑" w:hAnsi="微软雅黑" w:eastAsia="微软雅黑" w:cs="微软雅黑"/>
      <w:color w:val="333333"/>
      <w:sz w:val="21"/>
      <w:szCs w:val="21"/>
      <w:u w:val="none"/>
    </w:rPr>
  </w:style>
  <w:style w:type="character" w:styleId="55">
    <w:name w:val="HTML Code"/>
    <w:unhideWhenUsed/>
    <w:qFormat/>
    <w:uiPriority w:val="99"/>
    <w:rPr>
      <w:rFonts w:hint="default" w:ascii="monospace" w:hAnsi="monospace" w:eastAsia="monospace" w:cs="monospace"/>
      <w:sz w:val="20"/>
    </w:rPr>
  </w:style>
  <w:style w:type="character" w:styleId="56">
    <w:name w:val="annotation reference"/>
    <w:qFormat/>
    <w:uiPriority w:val="0"/>
    <w:rPr>
      <w:sz w:val="21"/>
      <w:szCs w:val="21"/>
    </w:rPr>
  </w:style>
  <w:style w:type="character" w:styleId="57">
    <w:name w:val="HTML Cite"/>
    <w:unhideWhenUsed/>
    <w:qFormat/>
    <w:uiPriority w:val="99"/>
  </w:style>
  <w:style w:type="character" w:styleId="58">
    <w:name w:val="HTML Keyboard"/>
    <w:unhideWhenUsed/>
    <w:qFormat/>
    <w:uiPriority w:val="99"/>
    <w:rPr>
      <w:rFonts w:ascii="monospace" w:hAnsi="monospace" w:eastAsia="monospace" w:cs="monospace"/>
      <w:sz w:val="20"/>
    </w:rPr>
  </w:style>
  <w:style w:type="character" w:styleId="59">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60">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61">
    <w:name w:val="正文文本 (2)1"/>
    <w:basedOn w:val="1"/>
    <w:link w:val="128"/>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2">
    <w:name w:val="正文文本 (3)"/>
    <w:basedOn w:val="1"/>
    <w:link w:val="14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63">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4">
    <w:name w:val="Char"/>
    <w:basedOn w:val="16"/>
    <w:qFormat/>
    <w:uiPriority w:val="0"/>
    <w:pPr>
      <w:widowControl/>
    </w:pPr>
    <w:rPr>
      <w:rFonts w:ascii="Tahoma" w:hAnsi="Tahoma"/>
      <w:kern w:val="2"/>
      <w:sz w:val="24"/>
    </w:rPr>
  </w:style>
  <w:style w:type="paragraph" w:customStyle="1" w:styleId="65">
    <w:name w:val="GCEBStyles6"/>
    <w:basedOn w:val="1"/>
    <w:qFormat/>
    <w:uiPriority w:val="0"/>
    <w:pPr>
      <w:jc w:val="left"/>
      <w:outlineLvl w:val="6"/>
    </w:pPr>
    <w:rPr>
      <w:rFonts w:ascii="宋体" w:hAnsi="宋体"/>
      <w:b/>
      <w:bCs/>
      <w:kern w:val="0"/>
      <w:sz w:val="24"/>
      <w:szCs w:val="24"/>
    </w:rPr>
  </w:style>
  <w:style w:type="paragraph" w:customStyle="1" w:styleId="6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67">
    <w:name w:val="GCEBStyles9"/>
    <w:basedOn w:val="1"/>
    <w:qFormat/>
    <w:uiPriority w:val="0"/>
    <w:pPr>
      <w:jc w:val="left"/>
    </w:pPr>
    <w:rPr>
      <w:rFonts w:ascii="黑体" w:hAnsi="宋体" w:eastAsia="黑体"/>
      <w:bCs/>
      <w:kern w:val="0"/>
      <w:szCs w:val="24"/>
    </w:rPr>
  </w:style>
  <w:style w:type="paragraph" w:customStyle="1" w:styleId="68">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69">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70">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7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2">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73">
    <w:name w:val="WPSOffice手动目录 2"/>
    <w:qFormat/>
    <w:uiPriority w:val="0"/>
    <w:pPr>
      <w:ind w:leftChars="200"/>
    </w:pPr>
    <w:rPr>
      <w:rFonts w:ascii="Times New Roman" w:hAnsi="Times New Roman" w:eastAsia="宋体" w:cs="Times New Roman"/>
      <w:sz w:val="20"/>
      <w:szCs w:val="20"/>
    </w:rPr>
  </w:style>
  <w:style w:type="paragraph" w:customStyle="1" w:styleId="74">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75">
    <w:name w:val="Table Paragraph"/>
    <w:basedOn w:val="1"/>
    <w:qFormat/>
    <w:uiPriority w:val="1"/>
    <w:pPr>
      <w:jc w:val="left"/>
    </w:pPr>
    <w:rPr>
      <w:rFonts w:cs="宋体"/>
      <w:sz w:val="22"/>
      <w:lang w:eastAsia="en-US"/>
    </w:rPr>
  </w:style>
  <w:style w:type="paragraph" w:customStyle="1" w:styleId="76">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77">
    <w:name w:val="GCEBStyles4"/>
    <w:basedOn w:val="1"/>
    <w:qFormat/>
    <w:uiPriority w:val="0"/>
    <w:pPr>
      <w:jc w:val="left"/>
      <w:outlineLvl w:val="4"/>
    </w:pPr>
    <w:rPr>
      <w:rFonts w:ascii="宋体" w:hAnsi="宋体"/>
      <w:b/>
      <w:bCs/>
      <w:kern w:val="0"/>
      <w:sz w:val="28"/>
      <w:szCs w:val="24"/>
    </w:rPr>
  </w:style>
  <w:style w:type="paragraph" w:customStyle="1" w:styleId="78">
    <w:name w:val="GCEBStyles1"/>
    <w:basedOn w:val="1"/>
    <w:qFormat/>
    <w:uiPriority w:val="0"/>
    <w:pPr>
      <w:jc w:val="left"/>
      <w:outlineLvl w:val="1"/>
    </w:pPr>
    <w:rPr>
      <w:rFonts w:ascii="黑体" w:hAnsi="宋体" w:eastAsia="黑体"/>
      <w:b/>
      <w:bCs/>
      <w:kern w:val="0"/>
      <w:sz w:val="32"/>
      <w:szCs w:val="24"/>
    </w:rPr>
  </w:style>
  <w:style w:type="paragraph" w:customStyle="1" w:styleId="79">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80">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81">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2">
    <w:name w:val="GCEBStyles7"/>
    <w:basedOn w:val="1"/>
    <w:qFormat/>
    <w:uiPriority w:val="0"/>
    <w:pPr>
      <w:jc w:val="left"/>
      <w:outlineLvl w:val="7"/>
    </w:pPr>
    <w:rPr>
      <w:rFonts w:ascii="黑体" w:hAnsi="宋体" w:eastAsia="黑体"/>
      <w:bCs/>
      <w:kern w:val="0"/>
      <w:sz w:val="24"/>
      <w:szCs w:val="24"/>
    </w:rPr>
  </w:style>
  <w:style w:type="paragraph" w:customStyle="1" w:styleId="83">
    <w:name w:val="大标题"/>
    <w:basedOn w:val="40"/>
    <w:next w:val="2"/>
    <w:qFormat/>
    <w:uiPriority w:val="0"/>
    <w:pPr>
      <w:tabs>
        <w:tab w:val="left" w:pos="795"/>
        <w:tab w:val="center" w:pos="4156"/>
      </w:tabs>
      <w:spacing w:line="360" w:lineRule="auto"/>
      <w:ind w:firstLine="200" w:firstLineChars="200"/>
    </w:pPr>
    <w:rPr>
      <w:rFonts w:ascii="宋体" w:hAnsi="宋体"/>
      <w:bCs w:val="0"/>
      <w:kern w:val="0"/>
      <w:szCs w:val="20"/>
    </w:rPr>
  </w:style>
  <w:style w:type="paragraph" w:customStyle="1" w:styleId="84">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85">
    <w:name w:val="GCEBStyles8"/>
    <w:basedOn w:val="1"/>
    <w:qFormat/>
    <w:uiPriority w:val="0"/>
    <w:pPr>
      <w:jc w:val="left"/>
      <w:outlineLvl w:val="8"/>
    </w:pPr>
    <w:rPr>
      <w:rFonts w:ascii="黑体" w:hAnsi="宋体" w:eastAsia="黑体"/>
      <w:bCs/>
      <w:kern w:val="0"/>
      <w:szCs w:val="24"/>
    </w:rPr>
  </w:style>
  <w:style w:type="paragraph" w:customStyle="1" w:styleId="86">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87">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88">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89">
    <w:name w:val="Char Char"/>
    <w:basedOn w:val="1"/>
    <w:qFormat/>
    <w:uiPriority w:val="0"/>
    <w:pPr>
      <w:ind w:firstLine="200" w:firstLineChars="200"/>
    </w:pPr>
    <w:rPr>
      <w:rFonts w:ascii="Times New Roman" w:hAnsi="Times New Roman"/>
      <w:szCs w:val="24"/>
    </w:rPr>
  </w:style>
  <w:style w:type="paragraph" w:customStyle="1" w:styleId="90">
    <w:name w:val="List Paragraph1"/>
    <w:basedOn w:val="1"/>
    <w:qFormat/>
    <w:uiPriority w:val="0"/>
    <w:pPr>
      <w:ind w:firstLine="420" w:firstLineChars="200"/>
    </w:pPr>
    <w:rPr>
      <w:szCs w:val="21"/>
    </w:rPr>
  </w:style>
  <w:style w:type="paragraph" w:customStyle="1" w:styleId="91">
    <w:name w:val="GCEBStyles2"/>
    <w:basedOn w:val="1"/>
    <w:qFormat/>
    <w:uiPriority w:val="0"/>
    <w:pPr>
      <w:jc w:val="left"/>
      <w:outlineLvl w:val="2"/>
    </w:pPr>
    <w:rPr>
      <w:rFonts w:ascii="宋体" w:hAnsi="宋体"/>
      <w:b/>
      <w:bCs/>
      <w:kern w:val="0"/>
      <w:sz w:val="32"/>
      <w:szCs w:val="24"/>
    </w:rPr>
  </w:style>
  <w:style w:type="paragraph" w:customStyle="1" w:styleId="92">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styleId="93">
    <w:name w:val="List Paragraph"/>
    <w:basedOn w:val="1"/>
    <w:qFormat/>
    <w:uiPriority w:val="34"/>
    <w:pPr>
      <w:ind w:firstLine="420" w:firstLineChars="200"/>
    </w:pPr>
    <w:rPr>
      <w:rFonts w:ascii="Calibri" w:hAnsi="Calibri" w:cs="Times New Roman"/>
      <w:kern w:val="2"/>
      <w:sz w:val="21"/>
    </w:rPr>
  </w:style>
  <w:style w:type="paragraph" w:customStyle="1" w:styleId="94">
    <w:name w:val="Style9"/>
    <w:basedOn w:val="1"/>
    <w:qFormat/>
    <w:uiPriority w:val="0"/>
    <w:pPr>
      <w:adjustRightInd w:val="0"/>
      <w:jc w:val="left"/>
    </w:pPr>
    <w:rPr>
      <w:rFonts w:ascii="宋体" w:hAnsi="Calibri" w:eastAsia="宋体" w:cs="Times New Roman"/>
      <w:kern w:val="0"/>
      <w:sz w:val="24"/>
      <w:szCs w:val="24"/>
    </w:rPr>
  </w:style>
  <w:style w:type="paragraph" w:customStyle="1" w:styleId="95">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96">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97">
    <w:name w:val="WPSOffice手动目录 1"/>
    <w:qFormat/>
    <w:uiPriority w:val="0"/>
    <w:pPr>
      <w:ind w:leftChars="0"/>
    </w:pPr>
    <w:rPr>
      <w:rFonts w:ascii="Times New Roman" w:hAnsi="Times New Roman" w:eastAsia="宋体" w:cs="Times New Roman"/>
      <w:sz w:val="20"/>
      <w:szCs w:val="20"/>
    </w:rPr>
  </w:style>
  <w:style w:type="paragraph" w:customStyle="1" w:styleId="98">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99">
    <w:name w:val="GCEBStyles3"/>
    <w:basedOn w:val="1"/>
    <w:qFormat/>
    <w:uiPriority w:val="0"/>
    <w:pPr>
      <w:jc w:val="left"/>
      <w:outlineLvl w:val="3"/>
    </w:pPr>
    <w:rPr>
      <w:rFonts w:ascii="黑体" w:hAnsi="宋体" w:eastAsia="黑体"/>
      <w:b/>
      <w:bCs/>
      <w:kern w:val="0"/>
      <w:sz w:val="28"/>
      <w:szCs w:val="24"/>
    </w:rPr>
  </w:style>
  <w:style w:type="paragraph" w:customStyle="1" w:styleId="100">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101">
    <w:name w:val="GCEBStyles0"/>
    <w:basedOn w:val="1"/>
    <w:qFormat/>
    <w:uiPriority w:val="0"/>
    <w:pPr>
      <w:jc w:val="left"/>
      <w:outlineLvl w:val="0"/>
    </w:pPr>
    <w:rPr>
      <w:rFonts w:ascii="宋体" w:hAnsi="宋体"/>
      <w:b/>
      <w:bCs/>
      <w:kern w:val="0"/>
      <w:sz w:val="44"/>
      <w:szCs w:val="24"/>
    </w:rPr>
  </w:style>
  <w:style w:type="paragraph" w:customStyle="1" w:styleId="102">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103">
    <w:name w:val="GCEBStyles5"/>
    <w:basedOn w:val="1"/>
    <w:qFormat/>
    <w:uiPriority w:val="0"/>
    <w:pPr>
      <w:jc w:val="left"/>
      <w:outlineLvl w:val="5"/>
    </w:pPr>
    <w:rPr>
      <w:rFonts w:ascii="黑体" w:hAnsi="宋体" w:eastAsia="黑体"/>
      <w:b/>
      <w:bCs/>
      <w:kern w:val="0"/>
      <w:sz w:val="24"/>
      <w:szCs w:val="24"/>
    </w:rPr>
  </w:style>
  <w:style w:type="paragraph" w:customStyle="1" w:styleId="104">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5">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10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character" w:customStyle="1" w:styleId="107">
    <w:name w:val="标题 1 Char"/>
    <w:link w:val="4"/>
    <w:qFormat/>
    <w:uiPriority w:val="0"/>
    <w:rPr>
      <w:rFonts w:ascii="黑体" w:hAnsi="黑体" w:eastAsia="仿宋"/>
      <w:b/>
      <w:sz w:val="36"/>
    </w:rPr>
  </w:style>
  <w:style w:type="character" w:customStyle="1" w:styleId="108">
    <w:name w:val="标题 2 字符"/>
    <w:link w:val="5"/>
    <w:qFormat/>
    <w:uiPriority w:val="0"/>
    <w:rPr>
      <w:rFonts w:ascii="Arial" w:hAnsi="Arial" w:eastAsia="黑体"/>
      <w:b/>
      <w:bCs/>
      <w:sz w:val="32"/>
      <w:szCs w:val="32"/>
    </w:rPr>
  </w:style>
  <w:style w:type="character" w:customStyle="1" w:styleId="109">
    <w:name w:val="标题 3 字符"/>
    <w:link w:val="6"/>
    <w:qFormat/>
    <w:uiPriority w:val="0"/>
    <w:rPr>
      <w:rFonts w:ascii="Times New Roman" w:hAnsi="Times New Roman"/>
      <w:b/>
      <w:sz w:val="32"/>
    </w:rPr>
  </w:style>
  <w:style w:type="character" w:customStyle="1" w:styleId="110">
    <w:name w:val="标题 6 字符"/>
    <w:link w:val="9"/>
    <w:qFormat/>
    <w:uiPriority w:val="0"/>
    <w:rPr>
      <w:rFonts w:ascii="Arial" w:hAnsi="Arial" w:eastAsia="黑体"/>
      <w:b/>
      <w:bCs/>
      <w:sz w:val="24"/>
      <w:szCs w:val="24"/>
    </w:rPr>
  </w:style>
  <w:style w:type="character" w:customStyle="1" w:styleId="111">
    <w:name w:val="标题 7 字符"/>
    <w:link w:val="10"/>
    <w:qFormat/>
    <w:uiPriority w:val="0"/>
    <w:rPr>
      <w:rFonts w:ascii="Times New Roman" w:hAnsi="Times New Roman"/>
      <w:b/>
      <w:bCs/>
      <w:sz w:val="24"/>
      <w:szCs w:val="24"/>
    </w:rPr>
  </w:style>
  <w:style w:type="character" w:customStyle="1" w:styleId="112">
    <w:name w:val="标题 8 字符"/>
    <w:link w:val="11"/>
    <w:qFormat/>
    <w:uiPriority w:val="0"/>
    <w:rPr>
      <w:rFonts w:ascii="Arial" w:hAnsi="Arial" w:eastAsia="黑体"/>
      <w:sz w:val="24"/>
      <w:szCs w:val="24"/>
    </w:rPr>
  </w:style>
  <w:style w:type="character" w:customStyle="1" w:styleId="113">
    <w:name w:val="标题 9 字符"/>
    <w:link w:val="12"/>
    <w:qFormat/>
    <w:uiPriority w:val="0"/>
    <w:rPr>
      <w:rFonts w:ascii="Arial" w:hAnsi="Arial" w:eastAsia="黑体"/>
      <w:sz w:val="21"/>
      <w:szCs w:val="21"/>
    </w:rPr>
  </w:style>
  <w:style w:type="character" w:customStyle="1" w:styleId="114">
    <w:name w:val="文档结构图 字符"/>
    <w:link w:val="16"/>
    <w:semiHidden/>
    <w:qFormat/>
    <w:uiPriority w:val="0"/>
    <w:rPr>
      <w:rFonts w:ascii="宋体" w:hAnsi="宋体"/>
      <w:szCs w:val="24"/>
      <w:shd w:val="clear" w:color="auto" w:fill="000080"/>
    </w:rPr>
  </w:style>
  <w:style w:type="character" w:customStyle="1" w:styleId="115">
    <w:name w:val="批注文字 字符"/>
    <w:link w:val="17"/>
    <w:qFormat/>
    <w:uiPriority w:val="0"/>
    <w:rPr>
      <w:rFonts w:ascii="Courier New" w:hAnsi="Courier New" w:eastAsia="宋体" w:cs="Courier New"/>
      <w:color w:val="000000"/>
      <w:kern w:val="0"/>
      <w:sz w:val="24"/>
      <w:szCs w:val="24"/>
      <w:lang w:val="zh-CN"/>
    </w:rPr>
  </w:style>
  <w:style w:type="character" w:customStyle="1" w:styleId="116">
    <w:name w:val="正文文本 字符"/>
    <w:link w:val="18"/>
    <w:qFormat/>
    <w:uiPriority w:val="0"/>
    <w:rPr>
      <w:rFonts w:ascii="宋体" w:hAnsi="宋体"/>
      <w:szCs w:val="24"/>
    </w:rPr>
  </w:style>
  <w:style w:type="character" w:customStyle="1" w:styleId="117">
    <w:name w:val="日期 字符"/>
    <w:link w:val="25"/>
    <w:semiHidden/>
    <w:qFormat/>
    <w:uiPriority w:val="99"/>
  </w:style>
  <w:style w:type="character" w:customStyle="1" w:styleId="118">
    <w:name w:val="正文文本缩进 字符"/>
    <w:link w:val="3"/>
    <w:qFormat/>
    <w:uiPriority w:val="0"/>
    <w:rPr>
      <w:rFonts w:ascii="宋体" w:hAnsi="宋体"/>
      <w:szCs w:val="24"/>
    </w:rPr>
  </w:style>
  <w:style w:type="character" w:customStyle="1" w:styleId="119">
    <w:name w:val="纯文本 字符"/>
    <w:link w:val="23"/>
    <w:qFormat/>
    <w:uiPriority w:val="0"/>
    <w:rPr>
      <w:rFonts w:ascii="宋体" w:hAnsi="Courier New"/>
      <w:kern w:val="2"/>
      <w:sz w:val="21"/>
    </w:rPr>
  </w:style>
  <w:style w:type="character" w:customStyle="1" w:styleId="120">
    <w:name w:val="正文文本缩进 2 字符"/>
    <w:link w:val="26"/>
    <w:qFormat/>
    <w:uiPriority w:val="0"/>
    <w:rPr>
      <w:rFonts w:ascii="宋体" w:hAnsi="宋体"/>
      <w:szCs w:val="24"/>
    </w:rPr>
  </w:style>
  <w:style w:type="character" w:customStyle="1" w:styleId="121">
    <w:name w:val="批注框文本 字符"/>
    <w:link w:val="27"/>
    <w:semiHidden/>
    <w:qFormat/>
    <w:uiPriority w:val="99"/>
    <w:rPr>
      <w:sz w:val="18"/>
      <w:szCs w:val="18"/>
    </w:rPr>
  </w:style>
  <w:style w:type="character" w:customStyle="1" w:styleId="122">
    <w:name w:val="页脚 字符"/>
    <w:link w:val="28"/>
    <w:qFormat/>
    <w:uiPriority w:val="99"/>
    <w:rPr>
      <w:sz w:val="18"/>
      <w:szCs w:val="18"/>
    </w:rPr>
  </w:style>
  <w:style w:type="character" w:customStyle="1" w:styleId="123">
    <w:name w:val="页眉 字符"/>
    <w:link w:val="30"/>
    <w:qFormat/>
    <w:uiPriority w:val="99"/>
    <w:rPr>
      <w:sz w:val="18"/>
      <w:szCs w:val="18"/>
    </w:rPr>
  </w:style>
  <w:style w:type="character" w:customStyle="1" w:styleId="124">
    <w:name w:val="标题 字符"/>
    <w:link w:val="40"/>
    <w:qFormat/>
    <w:uiPriority w:val="0"/>
    <w:rPr>
      <w:rFonts w:ascii="Arial" w:hAnsi="Arial" w:cs="Arial"/>
      <w:b/>
      <w:bCs/>
      <w:sz w:val="32"/>
      <w:szCs w:val="32"/>
    </w:rPr>
  </w:style>
  <w:style w:type="character" w:customStyle="1" w:styleId="125">
    <w:name w:val="批注主题 字符"/>
    <w:link w:val="41"/>
    <w:semiHidden/>
    <w:qFormat/>
    <w:uiPriority w:val="0"/>
    <w:rPr>
      <w:rFonts w:ascii="宋体" w:hAnsi="宋体" w:eastAsia="宋体" w:cs="Courier New"/>
      <w:b/>
      <w:bCs/>
      <w:color w:val="000000"/>
      <w:kern w:val="0"/>
      <w:sz w:val="24"/>
      <w:szCs w:val="24"/>
      <w:lang w:val="zh-CN"/>
    </w:rPr>
  </w:style>
  <w:style w:type="character" w:customStyle="1" w:styleId="126">
    <w:name w:val="标题 1 字符"/>
    <w:link w:val="4"/>
    <w:qFormat/>
    <w:uiPriority w:val="0"/>
    <w:rPr>
      <w:rFonts w:ascii="黑体" w:hAnsi="黑体" w:eastAsia="仿宋"/>
      <w:b/>
      <w:sz w:val="30"/>
    </w:rPr>
  </w:style>
  <w:style w:type="character" w:customStyle="1" w:styleId="127">
    <w:name w:val="hover2"/>
    <w:qFormat/>
    <w:uiPriority w:val="0"/>
  </w:style>
  <w:style w:type="character" w:customStyle="1" w:styleId="128">
    <w:name w:val="正文文本 (2)_"/>
    <w:link w:val="61"/>
    <w:qFormat/>
    <w:uiPriority w:val="0"/>
    <w:rPr>
      <w:rFonts w:ascii="MingLiU" w:eastAsia="MingLiU" w:cs="MingLiU"/>
      <w:sz w:val="22"/>
      <w:shd w:val="clear" w:color="auto" w:fill="FFFFFF"/>
    </w:rPr>
  </w:style>
  <w:style w:type="character" w:customStyle="1" w:styleId="129">
    <w:name w:val="font91"/>
    <w:qFormat/>
    <w:uiPriority w:val="0"/>
    <w:rPr>
      <w:rFonts w:hint="eastAsia" w:ascii="宋体" w:hAnsi="宋体" w:eastAsia="宋体" w:cs="宋体"/>
      <w:color w:val="000000"/>
      <w:sz w:val="22"/>
      <w:szCs w:val="22"/>
      <w:u w:val="none"/>
    </w:rPr>
  </w:style>
  <w:style w:type="character" w:customStyle="1" w:styleId="130">
    <w:name w:val="font71"/>
    <w:qFormat/>
    <w:uiPriority w:val="0"/>
    <w:rPr>
      <w:rFonts w:ascii="仿宋_GB2312" w:eastAsia="仿宋_GB2312" w:cs="仿宋_GB2312"/>
      <w:color w:val="000000"/>
      <w:sz w:val="24"/>
      <w:szCs w:val="24"/>
      <w:u w:val="none"/>
    </w:rPr>
  </w:style>
  <w:style w:type="character" w:customStyle="1" w:styleId="131">
    <w:name w:val="font61"/>
    <w:qFormat/>
    <w:uiPriority w:val="0"/>
    <w:rPr>
      <w:rFonts w:hint="default" w:ascii="Times New Roman" w:hAnsi="Times New Roman" w:cs="Times New Roman"/>
      <w:color w:val="000000"/>
      <w:sz w:val="24"/>
      <w:szCs w:val="24"/>
      <w:u w:val="none"/>
    </w:rPr>
  </w:style>
  <w:style w:type="character" w:customStyle="1" w:styleId="132">
    <w:name w:val="first-child"/>
    <w:qFormat/>
    <w:uiPriority w:val="0"/>
  </w:style>
  <w:style w:type="character" w:customStyle="1" w:styleId="133">
    <w:name w:val="flatpickr-day"/>
    <w:qFormat/>
    <w:uiPriority w:val="0"/>
  </w:style>
  <w:style w:type="character" w:customStyle="1" w:styleId="134">
    <w:name w:val="标题 2 Char Char Char Char Char Char Char Char Char Char Char Char Char Char Char Char Char Char Char Char Char"/>
    <w:qFormat/>
    <w:uiPriority w:val="0"/>
  </w:style>
  <w:style w:type="character" w:customStyle="1" w:styleId="135">
    <w:name w:val="hover3"/>
    <w:qFormat/>
    <w:uiPriority w:val="0"/>
  </w:style>
  <w:style w:type="character" w:customStyle="1" w:styleId="136">
    <w:name w:val="font01"/>
    <w:qFormat/>
    <w:uiPriority w:val="0"/>
    <w:rPr>
      <w:rFonts w:hint="default" w:ascii="Arial" w:hAnsi="Arial" w:cs="Arial"/>
      <w:color w:val="000000"/>
      <w:sz w:val="20"/>
      <w:szCs w:val="20"/>
      <w:u w:val="none"/>
    </w:rPr>
  </w:style>
  <w:style w:type="character" w:customStyle="1" w:styleId="137">
    <w:name w:val="font81"/>
    <w:qFormat/>
    <w:uiPriority w:val="0"/>
    <w:rPr>
      <w:rFonts w:hint="default" w:ascii="Times New Roman" w:hAnsi="Times New Roman" w:cs="Times New Roman"/>
      <w:color w:val="000000"/>
      <w:sz w:val="22"/>
      <w:szCs w:val="22"/>
      <w:u w:val="none"/>
    </w:rPr>
  </w:style>
  <w:style w:type="character" w:customStyle="1" w:styleId="138">
    <w:name w:val="hover"/>
    <w:qFormat/>
    <w:uiPriority w:val="0"/>
    <w:rPr>
      <w:color w:val="2590EB"/>
    </w:rPr>
  </w:style>
  <w:style w:type="character" w:customStyle="1" w:styleId="139">
    <w:name w:val="font21"/>
    <w:qFormat/>
    <w:uiPriority w:val="0"/>
    <w:rPr>
      <w:rFonts w:hint="default" w:ascii="Arial" w:hAnsi="Arial" w:cs="Arial"/>
      <w:b/>
      <w:bCs/>
      <w:color w:val="000000"/>
      <w:sz w:val="20"/>
      <w:szCs w:val="20"/>
      <w:u w:val="none"/>
    </w:rPr>
  </w:style>
  <w:style w:type="character" w:customStyle="1" w:styleId="140">
    <w:name w:val="font51"/>
    <w:qFormat/>
    <w:uiPriority w:val="0"/>
    <w:rPr>
      <w:rFonts w:hint="eastAsia" w:ascii="宋体" w:hAnsi="宋体" w:eastAsia="宋体" w:cs="宋体"/>
      <w:color w:val="000000"/>
      <w:sz w:val="24"/>
      <w:szCs w:val="24"/>
      <w:u w:val="none"/>
    </w:rPr>
  </w:style>
  <w:style w:type="character" w:customStyle="1" w:styleId="141">
    <w:name w:val="layui-laypage-curr"/>
    <w:qFormat/>
    <w:uiPriority w:val="0"/>
  </w:style>
  <w:style w:type="character" w:customStyle="1" w:styleId="142">
    <w:name w:val="hover1"/>
    <w:qFormat/>
    <w:uiPriority w:val="0"/>
    <w:rPr>
      <w:color w:val="2590EB"/>
    </w:rPr>
  </w:style>
  <w:style w:type="character" w:customStyle="1" w:styleId="143">
    <w:name w:val="flatpickr-weekday2"/>
    <w:qFormat/>
    <w:uiPriority w:val="0"/>
    <w:rPr>
      <w:b/>
      <w:bCs/>
      <w:sz w:val="21"/>
      <w:szCs w:val="21"/>
    </w:rPr>
  </w:style>
  <w:style w:type="character" w:customStyle="1" w:styleId="144">
    <w:name w:val="font11"/>
    <w:qFormat/>
    <w:uiPriority w:val="0"/>
    <w:rPr>
      <w:rFonts w:hint="eastAsia" w:ascii="宋体" w:hAnsi="宋体" w:eastAsia="宋体" w:cs="宋体"/>
      <w:b/>
      <w:bCs/>
      <w:color w:val="000000"/>
      <w:sz w:val="20"/>
      <w:szCs w:val="20"/>
      <w:u w:val="none"/>
    </w:rPr>
  </w:style>
  <w:style w:type="character" w:customStyle="1" w:styleId="145">
    <w:name w:val="正文文本 (2)"/>
    <w:qFormat/>
    <w:uiPriority w:val="0"/>
    <w:rPr>
      <w:rFonts w:ascii="MingLiU" w:eastAsia="MingLiU" w:cs="MingLiU"/>
      <w:sz w:val="22"/>
      <w:shd w:val="clear" w:color="auto" w:fill="FFFFFF"/>
    </w:rPr>
  </w:style>
  <w:style w:type="character" w:customStyle="1" w:styleId="146">
    <w:name w:val="layui-layer-tabnow"/>
    <w:qFormat/>
    <w:uiPriority w:val="0"/>
    <w:rPr>
      <w:bdr w:val="single" w:color="CCCCCC" w:sz="6" w:space="0"/>
      <w:shd w:val="clear" w:color="auto" w:fill="FFFFFF"/>
    </w:rPr>
  </w:style>
  <w:style w:type="character" w:customStyle="1" w:styleId="147">
    <w:name w:val="flatpickr-day2"/>
    <w:basedOn w:val="45"/>
    <w:qFormat/>
    <w:uiPriority w:val="0"/>
  </w:style>
  <w:style w:type="character" w:customStyle="1" w:styleId="148">
    <w:name w:val="正文文本 (3)_"/>
    <w:link w:val="62"/>
    <w:qFormat/>
    <w:uiPriority w:val="0"/>
    <w:rPr>
      <w:rFonts w:ascii="MingLiU" w:eastAsia="MingLiU" w:cs="MingLiU"/>
      <w:spacing w:val="50"/>
      <w:sz w:val="50"/>
      <w:szCs w:val="50"/>
      <w:shd w:val="clear" w:color="auto" w:fill="FFFFFF"/>
    </w:rPr>
  </w:style>
  <w:style w:type="character" w:customStyle="1" w:styleId="149">
    <w:name w:val="标题1"/>
    <w:qFormat/>
    <w:uiPriority w:val="0"/>
  </w:style>
  <w:style w:type="character" w:customStyle="1" w:styleId="150">
    <w:name w:val="font3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69</Pages>
  <Words>34187</Words>
  <Characters>35978</Characters>
  <Lines>312</Lines>
  <Paragraphs>87</Paragraphs>
  <TotalTime>45</TotalTime>
  <ScaleCrop>false</ScaleCrop>
  <LinksUpToDate>false</LinksUpToDate>
  <CharactersWithSpaces>37012</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2024-05-27T08:08:00Z</dcterms:created>
  <dc:creator>Sky123.Org</dc:creator>
  <cp:lastModifiedBy>痴心的迷恋、只等你回眸</cp:lastModifiedBy>
  <cp:lastPrinted>2024-05-07T02:17:00Z</cp:lastPrinted>
  <dcterms:modified xsi:type="dcterms:W3CDTF">2026-11-06T03:23:48Z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74273E55117B43169A4226CD25121F04_13</vt:lpwstr>
  </property>
  <property fmtid="{D5CDD505-2E9C-101B-9397-08002B2CF9AE}" pid="4" name="KSOTemplateDocerSaveRecord">
    <vt:lpwstr>eyJoZGlkIjoiNzlhNzljZjg1YTk0ODQ0NjIwYTdjZDkxYTI2YjM0YzEiLCJ1c2VySWQiOiIyNjUwNzY0MjAifQ==</vt:lpwstr>
  </property>
</Properties>
</file>