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6BDBB">
      <w:pPr>
        <w:wordWrap w:val="0"/>
        <w:spacing w:line="360" w:lineRule="exact"/>
        <w:jc w:val="right"/>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招标编号：WHGQ(2026)XCTZTY20261001</w:t>
      </w:r>
    </w:p>
    <w:p w14:paraId="1A89AA1E">
      <w:pPr>
        <w:rPr>
          <w:rFonts w:hint="eastAsia" w:ascii="仿宋" w:hAnsi="仿宋" w:eastAsia="仿宋"/>
          <w:color w:val="000000" w:themeColor="text1"/>
          <w:highlight w:val="none"/>
          <w14:textFill>
            <w14:solidFill>
              <w14:schemeClr w14:val="tx1"/>
            </w14:solidFill>
          </w14:textFill>
        </w:rPr>
      </w:pPr>
    </w:p>
    <w:p w14:paraId="2E500C0E">
      <w:pPr>
        <w:pStyle w:val="19"/>
        <w:rPr>
          <w:rFonts w:hint="eastAsia" w:ascii="仿宋" w:hAnsi="仿宋" w:eastAsia="仿宋"/>
          <w:color w:val="000000" w:themeColor="text1"/>
          <w:highlight w:val="none"/>
          <w14:textFill>
            <w14:solidFill>
              <w14:schemeClr w14:val="tx1"/>
            </w14:solidFill>
          </w14:textFill>
        </w:rPr>
      </w:pPr>
    </w:p>
    <w:p w14:paraId="4FEB2FAE">
      <w:pPr>
        <w:pStyle w:val="20"/>
        <w:ind w:left="5250"/>
        <w:rPr>
          <w:rFonts w:hint="eastAsia" w:ascii="仿宋" w:hAnsi="仿宋" w:eastAsia="仿宋"/>
          <w:color w:val="000000" w:themeColor="text1"/>
          <w:highlight w:val="none"/>
          <w14:textFill>
            <w14:solidFill>
              <w14:schemeClr w14:val="tx1"/>
            </w14:solidFill>
          </w14:textFill>
        </w:rPr>
      </w:pPr>
    </w:p>
    <w:p w14:paraId="0C9101B4">
      <w:pPr>
        <w:rPr>
          <w:rFonts w:hint="eastAsia" w:ascii="仿宋" w:hAnsi="仿宋" w:eastAsia="仿宋"/>
          <w:color w:val="000000" w:themeColor="text1"/>
          <w:highlight w:val="none"/>
          <w14:textFill>
            <w14:solidFill>
              <w14:schemeClr w14:val="tx1"/>
            </w14:solidFill>
          </w14:textFill>
        </w:rPr>
      </w:pPr>
    </w:p>
    <w:p w14:paraId="31FB018D">
      <w:pPr>
        <w:rPr>
          <w:rFonts w:hint="eastAsia" w:ascii="仿宋" w:hAnsi="仿宋" w:eastAsia="仿宋"/>
          <w:color w:val="000000" w:themeColor="text1"/>
          <w:highlight w:val="none"/>
          <w14:textFill>
            <w14:solidFill>
              <w14:schemeClr w14:val="tx1"/>
            </w14:solidFill>
          </w14:textFill>
        </w:rPr>
      </w:pPr>
    </w:p>
    <w:p w14:paraId="057749AE">
      <w:pPr>
        <w:rPr>
          <w:rFonts w:hint="eastAsia" w:ascii="仿宋" w:hAnsi="仿宋" w:eastAsia="仿宋"/>
          <w:color w:val="000000" w:themeColor="text1"/>
          <w:highlight w:val="none"/>
          <w14:textFill>
            <w14:solidFill>
              <w14:schemeClr w14:val="tx1"/>
            </w14:solidFill>
          </w14:textFill>
        </w:rPr>
      </w:pPr>
    </w:p>
    <w:p w14:paraId="4C524851">
      <w:pPr>
        <w:rPr>
          <w:rFonts w:hint="eastAsia" w:ascii="仿宋" w:hAnsi="仿宋" w:eastAsia="仿宋"/>
          <w:color w:val="000000" w:themeColor="text1"/>
          <w:highlight w:val="none"/>
          <w14:textFill>
            <w14:solidFill>
              <w14:schemeClr w14:val="tx1"/>
            </w14:solidFill>
          </w14:textFill>
        </w:rPr>
      </w:pPr>
    </w:p>
    <w:p w14:paraId="0BAD166F">
      <w:pPr>
        <w:pStyle w:val="51"/>
        <w:ind w:left="0" w:leftChars="0" w:firstLine="0" w:firstLineChars="0"/>
        <w:jc w:val="center"/>
        <w:rPr>
          <w:rFonts w:hint="eastAsia" w:ascii="仿宋" w:hAnsi="仿宋" w:eastAsia="仿宋" w:cs="仿宋"/>
          <w:b/>
          <w:color w:val="000000" w:themeColor="text1"/>
          <w:sz w:val="52"/>
          <w:szCs w:val="52"/>
          <w:highlight w:val="none"/>
          <w14:textFill>
            <w14:solidFill>
              <w14:schemeClr w14:val="tx1"/>
            </w14:solidFill>
          </w14:textFill>
        </w:rPr>
      </w:pPr>
      <w:bookmarkStart w:id="0" w:name="OLE_LINK4"/>
      <w:r>
        <w:rPr>
          <w:rFonts w:hint="eastAsia" w:ascii="仿宋" w:hAnsi="仿宋" w:eastAsia="仿宋" w:cs="仿宋"/>
          <w:b/>
          <w:color w:val="000000" w:themeColor="text1"/>
          <w:sz w:val="52"/>
          <w:szCs w:val="52"/>
          <w:highlight w:val="none"/>
          <w14:textFill>
            <w14:solidFill>
              <w14:schemeClr w14:val="tx1"/>
            </w14:solidFill>
          </w14:textFill>
        </w:rPr>
        <w:t>2026新能源铝应用创新发展会议委托服务</w:t>
      </w:r>
    </w:p>
    <w:bookmarkEnd w:id="0"/>
    <w:p w14:paraId="0A424CFC">
      <w:pPr>
        <w:rPr>
          <w:rFonts w:hint="eastAsia" w:ascii="仿宋" w:hAnsi="仿宋" w:eastAsia="仿宋"/>
          <w:color w:val="000000" w:themeColor="text1"/>
          <w:highlight w:val="none"/>
          <w14:textFill>
            <w14:solidFill>
              <w14:schemeClr w14:val="tx1"/>
            </w14:solidFill>
          </w14:textFill>
        </w:rPr>
      </w:pPr>
    </w:p>
    <w:p w14:paraId="2C901CEA">
      <w:pPr>
        <w:rPr>
          <w:rFonts w:hint="eastAsia" w:ascii="仿宋" w:hAnsi="仿宋" w:eastAsia="仿宋"/>
          <w:color w:val="000000" w:themeColor="text1"/>
          <w:highlight w:val="none"/>
          <w14:textFill>
            <w14:solidFill>
              <w14:schemeClr w14:val="tx1"/>
            </w14:solidFill>
          </w14:textFill>
        </w:rPr>
      </w:pPr>
    </w:p>
    <w:p w14:paraId="2FB20DC8">
      <w:pPr>
        <w:spacing w:before="156" w:beforeLines="50" w:line="360" w:lineRule="auto"/>
        <w:jc w:val="center"/>
        <w:rPr>
          <w:rFonts w:hint="eastAsia" w:ascii="仿宋" w:hAnsi="仿宋" w:eastAsia="仿宋" w:cs="仿宋"/>
          <w:b/>
          <w:color w:val="000000" w:themeColor="text1"/>
          <w:sz w:val="52"/>
          <w:szCs w:val="52"/>
          <w:highlight w:val="none"/>
          <w14:textFill>
            <w14:solidFill>
              <w14:schemeClr w14:val="tx1"/>
            </w14:solidFill>
          </w14:textFill>
        </w:rPr>
      </w:pPr>
      <w:r>
        <w:rPr>
          <w:rFonts w:hint="eastAsia" w:ascii="仿宋" w:hAnsi="仿宋" w:eastAsia="仿宋" w:cs="仿宋"/>
          <w:b/>
          <w:color w:val="000000" w:themeColor="text1"/>
          <w:sz w:val="52"/>
          <w:szCs w:val="52"/>
          <w:highlight w:val="none"/>
          <w14:textFill>
            <w14:solidFill>
              <w14:schemeClr w14:val="tx1"/>
            </w14:solidFill>
          </w14:textFill>
        </w:rPr>
        <w:t>招标文件</w:t>
      </w:r>
    </w:p>
    <w:p w14:paraId="5CC78427">
      <w:pPr>
        <w:spacing w:line="360" w:lineRule="auto"/>
        <w:jc w:val="left"/>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52"/>
          <w:szCs w:val="52"/>
          <w:highlight w:val="none"/>
          <w14:textFill>
            <w14:solidFill>
              <w14:schemeClr w14:val="tx1"/>
            </w14:solidFill>
          </w14:textFill>
        </w:rPr>
        <w:drawing>
          <wp:anchor distT="0" distB="0" distL="114300" distR="114300" simplePos="0" relativeHeight="251659264" behindDoc="0" locked="0" layoutInCell="1" allowOverlap="1">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6D25A57B">
      <w:pPr>
        <w:spacing w:line="360" w:lineRule="auto"/>
        <w:jc w:val="left"/>
        <w:rPr>
          <w:rFonts w:hint="eastAsia" w:ascii="仿宋" w:hAnsi="仿宋" w:eastAsia="仿宋" w:cs="仿宋"/>
          <w:color w:val="000000" w:themeColor="text1"/>
          <w:sz w:val="36"/>
          <w:szCs w:val="36"/>
          <w:highlight w:val="none"/>
          <w14:textFill>
            <w14:solidFill>
              <w14:schemeClr w14:val="tx1"/>
            </w14:solidFill>
          </w14:textFill>
        </w:rPr>
      </w:pPr>
    </w:p>
    <w:p w14:paraId="584A4D4D">
      <w:pPr>
        <w:spacing w:line="360" w:lineRule="auto"/>
        <w:rPr>
          <w:rFonts w:hint="eastAsia" w:ascii="仿宋" w:hAnsi="仿宋" w:eastAsia="仿宋" w:cs="仿宋"/>
          <w:b/>
          <w:color w:val="000000" w:themeColor="text1"/>
          <w:sz w:val="16"/>
          <w:szCs w:val="36"/>
          <w:highlight w:val="none"/>
          <w14:textFill>
            <w14:solidFill>
              <w14:schemeClr w14:val="tx1"/>
            </w14:solidFill>
          </w14:textFill>
        </w:rPr>
      </w:pPr>
    </w:p>
    <w:p w14:paraId="35847949">
      <w:pPr>
        <w:pStyle w:val="204"/>
        <w:rPr>
          <w:rFonts w:hint="eastAsia" w:ascii="仿宋" w:hAnsi="仿宋" w:eastAsia="仿宋" w:cs="仿宋"/>
          <w:color w:val="000000" w:themeColor="text1"/>
          <w:highlight w:val="none"/>
          <w14:textFill>
            <w14:solidFill>
              <w14:schemeClr w14:val="tx1"/>
            </w14:solidFill>
          </w14:textFill>
        </w:rPr>
      </w:pPr>
    </w:p>
    <w:p w14:paraId="362DB817">
      <w:pPr>
        <w:rPr>
          <w:rFonts w:hint="eastAsia" w:ascii="仿宋" w:hAnsi="仿宋" w:eastAsia="仿宋"/>
          <w:color w:val="000000" w:themeColor="text1"/>
          <w:highlight w:val="none"/>
          <w14:textFill>
            <w14:solidFill>
              <w14:schemeClr w14:val="tx1"/>
            </w14:solidFill>
          </w14:textFill>
        </w:rPr>
      </w:pPr>
    </w:p>
    <w:p w14:paraId="12FC2AA4">
      <w:pPr>
        <w:spacing w:line="360" w:lineRule="auto"/>
        <w:rPr>
          <w:rFonts w:hint="eastAsia" w:ascii="仿宋" w:hAnsi="仿宋" w:eastAsia="仿宋" w:cs="仿宋"/>
          <w:b/>
          <w:color w:val="000000" w:themeColor="text1"/>
          <w:sz w:val="16"/>
          <w:szCs w:val="36"/>
          <w:highlight w:val="none"/>
          <w14:textFill>
            <w14:solidFill>
              <w14:schemeClr w14:val="tx1"/>
            </w14:solidFill>
          </w14:textFill>
        </w:rPr>
      </w:pPr>
    </w:p>
    <w:p w14:paraId="6EFC98B6">
      <w:pPr>
        <w:pStyle w:val="19"/>
        <w:rPr>
          <w:rFonts w:hint="eastAsia" w:ascii="仿宋" w:hAnsi="仿宋" w:eastAsia="仿宋" w:cs="仿宋"/>
          <w:color w:val="000000" w:themeColor="text1"/>
          <w:highlight w:val="none"/>
          <w14:textFill>
            <w14:solidFill>
              <w14:schemeClr w14:val="tx1"/>
            </w14:solidFill>
          </w14:textFill>
        </w:rPr>
      </w:pPr>
    </w:p>
    <w:p w14:paraId="6B7B74BA">
      <w:pPr>
        <w:spacing w:line="360" w:lineRule="auto"/>
        <w:rPr>
          <w:rFonts w:hint="eastAsia" w:ascii="仿宋" w:hAnsi="仿宋" w:eastAsia="仿宋" w:cs="仿宋"/>
          <w:b/>
          <w:color w:val="000000" w:themeColor="text1"/>
          <w:sz w:val="16"/>
          <w:szCs w:val="36"/>
          <w:highlight w:val="none"/>
          <w14:textFill>
            <w14:solidFill>
              <w14:schemeClr w14:val="tx1"/>
            </w14:solidFill>
          </w14:textFill>
        </w:rPr>
      </w:pPr>
    </w:p>
    <w:p w14:paraId="7A39F216">
      <w:pPr>
        <w:pStyle w:val="204"/>
        <w:rPr>
          <w:rFonts w:hint="eastAsia" w:ascii="仿宋" w:hAnsi="仿宋" w:eastAsia="仿宋" w:cs="仿宋"/>
          <w:color w:val="000000" w:themeColor="text1"/>
          <w:highlight w:val="none"/>
          <w14:textFill>
            <w14:solidFill>
              <w14:schemeClr w14:val="tx1"/>
            </w14:solidFill>
          </w14:textFill>
        </w:rPr>
      </w:pPr>
    </w:p>
    <w:p w14:paraId="1C093333">
      <w:pPr>
        <w:spacing w:before="156" w:beforeLines="50" w:line="360" w:lineRule="auto"/>
        <w:ind w:firstLine="726" w:firstLineChars="201"/>
        <w:jc w:val="center"/>
        <w:rPr>
          <w:rFonts w:hint="eastAsia" w:ascii="仿宋" w:hAnsi="仿宋" w:eastAsia="仿宋" w:cs="仿宋"/>
          <w:b/>
          <w:color w:val="000000" w:themeColor="text1"/>
          <w:sz w:val="36"/>
          <w:szCs w:val="36"/>
          <w:highlight w:val="none"/>
          <w14:textFill>
            <w14:solidFill>
              <w14:schemeClr w14:val="tx1"/>
            </w14:solidFill>
          </w14:textFill>
        </w:rPr>
      </w:pPr>
      <w:bookmarkStart w:id="1" w:name="_Hlk154665901"/>
    </w:p>
    <w:p w14:paraId="27FDF316">
      <w:pPr>
        <w:spacing w:before="156" w:beforeLines="50" w:line="360" w:lineRule="auto"/>
        <w:ind w:firstLine="726" w:firstLineChars="201"/>
        <w:jc w:val="center"/>
        <w:rPr>
          <w:rFonts w:hint="eastAsia" w:ascii="仿宋" w:hAnsi="仿宋" w:eastAsia="仿宋" w:cs="仿宋"/>
          <w:b/>
          <w:color w:val="000000" w:themeColor="text1"/>
          <w:sz w:val="36"/>
          <w:szCs w:val="36"/>
          <w:highlight w:val="none"/>
          <w14:textFill>
            <w14:solidFill>
              <w14:schemeClr w14:val="tx1"/>
            </w14:solidFill>
          </w14:textFill>
        </w:rPr>
      </w:pPr>
    </w:p>
    <w:p w14:paraId="54635860">
      <w:pPr>
        <w:spacing w:before="156" w:beforeLines="50" w:line="360" w:lineRule="auto"/>
        <w:jc w:val="center"/>
        <w:rPr>
          <w:rFonts w:hint="eastAsia" w:ascii="仿宋" w:hAnsi="仿宋" w:eastAsia="仿宋" w:cs="仿宋"/>
          <w:b/>
          <w:bCs/>
          <w:color w:val="000000" w:themeColor="text1"/>
          <w:kern w:val="0"/>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代理机构：威海市天垣工程咨询管理有限公司</w:t>
      </w:r>
    </w:p>
    <w:p w14:paraId="02423C5C">
      <w:pPr>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编制时间：2026年10月</w:t>
      </w:r>
    </w:p>
    <w:bookmarkEnd w:id="1"/>
    <w:p w14:paraId="421254F6">
      <w:pPr>
        <w:rPr>
          <w:rFonts w:hint="eastAsia" w:ascii="仿宋" w:hAnsi="仿宋" w:eastAsia="仿宋" w:cs="仿宋"/>
          <w:color w:val="000000" w:themeColor="text1"/>
          <w:highlight w:val="none"/>
          <w14:textFill>
            <w14:solidFill>
              <w14:schemeClr w14:val="tx1"/>
            </w14:solidFill>
          </w14:textFill>
        </w:rPr>
      </w:pPr>
    </w:p>
    <w:sdt>
      <w:sdtPr>
        <w:rPr>
          <w:rFonts w:ascii="仿宋" w:hAnsi="仿宋" w:eastAsia="仿宋" w:cstheme="minorBidi"/>
          <w:b w:val="0"/>
          <w:bCs w:val="0"/>
          <w:caps/>
          <w:color w:val="000000" w:themeColor="text1"/>
          <w:kern w:val="2"/>
          <w:sz w:val="21"/>
          <w:szCs w:val="24"/>
          <w:highlight w:val="none"/>
          <w:lang w:val="zh-CN"/>
          <w14:textFill>
            <w14:solidFill>
              <w14:schemeClr w14:val="tx1"/>
            </w14:solidFill>
          </w14:textFill>
        </w:rPr>
        <w:id w:val="984660636"/>
        <w:docPartObj>
          <w:docPartGallery w:val="Table of Contents"/>
          <w:docPartUnique/>
        </w:docPartObj>
      </w:sdtPr>
      <w:sdtEndPr>
        <w:rPr>
          <w:rFonts w:ascii="仿宋" w:hAnsi="仿宋" w:eastAsia="仿宋" w:cstheme="minorBidi"/>
          <w:b/>
          <w:bCs/>
          <w:caps/>
          <w:color w:val="000000" w:themeColor="text1"/>
          <w:kern w:val="2"/>
          <w:sz w:val="28"/>
          <w:szCs w:val="28"/>
          <w:highlight w:val="none"/>
          <w:lang w:val="zh-CN"/>
          <w14:textFill>
            <w14:solidFill>
              <w14:schemeClr w14:val="tx1"/>
            </w14:solidFill>
          </w14:textFill>
        </w:rPr>
      </w:sdtEndPr>
      <w:sdtContent>
        <w:p w14:paraId="54523C68">
          <w:pPr>
            <w:pStyle w:val="388"/>
            <w:tabs>
              <w:tab w:val="center" w:pos="4873"/>
              <w:tab w:val="left" w:pos="8171"/>
            </w:tabs>
            <w:rPr>
              <w:rFonts w:hint="eastAsia" w:ascii="仿宋" w:hAnsi="仿宋" w:eastAsia="仿宋"/>
              <w:color w:val="000000" w:themeColor="text1"/>
              <w:sz w:val="44"/>
              <w:szCs w:val="44"/>
              <w:highlight w:val="none"/>
              <w14:textFill>
                <w14:solidFill>
                  <w14:schemeClr w14:val="tx1"/>
                </w14:solidFill>
              </w14:textFill>
            </w:rPr>
          </w:pPr>
          <w:bookmarkStart w:id="2" w:name="_Hlk130651888"/>
          <w:bookmarkStart w:id="3" w:name="_Toc413596380"/>
          <w:bookmarkStart w:id="4" w:name="_Toc382129898"/>
          <w:r>
            <w:rPr>
              <w:rFonts w:hint="eastAsia" w:ascii="仿宋" w:hAnsi="仿宋" w:eastAsia="仿宋" w:cstheme="minorBidi"/>
              <w:b w:val="0"/>
              <w:bCs w:val="0"/>
              <w:caps/>
              <w:color w:val="000000" w:themeColor="text1"/>
              <w:kern w:val="2"/>
              <w:sz w:val="21"/>
              <w:szCs w:val="24"/>
              <w:highlight w:val="none"/>
              <w:lang w:val="zh-CN"/>
              <w14:textFill>
                <w14:solidFill>
                  <w14:schemeClr w14:val="tx1"/>
                </w14:solidFill>
              </w14:textFill>
            </w:rPr>
            <w:tab/>
          </w:r>
          <w:r>
            <w:rPr>
              <w:rFonts w:ascii="仿宋" w:hAnsi="仿宋" w:eastAsia="仿宋"/>
              <w:color w:val="000000" w:themeColor="text1"/>
              <w:sz w:val="44"/>
              <w:szCs w:val="44"/>
              <w:highlight w:val="none"/>
              <w:lang w:val="zh-CN"/>
              <w14:textFill>
                <w14:solidFill>
                  <w14:schemeClr w14:val="tx1"/>
                </w14:solidFill>
              </w14:textFill>
            </w:rPr>
            <w:t>目录</w:t>
          </w:r>
          <w:r>
            <w:rPr>
              <w:rFonts w:hint="eastAsia" w:ascii="仿宋" w:hAnsi="仿宋" w:eastAsia="仿宋"/>
              <w:color w:val="000000" w:themeColor="text1"/>
              <w:sz w:val="44"/>
              <w:szCs w:val="44"/>
              <w:highlight w:val="none"/>
              <w:lang w:val="zh-CN"/>
              <w14:textFill>
                <w14:solidFill>
                  <w14:schemeClr w14:val="tx1"/>
                </w14:solidFill>
              </w14:textFill>
            </w:rPr>
            <w:tab/>
          </w:r>
        </w:p>
        <w:p w14:paraId="71E446DB">
          <w:pPr>
            <w:pStyle w:val="33"/>
            <w:rPr>
              <w:rStyle w:val="59"/>
              <w:rFonts w:hint="eastAsia" w:ascii="仿宋" w:hAnsi="仿宋" w:eastAsia="仿宋" w:cs="仿宋"/>
              <w:color w:val="000000" w:themeColor="text1"/>
              <w:highlight w:val="none"/>
              <w14:textFill>
                <w14:solidFill>
                  <w14:schemeClr w14:val="tx1"/>
                </w14:solidFill>
              </w14:textFill>
            </w:rPr>
          </w:pP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TOC \o "1-3" \h \z \u </w:instrText>
          </w:r>
          <w:r>
            <w:rPr>
              <w:rStyle w:val="59"/>
              <w:rFonts w:ascii="仿宋" w:hAnsi="仿宋" w:eastAsia="仿宋" w:cs="仿宋"/>
              <w:color w:val="000000" w:themeColor="text1"/>
              <w:highlight w:val="none"/>
              <w14:textFill>
                <w14:solidFill>
                  <w14:schemeClr w14:val="tx1"/>
                </w14:solidFill>
              </w14:textFill>
            </w:rPr>
            <w:fldChar w:fldCharType="separate"/>
          </w:r>
          <w:r>
            <w:rPr>
              <w:highlight w:val="none"/>
            </w:rPr>
            <w:fldChar w:fldCharType="begin"/>
          </w:r>
          <w:r>
            <w:rPr>
              <w:highlight w:val="none"/>
            </w:rPr>
            <w:instrText xml:space="preserve"> HYPERLINK \l "_Toc130891902"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第一章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招标公告</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_Toc130891902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1</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5D7F4109">
          <w:pPr>
            <w:pStyle w:val="33"/>
            <w:rPr>
              <w:rStyle w:val="59"/>
              <w:rFonts w:hint="eastAsia" w:ascii="仿宋" w:hAnsi="仿宋" w:eastAsia="仿宋" w:cs="仿宋"/>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"_Toc130891903"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第二章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投标须知</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_Toc130891903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4</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75EECB4F">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"_Toc130891904"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一、说明</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_Toc130891904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10</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64FA9C1E">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"_Toc130891905"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二、招标文件</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_Toc130891905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12</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7D442601">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"_Toc130891906"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三、投标文件的编制</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_Toc130891906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14</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3A72DEE9">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"_Toc130891907"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四、投标文件的提交</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_Toc130891907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22</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63DE75DF">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"_Toc130891908"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五、开标与评审</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_Toc130891908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24</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685CD50F">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"_Toc130891909"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六、定标</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_Toc130891909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34</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4C66939D">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"_Toc130891910"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七、结果公告</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_Toc130891910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34</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1639CED8">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"_Toc130891911"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八、质疑</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_Toc130891911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35</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42C10205">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"_Toc130891912"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九、签订合同</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_Toc130891912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36</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01775396">
          <w:pPr>
            <w:pStyle w:val="33"/>
            <w:rPr>
              <w:rStyle w:val="59"/>
              <w:rFonts w:hint="eastAsia" w:ascii="仿宋" w:hAnsi="仿宋" w:eastAsia="仿宋" w:cs="仿宋"/>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"_Toc130891913"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第三章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开标、评标、定标</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_Toc130891913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37</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59CE45D5">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"_Toc130891914"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一、开标</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_Toc130891914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38</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5959D9E4">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"_Toc130891915"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二、评标</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_Toc130891915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39</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6708D924">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"_Toc130891916"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三、编写评标报告</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_Toc130891916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43</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597F27B2">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"_Toc130891917"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四、定标</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_Toc130891917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43</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7E22CDE6">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"_Toc130891918"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五、结果公告</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_Toc130891918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43</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1841E286">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"_Toc130891919"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六、签发中标通知书</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_Toc130891919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43</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329BECCC">
          <w:pPr>
            <w:pStyle w:val="33"/>
            <w:ind w:firstLine="560" w:firstLineChars="200"/>
            <w:rPr>
              <w:rStyle w:val="59"/>
              <w:rFonts w:hint="eastAsia" w:ascii="仿宋" w:hAnsi="仿宋" w:eastAsia="仿宋" w:cs="仿宋"/>
              <w:b w:val="0"/>
              <w:bCs w:val="0"/>
              <w:color w:val="000000" w:themeColor="text1"/>
              <w:sz w:val="24"/>
              <w:szCs w:val="24"/>
              <w:highlight w:val="none"/>
              <w14:textFill>
                <w14:solidFill>
                  <w14:schemeClr w14:val="tx1"/>
                </w14:solidFill>
              </w14:textFill>
            </w:rPr>
          </w:pPr>
          <w:r>
            <w:rPr>
              <w:highlight w:val="none"/>
            </w:rPr>
            <w:fldChar w:fldCharType="begin"/>
          </w:r>
          <w:r>
            <w:rPr>
              <w:highlight w:val="none"/>
            </w:rPr>
            <w:instrText xml:space="preserve"> HYPERLINK \l "_Toc130891920" </w:instrText>
          </w:r>
          <w:r>
            <w:rPr>
              <w:highlight w:val="none"/>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七、签订合同</w:t>
          </w:r>
          <w:r>
            <w:rPr>
              <w:rStyle w:val="59"/>
              <w:rFonts w:ascii="仿宋" w:hAnsi="仿宋" w:eastAsia="仿宋" w:cs="仿宋"/>
              <w:b w:val="0"/>
              <w:bCs w:val="0"/>
              <w:color w:val="000000" w:themeColor="text1"/>
              <w:sz w:val="24"/>
              <w:szCs w:val="24"/>
              <w:highlight w:val="none"/>
              <w14:textFill>
                <w14:solidFill>
                  <w14:schemeClr w14:val="tx1"/>
                </w14:solidFill>
              </w14:textFill>
            </w:rPr>
            <w:tab/>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begin"/>
          </w:r>
          <w:r>
            <w:rPr>
              <w:rStyle w:val="59"/>
              <w:rFonts w:ascii="仿宋" w:hAnsi="仿宋" w:eastAsia="仿宋" w:cs="仿宋"/>
              <w:b w:val="0"/>
              <w:bCs w:val="0"/>
              <w:color w:val="000000" w:themeColor="text1"/>
              <w:sz w:val="24"/>
              <w:szCs w:val="24"/>
              <w:highlight w:val="none"/>
              <w14:textFill>
                <w14:solidFill>
                  <w14:schemeClr w14:val="tx1"/>
                </w14:solidFill>
              </w14:textFill>
            </w:rPr>
            <w:instrText xml:space="preserve"> PAGEREF _Toc130891920 \h </w:instrTex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separate"/>
          </w:r>
          <w:r>
            <w:rPr>
              <w:rStyle w:val="59"/>
              <w:rFonts w:ascii="仿宋" w:hAnsi="仿宋" w:eastAsia="仿宋" w:cs="仿宋"/>
              <w:b w:val="0"/>
              <w:bCs w:val="0"/>
              <w:color w:val="000000" w:themeColor="text1"/>
              <w:sz w:val="24"/>
              <w:szCs w:val="24"/>
              <w:highlight w:val="none"/>
              <w14:textFill>
                <w14:solidFill>
                  <w14:schemeClr w14:val="tx1"/>
                </w14:solidFill>
              </w14:textFill>
            </w:rPr>
            <w:t>44</w:t>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r>
            <w:rPr>
              <w:rStyle w:val="59"/>
              <w:rFonts w:ascii="仿宋" w:hAnsi="仿宋" w:eastAsia="仿宋" w:cs="仿宋"/>
              <w:b w:val="0"/>
              <w:bCs w:val="0"/>
              <w:color w:val="000000" w:themeColor="text1"/>
              <w:sz w:val="24"/>
              <w:szCs w:val="24"/>
              <w:highlight w:val="none"/>
              <w14:textFill>
                <w14:solidFill>
                  <w14:schemeClr w14:val="tx1"/>
                </w14:solidFill>
              </w14:textFill>
            </w:rPr>
            <w:fldChar w:fldCharType="end"/>
          </w:r>
        </w:p>
        <w:p w14:paraId="22D817D7">
          <w:pPr>
            <w:pStyle w:val="33"/>
            <w:rPr>
              <w:rStyle w:val="59"/>
              <w:rFonts w:hint="eastAsia" w:ascii="仿宋" w:hAnsi="仿宋" w:eastAsia="仿宋" w:cs="仿宋"/>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"_Toc130891921"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第四章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采购项目说明</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_Toc130891921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45</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571762C1">
          <w:pPr>
            <w:pStyle w:val="33"/>
            <w:rPr>
              <w:rStyle w:val="59"/>
              <w:rFonts w:hint="eastAsia" w:ascii="仿宋" w:hAnsi="仿宋" w:eastAsia="仿宋" w:cs="仿宋"/>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"_Toc130891923"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第五章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投标文件格式</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_Toc130891923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45</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3734632D">
          <w:pPr>
            <w:pStyle w:val="33"/>
            <w:rPr>
              <w:rStyle w:val="59"/>
              <w:rFonts w:hint="eastAsia" w:ascii="仿宋" w:hAnsi="仿宋" w:eastAsia="仿宋" w:cs="仿宋"/>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"_Toc130891924" </w:instrText>
          </w:r>
          <w:r>
            <w:rPr>
              <w:highlight w:val="none"/>
            </w:rPr>
            <w:fldChar w:fldCharType="separate"/>
          </w:r>
          <w:r>
            <w:rPr>
              <w:rStyle w:val="59"/>
              <w:rFonts w:ascii="仿宋" w:hAnsi="仿宋" w:eastAsia="仿宋" w:cs="仿宋"/>
              <w:color w:val="000000" w:themeColor="text1"/>
              <w:highlight w:val="none"/>
              <w14:textFill>
                <w14:solidFill>
                  <w14:schemeClr w14:val="tx1"/>
                </w14:solidFill>
              </w14:textFill>
            </w:rPr>
            <w:t>第六章</w:t>
          </w:r>
          <w:r>
            <w:rPr>
              <w:rStyle w:val="59"/>
              <w:rFonts w:hint="eastAsia" w:ascii="仿宋" w:hAnsi="仿宋" w:eastAsia="仿宋" w:cs="仿宋"/>
              <w:color w:val="000000" w:themeColor="text1"/>
              <w:highlight w:val="none"/>
              <w14:textFill>
                <w14:solidFill>
                  <w14:schemeClr w14:val="tx1"/>
                </w14:solidFill>
              </w14:textFill>
            </w:rPr>
            <w:t xml:space="preserve">  </w:t>
          </w:r>
          <w:r>
            <w:rPr>
              <w:rStyle w:val="59"/>
              <w:rFonts w:ascii="仿宋" w:hAnsi="仿宋" w:eastAsia="仿宋" w:cs="仿宋"/>
              <w:color w:val="000000" w:themeColor="text1"/>
              <w:highlight w:val="none"/>
              <w14:textFill>
                <w14:solidFill>
                  <w14:schemeClr w14:val="tx1"/>
                </w14:solidFill>
              </w14:textFill>
            </w:rPr>
            <w:t>合同（范本）</w:t>
          </w:r>
          <w:r>
            <w:rPr>
              <w:rStyle w:val="59"/>
              <w:rFonts w:ascii="仿宋" w:hAnsi="仿宋" w:eastAsia="仿宋" w:cs="仿宋"/>
              <w:color w:val="000000" w:themeColor="text1"/>
              <w:highlight w:val="none"/>
              <w14:textFill>
                <w14:solidFill>
                  <w14:schemeClr w14:val="tx1"/>
                </w14:solidFill>
              </w14:textFill>
            </w:rPr>
            <w:tab/>
          </w:r>
          <w:r>
            <w:rPr>
              <w:rStyle w:val="59"/>
              <w:rFonts w:ascii="仿宋" w:hAnsi="仿宋" w:eastAsia="仿宋" w:cs="仿宋"/>
              <w:color w:val="000000" w:themeColor="text1"/>
              <w:highlight w:val="none"/>
              <w14:textFill>
                <w14:solidFill>
                  <w14:schemeClr w14:val="tx1"/>
                </w14:solidFill>
              </w14:textFill>
            </w:rPr>
            <w:fldChar w:fldCharType="begin"/>
          </w:r>
          <w:r>
            <w:rPr>
              <w:rStyle w:val="59"/>
              <w:rFonts w:ascii="仿宋" w:hAnsi="仿宋" w:eastAsia="仿宋" w:cs="仿宋"/>
              <w:color w:val="000000" w:themeColor="text1"/>
              <w:highlight w:val="none"/>
              <w14:textFill>
                <w14:solidFill>
                  <w14:schemeClr w14:val="tx1"/>
                </w14:solidFill>
              </w14:textFill>
            </w:rPr>
            <w:instrText xml:space="preserve"> PAGEREF _Toc130891924 \h </w:instrText>
          </w:r>
          <w:r>
            <w:rPr>
              <w:rStyle w:val="59"/>
              <w:rFonts w:ascii="仿宋" w:hAnsi="仿宋" w:eastAsia="仿宋" w:cs="仿宋"/>
              <w:color w:val="000000" w:themeColor="text1"/>
              <w:highlight w:val="none"/>
              <w14:textFill>
                <w14:solidFill>
                  <w14:schemeClr w14:val="tx1"/>
                </w14:solidFill>
              </w14:textFill>
            </w:rPr>
            <w:fldChar w:fldCharType="separate"/>
          </w:r>
          <w:r>
            <w:rPr>
              <w:rStyle w:val="59"/>
              <w:rFonts w:ascii="仿宋" w:hAnsi="仿宋" w:eastAsia="仿宋" w:cs="仿宋"/>
              <w:color w:val="000000" w:themeColor="text1"/>
              <w:highlight w:val="none"/>
              <w14:textFill>
                <w14:solidFill>
                  <w14:schemeClr w14:val="tx1"/>
                </w14:solidFill>
              </w14:textFill>
            </w:rPr>
            <w:t>65</w:t>
          </w:r>
          <w:r>
            <w:rPr>
              <w:rStyle w:val="59"/>
              <w:rFonts w:ascii="仿宋" w:hAnsi="仿宋" w:eastAsia="仿宋" w:cs="仿宋"/>
              <w:color w:val="000000" w:themeColor="text1"/>
              <w:highlight w:val="none"/>
              <w14:textFill>
                <w14:solidFill>
                  <w14:schemeClr w14:val="tx1"/>
                </w14:solidFill>
              </w14:textFill>
            </w:rPr>
            <w:fldChar w:fldCharType="end"/>
          </w:r>
          <w:r>
            <w:rPr>
              <w:rStyle w:val="59"/>
              <w:rFonts w:ascii="仿宋" w:hAnsi="仿宋" w:eastAsia="仿宋" w:cs="仿宋"/>
              <w:color w:val="000000" w:themeColor="text1"/>
              <w:highlight w:val="none"/>
              <w14:textFill>
                <w14:solidFill>
                  <w14:schemeClr w14:val="tx1"/>
                </w14:solidFill>
              </w14:textFill>
            </w:rPr>
            <w:fldChar w:fldCharType="end"/>
          </w:r>
        </w:p>
        <w:p w14:paraId="6FCD7FC0">
          <w:pPr>
            <w:pStyle w:val="33"/>
            <w:spacing w:line="560" w:lineRule="exact"/>
            <w:rPr>
              <w:rFonts w:hint="eastAsia" w:ascii="仿宋" w:hAnsi="仿宋" w:eastAsia="仿宋"/>
              <w:color w:val="000000" w:themeColor="text1"/>
              <w:highlight w:val="none"/>
              <w14:textFill>
                <w14:solidFill>
                  <w14:schemeClr w14:val="tx1"/>
                </w14:solidFill>
              </w14:textFill>
            </w:rPr>
          </w:pPr>
          <w:r>
            <w:rPr>
              <w:rStyle w:val="59"/>
              <w:rFonts w:ascii="仿宋" w:hAnsi="仿宋" w:eastAsia="仿宋" w:cs="仿宋"/>
              <w:color w:val="000000" w:themeColor="text1"/>
              <w:highlight w:val="none"/>
              <w14:textFill>
                <w14:solidFill>
                  <w14:schemeClr w14:val="tx1"/>
                </w14:solidFill>
              </w14:textFill>
            </w:rPr>
            <w:fldChar w:fldCharType="end"/>
          </w:r>
        </w:p>
      </w:sdtContent>
    </w:sdt>
    <w:bookmarkEnd w:id="2"/>
    <w:p w14:paraId="39AAD0C0">
      <w:pPr>
        <w:rPr>
          <w:rFonts w:hint="eastAsia" w:ascii="仿宋" w:hAnsi="仿宋" w:eastAsia="仿宋" w:cs="仿宋"/>
          <w:color w:val="000000" w:themeColor="text1"/>
          <w:kern w:val="0"/>
          <w:highlight w:val="none"/>
          <w14:textFill>
            <w14:solidFill>
              <w14:schemeClr w14:val="tx1"/>
            </w14:solidFill>
          </w14:textFill>
        </w:rPr>
      </w:pPr>
    </w:p>
    <w:p w14:paraId="69173415">
      <w:pPr>
        <w:rPr>
          <w:rFonts w:hint="eastAsia" w:ascii="仿宋" w:hAnsi="仿宋" w:eastAsia="仿宋"/>
          <w:color w:val="000000" w:themeColor="text1"/>
          <w:highlight w:val="none"/>
          <w14:textFill>
            <w14:solidFill>
              <w14:schemeClr w14:val="tx1"/>
            </w14:solidFill>
          </w14:textFill>
        </w:rPr>
        <w:sectPr>
          <w:headerReference r:id="rId3" w:type="default"/>
          <w:pgSz w:w="11906" w:h="16838"/>
          <w:pgMar w:top="1440" w:right="1080" w:bottom="1440" w:left="1080" w:header="851" w:footer="992" w:gutter="0"/>
          <w:pgNumType w:start="1"/>
          <w:cols w:space="720" w:num="1"/>
          <w:titlePg/>
          <w:docGrid w:type="lines" w:linePitch="312" w:charSpace="0"/>
        </w:sectPr>
      </w:pPr>
    </w:p>
    <w:bookmarkEnd w:id="3"/>
    <w:bookmarkEnd w:id="4"/>
    <w:p w14:paraId="3A35FDC5">
      <w:pPr>
        <w:pStyle w:val="3"/>
        <w:ind w:left="440"/>
        <w:jc w:val="center"/>
        <w:rPr>
          <w:rFonts w:hint="eastAsia" w:ascii="仿宋" w:hAnsi="仿宋" w:eastAsia="仿宋" w:cs="仿宋"/>
          <w:color w:val="000000" w:themeColor="text1"/>
          <w:highlight w:val="none"/>
          <w14:textFill>
            <w14:solidFill>
              <w14:schemeClr w14:val="tx1"/>
            </w14:solidFill>
          </w14:textFill>
        </w:rPr>
      </w:pPr>
      <w:bookmarkStart w:id="5" w:name="_Toc130891902"/>
      <w:bookmarkStart w:id="6" w:name="_Toc66864040"/>
      <w:bookmarkStart w:id="7" w:name="_Toc253045125"/>
      <w:bookmarkStart w:id="8" w:name="_Toc266431116"/>
      <w:r>
        <w:rPr>
          <w:rFonts w:hint="eastAsia" w:ascii="仿宋" w:hAnsi="仿宋" w:eastAsia="仿宋" w:cs="仿宋"/>
          <w:color w:val="000000" w:themeColor="text1"/>
          <w:highlight w:val="none"/>
          <w14:textFill>
            <w14:solidFill>
              <w14:schemeClr w14:val="tx1"/>
            </w14:solidFill>
          </w14:textFill>
        </w:rPr>
        <w:t>第一章  招标公告</w:t>
      </w:r>
      <w:bookmarkEnd w:id="5"/>
      <w:bookmarkEnd w:id="6"/>
    </w:p>
    <w:p w14:paraId="445536DF">
      <w:pPr>
        <w:pStyle w:val="6"/>
        <w:rPr>
          <w:rFonts w:hint="eastAsia" w:ascii="仿宋" w:hAnsi="仿宋" w:eastAsia="仿宋" w:cs="仿宋"/>
          <w:b/>
          <w:color w:val="000000" w:themeColor="text1"/>
          <w:spacing w:val="8"/>
          <w:kern w:val="0"/>
          <w:sz w:val="32"/>
          <w:szCs w:val="32"/>
          <w:highlight w:val="none"/>
          <w14:textFill>
            <w14:solidFill>
              <w14:schemeClr w14:val="tx1"/>
            </w14:solidFill>
          </w14:textFill>
        </w:rPr>
      </w:pPr>
      <w:bookmarkStart w:id="9" w:name="_Hlk236820667"/>
      <w:bookmarkStart w:id="10" w:name="_Hlk192680109"/>
      <w:r>
        <w:rPr>
          <w:rFonts w:hint="eastAsia" w:ascii="仿宋" w:hAnsi="仿宋" w:eastAsia="仿宋" w:cs="仿宋"/>
          <w:b/>
          <w:color w:val="000000" w:themeColor="text1"/>
          <w:spacing w:val="8"/>
          <w:kern w:val="0"/>
          <w:sz w:val="32"/>
          <w:szCs w:val="32"/>
          <w:highlight w:val="none"/>
          <w14:textFill>
            <w14:solidFill>
              <w14:schemeClr w14:val="tx1"/>
            </w14:solidFill>
          </w14:textFill>
        </w:rPr>
        <w:t>2026新能源铝应用创新发展会议委托服务</w:t>
      </w:r>
    </w:p>
    <w:bookmarkEnd w:id="9"/>
    <w:p w14:paraId="1426EDB8">
      <w:pPr>
        <w:pStyle w:val="6"/>
        <w:rPr>
          <w:rFonts w:hint="eastAsia" w:ascii="仿宋" w:hAnsi="仿宋" w:eastAsia="仿宋" w:cs="仿宋"/>
          <w:b/>
          <w:color w:val="000000" w:themeColor="text1"/>
          <w:spacing w:val="8"/>
          <w:kern w:val="0"/>
          <w:sz w:val="32"/>
          <w:szCs w:val="32"/>
          <w:highlight w:val="none"/>
          <w14:textFill>
            <w14:solidFill>
              <w14:schemeClr w14:val="tx1"/>
            </w14:solidFill>
          </w14:textFill>
        </w:rPr>
      </w:pPr>
      <w:r>
        <w:rPr>
          <w:rFonts w:hint="eastAsia" w:ascii="仿宋" w:hAnsi="仿宋" w:eastAsia="仿宋" w:cs="仿宋"/>
          <w:b/>
          <w:color w:val="000000" w:themeColor="text1"/>
          <w:spacing w:val="8"/>
          <w:kern w:val="0"/>
          <w:sz w:val="32"/>
          <w:szCs w:val="32"/>
          <w:highlight w:val="none"/>
          <w14:textFill>
            <w14:solidFill>
              <w14:schemeClr w14:val="tx1"/>
            </w14:solidFill>
          </w14:textFill>
        </w:rPr>
        <w:t>招标公告</w:t>
      </w:r>
    </w:p>
    <w:p w14:paraId="347A641E">
      <w:pPr>
        <w:pStyle w:val="6"/>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（招标编号：WHGQ(2026)XCTZTY20261001）</w:t>
      </w:r>
    </w:p>
    <w:p w14:paraId="565F962F">
      <w:pPr>
        <w:rPr>
          <w:rFonts w:hint="eastAsia" w:ascii="仿宋" w:hAnsi="仿宋" w:eastAsia="仿宋" w:cs="仿宋"/>
          <w:color w:val="000000" w:themeColor="text1"/>
          <w:highlight w:val="none"/>
          <w14:textFill>
            <w14:solidFill>
              <w14:schemeClr w14:val="tx1"/>
            </w14:solidFill>
          </w14:textFill>
        </w:rPr>
      </w:pPr>
    </w:p>
    <w:p w14:paraId="2C116743">
      <w:pPr>
        <w:widowControl/>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一、招标条件</w:t>
      </w:r>
    </w:p>
    <w:p w14:paraId="32B3352E">
      <w:pPr>
        <w:widowControl/>
        <w:adjustRightInd w:val="0"/>
        <w:spacing w:line="560" w:lineRule="exact"/>
        <w:ind w:firstLine="592" w:firstLineChars="20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本招标项目2026新能源铝应用创新发展会议委托服务，招标申请已经相关部门批准，招标人为威海市环翠区新创投资运营有限公司，项目资金来源为自筹，出资比例为100%。项目已具备招标条件，现对该项目进行公开招标。</w:t>
      </w:r>
    </w:p>
    <w:p w14:paraId="200BF643">
      <w:pPr>
        <w:widowControl/>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二、招标内容</w:t>
      </w:r>
    </w:p>
    <w:p w14:paraId="05F325EF">
      <w:pPr>
        <w:widowControl/>
        <w:adjustRightInd w:val="0"/>
        <w:spacing w:line="560" w:lineRule="exact"/>
        <w:ind w:firstLine="592" w:firstLineChars="20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1</w:t>
      </w:r>
      <w:r>
        <w:rPr>
          <w:rFonts w:hint="eastAsia" w:ascii="仿宋" w:hAnsi="仿宋" w:eastAsia="仿宋" w:cs="仿宋"/>
          <w:bCs/>
          <w:color w:val="000000" w:themeColor="text1"/>
          <w:spacing w:val="8"/>
          <w:kern w:val="0"/>
          <w:sz w:val="28"/>
          <w:szCs w:val="28"/>
          <w:highlight w:val="none"/>
          <w:lang w:eastAsia="zh-CN"/>
          <w14:textFill>
            <w14:solidFill>
              <w14:schemeClr w14:val="tx1"/>
            </w14:solidFill>
          </w14:textFill>
        </w:rPr>
        <w:t>、</w:t>
      </w:r>
      <w:r>
        <w:rPr>
          <w:rFonts w:hint="eastAsia" w:ascii="仿宋" w:hAnsi="仿宋" w:eastAsia="仿宋" w:cs="仿宋"/>
          <w:bCs/>
          <w:color w:val="000000" w:themeColor="text1"/>
          <w:spacing w:val="8"/>
          <w:kern w:val="0"/>
          <w:sz w:val="28"/>
          <w:szCs w:val="28"/>
          <w:highlight w:val="none"/>
          <w14:textFill>
            <w14:solidFill>
              <w14:schemeClr w14:val="tx1"/>
            </w14:solidFill>
          </w14:textFill>
        </w:rPr>
        <w:t>项目名称：2026新能源铝应用创新发展会议委托服务</w:t>
      </w:r>
    </w:p>
    <w:p w14:paraId="5C030123">
      <w:pPr>
        <w:widowControl/>
        <w:adjustRightInd w:val="0"/>
        <w:spacing w:line="560" w:lineRule="exact"/>
        <w:ind w:firstLine="592" w:firstLineChars="20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2</w:t>
      </w:r>
      <w:bookmarkStart w:id="11" w:name="_Hlk236820677"/>
      <w:r>
        <w:rPr>
          <w:rFonts w:hint="eastAsia" w:ascii="仿宋" w:hAnsi="仿宋" w:eastAsia="仿宋" w:cs="仿宋"/>
          <w:bCs/>
          <w:color w:val="000000" w:themeColor="text1"/>
          <w:spacing w:val="8"/>
          <w:kern w:val="0"/>
          <w:sz w:val="28"/>
          <w:szCs w:val="28"/>
          <w:highlight w:val="none"/>
          <w:lang w:eastAsia="zh-CN"/>
          <w14:textFill>
            <w14:solidFill>
              <w14:schemeClr w14:val="tx1"/>
            </w14:solidFill>
          </w14:textFill>
        </w:rPr>
        <w:t>、</w:t>
      </w:r>
      <w:r>
        <w:rPr>
          <w:rFonts w:hint="eastAsia" w:ascii="仿宋" w:hAnsi="仿宋" w:eastAsia="仿宋" w:cs="仿宋"/>
          <w:bCs/>
          <w:color w:val="000000" w:themeColor="text1"/>
          <w:spacing w:val="8"/>
          <w:kern w:val="0"/>
          <w:sz w:val="28"/>
          <w:szCs w:val="28"/>
          <w:highlight w:val="none"/>
          <w14:textFill>
            <w14:solidFill>
              <w14:schemeClr w14:val="tx1"/>
            </w14:solidFill>
          </w14:textFill>
        </w:rPr>
        <w:t>项目概况</w:t>
      </w:r>
      <w:bookmarkStart w:id="12" w:name="_Hlk192661141"/>
      <w:r>
        <w:rPr>
          <w:rFonts w:hint="eastAsia" w:ascii="仿宋" w:hAnsi="仿宋" w:eastAsia="仿宋" w:cs="仿宋"/>
          <w:bCs/>
          <w:color w:val="000000" w:themeColor="text1"/>
          <w:spacing w:val="8"/>
          <w:kern w:val="0"/>
          <w:sz w:val="28"/>
          <w:szCs w:val="28"/>
          <w:highlight w:val="none"/>
          <w14:textFill>
            <w14:solidFill>
              <w14:schemeClr w14:val="tx1"/>
            </w14:solidFill>
          </w14:textFill>
        </w:rPr>
        <w:t>：</w:t>
      </w:r>
      <w:bookmarkEnd w:id="11"/>
      <w:r>
        <w:rPr>
          <w:rFonts w:hint="eastAsia" w:ascii="仿宋" w:hAnsi="仿宋" w:eastAsia="仿宋" w:cs="仿宋"/>
          <w:bCs/>
          <w:color w:val="000000" w:themeColor="text1"/>
          <w:spacing w:val="8"/>
          <w:kern w:val="0"/>
          <w:sz w:val="28"/>
          <w:szCs w:val="28"/>
          <w:highlight w:val="none"/>
          <w14:textFill>
            <w14:solidFill>
              <w14:schemeClr w14:val="tx1"/>
            </w14:solidFill>
          </w14:textFill>
        </w:rPr>
        <w:t>项目实施地点</w:t>
      </w:r>
      <w:r>
        <w:rPr>
          <w:rFonts w:hint="eastAsia" w:ascii="仿宋" w:hAnsi="仿宋" w:eastAsia="仿宋" w:cs="仿宋"/>
          <w:bCs/>
          <w:color w:val="000000" w:themeColor="text1"/>
          <w:spacing w:val="8"/>
          <w:kern w:val="0"/>
          <w:sz w:val="28"/>
          <w:szCs w:val="28"/>
          <w:highlight w:val="none"/>
          <w:lang w:val="en-US" w:eastAsia="zh-CN"/>
          <w14:textFill>
            <w14:solidFill>
              <w14:schemeClr w14:val="tx1"/>
            </w14:solidFill>
          </w14:textFill>
        </w:rPr>
        <w:t>为</w:t>
      </w:r>
      <w:r>
        <w:rPr>
          <w:rFonts w:hint="eastAsia" w:ascii="仿宋" w:hAnsi="仿宋" w:eastAsia="仿宋" w:cs="仿宋"/>
          <w:bCs/>
          <w:color w:val="000000" w:themeColor="text1"/>
          <w:spacing w:val="8"/>
          <w:kern w:val="0"/>
          <w:sz w:val="28"/>
          <w:szCs w:val="28"/>
          <w:highlight w:val="none"/>
          <w14:textFill>
            <w14:solidFill>
              <w14:schemeClr w14:val="tx1"/>
            </w14:solidFill>
          </w14:textFill>
        </w:rPr>
        <w:t>山东省威海市环翠区，具体地点以</w:t>
      </w:r>
      <w:r>
        <w:rPr>
          <w:rFonts w:hint="eastAsia" w:ascii="仿宋" w:hAnsi="仿宋" w:eastAsia="仿宋" w:cs="仿宋"/>
          <w:bCs/>
          <w:color w:val="000000" w:themeColor="text1"/>
          <w:spacing w:val="8"/>
          <w:kern w:val="0"/>
          <w:sz w:val="28"/>
          <w:szCs w:val="28"/>
          <w:highlight w:val="none"/>
          <w:lang w:val="en-US" w:eastAsia="zh-CN"/>
          <w14:textFill>
            <w14:solidFill>
              <w14:schemeClr w14:val="tx1"/>
            </w14:solidFill>
          </w14:textFill>
        </w:rPr>
        <w:t>招标人</w:t>
      </w:r>
      <w:r>
        <w:rPr>
          <w:rFonts w:hint="eastAsia" w:ascii="仿宋" w:hAnsi="仿宋" w:eastAsia="仿宋" w:cs="仿宋"/>
          <w:bCs/>
          <w:color w:val="000000" w:themeColor="text1"/>
          <w:spacing w:val="8"/>
          <w:kern w:val="0"/>
          <w:sz w:val="28"/>
          <w:szCs w:val="28"/>
          <w:highlight w:val="none"/>
          <w14:textFill>
            <w14:solidFill>
              <w14:schemeClr w14:val="tx1"/>
            </w14:solidFill>
          </w14:textFill>
        </w:rPr>
        <w:t>要求为准。</w:t>
      </w:r>
      <w:r>
        <w:rPr>
          <w:rFonts w:hint="eastAsia" w:ascii="仿宋" w:hAnsi="仿宋" w:eastAsia="仿宋"/>
          <w:color w:val="000000" w:themeColor="text1"/>
          <w:sz w:val="28"/>
          <w:szCs w:val="28"/>
          <w:highlight w:val="none"/>
          <w14:textFill>
            <w14:solidFill>
              <w14:schemeClr w14:val="tx1"/>
            </w14:solidFill>
          </w14:textFill>
        </w:rPr>
        <w:t>本项目拟选定</w:t>
      </w:r>
      <w:bookmarkStart w:id="13" w:name="OLE_LINK5"/>
      <w:r>
        <w:rPr>
          <w:rFonts w:hint="eastAsia" w:ascii="仿宋" w:hAnsi="仿宋" w:eastAsia="仿宋"/>
          <w:color w:val="000000" w:themeColor="text1"/>
          <w:sz w:val="28"/>
          <w:szCs w:val="28"/>
          <w:highlight w:val="none"/>
          <w14:textFill>
            <w14:solidFill>
              <w14:schemeClr w14:val="tx1"/>
            </w14:solidFill>
          </w14:textFill>
        </w:rPr>
        <w:t>一家</w:t>
      </w:r>
      <w:bookmarkEnd w:id="13"/>
      <w:r>
        <w:rPr>
          <w:rFonts w:hint="eastAsia" w:ascii="仿宋" w:hAnsi="仿宋" w:eastAsia="仿宋"/>
          <w:color w:val="000000" w:themeColor="text1"/>
          <w:sz w:val="28"/>
          <w:szCs w:val="28"/>
          <w:highlight w:val="none"/>
          <w14:textFill>
            <w14:solidFill>
              <w14:schemeClr w14:val="tx1"/>
            </w14:solidFill>
          </w14:textFill>
        </w:rPr>
        <w:t>服务单位为</w:t>
      </w:r>
      <w:r>
        <w:rPr>
          <w:rFonts w:hint="eastAsia" w:ascii="仿宋" w:hAnsi="仿宋" w:eastAsia="仿宋" w:cs="仿宋"/>
          <w:bCs/>
          <w:color w:val="000000" w:themeColor="text1"/>
          <w:spacing w:val="8"/>
          <w:kern w:val="0"/>
          <w:sz w:val="28"/>
          <w:szCs w:val="28"/>
          <w:highlight w:val="none"/>
          <w14:textFill>
            <w14:solidFill>
              <w14:schemeClr w14:val="tx1"/>
            </w14:solidFill>
          </w14:textFill>
        </w:rPr>
        <w:t>2026新能源铝应用创新发展会议提供</w:t>
      </w:r>
      <w:r>
        <w:rPr>
          <w:rFonts w:hint="eastAsia" w:ascii="仿宋" w:hAnsi="仿宋" w:eastAsia="仿宋"/>
          <w:color w:val="000000" w:themeColor="text1"/>
          <w:sz w:val="28"/>
          <w:szCs w:val="28"/>
          <w:highlight w:val="none"/>
          <w14:textFill>
            <w14:solidFill>
              <w14:schemeClr w14:val="tx1"/>
            </w14:solidFill>
          </w14:textFill>
        </w:rPr>
        <w:t>服务，具体要求详见招标文件。</w:t>
      </w:r>
    </w:p>
    <w:p w14:paraId="4570AE37">
      <w:pPr>
        <w:widowControl/>
        <w:adjustRightInd w:val="0"/>
        <w:spacing w:line="560" w:lineRule="exact"/>
        <w:ind w:firstLine="592" w:firstLineChars="20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bookmarkStart w:id="14" w:name="_Hlk236746500"/>
      <w:r>
        <w:rPr>
          <w:rFonts w:hint="eastAsia" w:ascii="仿宋" w:hAnsi="仿宋" w:eastAsia="仿宋" w:cs="仿宋"/>
          <w:bCs/>
          <w:color w:val="000000" w:themeColor="text1"/>
          <w:spacing w:val="8"/>
          <w:kern w:val="0"/>
          <w:sz w:val="28"/>
          <w:szCs w:val="28"/>
          <w:highlight w:val="none"/>
          <w14:textFill>
            <w14:solidFill>
              <w14:schemeClr w14:val="tx1"/>
            </w14:solidFill>
          </w14:textFill>
        </w:rPr>
        <w:t>3</w:t>
      </w:r>
      <w:bookmarkStart w:id="15" w:name="_Hlk236820922"/>
      <w:r>
        <w:rPr>
          <w:rFonts w:hint="eastAsia" w:ascii="仿宋" w:hAnsi="仿宋" w:eastAsia="仿宋" w:cs="仿宋"/>
          <w:bCs/>
          <w:color w:val="000000" w:themeColor="text1"/>
          <w:spacing w:val="8"/>
          <w:kern w:val="0"/>
          <w:sz w:val="28"/>
          <w:szCs w:val="28"/>
          <w:highlight w:val="none"/>
          <w:lang w:eastAsia="zh-CN"/>
          <w14:textFill>
            <w14:solidFill>
              <w14:schemeClr w14:val="tx1"/>
            </w14:solidFill>
          </w14:textFill>
        </w:rPr>
        <w:t>、</w:t>
      </w:r>
      <w:r>
        <w:rPr>
          <w:rFonts w:hint="eastAsia" w:ascii="仿宋" w:hAnsi="仿宋" w:eastAsia="仿宋" w:cs="仿宋"/>
          <w:bCs/>
          <w:color w:val="000000" w:themeColor="text1"/>
          <w:spacing w:val="8"/>
          <w:kern w:val="0"/>
          <w:sz w:val="28"/>
          <w:szCs w:val="28"/>
          <w:highlight w:val="none"/>
          <w14:textFill>
            <w14:solidFill>
              <w14:schemeClr w14:val="tx1"/>
            </w14:solidFill>
          </w14:textFill>
        </w:rPr>
        <w:t>服务期限：</w:t>
      </w:r>
      <w:bookmarkStart w:id="16" w:name="OLE_LINK2"/>
      <w:r>
        <w:rPr>
          <w:rFonts w:hint="eastAsia" w:ascii="仿宋" w:hAnsi="仿宋" w:eastAsia="仿宋" w:cs="仿宋"/>
          <w:bCs/>
          <w:color w:val="000000" w:themeColor="text1"/>
          <w:spacing w:val="8"/>
          <w:kern w:val="0"/>
          <w:sz w:val="28"/>
          <w:szCs w:val="28"/>
          <w:highlight w:val="none"/>
          <w14:textFill>
            <w14:solidFill>
              <w14:schemeClr w14:val="tx1"/>
            </w14:solidFill>
          </w14:textFill>
        </w:rPr>
        <w:t>自合同签订之日起至2026年11月15日止。</w:t>
      </w:r>
      <w:bookmarkEnd w:id="15"/>
    </w:p>
    <w:bookmarkEnd w:id="16"/>
    <w:p w14:paraId="0ED859BD">
      <w:pPr>
        <w:widowControl/>
        <w:adjustRightInd w:val="0"/>
        <w:spacing w:line="560" w:lineRule="exact"/>
        <w:ind w:firstLine="592" w:firstLineChars="20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4、最高限价：人民币820000.00元。</w:t>
      </w:r>
    </w:p>
    <w:bookmarkEnd w:id="12"/>
    <w:bookmarkEnd w:id="14"/>
    <w:p w14:paraId="1CF74E67">
      <w:pPr>
        <w:widowControl/>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三、投标人资格要求</w:t>
      </w:r>
    </w:p>
    <w:p w14:paraId="5687755F">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themeColor="text1"/>
          <w:spacing w:val="8"/>
          <w:kern w:val="0"/>
          <w:sz w:val="28"/>
          <w:szCs w:val="28"/>
          <w:highlight w:val="none"/>
          <w14:textFill>
            <w14:solidFill>
              <w14:schemeClr w14:val="tx1"/>
            </w14:solidFill>
          </w14:textFill>
        </w:rPr>
        <w:t>1.具有独立承担民事责任的能力</w:t>
      </w:r>
      <w:r>
        <w:rPr>
          <w:rFonts w:hint="eastAsia" w:ascii="仿宋" w:hAnsi="仿宋" w:eastAsia="仿宋" w:cs="仿宋"/>
          <w:color w:val="000000"/>
          <w:spacing w:val="8"/>
          <w:kern w:val="0"/>
          <w:sz w:val="28"/>
          <w:szCs w:val="28"/>
          <w:highlight w:val="none"/>
        </w:rPr>
        <w:t>；</w:t>
      </w:r>
    </w:p>
    <w:p w14:paraId="25AEA0F2">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2.参加本次招标活动前三年内，在经营活动中没有重大违法记录；</w:t>
      </w:r>
    </w:p>
    <w:p w14:paraId="376118D0">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3.投标人、法定代表人、委托代理人未被最高法院列入失信被执行人；</w:t>
      </w:r>
    </w:p>
    <w:p w14:paraId="2301C68B">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4.投标人近一年在“信用中国”或“信用中国（山东）”无严重失信记录；</w:t>
      </w:r>
    </w:p>
    <w:p w14:paraId="162A9A51">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5</w:t>
      </w:r>
      <w:r>
        <w:rPr>
          <w:rFonts w:ascii="仿宋" w:hAnsi="仿宋" w:eastAsia="仿宋" w:cs="仿宋"/>
          <w:color w:val="000000"/>
          <w:spacing w:val="8"/>
          <w:kern w:val="0"/>
          <w:sz w:val="28"/>
          <w:szCs w:val="28"/>
          <w:highlight w:val="none"/>
        </w:rPr>
        <w:t>.</w:t>
      </w:r>
      <w:r>
        <w:rPr>
          <w:rFonts w:hint="eastAsia" w:ascii="仿宋" w:hAnsi="仿宋" w:eastAsia="仿宋" w:cs="仿宋"/>
          <w:color w:val="000000"/>
          <w:spacing w:val="8"/>
          <w:kern w:val="0"/>
          <w:sz w:val="28"/>
          <w:szCs w:val="28"/>
          <w:highlight w:val="none"/>
        </w:rPr>
        <w:t>投标人、法定代表人、委托代理人</w:t>
      </w:r>
      <w:r>
        <w:rPr>
          <w:rFonts w:ascii="仿宋" w:hAnsi="仿宋" w:eastAsia="仿宋" w:cs="仿宋"/>
          <w:color w:val="000000"/>
          <w:spacing w:val="8"/>
          <w:kern w:val="0"/>
          <w:sz w:val="28"/>
          <w:szCs w:val="28"/>
          <w:highlight w:val="none"/>
        </w:rPr>
        <w:t>近三年内无行贿犯罪行为记录；</w:t>
      </w:r>
    </w:p>
    <w:p w14:paraId="7B6EC467">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6.本次招标不接受联合体投标，中标后不得分包或转包。</w:t>
      </w:r>
    </w:p>
    <w:p w14:paraId="63719F59">
      <w:pPr>
        <w:widowControl/>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四、获取文件时间及地点</w:t>
      </w:r>
    </w:p>
    <w:p w14:paraId="18FB03F5">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1.获取时间：2026年10月10日1</w:t>
      </w:r>
      <w:r>
        <w:rPr>
          <w:rFonts w:hint="eastAsia" w:ascii="仿宋" w:hAnsi="仿宋" w:eastAsia="仿宋" w:cs="仿宋"/>
          <w:color w:val="000000" w:themeColor="text1"/>
          <w:spacing w:val="8"/>
          <w:kern w:val="0"/>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pacing w:val="8"/>
          <w:kern w:val="0"/>
          <w:sz w:val="28"/>
          <w:szCs w:val="28"/>
          <w:highlight w:val="none"/>
          <w14:textFill>
            <w14:solidFill>
              <w14:schemeClr w14:val="tx1"/>
            </w14:solidFill>
          </w14:textFill>
        </w:rPr>
        <w:t>时</w:t>
      </w:r>
      <w:r>
        <w:rPr>
          <w:rFonts w:hint="eastAsia" w:ascii="仿宋" w:hAnsi="仿宋" w:eastAsia="仿宋" w:cs="仿宋"/>
          <w:color w:val="000000" w:themeColor="text1"/>
          <w:spacing w:val="8"/>
          <w:kern w:val="0"/>
          <w:sz w:val="28"/>
          <w:szCs w:val="28"/>
          <w:highlight w:val="none"/>
          <w:lang w:val="en-US" w:eastAsia="zh-CN"/>
          <w14:textFill>
            <w14:solidFill>
              <w14:schemeClr w14:val="tx1"/>
            </w14:solidFill>
          </w14:textFill>
        </w:rPr>
        <w:t>00</w:t>
      </w:r>
      <w:r>
        <w:rPr>
          <w:rFonts w:hint="eastAsia" w:ascii="仿宋" w:hAnsi="仿宋" w:eastAsia="仿宋" w:cs="仿宋"/>
          <w:color w:val="000000" w:themeColor="text1"/>
          <w:spacing w:val="8"/>
          <w:kern w:val="0"/>
          <w:sz w:val="28"/>
          <w:szCs w:val="28"/>
          <w:highlight w:val="none"/>
          <w14:textFill>
            <w14:solidFill>
              <w14:schemeClr w14:val="tx1"/>
            </w14:solidFill>
          </w14:textFill>
        </w:rPr>
        <w:t>分至2026年10月16日1</w:t>
      </w:r>
      <w:r>
        <w:rPr>
          <w:rFonts w:hint="eastAsia" w:ascii="仿宋" w:hAnsi="仿宋" w:eastAsia="仿宋" w:cs="仿宋"/>
          <w:color w:val="000000" w:themeColor="text1"/>
          <w:spacing w:val="8"/>
          <w:kern w:val="0"/>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pacing w:val="8"/>
          <w:kern w:val="0"/>
          <w:sz w:val="28"/>
          <w:szCs w:val="28"/>
          <w:highlight w:val="none"/>
          <w14:textFill>
            <w14:solidFill>
              <w14:schemeClr w14:val="tx1"/>
            </w14:solidFill>
          </w14:textFill>
        </w:rPr>
        <w:t>时</w:t>
      </w:r>
      <w:r>
        <w:rPr>
          <w:rFonts w:hint="eastAsia" w:ascii="仿宋" w:hAnsi="仿宋" w:eastAsia="仿宋" w:cs="仿宋"/>
          <w:color w:val="000000" w:themeColor="text1"/>
          <w:spacing w:val="8"/>
          <w:kern w:val="0"/>
          <w:sz w:val="28"/>
          <w:szCs w:val="28"/>
          <w:highlight w:val="none"/>
          <w:lang w:val="en-US" w:eastAsia="zh-CN"/>
          <w14:textFill>
            <w14:solidFill>
              <w14:schemeClr w14:val="tx1"/>
            </w14:solidFill>
          </w14:textFill>
        </w:rPr>
        <w:t>0</w:t>
      </w:r>
      <w:r>
        <w:rPr>
          <w:rFonts w:hint="eastAsia" w:ascii="仿宋" w:hAnsi="仿宋" w:eastAsia="仿宋" w:cs="仿宋"/>
          <w:color w:val="000000" w:themeColor="text1"/>
          <w:spacing w:val="8"/>
          <w:kern w:val="0"/>
          <w:sz w:val="28"/>
          <w:szCs w:val="28"/>
          <w:highlight w:val="none"/>
          <w14:textFill>
            <w14:solidFill>
              <w14:schemeClr w14:val="tx1"/>
            </w14:solidFill>
          </w14:textFill>
        </w:rPr>
        <w:t>0分（北京时间）。</w:t>
      </w:r>
    </w:p>
    <w:p w14:paraId="70D393AF">
      <w:pPr>
        <w:widowControl/>
        <w:shd w:val="clear" w:color="auto" w:fill="FFFFFF"/>
        <w:spacing w:line="520" w:lineRule="exact"/>
        <w:ind w:firstLine="539"/>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单位将无法提交电子投标文件。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7FD59DED">
      <w:pPr>
        <w:widowControl/>
        <w:shd w:val="clear" w:color="auto" w:fill="FFFFFF"/>
        <w:spacing w:line="520" w:lineRule="exact"/>
        <w:ind w:firstLine="539"/>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411888F4">
      <w:pPr>
        <w:widowControl/>
        <w:shd w:val="clear" w:color="auto" w:fill="FFFFFF"/>
        <w:spacing w:line="520" w:lineRule="exact"/>
        <w:ind w:firstLine="539"/>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五、投标文件提交</w:t>
      </w:r>
    </w:p>
    <w:p w14:paraId="654ADC38">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提交投标文件截止时间：2026年10月21日9时00分</w:t>
      </w:r>
    </w:p>
    <w:p w14:paraId="03EF398C">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0B7F643D">
      <w:pPr>
        <w:widowControl/>
        <w:wordWrap w:val="0"/>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六、开启时间及地点</w:t>
      </w:r>
    </w:p>
    <w:p w14:paraId="31352A5D">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时间：2026年10月21日9时00分（北京时间）；</w:t>
      </w:r>
    </w:p>
    <w:p w14:paraId="5FA70015">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地点：</w:t>
      </w:r>
      <w:bookmarkStart w:id="17" w:name="OLE_LINK3"/>
      <w:r>
        <w:rPr>
          <w:rFonts w:hint="eastAsia" w:ascii="仿宋" w:hAnsi="仿宋" w:eastAsia="仿宋" w:cs="仿宋"/>
          <w:color w:val="000000" w:themeColor="text1"/>
          <w:spacing w:val="8"/>
          <w:kern w:val="0"/>
          <w:sz w:val="28"/>
          <w:szCs w:val="28"/>
          <w:highlight w:val="none"/>
          <w14:textFill>
            <w14:solidFill>
              <w14:schemeClr w14:val="tx1"/>
            </w14:solidFill>
          </w14:textFill>
        </w:rPr>
        <w:t>威海市公共资源交易中心</w:t>
      </w:r>
      <w:r>
        <w:rPr>
          <w:rFonts w:ascii="仿宋" w:hAnsi="仿宋" w:eastAsia="仿宋" w:cs="仿宋"/>
          <w:color w:val="000000" w:themeColor="text1"/>
          <w:spacing w:val="8"/>
          <w:kern w:val="0"/>
          <w:sz w:val="28"/>
          <w:szCs w:val="28"/>
          <w:highlight w:val="none"/>
          <w14:textFill>
            <w14:solidFill>
              <w14:schemeClr w14:val="tx1"/>
            </w14:solidFill>
          </w14:textFill>
        </w:rPr>
        <w:t>交易</w:t>
      </w:r>
      <w:r>
        <w:rPr>
          <w:rFonts w:hint="eastAsia" w:ascii="仿宋" w:hAnsi="仿宋" w:eastAsia="仿宋" w:cs="仿宋"/>
          <w:color w:val="000000" w:themeColor="text1"/>
          <w:spacing w:val="8"/>
          <w:kern w:val="0"/>
          <w:sz w:val="28"/>
          <w:szCs w:val="28"/>
          <w:highlight w:val="none"/>
          <w14:textFill>
            <w14:solidFill>
              <w14:schemeClr w14:val="tx1"/>
            </w14:solidFill>
          </w14:textFill>
        </w:rPr>
        <w:t>十</w:t>
      </w:r>
      <w:r>
        <w:rPr>
          <w:rFonts w:ascii="仿宋" w:hAnsi="仿宋" w:eastAsia="仿宋" w:cs="仿宋"/>
          <w:color w:val="000000" w:themeColor="text1"/>
          <w:spacing w:val="8"/>
          <w:kern w:val="0"/>
          <w:sz w:val="28"/>
          <w:szCs w:val="28"/>
          <w:highlight w:val="none"/>
          <w14:textFill>
            <w14:solidFill>
              <w14:schemeClr w14:val="tx1"/>
            </w14:solidFill>
          </w14:textFill>
        </w:rPr>
        <w:t>厅</w:t>
      </w:r>
      <w:r>
        <w:rPr>
          <w:rFonts w:hint="eastAsia" w:ascii="仿宋" w:hAnsi="仿宋" w:eastAsia="仿宋" w:cs="仿宋"/>
          <w:color w:val="000000" w:themeColor="text1"/>
          <w:spacing w:val="8"/>
          <w:kern w:val="0"/>
          <w:sz w:val="28"/>
          <w:szCs w:val="28"/>
          <w:highlight w:val="none"/>
          <w14:textFill>
            <w14:solidFill>
              <w14:schemeClr w14:val="tx1"/>
            </w14:solidFill>
          </w14:textFill>
        </w:rPr>
        <w:t>（威海市环翠区塔山中路</w:t>
      </w:r>
      <w:r>
        <w:rPr>
          <w:rFonts w:ascii="仿宋" w:hAnsi="仿宋" w:eastAsia="仿宋" w:cs="仿宋"/>
          <w:color w:val="000000" w:themeColor="text1"/>
          <w:spacing w:val="8"/>
          <w:kern w:val="0"/>
          <w:sz w:val="28"/>
          <w:szCs w:val="28"/>
          <w:highlight w:val="none"/>
          <w14:textFill>
            <w14:solidFill>
              <w14:schemeClr w14:val="tx1"/>
            </w14:solidFill>
          </w14:textFill>
        </w:rPr>
        <w:t>317号市政务服务中心四楼）</w:t>
      </w:r>
      <w:bookmarkEnd w:id="17"/>
      <w:r>
        <w:rPr>
          <w:rFonts w:hint="eastAsia" w:ascii="仿宋" w:hAnsi="仿宋" w:eastAsia="仿宋" w:cs="仿宋"/>
          <w:color w:val="000000" w:themeColor="text1"/>
          <w:spacing w:val="8"/>
          <w:kern w:val="0"/>
          <w:sz w:val="28"/>
          <w:szCs w:val="28"/>
          <w:highlight w:val="none"/>
          <w14:textFill>
            <w14:solidFill>
              <w14:schemeClr w14:val="tx1"/>
            </w14:solidFill>
          </w14:textFill>
        </w:rPr>
        <w:t>。</w:t>
      </w:r>
    </w:p>
    <w:p w14:paraId="24BB1EB7">
      <w:pPr>
        <w:widowControl/>
        <w:wordWrap w:val="0"/>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七、发布公告的媒介</w:t>
      </w:r>
    </w:p>
    <w:p w14:paraId="39961A56">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本次公告在中国招标投标公共服务平台（www.cebpubservice.com）、威海市公共资源交易网（http://ggzyjy.weihai.cn/）上发布。</w:t>
      </w:r>
    </w:p>
    <w:p w14:paraId="4E7D3680">
      <w:pPr>
        <w:widowControl/>
        <w:wordWrap w:val="0"/>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八、其它补充事宜</w:t>
      </w:r>
    </w:p>
    <w:p w14:paraId="34A09D80">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1.本项目实行全流程电子化，提交投标文件截止时间前，随时关注威海市公共资源交易网（变更公告栏）内变更提醒。</w:t>
      </w:r>
    </w:p>
    <w:p w14:paraId="10C6F88A">
      <w:pPr>
        <w:widowControl/>
        <w:shd w:val="clear" w:color="auto" w:fill="FFFFFF"/>
        <w:spacing w:line="520" w:lineRule="exact"/>
        <w:ind w:firstLine="592" w:firstLineChars="200"/>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3C399316">
      <w:pPr>
        <w:widowControl/>
        <w:wordWrap w:val="0"/>
        <w:adjustRightInd w:val="0"/>
        <w:spacing w:line="520" w:lineRule="exact"/>
        <w:ind w:firstLine="594" w:firstLineChars="200"/>
        <w:jc w:val="left"/>
        <w:rPr>
          <w:rFonts w:hint="eastAsia" w:ascii="仿宋" w:hAnsi="仿宋" w:eastAsia="仿宋" w:cs="仿宋"/>
          <w:b/>
          <w:color w:val="000000" w:themeColor="text1"/>
          <w:spacing w:val="8"/>
          <w:kern w:val="0"/>
          <w:sz w:val="28"/>
          <w:szCs w:val="28"/>
          <w:highlight w:val="none"/>
          <w14:textFill>
            <w14:solidFill>
              <w14:schemeClr w14:val="tx1"/>
            </w14:solidFill>
          </w14:textFill>
        </w:rPr>
      </w:pPr>
      <w:r>
        <w:rPr>
          <w:rFonts w:hint="eastAsia" w:ascii="仿宋" w:hAnsi="仿宋" w:eastAsia="仿宋" w:cs="仿宋"/>
          <w:b/>
          <w:color w:val="000000" w:themeColor="text1"/>
          <w:spacing w:val="8"/>
          <w:kern w:val="0"/>
          <w:sz w:val="28"/>
          <w:szCs w:val="28"/>
          <w:highlight w:val="none"/>
          <w14:textFill>
            <w14:solidFill>
              <w14:schemeClr w14:val="tx1"/>
            </w14:solidFill>
          </w14:textFill>
        </w:rPr>
        <w:t>九、联系方式</w:t>
      </w:r>
    </w:p>
    <w:p w14:paraId="07CC7B60">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1.招标人：威海市环翠区新创投资运营有限公司</w:t>
      </w:r>
    </w:p>
    <w:p w14:paraId="4AA5D72F">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地址：威海市环翠区南竹岛E区9号楼</w:t>
      </w:r>
    </w:p>
    <w:p w14:paraId="573D0096">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联系人：丛女士</w:t>
      </w:r>
    </w:p>
    <w:p w14:paraId="5A4C6484">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联系电话：0631-5325629</w:t>
      </w:r>
    </w:p>
    <w:p w14:paraId="3FB8F69E">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2.招标代理机构：威海市天垣工程咨询管理有限公司</w:t>
      </w:r>
    </w:p>
    <w:p w14:paraId="35D9DCFF">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地址：山东省威海市火炬高技术产业开发区文化中路-78-3号</w:t>
      </w:r>
    </w:p>
    <w:p w14:paraId="01FFF510">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联系人：臧重平、李艳菁</w:t>
      </w:r>
    </w:p>
    <w:p w14:paraId="536912CB">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联系电话：</w:t>
      </w:r>
      <w:r>
        <w:rPr>
          <w:rFonts w:ascii="仿宋" w:hAnsi="仿宋" w:eastAsia="仿宋" w:cs="仿宋"/>
          <w:color w:val="000000" w:themeColor="text1"/>
          <w:spacing w:val="8"/>
          <w:kern w:val="0"/>
          <w:sz w:val="28"/>
          <w:szCs w:val="28"/>
          <w:highlight w:val="none"/>
          <w14:textFill>
            <w14:solidFill>
              <w14:schemeClr w14:val="tx1"/>
            </w14:solidFill>
          </w14:textFill>
        </w:rPr>
        <w:t>0631-5893538</w:t>
      </w:r>
    </w:p>
    <w:p w14:paraId="0102E77E">
      <w:pPr>
        <w:widowControl/>
        <w:wordWrap w:val="0"/>
        <w:adjustRightInd w:val="0"/>
        <w:spacing w:line="520" w:lineRule="exact"/>
        <w:ind w:firstLine="592" w:firstLineChars="200"/>
        <w:jc w:val="lef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电子邮箱：</w:t>
      </w:r>
      <w:r>
        <w:rPr>
          <w:rFonts w:ascii="仿宋" w:hAnsi="仿宋" w:eastAsia="仿宋" w:cs="仿宋"/>
          <w:color w:val="000000" w:themeColor="text1"/>
          <w:spacing w:val="8"/>
          <w:kern w:val="0"/>
          <w:sz w:val="28"/>
          <w:szCs w:val="28"/>
          <w:highlight w:val="none"/>
          <w14:textFill>
            <w14:solidFill>
              <w14:schemeClr w14:val="tx1"/>
            </w14:solidFill>
          </w14:textFill>
        </w:rPr>
        <w:t>whtyzb</w:t>
      </w:r>
      <w:r>
        <w:rPr>
          <w:rFonts w:hint="eastAsia" w:ascii="仿宋" w:hAnsi="仿宋" w:eastAsia="仿宋" w:cs="仿宋"/>
          <w:color w:val="000000" w:themeColor="text1"/>
          <w:spacing w:val="8"/>
          <w:kern w:val="0"/>
          <w:sz w:val="28"/>
          <w:szCs w:val="28"/>
          <w:highlight w:val="none"/>
          <w14:textFill>
            <w14:solidFill>
              <w14:schemeClr w14:val="tx1"/>
            </w14:solidFill>
          </w14:textFill>
        </w:rPr>
        <w:t>@126.com</w:t>
      </w:r>
    </w:p>
    <w:p w14:paraId="67778CE9">
      <w:pPr>
        <w:widowControl/>
        <w:adjustRightInd w:val="0"/>
        <w:spacing w:line="520" w:lineRule="exact"/>
        <w:ind w:firstLine="592" w:firstLineChars="200"/>
        <w:jc w:val="righ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发布人：威海市天垣工程咨询管理有限公司</w:t>
      </w:r>
    </w:p>
    <w:p w14:paraId="7065B310">
      <w:pPr>
        <w:widowControl/>
        <w:wordWrap w:val="0"/>
        <w:adjustRightInd w:val="0"/>
        <w:spacing w:line="520" w:lineRule="exact"/>
        <w:ind w:firstLine="592" w:firstLineChars="200"/>
        <w:jc w:val="right"/>
        <w:rPr>
          <w:rFonts w:hint="eastAsia" w:ascii="仿宋" w:hAnsi="仿宋" w:eastAsia="仿宋" w:cs="仿宋"/>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pacing w:val="8"/>
          <w:kern w:val="0"/>
          <w:sz w:val="28"/>
          <w:szCs w:val="28"/>
          <w:highlight w:val="none"/>
          <w14:textFill>
            <w14:solidFill>
              <w14:schemeClr w14:val="tx1"/>
            </w14:solidFill>
          </w14:textFill>
        </w:rPr>
        <w:t>发布时间：</w:t>
      </w:r>
      <w:r>
        <w:rPr>
          <w:rFonts w:ascii="仿宋" w:hAnsi="仿宋" w:eastAsia="仿宋" w:cs="仿宋"/>
          <w:color w:val="000000" w:themeColor="text1"/>
          <w:spacing w:val="8"/>
          <w:kern w:val="0"/>
          <w:sz w:val="28"/>
          <w:szCs w:val="28"/>
          <w:highlight w:val="none"/>
          <w14:textFill>
            <w14:solidFill>
              <w14:schemeClr w14:val="tx1"/>
            </w14:solidFill>
          </w14:textFill>
        </w:rPr>
        <w:t>202</w:t>
      </w:r>
      <w:r>
        <w:rPr>
          <w:rFonts w:hint="eastAsia" w:ascii="仿宋" w:hAnsi="仿宋" w:eastAsia="仿宋" w:cs="仿宋"/>
          <w:color w:val="000000" w:themeColor="text1"/>
          <w:spacing w:val="8"/>
          <w:kern w:val="0"/>
          <w:sz w:val="28"/>
          <w:szCs w:val="28"/>
          <w:highlight w:val="none"/>
          <w14:textFill>
            <w14:solidFill>
              <w14:schemeClr w14:val="tx1"/>
            </w14:solidFill>
          </w14:textFill>
        </w:rPr>
        <w:t>6</w:t>
      </w:r>
      <w:r>
        <w:rPr>
          <w:rFonts w:ascii="仿宋" w:hAnsi="仿宋" w:eastAsia="仿宋" w:cs="仿宋"/>
          <w:color w:val="000000" w:themeColor="text1"/>
          <w:spacing w:val="8"/>
          <w:kern w:val="0"/>
          <w:sz w:val="28"/>
          <w:szCs w:val="28"/>
          <w:highlight w:val="none"/>
          <w14:textFill>
            <w14:solidFill>
              <w14:schemeClr w14:val="tx1"/>
            </w14:solidFill>
          </w14:textFill>
        </w:rPr>
        <w:t>年</w:t>
      </w:r>
      <w:r>
        <w:rPr>
          <w:rFonts w:hint="eastAsia" w:ascii="仿宋" w:hAnsi="仿宋" w:eastAsia="仿宋" w:cs="仿宋"/>
          <w:color w:val="000000" w:themeColor="text1"/>
          <w:spacing w:val="8"/>
          <w:kern w:val="0"/>
          <w:sz w:val="28"/>
          <w:szCs w:val="28"/>
          <w:highlight w:val="none"/>
          <w14:textFill>
            <w14:solidFill>
              <w14:schemeClr w14:val="tx1"/>
            </w14:solidFill>
          </w14:textFill>
        </w:rPr>
        <w:t>10</w:t>
      </w:r>
      <w:r>
        <w:rPr>
          <w:rFonts w:ascii="仿宋" w:hAnsi="仿宋" w:eastAsia="仿宋" w:cs="仿宋"/>
          <w:color w:val="000000" w:themeColor="text1"/>
          <w:spacing w:val="8"/>
          <w:kern w:val="0"/>
          <w:sz w:val="28"/>
          <w:szCs w:val="28"/>
          <w:highlight w:val="none"/>
          <w14:textFill>
            <w14:solidFill>
              <w14:schemeClr w14:val="tx1"/>
            </w14:solidFill>
          </w14:textFill>
        </w:rPr>
        <w:t>月</w:t>
      </w:r>
      <w:r>
        <w:rPr>
          <w:rFonts w:hint="eastAsia" w:ascii="仿宋" w:hAnsi="仿宋" w:eastAsia="仿宋" w:cs="仿宋"/>
          <w:color w:val="000000" w:themeColor="text1"/>
          <w:spacing w:val="8"/>
          <w:kern w:val="0"/>
          <w:sz w:val="28"/>
          <w:szCs w:val="28"/>
          <w:highlight w:val="none"/>
          <w14:textFill>
            <w14:solidFill>
              <w14:schemeClr w14:val="tx1"/>
            </w14:solidFill>
          </w14:textFill>
        </w:rPr>
        <w:t>10</w:t>
      </w:r>
      <w:r>
        <w:rPr>
          <w:rFonts w:ascii="仿宋" w:hAnsi="仿宋" w:eastAsia="仿宋" w:cs="仿宋"/>
          <w:color w:val="000000" w:themeColor="text1"/>
          <w:spacing w:val="8"/>
          <w:kern w:val="0"/>
          <w:sz w:val="28"/>
          <w:szCs w:val="28"/>
          <w:highlight w:val="none"/>
          <w14:textFill>
            <w14:solidFill>
              <w14:schemeClr w14:val="tx1"/>
            </w14:solidFill>
          </w14:textFill>
        </w:rPr>
        <w:t>日</w:t>
      </w:r>
    </w:p>
    <w:bookmarkEnd w:id="10"/>
    <w:p w14:paraId="0893721D">
      <w:pPr>
        <w:rPr>
          <w:rFonts w:hint="eastAsia" w:ascii="仿宋" w:hAnsi="仿宋" w:eastAsia="仿宋"/>
          <w:color w:val="000000" w:themeColor="text1"/>
          <w:highlight w:val="none"/>
          <w14:textFill>
            <w14:solidFill>
              <w14:schemeClr w14:val="tx1"/>
            </w14:solidFill>
          </w14:textFill>
        </w:rPr>
        <w:sectPr>
          <w:headerReference r:id="rId5" w:type="first"/>
          <w:footerReference r:id="rId6" w:type="default"/>
          <w:headerReference r:id="rId4" w:type="even"/>
          <w:pgSz w:w="11906" w:h="16838"/>
          <w:pgMar w:top="1440" w:right="1077" w:bottom="1440" w:left="1077" w:header="851" w:footer="992" w:gutter="0"/>
          <w:pgNumType w:start="1"/>
          <w:cols w:space="720" w:num="1"/>
          <w:docGrid w:type="lines" w:linePitch="312" w:charSpace="0"/>
        </w:sectPr>
      </w:pPr>
    </w:p>
    <w:bookmarkEnd w:id="7"/>
    <w:bookmarkEnd w:id="8"/>
    <w:p w14:paraId="1B8D7B69">
      <w:pPr>
        <w:pStyle w:val="3"/>
        <w:jc w:val="center"/>
        <w:rPr>
          <w:rFonts w:hint="eastAsia" w:ascii="仿宋" w:hAnsi="仿宋" w:eastAsia="仿宋" w:cs="仿宋"/>
          <w:color w:val="000000" w:themeColor="text1"/>
          <w:highlight w:val="none"/>
          <w14:textFill>
            <w14:solidFill>
              <w14:schemeClr w14:val="tx1"/>
            </w14:solidFill>
          </w14:textFill>
        </w:rPr>
      </w:pPr>
      <w:bookmarkStart w:id="18" w:name="_Toc66864041"/>
      <w:bookmarkStart w:id="19" w:name="_Toc130891903"/>
      <w:bookmarkStart w:id="20" w:name="_Toc413596395"/>
      <w:bookmarkStart w:id="21" w:name="_Toc382129913"/>
      <w:bookmarkStart w:id="22" w:name="_Toc266431126"/>
      <w:r>
        <w:rPr>
          <w:rFonts w:hint="eastAsia" w:ascii="仿宋" w:hAnsi="仿宋" w:eastAsia="仿宋" w:cs="仿宋"/>
          <w:color w:val="000000" w:themeColor="text1"/>
          <w:highlight w:val="none"/>
          <w14:textFill>
            <w14:solidFill>
              <w14:schemeClr w14:val="tx1"/>
            </w14:solidFill>
          </w14:textFill>
        </w:rPr>
        <w:t>第二章  投标须知</w:t>
      </w:r>
      <w:bookmarkEnd w:id="18"/>
      <w:bookmarkEnd w:id="19"/>
    </w:p>
    <w:p w14:paraId="1DC41974">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投标须知前附表</w:t>
      </w:r>
    </w:p>
    <w:tbl>
      <w:tblPr>
        <w:tblStyle w:val="52"/>
        <w:tblW w:w="1020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2181"/>
        <w:gridCol w:w="7169"/>
      </w:tblGrid>
      <w:tr w14:paraId="17C93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vAlign w:val="center"/>
          </w:tcPr>
          <w:p w14:paraId="0711345C">
            <w:pPr>
              <w:snapToGrid w:val="0"/>
              <w:spacing w:line="520" w:lineRule="exact"/>
              <w:jc w:val="center"/>
              <w:rPr>
                <w:rFonts w:hint="eastAsia"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序号</w:t>
            </w:r>
          </w:p>
        </w:tc>
        <w:tc>
          <w:tcPr>
            <w:tcW w:w="2181" w:type="dxa"/>
            <w:tcBorders>
              <w:top w:val="single" w:color="auto" w:sz="4" w:space="0"/>
              <w:left w:val="single" w:color="auto" w:sz="4" w:space="0"/>
              <w:bottom w:val="single" w:color="auto" w:sz="4" w:space="0"/>
              <w:right w:val="single" w:color="auto" w:sz="4" w:space="0"/>
            </w:tcBorders>
            <w:vAlign w:val="center"/>
          </w:tcPr>
          <w:p w14:paraId="3A127042">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项    目</w:t>
            </w:r>
          </w:p>
        </w:tc>
        <w:tc>
          <w:tcPr>
            <w:tcW w:w="7169" w:type="dxa"/>
            <w:tcBorders>
              <w:top w:val="single" w:color="auto" w:sz="4" w:space="0"/>
              <w:left w:val="single" w:color="auto" w:sz="4" w:space="0"/>
              <w:bottom w:val="single" w:color="auto" w:sz="4" w:space="0"/>
            </w:tcBorders>
            <w:vAlign w:val="center"/>
          </w:tcPr>
          <w:p w14:paraId="70696EB6">
            <w:pPr>
              <w:snapToGrid w:val="0"/>
              <w:spacing w:line="520" w:lineRule="exact"/>
              <w:ind w:left="57"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内           容</w:t>
            </w:r>
          </w:p>
        </w:tc>
      </w:tr>
      <w:tr w14:paraId="7C0DDE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vAlign w:val="center"/>
          </w:tcPr>
          <w:p w14:paraId="1DEB09D0">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w:t>
            </w:r>
          </w:p>
        </w:tc>
        <w:tc>
          <w:tcPr>
            <w:tcW w:w="2181" w:type="dxa"/>
            <w:tcBorders>
              <w:top w:val="single" w:color="auto" w:sz="4" w:space="0"/>
              <w:left w:val="single" w:color="auto" w:sz="4" w:space="0"/>
              <w:bottom w:val="single" w:color="auto" w:sz="4" w:space="0"/>
              <w:right w:val="single" w:color="auto" w:sz="4" w:space="0"/>
            </w:tcBorders>
            <w:vAlign w:val="center"/>
          </w:tcPr>
          <w:p w14:paraId="5CE42ADB">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项目名称</w:t>
            </w:r>
          </w:p>
        </w:tc>
        <w:tc>
          <w:tcPr>
            <w:tcW w:w="7169" w:type="dxa"/>
            <w:tcBorders>
              <w:top w:val="single" w:color="auto" w:sz="4" w:space="0"/>
              <w:left w:val="single" w:color="auto" w:sz="4" w:space="0"/>
              <w:bottom w:val="single" w:color="auto" w:sz="4" w:space="0"/>
            </w:tcBorders>
            <w:vAlign w:val="center"/>
          </w:tcPr>
          <w:p w14:paraId="384CF989">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2026新能源铝应用创新发展会议委托服务</w:t>
            </w:r>
          </w:p>
        </w:tc>
      </w:tr>
      <w:tr w14:paraId="7B3B65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vAlign w:val="center"/>
          </w:tcPr>
          <w:p w14:paraId="3B28423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w:t>
            </w:r>
          </w:p>
        </w:tc>
        <w:tc>
          <w:tcPr>
            <w:tcW w:w="2181" w:type="dxa"/>
            <w:tcBorders>
              <w:top w:val="single" w:color="auto" w:sz="4" w:space="0"/>
              <w:left w:val="single" w:color="auto" w:sz="4" w:space="0"/>
              <w:bottom w:val="single" w:color="auto" w:sz="4" w:space="0"/>
              <w:right w:val="single" w:color="auto" w:sz="4" w:space="0"/>
            </w:tcBorders>
            <w:vAlign w:val="center"/>
          </w:tcPr>
          <w:p w14:paraId="12824F85">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招标编号</w:t>
            </w:r>
          </w:p>
        </w:tc>
        <w:tc>
          <w:tcPr>
            <w:tcW w:w="7169" w:type="dxa"/>
            <w:tcBorders>
              <w:top w:val="single" w:color="auto" w:sz="4" w:space="0"/>
              <w:left w:val="single" w:color="auto" w:sz="4" w:space="0"/>
              <w:bottom w:val="single" w:color="auto" w:sz="4" w:space="0"/>
            </w:tcBorders>
            <w:vAlign w:val="center"/>
          </w:tcPr>
          <w:p w14:paraId="2C31529F">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WHGQ(2026)XCTZTY20261001</w:t>
            </w:r>
          </w:p>
        </w:tc>
      </w:tr>
      <w:tr w14:paraId="25A958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vAlign w:val="center"/>
          </w:tcPr>
          <w:p w14:paraId="30A5006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3</w:t>
            </w:r>
          </w:p>
        </w:tc>
        <w:tc>
          <w:tcPr>
            <w:tcW w:w="2181" w:type="dxa"/>
            <w:tcBorders>
              <w:top w:val="single" w:color="auto" w:sz="4" w:space="0"/>
              <w:left w:val="single" w:color="auto" w:sz="4" w:space="0"/>
              <w:bottom w:val="single" w:color="auto" w:sz="4" w:space="0"/>
              <w:right w:val="single" w:color="auto" w:sz="4" w:space="0"/>
            </w:tcBorders>
            <w:vAlign w:val="center"/>
          </w:tcPr>
          <w:p w14:paraId="450E65A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招标人</w:t>
            </w:r>
          </w:p>
        </w:tc>
        <w:tc>
          <w:tcPr>
            <w:tcW w:w="7169" w:type="dxa"/>
            <w:tcBorders>
              <w:top w:val="single" w:color="auto" w:sz="4" w:space="0"/>
              <w:left w:val="single" w:color="auto" w:sz="4" w:space="0"/>
              <w:bottom w:val="single" w:color="auto" w:sz="4" w:space="0"/>
            </w:tcBorders>
            <w:vAlign w:val="center"/>
          </w:tcPr>
          <w:p w14:paraId="545FCFBA">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招标人：威海市环翠区新创投资运营有限公司</w:t>
            </w:r>
          </w:p>
          <w:p w14:paraId="7AB0F4A6">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地址：威海市环翠区南竹岛E区9号楼</w:t>
            </w:r>
          </w:p>
          <w:p w14:paraId="71A67B96">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联系人：丛女士</w:t>
            </w:r>
          </w:p>
          <w:p w14:paraId="1AE0304A">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联系电话：0631-5325629</w:t>
            </w:r>
          </w:p>
        </w:tc>
      </w:tr>
      <w:tr w14:paraId="36B4B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vAlign w:val="center"/>
          </w:tcPr>
          <w:p w14:paraId="6CA2F9E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4</w:t>
            </w:r>
          </w:p>
        </w:tc>
        <w:tc>
          <w:tcPr>
            <w:tcW w:w="2181" w:type="dxa"/>
            <w:tcBorders>
              <w:top w:val="single" w:color="auto" w:sz="4" w:space="0"/>
              <w:left w:val="single" w:color="auto" w:sz="4" w:space="0"/>
              <w:bottom w:val="single" w:color="auto" w:sz="4" w:space="0"/>
              <w:right w:val="single" w:color="auto" w:sz="4" w:space="0"/>
            </w:tcBorders>
            <w:vAlign w:val="center"/>
          </w:tcPr>
          <w:p w14:paraId="435917D0">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招标代理机构</w:t>
            </w:r>
          </w:p>
        </w:tc>
        <w:tc>
          <w:tcPr>
            <w:tcW w:w="7169" w:type="dxa"/>
            <w:tcBorders>
              <w:top w:val="single" w:color="auto" w:sz="4" w:space="0"/>
              <w:left w:val="single" w:color="auto" w:sz="4" w:space="0"/>
              <w:bottom w:val="single" w:color="auto" w:sz="4" w:space="0"/>
            </w:tcBorders>
            <w:vAlign w:val="center"/>
          </w:tcPr>
          <w:p w14:paraId="4BF34FC4">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代理机构：威海市天垣工程咨询管理有限公司</w:t>
            </w:r>
          </w:p>
          <w:p w14:paraId="5047FDCD">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地址：山东省威海市火炬高技术产业开发区文化中路-78-3号</w:t>
            </w:r>
          </w:p>
          <w:p w14:paraId="74E07504">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联系人：臧重平、李艳菁</w:t>
            </w:r>
          </w:p>
          <w:p w14:paraId="61F60899">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联系电话：</w:t>
            </w:r>
            <w:r>
              <w:rPr>
                <w:rFonts w:ascii="仿宋" w:hAnsi="仿宋" w:eastAsia="仿宋" w:cs="仿宋"/>
                <w:color w:val="000000" w:themeColor="text1"/>
                <w:sz w:val="28"/>
                <w:szCs w:val="28"/>
                <w:highlight w:val="none"/>
                <w14:textFill>
                  <w14:solidFill>
                    <w14:schemeClr w14:val="tx1"/>
                  </w14:solidFill>
                </w14:textFill>
              </w:rPr>
              <w:t>0631-5893538</w:t>
            </w:r>
          </w:p>
        </w:tc>
      </w:tr>
      <w:tr w14:paraId="74F2B4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851" w:type="dxa"/>
            <w:tcBorders>
              <w:top w:val="single" w:color="auto" w:sz="4" w:space="0"/>
              <w:bottom w:val="single" w:color="auto" w:sz="4" w:space="0"/>
              <w:right w:val="single" w:color="auto" w:sz="4" w:space="0"/>
            </w:tcBorders>
            <w:vAlign w:val="center"/>
          </w:tcPr>
          <w:p w14:paraId="4CD192D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w:t>
            </w:r>
          </w:p>
        </w:tc>
        <w:tc>
          <w:tcPr>
            <w:tcW w:w="2181" w:type="dxa"/>
            <w:tcBorders>
              <w:top w:val="single" w:color="auto" w:sz="4" w:space="0"/>
              <w:left w:val="single" w:color="auto" w:sz="4" w:space="0"/>
              <w:bottom w:val="single" w:color="auto" w:sz="4" w:space="0"/>
              <w:right w:val="single" w:color="auto" w:sz="4" w:space="0"/>
            </w:tcBorders>
            <w:vAlign w:val="center"/>
          </w:tcPr>
          <w:p w14:paraId="1EFC53CC">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项目情况</w:t>
            </w:r>
          </w:p>
        </w:tc>
        <w:tc>
          <w:tcPr>
            <w:tcW w:w="7169" w:type="dxa"/>
            <w:tcBorders>
              <w:top w:val="single" w:color="auto" w:sz="4" w:space="0"/>
              <w:left w:val="single" w:color="auto" w:sz="4" w:space="0"/>
              <w:bottom w:val="single" w:color="auto" w:sz="4" w:space="0"/>
            </w:tcBorders>
            <w:vAlign w:val="center"/>
          </w:tcPr>
          <w:p w14:paraId="51278A55">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详见“第一章 招标公告”</w:t>
            </w:r>
          </w:p>
        </w:tc>
      </w:tr>
      <w:tr w14:paraId="79B03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851" w:type="dxa"/>
            <w:tcBorders>
              <w:top w:val="single" w:color="auto" w:sz="4" w:space="0"/>
              <w:bottom w:val="single" w:color="auto" w:sz="4" w:space="0"/>
              <w:right w:val="single" w:color="auto" w:sz="4" w:space="0"/>
            </w:tcBorders>
            <w:vAlign w:val="center"/>
          </w:tcPr>
          <w:p w14:paraId="1E0FC33E">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w:t>
            </w:r>
          </w:p>
        </w:tc>
        <w:tc>
          <w:tcPr>
            <w:tcW w:w="2181" w:type="dxa"/>
            <w:tcBorders>
              <w:top w:val="single" w:color="auto" w:sz="4" w:space="0"/>
              <w:left w:val="single" w:color="auto" w:sz="4" w:space="0"/>
              <w:bottom w:val="single" w:color="auto" w:sz="4" w:space="0"/>
              <w:right w:val="single" w:color="auto" w:sz="4" w:space="0"/>
            </w:tcBorders>
            <w:vAlign w:val="center"/>
          </w:tcPr>
          <w:p w14:paraId="5DC1EB2D">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资金来源及比例</w:t>
            </w:r>
          </w:p>
        </w:tc>
        <w:tc>
          <w:tcPr>
            <w:tcW w:w="7169" w:type="dxa"/>
            <w:tcBorders>
              <w:top w:val="single" w:color="auto" w:sz="4" w:space="0"/>
              <w:left w:val="single" w:color="auto" w:sz="4" w:space="0"/>
              <w:bottom w:val="single" w:color="auto" w:sz="4" w:space="0"/>
            </w:tcBorders>
            <w:vAlign w:val="center"/>
          </w:tcPr>
          <w:p w14:paraId="73680C63">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pacing w:val="8"/>
                <w:kern w:val="0"/>
                <w:sz w:val="28"/>
                <w:szCs w:val="28"/>
                <w:highlight w:val="none"/>
                <w14:textFill>
                  <w14:solidFill>
                    <w14:schemeClr w14:val="tx1"/>
                  </w14:solidFill>
                </w14:textFill>
              </w:rPr>
              <w:t>自筹资金</w:t>
            </w:r>
            <w:r>
              <w:rPr>
                <w:rFonts w:hint="eastAsia" w:ascii="仿宋" w:hAnsi="仿宋" w:eastAsia="仿宋" w:cs="仿宋"/>
                <w:color w:val="000000" w:themeColor="text1"/>
                <w:sz w:val="28"/>
                <w:szCs w:val="28"/>
                <w:highlight w:val="none"/>
                <w14:textFill>
                  <w14:solidFill>
                    <w14:schemeClr w14:val="tx1"/>
                  </w14:solidFill>
                </w14:textFill>
              </w:rPr>
              <w:t>100%</w:t>
            </w:r>
          </w:p>
        </w:tc>
      </w:tr>
      <w:tr w14:paraId="3B649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851" w:type="dxa"/>
            <w:tcBorders>
              <w:top w:val="single" w:color="auto" w:sz="4" w:space="0"/>
              <w:bottom w:val="single" w:color="auto" w:sz="4" w:space="0"/>
              <w:right w:val="single" w:color="auto" w:sz="4" w:space="0"/>
            </w:tcBorders>
            <w:vAlign w:val="center"/>
          </w:tcPr>
          <w:p w14:paraId="789B20B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w:t>
            </w:r>
          </w:p>
        </w:tc>
        <w:tc>
          <w:tcPr>
            <w:tcW w:w="2181" w:type="dxa"/>
            <w:tcBorders>
              <w:top w:val="single" w:color="auto" w:sz="4" w:space="0"/>
              <w:left w:val="single" w:color="auto" w:sz="4" w:space="0"/>
              <w:bottom w:val="single" w:color="auto" w:sz="4" w:space="0"/>
              <w:right w:val="single" w:color="auto" w:sz="4" w:space="0"/>
            </w:tcBorders>
            <w:vAlign w:val="center"/>
          </w:tcPr>
          <w:p w14:paraId="724218DD">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落实情况</w:t>
            </w:r>
          </w:p>
        </w:tc>
        <w:tc>
          <w:tcPr>
            <w:tcW w:w="7169" w:type="dxa"/>
            <w:tcBorders>
              <w:top w:val="single" w:color="auto" w:sz="4" w:space="0"/>
              <w:left w:val="single" w:color="auto" w:sz="4" w:space="0"/>
              <w:bottom w:val="single" w:color="auto" w:sz="4" w:space="0"/>
            </w:tcBorders>
            <w:vAlign w:val="center"/>
          </w:tcPr>
          <w:p w14:paraId="6CC0CC25">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已落实</w:t>
            </w:r>
          </w:p>
        </w:tc>
      </w:tr>
      <w:tr w14:paraId="6A6EA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vAlign w:val="center"/>
          </w:tcPr>
          <w:p w14:paraId="1DE8090E">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w:t>
            </w:r>
          </w:p>
        </w:tc>
        <w:tc>
          <w:tcPr>
            <w:tcW w:w="2181" w:type="dxa"/>
            <w:tcBorders>
              <w:top w:val="single" w:color="auto" w:sz="4" w:space="0"/>
              <w:left w:val="single" w:color="auto" w:sz="4" w:space="0"/>
              <w:bottom w:val="single" w:color="auto" w:sz="4" w:space="0"/>
              <w:right w:val="single" w:color="auto" w:sz="4" w:space="0"/>
            </w:tcBorders>
            <w:vAlign w:val="center"/>
          </w:tcPr>
          <w:p w14:paraId="69B021D2">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电子投标</w:t>
            </w:r>
          </w:p>
          <w:p w14:paraId="250E56EC">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特别提示</w:t>
            </w:r>
          </w:p>
        </w:tc>
        <w:tc>
          <w:tcPr>
            <w:tcW w:w="7169" w:type="dxa"/>
            <w:tcBorders>
              <w:top w:val="single" w:color="auto" w:sz="4" w:space="0"/>
              <w:left w:val="single" w:color="auto" w:sz="4" w:space="0"/>
              <w:bottom w:val="single" w:color="auto" w:sz="4" w:space="0"/>
            </w:tcBorders>
            <w:vAlign w:val="center"/>
          </w:tcPr>
          <w:p w14:paraId="32296936">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登录“威海市公共资源交易网”首页右侧“交易服务一网通办系统-（新版）一网通办系统”进行注册，取得用户名和密码（已经完成注册的投标人无须重复注册）；首次注册的投标人应及时办理安全证书（CA锁）及电子签章。</w:t>
            </w:r>
          </w:p>
          <w:p w14:paraId="79B60F69">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登录威海市公共资源交易网（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587A2455">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2．本项目必须网上提交投标文件，</w:t>
            </w:r>
            <w:r>
              <w:rPr>
                <w:rFonts w:hint="eastAsia" w:ascii="仿宋" w:hAnsi="仿宋" w:eastAsia="仿宋" w:cs="仿宋"/>
                <w:color w:val="000000" w:themeColor="text1"/>
                <w:sz w:val="28"/>
                <w:szCs w:val="28"/>
                <w:highlight w:val="none"/>
                <w14:textFill>
                  <w14:solidFill>
                    <w14:schemeClr w14:val="tx1"/>
                  </w14:solidFill>
                </w14:textFill>
              </w:rPr>
              <w:t>参与本项目投标人应利用办理好的CA锁登录</w:t>
            </w:r>
            <w:r>
              <w:rPr>
                <w:rFonts w:hint="eastAsia" w:ascii="仿宋" w:hAnsi="仿宋" w:eastAsia="仿宋" w:cs="仿宋"/>
                <w:color w:val="000000" w:themeColor="text1"/>
                <w:spacing w:val="8"/>
                <w:kern w:val="0"/>
                <w:sz w:val="28"/>
                <w:szCs w:val="28"/>
                <w:highlight w:val="none"/>
                <w14:textFill>
                  <w14:solidFill>
                    <w14:schemeClr w14:val="tx1"/>
                  </w14:solidFill>
                </w14:textFill>
              </w:rPr>
              <w:t>国企阳光采购平台</w:t>
            </w:r>
            <w:r>
              <w:rPr>
                <w:rFonts w:hint="eastAsia" w:ascii="仿宋" w:hAnsi="仿宋" w:eastAsia="仿宋" w:cs="仿宋"/>
                <w:color w:val="000000" w:themeColor="text1"/>
                <w:sz w:val="28"/>
                <w:szCs w:val="28"/>
                <w:highlight w:val="none"/>
                <w14:textFill>
                  <w14:solidFill>
                    <w14:schemeClr w14:val="tx1"/>
                  </w14:solidFill>
                </w14:textFill>
              </w:rPr>
              <w:t>进行招标文件的获取、文件下载和网上提交投标文件，且安全证书（CA锁）在有效期内。</w:t>
            </w:r>
          </w:p>
          <w:p w14:paraId="60D0AE03">
            <w:pPr>
              <w:snapToGrid w:val="0"/>
              <w:spacing w:line="520" w:lineRule="exact"/>
              <w:ind w:right="-105" w:rightChars="-50"/>
              <w:jc w:val="left"/>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kern w:val="0"/>
                <w:sz w:val="28"/>
                <w:szCs w:val="28"/>
                <w:highlight w:val="none"/>
                <w14:textFill>
                  <w14:solidFill>
                    <w14:schemeClr w14:val="tx1"/>
                  </w14:solidFill>
                </w14:textFill>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40B0A0D3">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4．网上提交投标文件时，登录交易平台的电脑须满足环境要求（详见新版威海市国有企业阳光采购服务平台供应商用户手册https://ggzyjy.weihai.cn/bszn/005005/20260109/eb4ba418-4b35-4f05-aa69-44fd7d8a7ffb.html）。</w:t>
            </w:r>
          </w:p>
          <w:p w14:paraId="5316A288">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6661A1E">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604BB27">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7．投标人投标文件中的相关扫描件应保证清晰度，无法辨认的评审时受到影响的，由投标人承担相应责任。</w:t>
            </w:r>
          </w:p>
          <w:p w14:paraId="6E8CA13B">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8．除网上提交电子投标文件外，如有要求递交相关资质证明文件原件的，还须按其要求独立密封递交（被授权人身份证原件除外）。</w:t>
            </w:r>
          </w:p>
          <w:p w14:paraId="24123B03">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9．投标人应充分考虑到网上提交投标文件会发生的故障和风险。对发生的任何故障和风险造成投标人报价内容不一致或利益受损或投标失败的，招标人及招标代理机构不承担任何责任。</w:t>
            </w:r>
          </w:p>
        </w:tc>
      </w:tr>
      <w:tr w14:paraId="4DBE4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vAlign w:val="center"/>
          </w:tcPr>
          <w:p w14:paraId="3343C11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w:t>
            </w:r>
          </w:p>
        </w:tc>
        <w:tc>
          <w:tcPr>
            <w:tcW w:w="2181" w:type="dxa"/>
            <w:tcBorders>
              <w:top w:val="single" w:color="auto" w:sz="4" w:space="0"/>
              <w:left w:val="single" w:color="auto" w:sz="4" w:space="0"/>
              <w:bottom w:val="single" w:color="auto" w:sz="4" w:space="0"/>
              <w:right w:val="single" w:color="auto" w:sz="4" w:space="0"/>
            </w:tcBorders>
            <w:vAlign w:val="center"/>
          </w:tcPr>
          <w:p w14:paraId="49547F54">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资质证明文件</w:t>
            </w:r>
          </w:p>
          <w:p w14:paraId="49A594C7">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原件</w:t>
            </w:r>
          </w:p>
        </w:tc>
        <w:tc>
          <w:tcPr>
            <w:tcW w:w="7169" w:type="dxa"/>
            <w:tcBorders>
              <w:top w:val="single" w:color="auto" w:sz="4" w:space="0"/>
              <w:left w:val="single" w:color="auto" w:sz="4" w:space="0"/>
              <w:bottom w:val="single" w:color="auto" w:sz="4" w:space="0"/>
            </w:tcBorders>
            <w:vAlign w:val="center"/>
          </w:tcPr>
          <w:p w14:paraId="70497945">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无需提供资质证明文件原件</w:t>
            </w:r>
          </w:p>
        </w:tc>
      </w:tr>
      <w:tr w14:paraId="19899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vAlign w:val="center"/>
          </w:tcPr>
          <w:p w14:paraId="1833283C">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w:t>
            </w:r>
          </w:p>
        </w:tc>
        <w:tc>
          <w:tcPr>
            <w:tcW w:w="2181" w:type="dxa"/>
            <w:tcBorders>
              <w:top w:val="single" w:color="auto" w:sz="4" w:space="0"/>
              <w:left w:val="single" w:color="auto" w:sz="4" w:space="0"/>
              <w:bottom w:val="single" w:color="auto" w:sz="4" w:space="0"/>
              <w:right w:val="single" w:color="auto" w:sz="4" w:space="0"/>
            </w:tcBorders>
            <w:vAlign w:val="center"/>
          </w:tcPr>
          <w:p w14:paraId="7D9B3500">
            <w:pPr>
              <w:snapToGrid w:val="0"/>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w:t>
            </w:r>
            <w:r>
              <w:rPr>
                <w:rFonts w:ascii="仿宋" w:hAnsi="仿宋" w:eastAsia="仿宋" w:cs="仿宋"/>
                <w:color w:val="000000" w:themeColor="text1"/>
                <w:sz w:val="28"/>
                <w:szCs w:val="28"/>
                <w:highlight w:val="none"/>
                <w14:textFill>
                  <w14:solidFill>
                    <w14:schemeClr w14:val="tx1"/>
                  </w14:solidFill>
                </w14:textFill>
              </w:rPr>
              <w:t>文件份数</w:t>
            </w:r>
          </w:p>
        </w:tc>
        <w:tc>
          <w:tcPr>
            <w:tcW w:w="7169" w:type="dxa"/>
            <w:tcBorders>
              <w:top w:val="single" w:color="auto" w:sz="4" w:space="0"/>
              <w:left w:val="single" w:color="auto" w:sz="4" w:space="0"/>
              <w:bottom w:val="single" w:color="auto" w:sz="4" w:space="0"/>
            </w:tcBorders>
            <w:vAlign w:val="center"/>
          </w:tcPr>
          <w:p w14:paraId="464D2B79">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网上按时提交电子投标文件1份</w:t>
            </w:r>
          </w:p>
        </w:tc>
      </w:tr>
      <w:tr w14:paraId="36E48E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vAlign w:val="center"/>
          </w:tcPr>
          <w:p w14:paraId="4FAB0E48">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11</w:t>
            </w:r>
          </w:p>
        </w:tc>
        <w:tc>
          <w:tcPr>
            <w:tcW w:w="2181" w:type="dxa"/>
            <w:tcBorders>
              <w:top w:val="single" w:color="auto" w:sz="4" w:space="0"/>
              <w:left w:val="single" w:color="auto" w:sz="4" w:space="0"/>
              <w:bottom w:val="single" w:color="auto" w:sz="4" w:space="0"/>
              <w:right w:val="single" w:color="auto" w:sz="4" w:space="0"/>
            </w:tcBorders>
            <w:vAlign w:val="center"/>
          </w:tcPr>
          <w:p w14:paraId="704FB0B4">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实物样品</w:t>
            </w:r>
          </w:p>
        </w:tc>
        <w:tc>
          <w:tcPr>
            <w:tcW w:w="7169" w:type="dxa"/>
            <w:tcBorders>
              <w:top w:val="single" w:color="auto" w:sz="4" w:space="0"/>
              <w:left w:val="single" w:color="auto" w:sz="4" w:space="0"/>
              <w:bottom w:val="single" w:color="auto" w:sz="4" w:space="0"/>
            </w:tcBorders>
            <w:vAlign w:val="center"/>
          </w:tcPr>
          <w:p w14:paraId="3C3ACD58">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无</w:t>
            </w:r>
          </w:p>
        </w:tc>
      </w:tr>
      <w:tr w14:paraId="2F6DD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vAlign w:val="center"/>
          </w:tcPr>
          <w:p w14:paraId="7946FC2D">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w:t>
            </w:r>
          </w:p>
        </w:tc>
        <w:tc>
          <w:tcPr>
            <w:tcW w:w="2181" w:type="dxa"/>
            <w:tcBorders>
              <w:top w:val="single" w:color="auto" w:sz="4" w:space="0"/>
              <w:left w:val="single" w:color="auto" w:sz="4" w:space="0"/>
              <w:bottom w:val="single" w:color="auto" w:sz="4" w:space="0"/>
              <w:right w:val="single" w:color="auto" w:sz="4" w:space="0"/>
            </w:tcBorders>
            <w:vAlign w:val="center"/>
          </w:tcPr>
          <w:p w14:paraId="334542E9">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现场踏勘</w:t>
            </w:r>
          </w:p>
        </w:tc>
        <w:tc>
          <w:tcPr>
            <w:tcW w:w="7169" w:type="dxa"/>
            <w:tcBorders>
              <w:top w:val="single" w:color="auto" w:sz="4" w:space="0"/>
              <w:left w:val="single" w:color="auto" w:sz="4" w:space="0"/>
              <w:bottom w:val="single" w:color="auto" w:sz="4" w:space="0"/>
            </w:tcBorders>
            <w:vAlign w:val="center"/>
          </w:tcPr>
          <w:p w14:paraId="0324A22A">
            <w:pPr>
              <w:snapToGrid w:val="0"/>
              <w:spacing w:line="520" w:lineRule="exact"/>
              <w:ind w:right="-105" w:rightChars="-5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不组织</w:t>
            </w:r>
          </w:p>
        </w:tc>
      </w:tr>
      <w:tr w14:paraId="0DFD8F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vAlign w:val="center"/>
          </w:tcPr>
          <w:p w14:paraId="24DB4D9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w:t>
            </w:r>
          </w:p>
        </w:tc>
        <w:tc>
          <w:tcPr>
            <w:tcW w:w="2181" w:type="dxa"/>
            <w:tcBorders>
              <w:top w:val="single" w:color="auto" w:sz="4" w:space="0"/>
              <w:left w:val="single" w:color="auto" w:sz="4" w:space="0"/>
              <w:bottom w:val="single" w:color="auto" w:sz="4" w:space="0"/>
              <w:right w:val="single" w:color="auto" w:sz="4" w:space="0"/>
            </w:tcBorders>
            <w:vAlign w:val="center"/>
          </w:tcPr>
          <w:p w14:paraId="0C3B7E62">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投标预备会</w:t>
            </w:r>
          </w:p>
        </w:tc>
        <w:tc>
          <w:tcPr>
            <w:tcW w:w="7169" w:type="dxa"/>
            <w:tcBorders>
              <w:top w:val="single" w:color="auto" w:sz="4" w:space="0"/>
              <w:left w:val="single" w:color="auto" w:sz="4" w:space="0"/>
              <w:bottom w:val="single" w:color="auto" w:sz="4" w:space="0"/>
            </w:tcBorders>
            <w:vAlign w:val="center"/>
          </w:tcPr>
          <w:p w14:paraId="616C2CBF">
            <w:pPr>
              <w:spacing w:line="520" w:lineRule="exact"/>
              <w:textAlignment w:val="top"/>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不召开</w:t>
            </w:r>
          </w:p>
        </w:tc>
      </w:tr>
      <w:tr w14:paraId="57D37A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51" w:type="dxa"/>
            <w:tcBorders>
              <w:top w:val="single" w:color="auto" w:sz="4" w:space="0"/>
              <w:bottom w:val="single" w:color="auto" w:sz="4" w:space="0"/>
              <w:right w:val="single" w:color="auto" w:sz="4" w:space="0"/>
            </w:tcBorders>
            <w:vAlign w:val="center"/>
          </w:tcPr>
          <w:p w14:paraId="537AD638">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w:t>
            </w:r>
          </w:p>
        </w:tc>
        <w:tc>
          <w:tcPr>
            <w:tcW w:w="2181" w:type="dxa"/>
            <w:tcBorders>
              <w:top w:val="single" w:color="auto" w:sz="4" w:space="0"/>
              <w:left w:val="single" w:color="auto" w:sz="4" w:space="0"/>
              <w:bottom w:val="single" w:color="auto" w:sz="4" w:space="0"/>
              <w:right w:val="single" w:color="auto" w:sz="4" w:space="0"/>
            </w:tcBorders>
            <w:vAlign w:val="center"/>
          </w:tcPr>
          <w:p w14:paraId="2A7902EE">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投标有效期</w:t>
            </w:r>
          </w:p>
        </w:tc>
        <w:tc>
          <w:tcPr>
            <w:tcW w:w="7169" w:type="dxa"/>
            <w:tcBorders>
              <w:top w:val="single" w:color="auto" w:sz="4" w:space="0"/>
              <w:left w:val="single" w:color="auto" w:sz="4" w:space="0"/>
              <w:bottom w:val="single" w:color="auto" w:sz="4" w:space="0"/>
            </w:tcBorders>
            <w:vAlign w:val="center"/>
          </w:tcPr>
          <w:p w14:paraId="7F721D1A">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开标之日起90天</w:t>
            </w:r>
          </w:p>
        </w:tc>
      </w:tr>
      <w:tr w14:paraId="005A1B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vAlign w:val="center"/>
          </w:tcPr>
          <w:p w14:paraId="672012D7">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15</w:t>
            </w:r>
          </w:p>
        </w:tc>
        <w:tc>
          <w:tcPr>
            <w:tcW w:w="2181" w:type="dxa"/>
            <w:tcBorders>
              <w:top w:val="single" w:color="auto" w:sz="4" w:space="0"/>
              <w:left w:val="single" w:color="auto" w:sz="4" w:space="0"/>
              <w:bottom w:val="single" w:color="auto" w:sz="4" w:space="0"/>
              <w:right w:val="single" w:color="auto" w:sz="4" w:space="0"/>
            </w:tcBorders>
            <w:vAlign w:val="center"/>
          </w:tcPr>
          <w:p w14:paraId="547FB126">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投标文件</w:t>
            </w:r>
            <w:r>
              <w:rPr>
                <w:rFonts w:ascii="仿宋" w:hAnsi="仿宋" w:eastAsia="仿宋" w:cs="仿宋"/>
                <w:color w:val="000000" w:themeColor="text1"/>
                <w:sz w:val="28"/>
                <w:szCs w:val="28"/>
                <w:highlight w:val="none"/>
                <w14:textFill>
                  <w14:solidFill>
                    <w14:schemeClr w14:val="tx1"/>
                  </w14:solidFill>
                </w14:textFill>
              </w:rPr>
              <w:t>提交时间</w:t>
            </w:r>
            <w:r>
              <w:rPr>
                <w:rFonts w:hint="eastAsia" w:ascii="仿宋" w:hAnsi="仿宋" w:eastAsia="仿宋" w:cs="仿宋"/>
                <w:color w:val="000000" w:themeColor="text1"/>
                <w:sz w:val="28"/>
                <w:szCs w:val="28"/>
                <w:highlight w:val="none"/>
                <w14:textFill>
                  <w14:solidFill>
                    <w14:schemeClr w14:val="tx1"/>
                  </w14:solidFill>
                </w14:textFill>
              </w:rPr>
              <w:t>及地点</w:t>
            </w:r>
          </w:p>
        </w:tc>
        <w:tc>
          <w:tcPr>
            <w:tcW w:w="7169" w:type="dxa"/>
            <w:tcBorders>
              <w:top w:val="single" w:color="auto" w:sz="4" w:space="0"/>
              <w:left w:val="single" w:color="auto" w:sz="4" w:space="0"/>
              <w:bottom w:val="single" w:color="auto" w:sz="4" w:space="0"/>
            </w:tcBorders>
            <w:vAlign w:val="center"/>
          </w:tcPr>
          <w:p w14:paraId="41BBDFFD">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电子投标文件提交时间：2026年10</w:t>
            </w:r>
            <w:r>
              <w:rPr>
                <w:rFonts w:hint="eastAsia" w:ascii="仿宋" w:hAnsi="仿宋" w:eastAsia="仿宋" w:cs="仿宋"/>
                <w:color w:val="000000"/>
                <w:sz w:val="28"/>
                <w:szCs w:val="28"/>
                <w:highlight w:val="none"/>
              </w:rPr>
              <w:t>月10日</w:t>
            </w: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9</w:t>
            </w:r>
            <w:r>
              <w:rPr>
                <w:rFonts w:hint="eastAsia" w:ascii="仿宋" w:hAnsi="仿宋" w:eastAsia="仿宋" w:cs="仿宋"/>
                <w:color w:val="000000" w:themeColor="text1"/>
                <w:sz w:val="28"/>
                <w:szCs w:val="28"/>
                <w:highlight w:val="none"/>
                <w14:textFill>
                  <w14:solidFill>
                    <w14:schemeClr w14:val="tx1"/>
                  </w14:solidFill>
                </w14:textFill>
              </w:rPr>
              <w:t>时</w:t>
            </w:r>
            <w:r>
              <w:rPr>
                <w:rFonts w:hint="eastAsia" w:ascii="仿宋" w:hAnsi="仿宋" w:eastAsia="仿宋" w:cs="仿宋"/>
                <w:color w:val="000000" w:themeColor="text1"/>
                <w:sz w:val="28"/>
                <w:szCs w:val="28"/>
                <w:highlight w:val="none"/>
                <w:lang w:val="en-US" w:eastAsia="zh-CN"/>
                <w14:textFill>
                  <w14:solidFill>
                    <w14:schemeClr w14:val="tx1"/>
                  </w14:solidFill>
                </w14:textFill>
              </w:rPr>
              <w:t>00</w:t>
            </w:r>
            <w:r>
              <w:rPr>
                <w:rFonts w:hint="eastAsia" w:ascii="仿宋" w:hAnsi="仿宋" w:eastAsia="仿宋" w:cs="仿宋"/>
                <w:color w:val="000000" w:themeColor="text1"/>
                <w:sz w:val="28"/>
                <w:szCs w:val="28"/>
                <w:highlight w:val="none"/>
                <w14:textFill>
                  <w14:solidFill>
                    <w14:schemeClr w14:val="tx1"/>
                  </w14:solidFill>
                </w14:textFill>
              </w:rPr>
              <w:t>分至2026年10</w:t>
            </w:r>
            <w:r>
              <w:rPr>
                <w:rFonts w:hint="eastAsia" w:ascii="仿宋" w:hAnsi="仿宋" w:eastAsia="仿宋" w:cs="仿宋"/>
                <w:color w:val="000000"/>
                <w:sz w:val="28"/>
                <w:szCs w:val="28"/>
                <w:highlight w:val="none"/>
              </w:rPr>
              <w:t>月21日</w:t>
            </w:r>
            <w:r>
              <w:rPr>
                <w:rFonts w:hint="eastAsia" w:ascii="仿宋" w:hAnsi="仿宋" w:eastAsia="仿宋" w:cs="仿宋"/>
                <w:color w:val="000000" w:themeColor="text1"/>
                <w:sz w:val="28"/>
                <w:szCs w:val="28"/>
                <w:highlight w:val="none"/>
                <w14:textFill>
                  <w14:solidFill>
                    <w14:schemeClr w14:val="tx1"/>
                  </w14:solidFill>
                </w14:textFill>
              </w:rPr>
              <w:t>9时00分（以国企阳光采购平台具体显示时间为准）提交网址：https://www.whgqcg.cn/login?redirect=%2Findex</w:t>
            </w:r>
          </w:p>
          <w:p w14:paraId="5F8CB6F0">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15.1纸质投标文件提交方式：</w:t>
            </w:r>
          </w:p>
          <w:p w14:paraId="345300B6">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基于项目资料归档的要求，纸质投标文件递交应在提交电子投标文件截止后三个工作日内，邮寄或送至招标代理处。</w:t>
            </w:r>
          </w:p>
          <w:p w14:paraId="6F4F12B1">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15.2</w:t>
            </w:r>
            <w:r>
              <w:rPr>
                <w:rFonts w:hint="eastAsia" w:ascii="仿宋" w:hAnsi="仿宋" w:eastAsia="仿宋" w:cs="仿宋"/>
                <w:color w:val="000000" w:themeColor="text1"/>
                <w:sz w:val="28"/>
                <w:szCs w:val="28"/>
                <w:highlight w:val="none"/>
                <w14:textFill>
                  <w14:solidFill>
                    <w14:schemeClr w14:val="tx1"/>
                  </w14:solidFill>
                </w14:textFill>
              </w:rPr>
              <w:t>纸质投标文件共2份，将纸质投标文件密封在密封袋中，并在封口处粘贴封条。</w:t>
            </w:r>
          </w:p>
          <w:p w14:paraId="478D0291">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15.3</w:t>
            </w:r>
            <w:r>
              <w:rPr>
                <w:rFonts w:hint="eastAsia" w:ascii="仿宋" w:hAnsi="仿宋" w:eastAsia="仿宋" w:cs="仿宋"/>
                <w:color w:val="000000" w:themeColor="text1"/>
                <w:sz w:val="28"/>
                <w:szCs w:val="28"/>
                <w:highlight w:val="none"/>
                <w14:textFill>
                  <w14:solidFill>
                    <w14:schemeClr w14:val="tx1"/>
                  </w14:solidFill>
                </w14:textFill>
              </w:rPr>
              <w:t>封套内容：</w:t>
            </w:r>
          </w:p>
          <w:p w14:paraId="07A84EAB">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（1）代理机构：威海市天垣工程咨询管理有限公司</w:t>
            </w:r>
          </w:p>
          <w:p w14:paraId="5EDEAF5D">
            <w:pPr>
              <w:snapToGrid w:val="0"/>
              <w:spacing w:line="520" w:lineRule="exact"/>
              <w:ind w:right="-105" w:rightChars="-50"/>
              <w:jc w:val="left"/>
              <w:rPr>
                <w:rFonts w:hint="eastAsia" w:ascii="仿宋" w:hAnsi="仿宋" w:eastAsia="仿宋" w:cs="仿宋"/>
                <w:bCs/>
                <w:color w:val="000000" w:themeColor="text1"/>
                <w:spacing w:val="8"/>
                <w:kern w:val="0"/>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（2）项目名称：</w:t>
            </w:r>
            <w:r>
              <w:rPr>
                <w:rFonts w:hint="eastAsia" w:ascii="仿宋" w:hAnsi="仿宋" w:eastAsia="仿宋" w:cs="仿宋"/>
                <w:bCs/>
                <w:color w:val="000000" w:themeColor="text1"/>
                <w:spacing w:val="8"/>
                <w:kern w:val="0"/>
                <w:sz w:val="28"/>
                <w:szCs w:val="28"/>
                <w:highlight w:val="none"/>
                <w14:textFill>
                  <w14:solidFill>
                    <w14:schemeClr w14:val="tx1"/>
                  </w14:solidFill>
                </w14:textFill>
              </w:rPr>
              <w:t>2026新能源铝应用创新发展会议委托服务</w:t>
            </w:r>
          </w:p>
          <w:p w14:paraId="1FFA7A4C">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（3）招标编号：WHGQ(2026)XCTZTY20261001</w:t>
            </w:r>
          </w:p>
          <w:p w14:paraId="67328495">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w:t>
            </w:r>
          </w:p>
          <w:p w14:paraId="18153334">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（5）注明“公开开标前不得启封”字样。</w:t>
            </w:r>
          </w:p>
        </w:tc>
      </w:tr>
      <w:tr w14:paraId="4A768B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851" w:type="dxa"/>
            <w:tcBorders>
              <w:top w:val="single" w:color="auto" w:sz="4" w:space="0"/>
              <w:bottom w:val="single" w:color="auto" w:sz="4" w:space="0"/>
              <w:right w:val="single" w:color="auto" w:sz="4" w:space="0"/>
            </w:tcBorders>
            <w:vAlign w:val="center"/>
          </w:tcPr>
          <w:p w14:paraId="1BCB7373">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w:t>
            </w:r>
          </w:p>
        </w:tc>
        <w:tc>
          <w:tcPr>
            <w:tcW w:w="2181" w:type="dxa"/>
            <w:tcBorders>
              <w:top w:val="single" w:color="auto" w:sz="4" w:space="0"/>
              <w:left w:val="single" w:color="auto" w:sz="4" w:space="0"/>
              <w:bottom w:val="single" w:color="auto" w:sz="4" w:space="0"/>
              <w:right w:val="single" w:color="auto" w:sz="4" w:space="0"/>
            </w:tcBorders>
            <w:vAlign w:val="center"/>
          </w:tcPr>
          <w:p w14:paraId="6718B414">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开标</w:t>
            </w:r>
            <w:r>
              <w:rPr>
                <w:rFonts w:ascii="仿宋" w:hAnsi="仿宋" w:eastAsia="仿宋" w:cs="仿宋"/>
                <w:color w:val="000000" w:themeColor="text1"/>
                <w:sz w:val="28"/>
                <w:szCs w:val="28"/>
                <w:highlight w:val="none"/>
                <w14:textFill>
                  <w14:solidFill>
                    <w14:schemeClr w14:val="tx1"/>
                  </w14:solidFill>
                </w14:textFill>
              </w:rPr>
              <w:t>时间</w:t>
            </w:r>
          </w:p>
        </w:tc>
        <w:tc>
          <w:tcPr>
            <w:tcW w:w="7169" w:type="dxa"/>
            <w:tcBorders>
              <w:top w:val="single" w:color="auto" w:sz="4" w:space="0"/>
              <w:left w:val="single" w:color="auto" w:sz="4" w:space="0"/>
              <w:bottom w:val="single" w:color="auto" w:sz="4" w:space="0"/>
            </w:tcBorders>
            <w:vAlign w:val="center"/>
          </w:tcPr>
          <w:p w14:paraId="39C15F6C">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2026年10</w:t>
            </w:r>
            <w:r>
              <w:rPr>
                <w:rFonts w:hint="eastAsia" w:ascii="仿宋" w:hAnsi="仿宋" w:eastAsia="仿宋" w:cs="仿宋"/>
                <w:color w:val="000000"/>
                <w:sz w:val="28"/>
                <w:szCs w:val="28"/>
                <w:highlight w:val="none"/>
              </w:rPr>
              <w:t>月21日9</w:t>
            </w:r>
            <w:r>
              <w:rPr>
                <w:rFonts w:hint="eastAsia" w:ascii="仿宋" w:hAnsi="仿宋" w:eastAsia="仿宋" w:cs="仿宋"/>
                <w:color w:val="000000" w:themeColor="text1"/>
                <w:sz w:val="28"/>
                <w:szCs w:val="28"/>
                <w:highlight w:val="none"/>
                <w14:textFill>
                  <w14:solidFill>
                    <w14:schemeClr w14:val="tx1"/>
                  </w14:solidFill>
                </w14:textFill>
              </w:rPr>
              <w:t>时00分</w:t>
            </w:r>
          </w:p>
        </w:tc>
      </w:tr>
      <w:tr w14:paraId="286F0E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vAlign w:val="center"/>
          </w:tcPr>
          <w:p w14:paraId="40C8E7F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17</w:t>
            </w:r>
          </w:p>
        </w:tc>
        <w:tc>
          <w:tcPr>
            <w:tcW w:w="2181" w:type="dxa"/>
            <w:tcBorders>
              <w:top w:val="single" w:color="auto" w:sz="4" w:space="0"/>
              <w:left w:val="single" w:color="auto" w:sz="4" w:space="0"/>
              <w:bottom w:val="single" w:color="auto" w:sz="4" w:space="0"/>
              <w:right w:val="single" w:color="auto" w:sz="4" w:space="0"/>
            </w:tcBorders>
            <w:vAlign w:val="center"/>
          </w:tcPr>
          <w:p w14:paraId="767901FE">
            <w:pPr>
              <w:snapToGrid w:val="0"/>
              <w:spacing w:line="520" w:lineRule="exact"/>
              <w:ind w:right="-105" w:rightChars="-5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开标</w:t>
            </w:r>
            <w:r>
              <w:rPr>
                <w:rFonts w:ascii="仿宋" w:hAnsi="仿宋" w:eastAsia="仿宋" w:cs="仿宋"/>
                <w:color w:val="000000" w:themeColor="text1"/>
                <w:sz w:val="28"/>
                <w:szCs w:val="28"/>
                <w:highlight w:val="none"/>
                <w14:textFill>
                  <w14:solidFill>
                    <w14:schemeClr w14:val="tx1"/>
                  </w14:solidFill>
                </w14:textFill>
              </w:rPr>
              <w:t>地点</w:t>
            </w:r>
          </w:p>
        </w:tc>
        <w:tc>
          <w:tcPr>
            <w:tcW w:w="7169" w:type="dxa"/>
            <w:tcBorders>
              <w:top w:val="single" w:color="auto" w:sz="4" w:space="0"/>
              <w:left w:val="single" w:color="auto" w:sz="4" w:space="0"/>
              <w:bottom w:val="single" w:color="auto" w:sz="4" w:space="0"/>
            </w:tcBorders>
            <w:vAlign w:val="center"/>
          </w:tcPr>
          <w:p w14:paraId="1B4E5DBE">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威海市公共资源交易中心交易</w:t>
            </w:r>
            <w:r>
              <w:rPr>
                <w:rFonts w:hint="eastAsia" w:ascii="仿宋" w:hAnsi="仿宋" w:eastAsia="仿宋" w:cs="仿宋"/>
                <w:color w:val="000000" w:themeColor="text1"/>
                <w:spacing w:val="8"/>
                <w:kern w:val="0"/>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14:textFill>
                  <w14:solidFill>
                    <w14:schemeClr w14:val="tx1"/>
                  </w14:solidFill>
                </w14:textFill>
              </w:rPr>
              <w:t>厅（威海市环翠区塔山中路317号市政务服务中心四楼）</w:t>
            </w:r>
          </w:p>
        </w:tc>
      </w:tr>
      <w:tr w14:paraId="4306DB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vAlign w:val="center"/>
          </w:tcPr>
          <w:p w14:paraId="4781967F">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w:t>
            </w:r>
          </w:p>
        </w:tc>
        <w:tc>
          <w:tcPr>
            <w:tcW w:w="2181" w:type="dxa"/>
            <w:tcBorders>
              <w:top w:val="single" w:color="auto" w:sz="4" w:space="0"/>
              <w:left w:val="single" w:color="auto" w:sz="4" w:space="0"/>
              <w:bottom w:val="single" w:color="auto" w:sz="4" w:space="0"/>
              <w:right w:val="single" w:color="auto" w:sz="4" w:space="0"/>
            </w:tcBorders>
            <w:vAlign w:val="center"/>
          </w:tcPr>
          <w:p w14:paraId="51774E4B">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开标方式</w:t>
            </w:r>
          </w:p>
        </w:tc>
        <w:tc>
          <w:tcPr>
            <w:tcW w:w="7169" w:type="dxa"/>
            <w:tcBorders>
              <w:top w:val="single" w:color="auto" w:sz="4" w:space="0"/>
              <w:left w:val="single" w:color="auto" w:sz="4" w:space="0"/>
              <w:bottom w:val="single" w:color="auto" w:sz="4" w:space="0"/>
            </w:tcBorders>
            <w:vAlign w:val="center"/>
          </w:tcPr>
          <w:p w14:paraId="69036A03">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投标人无需</w:t>
            </w:r>
            <w:r>
              <w:rPr>
                <w:rFonts w:ascii="仿宋" w:hAnsi="仿宋" w:eastAsia="仿宋" w:cs="仿宋"/>
                <w:color w:val="000000" w:themeColor="text1"/>
                <w:sz w:val="28"/>
                <w:szCs w:val="28"/>
                <w:highlight w:val="none"/>
                <w14:textFill>
                  <w14:solidFill>
                    <w14:schemeClr w14:val="tx1"/>
                  </w14:solidFill>
                </w14:textFill>
              </w:rPr>
              <w:t>到现场参与开标，但</w:t>
            </w:r>
            <w:r>
              <w:rPr>
                <w:rFonts w:hint="eastAsia" w:ascii="仿宋" w:hAnsi="仿宋" w:eastAsia="仿宋" w:cs="仿宋"/>
                <w:color w:val="000000" w:themeColor="text1"/>
                <w:sz w:val="28"/>
                <w:szCs w:val="28"/>
                <w:highlight w:val="none"/>
                <w14:textFill>
                  <w14:solidFill>
                    <w14:schemeClr w14:val="tx1"/>
                  </w14:solidFill>
                </w14:textFill>
              </w:rPr>
              <w:t>开、评标</w:t>
            </w:r>
            <w:r>
              <w:rPr>
                <w:rFonts w:ascii="仿宋" w:hAnsi="仿宋" w:eastAsia="仿宋" w:cs="仿宋"/>
                <w:color w:val="000000" w:themeColor="text1"/>
                <w:sz w:val="28"/>
                <w:szCs w:val="28"/>
                <w:highlight w:val="none"/>
                <w14:textFill>
                  <w14:solidFill>
                    <w14:schemeClr w14:val="tx1"/>
                  </w14:solidFill>
                </w14:textFill>
              </w:rPr>
              <w:t>期间需实时关注交易系统相关通知，且被授权人的联络方式应保持畅通</w:t>
            </w:r>
            <w:r>
              <w:rPr>
                <w:rFonts w:hint="eastAsia" w:ascii="仿宋" w:hAnsi="仿宋" w:eastAsia="仿宋" w:cs="仿宋"/>
                <w:color w:val="000000" w:themeColor="text1"/>
                <w:sz w:val="28"/>
                <w:szCs w:val="28"/>
                <w:highlight w:val="none"/>
                <w14:textFill>
                  <w14:solidFill>
                    <w14:schemeClr w14:val="tx1"/>
                  </w14:solidFill>
                </w14:textFill>
              </w:rPr>
              <w:t>。</w:t>
            </w:r>
          </w:p>
        </w:tc>
      </w:tr>
      <w:tr w14:paraId="222F12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851" w:type="dxa"/>
            <w:tcBorders>
              <w:top w:val="single" w:color="auto" w:sz="4" w:space="0"/>
              <w:bottom w:val="single" w:color="auto" w:sz="4" w:space="0"/>
              <w:right w:val="single" w:color="auto" w:sz="4" w:space="0"/>
            </w:tcBorders>
            <w:vAlign w:val="center"/>
          </w:tcPr>
          <w:p w14:paraId="79317BA0">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p>
        </w:tc>
        <w:tc>
          <w:tcPr>
            <w:tcW w:w="2181" w:type="dxa"/>
            <w:tcBorders>
              <w:top w:val="single" w:color="auto" w:sz="4" w:space="0"/>
              <w:left w:val="single" w:color="auto" w:sz="4" w:space="0"/>
              <w:bottom w:val="single" w:color="auto" w:sz="4" w:space="0"/>
              <w:right w:val="single" w:color="auto" w:sz="4" w:space="0"/>
            </w:tcBorders>
            <w:vAlign w:val="center"/>
          </w:tcPr>
          <w:p w14:paraId="7A60B4B7">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开标程序</w:t>
            </w:r>
          </w:p>
        </w:tc>
        <w:tc>
          <w:tcPr>
            <w:tcW w:w="7169" w:type="dxa"/>
            <w:tcBorders>
              <w:top w:val="single" w:color="auto" w:sz="4" w:space="0"/>
              <w:left w:val="single" w:color="auto" w:sz="4" w:space="0"/>
              <w:bottom w:val="single" w:color="auto" w:sz="4" w:space="0"/>
            </w:tcBorders>
            <w:vAlign w:val="center"/>
          </w:tcPr>
          <w:p w14:paraId="6B01B99A">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签到时间：递交投标文件截止时间前完成</w:t>
            </w:r>
          </w:p>
          <w:p w14:paraId="3C3A4327">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解密时间：开始解密后15分钟内完成</w:t>
            </w:r>
          </w:p>
        </w:tc>
      </w:tr>
      <w:tr w14:paraId="31899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vAlign w:val="center"/>
          </w:tcPr>
          <w:p w14:paraId="02F4D255">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w:t>
            </w:r>
          </w:p>
        </w:tc>
        <w:tc>
          <w:tcPr>
            <w:tcW w:w="2181" w:type="dxa"/>
            <w:tcBorders>
              <w:top w:val="single" w:color="auto" w:sz="4" w:space="0"/>
              <w:left w:val="single" w:color="auto" w:sz="4" w:space="0"/>
              <w:bottom w:val="single" w:color="auto" w:sz="4" w:space="0"/>
              <w:right w:val="single" w:color="auto" w:sz="4" w:space="0"/>
            </w:tcBorders>
            <w:vAlign w:val="center"/>
          </w:tcPr>
          <w:p w14:paraId="0535B304">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资格审查方式</w:t>
            </w:r>
          </w:p>
        </w:tc>
        <w:tc>
          <w:tcPr>
            <w:tcW w:w="7169" w:type="dxa"/>
            <w:tcBorders>
              <w:top w:val="single" w:color="auto" w:sz="4" w:space="0"/>
              <w:left w:val="single" w:color="auto" w:sz="4" w:space="0"/>
              <w:bottom w:val="single" w:color="auto" w:sz="4" w:space="0"/>
            </w:tcBorders>
            <w:vAlign w:val="center"/>
          </w:tcPr>
          <w:p w14:paraId="78215367">
            <w:pPr>
              <w:snapToGrid w:val="0"/>
              <w:spacing w:line="520" w:lineRule="exact"/>
              <w:ind w:right="-105" w:rightChars="-5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资格后审</w:t>
            </w:r>
          </w:p>
        </w:tc>
      </w:tr>
      <w:tr w14:paraId="343BC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851" w:type="dxa"/>
            <w:tcBorders>
              <w:top w:val="single" w:color="auto" w:sz="4" w:space="0"/>
              <w:bottom w:val="single" w:color="auto" w:sz="4" w:space="0"/>
              <w:right w:val="single" w:color="auto" w:sz="4" w:space="0"/>
            </w:tcBorders>
            <w:vAlign w:val="center"/>
          </w:tcPr>
          <w:p w14:paraId="070D5FF2">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w:t>
            </w:r>
          </w:p>
        </w:tc>
        <w:tc>
          <w:tcPr>
            <w:tcW w:w="2181" w:type="dxa"/>
            <w:tcBorders>
              <w:top w:val="single" w:color="auto" w:sz="4" w:space="0"/>
              <w:left w:val="single" w:color="auto" w:sz="4" w:space="0"/>
              <w:bottom w:val="single" w:color="auto" w:sz="4" w:space="0"/>
              <w:right w:val="single" w:color="auto" w:sz="4" w:space="0"/>
            </w:tcBorders>
            <w:vAlign w:val="center"/>
          </w:tcPr>
          <w:p w14:paraId="272678D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评审</w:t>
            </w:r>
            <w:r>
              <w:rPr>
                <w:rFonts w:ascii="仿宋" w:hAnsi="仿宋" w:eastAsia="仿宋" w:cs="仿宋"/>
                <w:color w:val="000000" w:themeColor="text1"/>
                <w:sz w:val="28"/>
                <w:szCs w:val="28"/>
                <w:highlight w:val="none"/>
                <w14:textFill>
                  <w14:solidFill>
                    <w14:schemeClr w14:val="tx1"/>
                  </w14:solidFill>
                </w14:textFill>
              </w:rPr>
              <w:t>办法</w:t>
            </w:r>
          </w:p>
        </w:tc>
        <w:tc>
          <w:tcPr>
            <w:tcW w:w="7169" w:type="dxa"/>
            <w:tcBorders>
              <w:top w:val="single" w:color="auto" w:sz="4" w:space="0"/>
              <w:left w:val="single" w:color="auto" w:sz="4" w:space="0"/>
              <w:bottom w:val="single" w:color="auto" w:sz="4" w:space="0"/>
            </w:tcBorders>
            <w:vAlign w:val="center"/>
          </w:tcPr>
          <w:p w14:paraId="09F5C2B8">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综合评分法</w:t>
            </w:r>
          </w:p>
        </w:tc>
      </w:tr>
      <w:tr w14:paraId="6F4C38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vAlign w:val="center"/>
          </w:tcPr>
          <w:p w14:paraId="74B52B4B">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w:t>
            </w:r>
          </w:p>
        </w:tc>
        <w:tc>
          <w:tcPr>
            <w:tcW w:w="2181" w:type="dxa"/>
            <w:tcBorders>
              <w:top w:val="single" w:color="auto" w:sz="4" w:space="0"/>
              <w:left w:val="single" w:color="auto" w:sz="4" w:space="0"/>
              <w:bottom w:val="single" w:color="auto" w:sz="4" w:space="0"/>
              <w:right w:val="single" w:color="auto" w:sz="4" w:space="0"/>
            </w:tcBorders>
            <w:vAlign w:val="center"/>
          </w:tcPr>
          <w:p w14:paraId="654ACB96">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联合体报价</w:t>
            </w:r>
          </w:p>
        </w:tc>
        <w:tc>
          <w:tcPr>
            <w:tcW w:w="7169" w:type="dxa"/>
            <w:tcBorders>
              <w:top w:val="single" w:color="auto" w:sz="4" w:space="0"/>
              <w:left w:val="single" w:color="auto" w:sz="4" w:space="0"/>
              <w:bottom w:val="single" w:color="auto" w:sz="4" w:space="0"/>
            </w:tcBorders>
            <w:vAlign w:val="center"/>
          </w:tcPr>
          <w:p w14:paraId="017136B4">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不允许</w:t>
            </w:r>
          </w:p>
        </w:tc>
      </w:tr>
      <w:tr w14:paraId="3730B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vAlign w:val="center"/>
          </w:tcPr>
          <w:p w14:paraId="5A20B80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w:t>
            </w:r>
          </w:p>
        </w:tc>
        <w:tc>
          <w:tcPr>
            <w:tcW w:w="2181" w:type="dxa"/>
            <w:tcBorders>
              <w:top w:val="single" w:color="auto" w:sz="4" w:space="0"/>
              <w:left w:val="single" w:color="auto" w:sz="4" w:space="0"/>
              <w:bottom w:val="single" w:color="auto" w:sz="4" w:space="0"/>
              <w:right w:val="single" w:color="auto" w:sz="4" w:space="0"/>
            </w:tcBorders>
            <w:vAlign w:val="center"/>
          </w:tcPr>
          <w:p w14:paraId="343FEF95">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分（转）包</w:t>
            </w:r>
          </w:p>
        </w:tc>
        <w:tc>
          <w:tcPr>
            <w:tcW w:w="7169" w:type="dxa"/>
            <w:tcBorders>
              <w:top w:val="single" w:color="auto" w:sz="4" w:space="0"/>
              <w:left w:val="single" w:color="auto" w:sz="4" w:space="0"/>
              <w:bottom w:val="single" w:color="auto" w:sz="4" w:space="0"/>
            </w:tcBorders>
            <w:vAlign w:val="center"/>
          </w:tcPr>
          <w:p w14:paraId="13D6EC37">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不允许</w:t>
            </w:r>
          </w:p>
        </w:tc>
      </w:tr>
      <w:tr w14:paraId="5624E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vAlign w:val="center"/>
          </w:tcPr>
          <w:p w14:paraId="6432D3E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w:t>
            </w:r>
          </w:p>
        </w:tc>
        <w:tc>
          <w:tcPr>
            <w:tcW w:w="2181" w:type="dxa"/>
            <w:tcBorders>
              <w:top w:val="single" w:color="auto" w:sz="4" w:space="0"/>
              <w:left w:val="single" w:color="auto" w:sz="4" w:space="0"/>
              <w:bottom w:val="single" w:color="auto" w:sz="4" w:space="0"/>
              <w:right w:val="single" w:color="auto" w:sz="4" w:space="0"/>
            </w:tcBorders>
            <w:vAlign w:val="center"/>
          </w:tcPr>
          <w:p w14:paraId="0CF73848">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w:t>
            </w:r>
            <w:r>
              <w:rPr>
                <w:rFonts w:ascii="仿宋" w:hAnsi="仿宋" w:eastAsia="仿宋" w:cs="仿宋"/>
                <w:color w:val="000000" w:themeColor="text1"/>
                <w:sz w:val="28"/>
                <w:szCs w:val="28"/>
                <w:highlight w:val="none"/>
                <w14:textFill>
                  <w14:solidFill>
                    <w14:schemeClr w14:val="tx1"/>
                  </w14:solidFill>
                </w14:textFill>
              </w:rPr>
              <w:t>保证金</w:t>
            </w:r>
          </w:p>
        </w:tc>
        <w:tc>
          <w:tcPr>
            <w:tcW w:w="7169" w:type="dxa"/>
            <w:tcBorders>
              <w:top w:val="single" w:color="auto" w:sz="4" w:space="0"/>
              <w:left w:val="single" w:color="auto" w:sz="4" w:space="0"/>
              <w:bottom w:val="single" w:color="auto" w:sz="4" w:space="0"/>
            </w:tcBorders>
            <w:vAlign w:val="center"/>
          </w:tcPr>
          <w:p w14:paraId="0336D7F5">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bookmarkStart w:id="23" w:name="_Hlk58068062"/>
            <w:r>
              <w:rPr>
                <w:rFonts w:hint="eastAsia" w:ascii="仿宋" w:hAnsi="仿宋" w:eastAsia="仿宋" w:cs="仿宋"/>
                <w:color w:val="000000" w:themeColor="text1"/>
                <w:sz w:val="28"/>
                <w:szCs w:val="28"/>
                <w:highlight w:val="none"/>
                <w14:textFill>
                  <w14:solidFill>
                    <w14:schemeClr w14:val="tx1"/>
                  </w14:solidFill>
                </w14:textFill>
              </w:rPr>
              <w:t>1.</w:t>
            </w:r>
            <w:bookmarkStart w:id="24" w:name="_Hlk191971653"/>
            <w:r>
              <w:rPr>
                <w:rFonts w:hint="eastAsia" w:ascii="仿宋" w:hAnsi="仿宋" w:eastAsia="仿宋" w:cs="仿宋"/>
                <w:color w:val="000000" w:themeColor="text1"/>
                <w:sz w:val="28"/>
                <w:szCs w:val="28"/>
                <w:highlight w:val="none"/>
                <w14:textFill>
                  <w14:solidFill>
                    <w14:schemeClr w14:val="tx1"/>
                  </w14:solidFill>
                </w14:textFill>
              </w:rPr>
              <w:t>本项目投标</w:t>
            </w:r>
            <w:r>
              <w:rPr>
                <w:rFonts w:ascii="仿宋" w:hAnsi="仿宋" w:eastAsia="仿宋" w:cs="仿宋"/>
                <w:color w:val="000000" w:themeColor="text1"/>
                <w:sz w:val="28"/>
                <w:szCs w:val="28"/>
                <w:highlight w:val="none"/>
                <w14:textFill>
                  <w14:solidFill>
                    <w14:schemeClr w14:val="tx1"/>
                  </w14:solidFill>
                </w14:textFill>
              </w:rPr>
              <w:t>保证金</w:t>
            </w:r>
            <w:r>
              <w:rPr>
                <w:rFonts w:hint="eastAsia" w:ascii="仿宋" w:hAnsi="仿宋" w:eastAsia="仿宋" w:cs="仿宋"/>
                <w:color w:val="000000" w:themeColor="text1"/>
                <w:sz w:val="28"/>
                <w:szCs w:val="28"/>
                <w:highlight w:val="none"/>
                <w14:textFill>
                  <w14:solidFill>
                    <w14:schemeClr w14:val="tx1"/>
                  </w14:solidFill>
                </w14:textFill>
              </w:rPr>
              <w:t>：人民币</w:t>
            </w:r>
            <w:r>
              <w:rPr>
                <w:rFonts w:hint="eastAsia" w:ascii="仿宋" w:hAnsi="仿宋" w:eastAsia="仿宋" w:cs="仿宋"/>
                <w:color w:val="000000" w:themeColor="text1"/>
                <w:sz w:val="28"/>
                <w:szCs w:val="28"/>
                <w:highlight w:val="none"/>
                <w:lang w:val="en-US" w:eastAsia="zh-CN"/>
                <w14:textFill>
                  <w14:solidFill>
                    <w14:schemeClr w14:val="tx1"/>
                  </w14:solidFill>
                </w14:textFill>
              </w:rPr>
              <w:t>伍仟</w:t>
            </w:r>
            <w:r>
              <w:rPr>
                <w:rFonts w:hint="eastAsia" w:ascii="仿宋" w:hAnsi="仿宋" w:eastAsia="仿宋" w:cs="仿宋"/>
                <w:color w:val="000000" w:themeColor="text1"/>
                <w:sz w:val="28"/>
                <w:szCs w:val="28"/>
                <w:highlight w:val="none"/>
                <w14:textFill>
                  <w14:solidFill>
                    <w14:schemeClr w14:val="tx1"/>
                  </w14:solidFill>
                </w14:textFill>
              </w:rPr>
              <w:t>元整。</w:t>
            </w:r>
          </w:p>
          <w:bookmarkEnd w:id="24"/>
          <w:p w14:paraId="6A079583">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bookmarkStart w:id="25" w:name="_Hlk191971666"/>
            <w:r>
              <w:rPr>
                <w:rFonts w:hint="eastAsia" w:ascii="仿宋" w:hAnsi="仿宋" w:eastAsia="仿宋" w:cs="仿宋"/>
                <w:color w:val="000000" w:themeColor="text1"/>
                <w:sz w:val="28"/>
                <w:szCs w:val="28"/>
                <w:highlight w:val="none"/>
                <w14:textFill>
                  <w14:solidFill>
                    <w14:schemeClr w14:val="tx1"/>
                  </w14:solidFill>
                </w14:textFill>
              </w:rPr>
              <w:t>交纳截止时间：同电子投标文件提交截止时间。</w:t>
            </w:r>
            <w:bookmarkEnd w:id="25"/>
          </w:p>
          <w:p w14:paraId="3FFFB5AF">
            <w:pPr>
              <w:snapToGrid w:val="0"/>
              <w:spacing w:line="520" w:lineRule="exact"/>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3.投标保证金的交纳单位必须与投标人名称一致，投标保证金须从其基本账户转出，否则其投标无效。</w:t>
            </w:r>
          </w:p>
          <w:p w14:paraId="4FE9C50D">
            <w:pPr>
              <w:snapToGrid w:val="0"/>
              <w:spacing w:line="520" w:lineRule="exact"/>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4.本项目的投标保证金必须通过国企阳光采购平台交纳，使用说明参见威海市公共资源交易网（http://ggzyjy.weihai.cn）的“办事指南—国企采购专区”中《威海市国有企业阳光采购电子化服务平台线上投标保证金操作手册》。</w:t>
            </w:r>
          </w:p>
          <w:p w14:paraId="563972B1">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为确保投标工作有序进行，投标保证金应当在提交投标文件截止时间前（以到账时间为准）到达</w:t>
            </w:r>
            <w:r>
              <w:rPr>
                <w:rFonts w:hint="eastAsia" w:ascii="仿宋" w:hAnsi="仿宋" w:eastAsia="仿宋" w:cs="仿宋"/>
                <w:b/>
                <w:bCs/>
                <w:color w:val="000000" w:themeColor="text1"/>
                <w:sz w:val="28"/>
                <w:szCs w:val="28"/>
                <w:highlight w:val="none"/>
                <w14:textFill>
                  <w14:solidFill>
                    <w14:schemeClr w14:val="tx1"/>
                  </w14:solidFill>
                </w14:textFill>
              </w:rPr>
              <w:t>指定账户（以投标人在系统中获取到的虚拟子账号信息为准）</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请投标人务必注意以系统生成的缴纳账号信息为准，进行保证金的缴纳，并及时通过平台查询确认保证金到账情况，因操作不当造成投标保证金递交失败的，由投标人自行承担相应责任。</w:t>
            </w:r>
            <w:r>
              <w:rPr>
                <w:rFonts w:hint="eastAsia" w:ascii="仿宋" w:hAnsi="仿宋" w:eastAsia="仿宋" w:cs="仿宋"/>
                <w:color w:val="000000" w:themeColor="text1"/>
                <w:sz w:val="28"/>
                <w:szCs w:val="28"/>
                <w:highlight w:val="none"/>
                <w14:textFill>
                  <w14:solidFill>
                    <w14:schemeClr w14:val="tx1"/>
                  </w14:solidFill>
                </w14:textFill>
              </w:rPr>
              <w:t>以网银、电汇等方式一次性足额交纳保证金，不接受支付宝等第三方平台转账。禁止第三方代交。投标保证金交纳单位应与提交投标文件的投标人名称一致。</w:t>
            </w:r>
          </w:p>
          <w:p w14:paraId="74F1CA83">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23"/>
          </w:p>
          <w:p w14:paraId="7AF2F81A">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7.退还保证金：</w:t>
            </w:r>
            <w:r>
              <w:rPr>
                <w:rFonts w:hint="eastAsia" w:ascii="仿宋" w:hAnsi="仿宋" w:eastAsia="仿宋" w:cs="仿宋"/>
                <w:color w:val="000000" w:themeColor="text1"/>
                <w:sz w:val="28"/>
                <w:szCs w:val="28"/>
                <w:highlight w:val="none"/>
                <w14:textFill>
                  <w14:solidFill>
                    <w14:schemeClr w14:val="tx1"/>
                  </w14:solidFill>
                </w14:textFill>
              </w:rPr>
              <w:t>目前系统采用自动退还保证金操作，分为未中标人退还和中标人退还。代理机构向中标人发送中标通知书后，系统自动退还未中标人保证金；招标人和中标人签署完合同后，系统自动退还中标人保证金。</w:t>
            </w:r>
          </w:p>
        </w:tc>
      </w:tr>
      <w:tr w14:paraId="31B5E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vAlign w:val="center"/>
          </w:tcPr>
          <w:p w14:paraId="60FEBF43">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w:t>
            </w:r>
          </w:p>
        </w:tc>
        <w:tc>
          <w:tcPr>
            <w:tcW w:w="2181" w:type="dxa"/>
            <w:tcBorders>
              <w:top w:val="single" w:color="auto" w:sz="4" w:space="0"/>
              <w:left w:val="single" w:color="auto" w:sz="4" w:space="0"/>
              <w:bottom w:val="single" w:color="auto" w:sz="4" w:space="0"/>
              <w:right w:val="single" w:color="auto" w:sz="4" w:space="0"/>
            </w:tcBorders>
            <w:vAlign w:val="center"/>
          </w:tcPr>
          <w:p w14:paraId="27FC50B2">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履约保证金</w:t>
            </w:r>
          </w:p>
        </w:tc>
        <w:tc>
          <w:tcPr>
            <w:tcW w:w="7169" w:type="dxa"/>
            <w:tcBorders>
              <w:top w:val="single" w:color="auto" w:sz="4" w:space="0"/>
              <w:left w:val="single" w:color="auto" w:sz="4" w:space="0"/>
              <w:bottom w:val="single" w:color="auto" w:sz="4" w:space="0"/>
            </w:tcBorders>
            <w:vAlign w:val="center"/>
          </w:tcPr>
          <w:p w14:paraId="15B090F6">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本项目不收取履约保证金</w:t>
            </w:r>
          </w:p>
        </w:tc>
      </w:tr>
      <w:tr w14:paraId="3F7CA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vAlign w:val="center"/>
          </w:tcPr>
          <w:p w14:paraId="2B7C5940">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w:t>
            </w:r>
          </w:p>
        </w:tc>
        <w:tc>
          <w:tcPr>
            <w:tcW w:w="2181" w:type="dxa"/>
            <w:tcBorders>
              <w:top w:val="single" w:color="auto" w:sz="4" w:space="0"/>
              <w:left w:val="single" w:color="auto" w:sz="4" w:space="0"/>
              <w:bottom w:val="single" w:color="auto" w:sz="4" w:space="0"/>
              <w:right w:val="single" w:color="auto" w:sz="4" w:space="0"/>
            </w:tcBorders>
            <w:vAlign w:val="center"/>
          </w:tcPr>
          <w:p w14:paraId="5C78C51D">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付款方式</w:t>
            </w:r>
          </w:p>
        </w:tc>
        <w:tc>
          <w:tcPr>
            <w:tcW w:w="7169" w:type="dxa"/>
            <w:tcBorders>
              <w:top w:val="single" w:color="auto" w:sz="4" w:space="0"/>
              <w:left w:val="single" w:color="auto" w:sz="4" w:space="0"/>
              <w:bottom w:val="single" w:color="auto" w:sz="4" w:space="0"/>
            </w:tcBorders>
            <w:vAlign w:val="center"/>
          </w:tcPr>
          <w:p w14:paraId="202ED3B6">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详见合同范本</w:t>
            </w:r>
          </w:p>
        </w:tc>
      </w:tr>
      <w:tr w14:paraId="52764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vAlign w:val="center"/>
          </w:tcPr>
          <w:p w14:paraId="2D5FFF6A">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w:t>
            </w:r>
          </w:p>
        </w:tc>
        <w:tc>
          <w:tcPr>
            <w:tcW w:w="2181" w:type="dxa"/>
            <w:tcBorders>
              <w:top w:val="single" w:color="auto" w:sz="4" w:space="0"/>
              <w:left w:val="single" w:color="auto" w:sz="4" w:space="0"/>
              <w:bottom w:val="single" w:color="auto" w:sz="4" w:space="0"/>
              <w:right w:val="single" w:color="auto" w:sz="4" w:space="0"/>
            </w:tcBorders>
            <w:vAlign w:val="center"/>
          </w:tcPr>
          <w:p w14:paraId="56D658AD">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最高限价</w:t>
            </w:r>
          </w:p>
        </w:tc>
        <w:tc>
          <w:tcPr>
            <w:tcW w:w="7169" w:type="dxa"/>
            <w:tcBorders>
              <w:top w:val="single" w:color="auto" w:sz="4" w:space="0"/>
              <w:left w:val="single" w:color="auto" w:sz="4" w:space="0"/>
              <w:bottom w:val="single" w:color="auto" w:sz="4" w:space="0"/>
            </w:tcBorders>
            <w:vAlign w:val="center"/>
          </w:tcPr>
          <w:p w14:paraId="7814D68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820000.00元，投标人投标报价不得超过最高限价，否则报价无效。</w:t>
            </w:r>
          </w:p>
        </w:tc>
      </w:tr>
      <w:tr w14:paraId="7F40D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vAlign w:val="center"/>
          </w:tcPr>
          <w:p w14:paraId="1FADBE4B">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w:t>
            </w:r>
          </w:p>
        </w:tc>
        <w:tc>
          <w:tcPr>
            <w:tcW w:w="2181" w:type="dxa"/>
            <w:tcBorders>
              <w:top w:val="single" w:color="auto" w:sz="4" w:space="0"/>
              <w:left w:val="single" w:color="auto" w:sz="4" w:space="0"/>
              <w:bottom w:val="single" w:color="auto" w:sz="4" w:space="0"/>
              <w:right w:val="single" w:color="auto" w:sz="4" w:space="0"/>
            </w:tcBorders>
            <w:vAlign w:val="center"/>
          </w:tcPr>
          <w:p w14:paraId="676A1584">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其他</w:t>
            </w:r>
          </w:p>
        </w:tc>
        <w:tc>
          <w:tcPr>
            <w:tcW w:w="7169" w:type="dxa"/>
            <w:tcBorders>
              <w:top w:val="single" w:color="auto" w:sz="4" w:space="0"/>
              <w:left w:val="single" w:color="auto" w:sz="4" w:space="0"/>
              <w:bottom w:val="single" w:color="auto" w:sz="4" w:space="0"/>
            </w:tcBorders>
            <w:vAlign w:val="center"/>
          </w:tcPr>
          <w:p w14:paraId="6BC853B9">
            <w:pPr>
              <w:snapToGrid w:val="0"/>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本项目按</w:t>
            </w:r>
            <w:r>
              <w:rPr>
                <w:rFonts w:hint="eastAsia" w:ascii="仿宋" w:hAnsi="仿宋" w:eastAsia="仿宋" w:cs="仿宋"/>
                <w:color w:val="000000"/>
                <w:sz w:val="28"/>
                <w:szCs w:val="28"/>
                <w:highlight w:val="none"/>
              </w:rPr>
              <w:t>服务类</w:t>
            </w:r>
            <w:r>
              <w:rPr>
                <w:rFonts w:hint="eastAsia" w:ascii="仿宋" w:hAnsi="仿宋" w:eastAsia="仿宋" w:cs="仿宋"/>
                <w:color w:val="000000" w:themeColor="text1"/>
                <w:sz w:val="28"/>
                <w:szCs w:val="28"/>
                <w:highlight w:val="none"/>
                <w14:textFill>
                  <w14:solidFill>
                    <w14:schemeClr w14:val="tx1"/>
                  </w14:solidFill>
                </w14:textFill>
              </w:rPr>
              <w:t>以公开招标方式实施采购。</w:t>
            </w:r>
          </w:p>
        </w:tc>
      </w:tr>
      <w:tr w14:paraId="005939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851" w:type="dxa"/>
            <w:vMerge w:val="restart"/>
            <w:tcBorders>
              <w:top w:val="single" w:color="auto" w:sz="4" w:space="0"/>
              <w:right w:val="single" w:color="auto" w:sz="4" w:space="0"/>
            </w:tcBorders>
            <w:vAlign w:val="center"/>
          </w:tcPr>
          <w:p w14:paraId="75FF588C">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w:t>
            </w:r>
          </w:p>
        </w:tc>
        <w:tc>
          <w:tcPr>
            <w:tcW w:w="2181" w:type="dxa"/>
            <w:tcBorders>
              <w:top w:val="single" w:color="auto" w:sz="4" w:space="0"/>
              <w:left w:val="single" w:color="auto" w:sz="4" w:space="0"/>
              <w:bottom w:val="single" w:color="auto" w:sz="4" w:space="0"/>
              <w:right w:val="single" w:color="auto" w:sz="4" w:space="0"/>
            </w:tcBorders>
            <w:vAlign w:val="center"/>
          </w:tcPr>
          <w:p w14:paraId="5FF4EF77">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代理服务费</w:t>
            </w:r>
          </w:p>
        </w:tc>
        <w:tc>
          <w:tcPr>
            <w:tcW w:w="7169" w:type="dxa"/>
            <w:tcBorders>
              <w:top w:val="single" w:color="auto" w:sz="4" w:space="0"/>
              <w:left w:val="single" w:color="auto" w:sz="4" w:space="0"/>
              <w:bottom w:val="single" w:color="auto" w:sz="4" w:space="0"/>
            </w:tcBorders>
            <w:vAlign w:val="center"/>
          </w:tcPr>
          <w:p w14:paraId="529384C4">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sz w:val="28"/>
                <w:szCs w:val="28"/>
                <w:highlight w:val="none"/>
              </w:rPr>
              <w:t>参照原国家发展计划委员会规定的标准（详见《招标代理服务收费管理暂行办法》计价格［2002］1980号)进行收取。在招标代理机构发出中标通知书时，由中标人按服务类标准取费下浮一定比例交纳，</w:t>
            </w:r>
            <w:r>
              <w:rPr>
                <w:rFonts w:hint="eastAsia" w:ascii="仿宋" w:hAnsi="仿宋" w:eastAsia="仿宋" w:cs="仿宋"/>
                <w:color w:val="000000" w:themeColor="text1"/>
                <w:sz w:val="28"/>
                <w:szCs w:val="28"/>
                <w:highlight w:val="none"/>
                <w14:textFill>
                  <w14:solidFill>
                    <w14:schemeClr w14:val="tx1"/>
                  </w14:solidFill>
                </w14:textFill>
              </w:rPr>
              <w:t>此费用包含在报价中，招标人不再另行考虑。</w:t>
            </w:r>
          </w:p>
        </w:tc>
      </w:tr>
      <w:tr w14:paraId="4E35E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851" w:type="dxa"/>
            <w:vMerge w:val="continue"/>
            <w:tcBorders>
              <w:right w:val="single" w:color="auto" w:sz="4" w:space="0"/>
            </w:tcBorders>
            <w:vAlign w:val="center"/>
          </w:tcPr>
          <w:p w14:paraId="7A01DB11">
            <w:pPr>
              <w:snapToGrid w:val="0"/>
              <w:spacing w:line="52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181" w:type="dxa"/>
            <w:tcBorders>
              <w:top w:val="single" w:color="auto" w:sz="4" w:space="0"/>
              <w:left w:val="single" w:color="auto" w:sz="4" w:space="0"/>
              <w:bottom w:val="single" w:color="auto" w:sz="4" w:space="0"/>
              <w:right w:val="single" w:color="auto" w:sz="4" w:space="0"/>
            </w:tcBorders>
            <w:vAlign w:val="center"/>
          </w:tcPr>
          <w:p w14:paraId="343E1D41">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专家评审费</w:t>
            </w:r>
          </w:p>
        </w:tc>
        <w:tc>
          <w:tcPr>
            <w:tcW w:w="7169" w:type="dxa"/>
            <w:tcBorders>
              <w:top w:val="single" w:color="auto" w:sz="4" w:space="0"/>
              <w:left w:val="single" w:color="auto" w:sz="4" w:space="0"/>
              <w:bottom w:val="single" w:color="auto" w:sz="4" w:space="0"/>
            </w:tcBorders>
            <w:vAlign w:val="center"/>
          </w:tcPr>
          <w:p w14:paraId="4DF51510">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专家评审费由中标人交纳，按实收取。</w:t>
            </w:r>
          </w:p>
        </w:tc>
      </w:tr>
      <w:tr w14:paraId="134076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jc w:val="center"/>
        </w:trPr>
        <w:tc>
          <w:tcPr>
            <w:tcW w:w="851" w:type="dxa"/>
            <w:tcBorders>
              <w:top w:val="single" w:color="auto" w:sz="4" w:space="0"/>
              <w:bottom w:val="single" w:color="auto" w:sz="4" w:space="0"/>
              <w:right w:val="single" w:color="auto" w:sz="4" w:space="0"/>
            </w:tcBorders>
            <w:vAlign w:val="center"/>
          </w:tcPr>
          <w:p w14:paraId="04FDCC93">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30</w:t>
            </w:r>
          </w:p>
        </w:tc>
        <w:tc>
          <w:tcPr>
            <w:tcW w:w="2181" w:type="dxa"/>
            <w:tcBorders>
              <w:top w:val="single" w:color="auto" w:sz="4" w:space="0"/>
              <w:left w:val="single" w:color="auto" w:sz="4" w:space="0"/>
              <w:bottom w:val="single" w:color="auto" w:sz="4" w:space="0"/>
              <w:right w:val="single" w:color="auto" w:sz="4" w:space="0"/>
            </w:tcBorders>
            <w:vAlign w:val="center"/>
          </w:tcPr>
          <w:p w14:paraId="179DDF0C">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是否委托定标</w:t>
            </w:r>
          </w:p>
        </w:tc>
        <w:tc>
          <w:tcPr>
            <w:tcW w:w="7169" w:type="dxa"/>
            <w:tcBorders>
              <w:top w:val="single" w:color="auto" w:sz="4" w:space="0"/>
              <w:left w:val="single" w:color="auto" w:sz="4" w:space="0"/>
              <w:bottom w:val="single" w:color="auto" w:sz="4" w:space="0"/>
            </w:tcBorders>
            <w:vAlign w:val="center"/>
          </w:tcPr>
          <w:p w14:paraId="1E829951">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是</w:t>
            </w:r>
          </w:p>
        </w:tc>
      </w:tr>
    </w:tbl>
    <w:p w14:paraId="2B135C19">
      <w:pPr>
        <w:spacing w:line="560" w:lineRule="exact"/>
        <w:ind w:firstLine="643" w:firstLineChars="201"/>
        <w:jc w:val="center"/>
        <w:rPr>
          <w:rFonts w:hint="eastAsia" w:ascii="仿宋" w:hAnsi="仿宋" w:eastAsia="仿宋" w:cs="仿宋"/>
          <w:color w:val="000000" w:themeColor="text1"/>
          <w:sz w:val="32"/>
          <w:szCs w:val="32"/>
          <w:highlight w:val="none"/>
          <w14:textFill>
            <w14:solidFill>
              <w14:schemeClr w14:val="tx1"/>
            </w14:solidFill>
          </w14:textFill>
        </w:rPr>
      </w:pPr>
      <w:bookmarkStart w:id="26" w:name="_Hlk191971690"/>
      <w:r>
        <w:rPr>
          <w:rFonts w:hint="eastAsia" w:ascii="仿宋" w:hAnsi="仿宋" w:eastAsia="仿宋" w:cs="仿宋"/>
          <w:color w:val="000000" w:themeColor="text1"/>
          <w:sz w:val="32"/>
          <w:szCs w:val="32"/>
          <w:highlight w:val="none"/>
          <w14:textFill>
            <w14:solidFill>
              <w14:schemeClr w14:val="tx1"/>
            </w14:solidFill>
          </w14:textFill>
        </w:rPr>
        <w:t>《实质性条款一览表》</w:t>
      </w:r>
    </w:p>
    <w:p w14:paraId="20C0F69D">
      <w:pPr>
        <w:snapToGrid w:val="0"/>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说明：本表系招标文件及修改性文件中涉及的所有实质性条款的汇总。不允许有任何负偏离，否则投标将被否决。</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692"/>
        <w:gridCol w:w="7130"/>
      </w:tblGrid>
      <w:tr w14:paraId="48639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5C19C1C">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bookmarkStart w:id="27" w:name="_Hlk207628854"/>
            <w:r>
              <w:rPr>
                <w:rFonts w:hint="eastAsia" w:ascii="仿宋" w:hAnsi="仿宋" w:eastAsia="仿宋" w:cs="仿宋"/>
                <w:color w:val="000000" w:themeColor="text1"/>
                <w:sz w:val="28"/>
                <w:szCs w:val="28"/>
                <w:highlight w:val="none"/>
                <w14:textFill>
                  <w14:solidFill>
                    <w14:schemeClr w14:val="tx1"/>
                  </w14:solidFill>
                </w14:textFill>
              </w:rPr>
              <w:t>序号</w:t>
            </w:r>
          </w:p>
        </w:tc>
        <w:tc>
          <w:tcPr>
            <w:tcW w:w="1692" w:type="dxa"/>
            <w:tcBorders>
              <w:top w:val="single" w:color="auto" w:sz="4" w:space="0"/>
              <w:left w:val="single" w:color="auto" w:sz="4" w:space="0"/>
              <w:bottom w:val="single" w:color="auto" w:sz="4" w:space="0"/>
              <w:right w:val="single" w:color="auto" w:sz="4" w:space="0"/>
            </w:tcBorders>
            <w:vAlign w:val="center"/>
          </w:tcPr>
          <w:p w14:paraId="0F8EA50F">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tc>
        <w:tc>
          <w:tcPr>
            <w:tcW w:w="7130" w:type="dxa"/>
            <w:tcBorders>
              <w:top w:val="single" w:color="auto" w:sz="4" w:space="0"/>
              <w:left w:val="single" w:color="auto" w:sz="4" w:space="0"/>
              <w:bottom w:val="single" w:color="auto" w:sz="4" w:space="0"/>
            </w:tcBorders>
            <w:vAlign w:val="center"/>
          </w:tcPr>
          <w:p w14:paraId="6E5EDD7B">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内       容</w:t>
            </w:r>
          </w:p>
        </w:tc>
      </w:tr>
      <w:tr w14:paraId="53A2B8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FC6E85C">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p>
        </w:tc>
        <w:tc>
          <w:tcPr>
            <w:tcW w:w="1692" w:type="dxa"/>
            <w:tcBorders>
              <w:top w:val="single" w:color="auto" w:sz="4" w:space="0"/>
              <w:left w:val="single" w:color="auto" w:sz="4" w:space="0"/>
              <w:bottom w:val="single" w:color="auto" w:sz="4" w:space="0"/>
              <w:right w:val="single" w:color="auto" w:sz="4" w:space="0"/>
            </w:tcBorders>
            <w:vAlign w:val="center"/>
          </w:tcPr>
          <w:p w14:paraId="7CCCE5CA">
            <w:pPr>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资格性审查</w:t>
            </w:r>
          </w:p>
        </w:tc>
        <w:tc>
          <w:tcPr>
            <w:tcW w:w="7130" w:type="dxa"/>
            <w:tcBorders>
              <w:top w:val="single" w:color="auto" w:sz="4" w:space="0"/>
              <w:left w:val="single" w:color="auto" w:sz="4" w:space="0"/>
              <w:bottom w:val="single" w:color="auto" w:sz="4" w:space="0"/>
            </w:tcBorders>
          </w:tcPr>
          <w:p w14:paraId="5B986473">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1.投标人有效的营业执照扫描件；</w:t>
            </w:r>
          </w:p>
          <w:p w14:paraId="0052898A">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2.法定代表人身份证明、法定代表人有效的身份证扫描件；</w:t>
            </w:r>
          </w:p>
          <w:p w14:paraId="79732CF9">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3.法定代表人授权委托书、被授权人有效的身份证扫描件；</w:t>
            </w:r>
          </w:p>
          <w:p w14:paraId="5291555A">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4.投标人信用承诺书；</w:t>
            </w:r>
          </w:p>
          <w:p w14:paraId="2C844087">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5.投标人参与投标的声明函；</w:t>
            </w:r>
          </w:p>
          <w:p w14:paraId="68AC44EC">
            <w:pPr>
              <w:wordWrap w:val="0"/>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6.交纳投标保证金的证明材料（两者缺一不可）：（1）企业银行基本账户开户证明（如开户许可证或银行开户证明等）、（2）电汇凭证或电子汇款截图扫描件。</w:t>
            </w:r>
          </w:p>
          <w:p w14:paraId="33DCEF52">
            <w:pPr>
              <w:wordWrap w:val="0"/>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投标人、法定代表人、委托代理人未被最高法院列入失信被执行人（查询网址为：http://zxgk.court.gov.cn/shixin/）。投标文件附通过网站查询信息记录，包含投标人、法定代表人、委托代理人失信被执行人情况网页截图（省份为全部）。</w:t>
            </w:r>
          </w:p>
          <w:p w14:paraId="3DD5F19C">
            <w:pPr>
              <w:wordWrap w:val="0"/>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投标人近一年在"信用中国"或"信用中国（山东）"无严重失信记录，投标文件中需附通过信用中国（查询网址：https://www.creditchina.gov.cn）查询的信用报告或信用中国（山东）（查询网址：https://credit.shandong.gov.cn）查询的信用报告。</w:t>
            </w:r>
          </w:p>
        </w:tc>
      </w:tr>
      <w:tr w14:paraId="722BD5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2499579D">
            <w:pPr>
              <w:snapToGrid w:val="0"/>
              <w:spacing w:line="5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p>
        </w:tc>
        <w:tc>
          <w:tcPr>
            <w:tcW w:w="1692" w:type="dxa"/>
            <w:tcBorders>
              <w:top w:val="single" w:color="auto" w:sz="4" w:space="0"/>
              <w:left w:val="single" w:color="auto" w:sz="4" w:space="0"/>
              <w:bottom w:val="single" w:color="auto" w:sz="4" w:space="0"/>
              <w:right w:val="single" w:color="auto" w:sz="4" w:space="0"/>
            </w:tcBorders>
            <w:vAlign w:val="center"/>
          </w:tcPr>
          <w:p w14:paraId="29C2D729">
            <w:pPr>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符合性审查</w:t>
            </w:r>
          </w:p>
        </w:tc>
        <w:tc>
          <w:tcPr>
            <w:tcW w:w="7130" w:type="dxa"/>
            <w:tcBorders>
              <w:top w:val="single" w:color="auto" w:sz="4" w:space="0"/>
              <w:left w:val="single" w:color="auto" w:sz="4" w:space="0"/>
              <w:bottom w:val="single" w:color="auto" w:sz="4" w:space="0"/>
            </w:tcBorders>
            <w:vAlign w:val="center"/>
          </w:tcPr>
          <w:p w14:paraId="32C5116B">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报价低于（或等于）最高限价；</w:t>
            </w:r>
          </w:p>
          <w:p w14:paraId="4D3A0153">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投标保证金：按招标文件要求交纳；</w:t>
            </w:r>
          </w:p>
          <w:p w14:paraId="4551A39F">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投标文件按规定签署及盖章；</w:t>
            </w:r>
          </w:p>
          <w:p w14:paraId="67FED5C3">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服务期限满足招标文件要求；</w:t>
            </w:r>
          </w:p>
          <w:p w14:paraId="365B9339">
            <w:pPr>
              <w:snapToGri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不存在招标文件规定的关于投标人串通投标的情形及其他投标无效的情形。</w:t>
            </w:r>
          </w:p>
        </w:tc>
      </w:tr>
      <w:bookmarkEnd w:id="26"/>
      <w:bookmarkEnd w:id="27"/>
    </w:tbl>
    <w:p w14:paraId="16A7FA77">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28" w:name="_Toc66864042"/>
      <w:bookmarkStart w:id="29" w:name="_Toc130891904"/>
      <w:r>
        <w:rPr>
          <w:rStyle w:val="431"/>
          <w:rFonts w:hint="eastAsia" w:ascii="仿宋" w:hAnsi="仿宋" w:eastAsia="仿宋"/>
          <w:b/>
          <w:bCs/>
          <w:color w:val="000000" w:themeColor="text1"/>
          <w:kern w:val="2"/>
          <w:sz w:val="28"/>
          <w:szCs w:val="32"/>
          <w:highlight w:val="none"/>
          <w14:textFill>
            <w14:solidFill>
              <w14:schemeClr w14:val="tx1"/>
            </w14:solidFill>
          </w14:textFill>
        </w:rPr>
        <w:t>一、说明</w:t>
      </w:r>
      <w:bookmarkEnd w:id="28"/>
      <w:bookmarkEnd w:id="29"/>
    </w:p>
    <w:p w14:paraId="45405383">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文件依据《山东省省属企业阳光采购监督管理办法》等有关规定，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4FD0AFD7">
      <w:pPr>
        <w:snapToGrid w:val="0"/>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30" w:name="_Hlk154667578"/>
      <w:r>
        <w:rPr>
          <w:rFonts w:hint="eastAsia" w:ascii="仿宋" w:hAnsi="仿宋" w:eastAsia="仿宋" w:cs="仿宋"/>
          <w:b/>
          <w:color w:val="000000" w:themeColor="text1"/>
          <w:sz w:val="28"/>
          <w:szCs w:val="28"/>
          <w:highlight w:val="none"/>
          <w14:textFill>
            <w14:solidFill>
              <w14:schemeClr w14:val="tx1"/>
            </w14:solidFill>
          </w14:textFill>
        </w:rPr>
        <w:t>1.适用范围</w:t>
      </w:r>
    </w:p>
    <w:p w14:paraId="13F6B07D">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1.1 本招标文件仅适用于本次招标公告中所涉及的项目和内容。</w:t>
      </w:r>
    </w:p>
    <w:p w14:paraId="79DD55A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 本招标文件的解释权为</w:t>
      </w:r>
      <w:r>
        <w:rPr>
          <w:rFonts w:ascii="仿宋" w:hAnsi="仿宋" w:eastAsia="仿宋" w:cs="仿宋"/>
          <w:color w:val="000000" w:themeColor="text1"/>
          <w:sz w:val="28"/>
          <w:szCs w:val="28"/>
          <w:highlight w:val="none"/>
          <w14:textFill>
            <w14:solidFill>
              <w14:schemeClr w14:val="tx1"/>
            </w14:solidFill>
          </w14:textFill>
        </w:rPr>
        <w:t>招标代理机构</w:t>
      </w:r>
      <w:r>
        <w:rPr>
          <w:rFonts w:hint="eastAsia" w:ascii="仿宋" w:hAnsi="仿宋" w:eastAsia="仿宋" w:cs="仿宋"/>
          <w:color w:val="000000" w:themeColor="text1"/>
          <w:sz w:val="28"/>
          <w:szCs w:val="28"/>
          <w:highlight w:val="none"/>
          <w14:textFill>
            <w14:solidFill>
              <w14:schemeClr w14:val="tx1"/>
            </w14:solidFill>
          </w14:textFill>
        </w:rPr>
        <w:t>，以书面解释为准。</w:t>
      </w:r>
    </w:p>
    <w:p w14:paraId="3B2C6C0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1.3本招标文件未做须知明示，而又有相关法律、法规规定的，从其规定。</w:t>
      </w:r>
    </w:p>
    <w:p w14:paraId="3239C3A1">
      <w:pPr>
        <w:snapToGrid w:val="0"/>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2.相关要求</w:t>
      </w:r>
    </w:p>
    <w:p w14:paraId="6D12C4F6">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2.1投标人应承担所有与准备和参加报价的全部费用。不论电子投标结果如何，</w:t>
      </w:r>
      <w:r>
        <w:rPr>
          <w:rFonts w:ascii="仿宋" w:hAnsi="仿宋" w:eastAsia="仿宋" w:cs="仿宋"/>
          <w:color w:val="000000" w:themeColor="text1"/>
          <w:sz w:val="28"/>
          <w:szCs w:val="28"/>
          <w:highlight w:val="none"/>
          <w14:textFill>
            <w14:solidFill>
              <w14:schemeClr w14:val="tx1"/>
            </w14:solidFill>
          </w14:textFill>
        </w:rPr>
        <w:t>招标代理机构</w:t>
      </w:r>
      <w:r>
        <w:rPr>
          <w:rFonts w:hint="eastAsia" w:ascii="仿宋" w:hAnsi="仿宋" w:eastAsia="仿宋" w:cs="仿宋"/>
          <w:color w:val="000000" w:themeColor="text1"/>
          <w:sz w:val="28"/>
          <w:szCs w:val="28"/>
          <w:highlight w:val="none"/>
          <w14:textFill>
            <w14:solidFill>
              <w14:schemeClr w14:val="tx1"/>
            </w14:solidFill>
          </w14:textFill>
        </w:rPr>
        <w:t>和招标人均无义务和责任承担这些费用。</w:t>
      </w:r>
    </w:p>
    <w:p w14:paraId="041B0A88">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2.2本项目若涉及招标货物，则合格的货物及相应服务应满足以下要求：</w:t>
      </w:r>
    </w:p>
    <w:p w14:paraId="1C6FABF2">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（1）必须是全新、未使用过的原装合格正品（包括零部件），如安装或配置了软件的，须为正版软件。</w:t>
      </w:r>
    </w:p>
    <w:p w14:paraId="032420A9">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（2）国产的货物及其有关服务必须符合中华人民共和国的设计和制造生产标准或行业标准。招标公告有其他要求的，亦应符合其要求。</w:t>
      </w:r>
    </w:p>
    <w:p w14:paraId="1C059A49">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DFCA06A">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FA2CE55">
      <w:pPr>
        <w:snapToGrid w:val="0"/>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2.3投标人应通过威海市公共资源交易网登录威海市国有企业阳光采购电子化服务平台获取招标文件，并通过</w:t>
      </w:r>
      <w:bookmarkStart w:id="31" w:name="_Hlk219903548"/>
      <w:r>
        <w:rPr>
          <w:rFonts w:hint="eastAsia" w:ascii="仿宋" w:hAnsi="仿宋" w:eastAsia="仿宋" w:cs="仿宋"/>
          <w:b/>
          <w:color w:val="000000" w:themeColor="text1"/>
          <w:sz w:val="28"/>
          <w:szCs w:val="28"/>
          <w:highlight w:val="none"/>
          <w14:textFill>
            <w14:solidFill>
              <w14:schemeClr w14:val="tx1"/>
            </w14:solidFill>
          </w14:textFill>
        </w:rPr>
        <w:t>国企阳光采购平台</w:t>
      </w:r>
      <w:bookmarkEnd w:id="31"/>
      <w:r>
        <w:rPr>
          <w:rFonts w:hint="eastAsia" w:ascii="仿宋" w:hAnsi="仿宋" w:eastAsia="仿宋" w:cs="仿宋"/>
          <w:b/>
          <w:color w:val="000000" w:themeColor="text1"/>
          <w:sz w:val="28"/>
          <w:szCs w:val="28"/>
          <w:highlight w:val="none"/>
          <w14:textFill>
            <w14:solidFill>
              <w14:schemeClr w14:val="tx1"/>
            </w14:solidFill>
          </w14:textFill>
        </w:rPr>
        <w:t>上传电子投标文件，电子投标文件成功上传后，将会生成投标回执，未通过国企阳光采购平台上传电子投标文件的，为无效投标。获取招标文件的投标人不足3家的，本项目直接废标。</w:t>
      </w:r>
    </w:p>
    <w:bookmarkEnd w:id="30"/>
    <w:p w14:paraId="23D28C31">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32" w:name="_Toc66864043"/>
      <w:bookmarkStart w:id="33" w:name="_Toc130891905"/>
      <w:r>
        <w:rPr>
          <w:rStyle w:val="431"/>
          <w:rFonts w:hint="eastAsia" w:ascii="仿宋" w:hAnsi="仿宋" w:eastAsia="仿宋"/>
          <w:b/>
          <w:bCs/>
          <w:color w:val="000000" w:themeColor="text1"/>
          <w:kern w:val="2"/>
          <w:sz w:val="28"/>
          <w:szCs w:val="32"/>
          <w:highlight w:val="none"/>
          <w14:textFill>
            <w14:solidFill>
              <w14:schemeClr w14:val="tx1"/>
            </w14:solidFill>
          </w14:textFill>
        </w:rPr>
        <w:t>二、招标文件</w:t>
      </w:r>
      <w:bookmarkEnd w:id="32"/>
      <w:bookmarkEnd w:id="33"/>
    </w:p>
    <w:p w14:paraId="5F58EA46">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34" w:name="_Hlk154667588"/>
      <w:r>
        <w:rPr>
          <w:rFonts w:hint="eastAsia" w:ascii="仿宋" w:hAnsi="仿宋" w:eastAsia="仿宋" w:cs="仿宋"/>
          <w:b/>
          <w:color w:val="000000" w:themeColor="text1"/>
          <w:sz w:val="28"/>
          <w:szCs w:val="28"/>
          <w:highlight w:val="none"/>
          <w14:textFill>
            <w14:solidFill>
              <w14:schemeClr w14:val="tx1"/>
            </w14:solidFill>
          </w14:textFill>
        </w:rPr>
        <w:t>3.招标文件的构成</w:t>
      </w:r>
    </w:p>
    <w:p w14:paraId="71205B4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由各包段本文件（word格式）和各包段的数据文件（excel格式）构成，采用压缩包电子版文件格式提供。</w:t>
      </w:r>
    </w:p>
    <w:p w14:paraId="015B1A4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3.1 本文件（word格式）由下列文件组成：</w:t>
      </w:r>
    </w:p>
    <w:p w14:paraId="1F0AC02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（1）招标公告</w:t>
      </w:r>
    </w:p>
    <w:p w14:paraId="7A7B374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（2）投标须知</w:t>
      </w:r>
    </w:p>
    <w:p w14:paraId="64051F6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（3）开标、评标、定标</w:t>
      </w:r>
    </w:p>
    <w:p w14:paraId="3391E0D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（4）采购项目说明</w:t>
      </w:r>
    </w:p>
    <w:p w14:paraId="7E6AB98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（5）投标文件格式</w:t>
      </w:r>
    </w:p>
    <w:p w14:paraId="5F5D00D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（6）合同（范本）</w:t>
      </w:r>
    </w:p>
    <w:p w14:paraId="0DF6B90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（7）在招标过程中由招标人或招标代理机构发出的修正和补充文件等（如有）</w:t>
      </w:r>
    </w:p>
    <w:p w14:paraId="4D25623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3.2 数据文件（excel格式）由下列文件组成：</w:t>
      </w:r>
    </w:p>
    <w:p w14:paraId="2E34B61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（1）封面</w:t>
      </w:r>
    </w:p>
    <w:p w14:paraId="3739497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（2）投标报价表（含明细）</w:t>
      </w:r>
    </w:p>
    <w:p w14:paraId="2BC5642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（3）需求响应表（如有）</w:t>
      </w:r>
    </w:p>
    <w:p w14:paraId="4E9F1B6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（4）评审对照表</w:t>
      </w:r>
    </w:p>
    <w:p w14:paraId="48EB415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（5）评分对照表（如有）</w:t>
      </w:r>
    </w:p>
    <w:p w14:paraId="0435A6C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34"/>
    <w:p w14:paraId="194BFEC8">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4.招标文件的澄清</w:t>
      </w:r>
    </w:p>
    <w:p w14:paraId="1379F40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35" w:name="_Hlk154667598"/>
      <w:r>
        <w:rPr>
          <w:rFonts w:hint="eastAsia" w:ascii="仿宋" w:hAnsi="仿宋" w:eastAsia="仿宋" w:cs="仿宋"/>
          <w:color w:val="000000" w:themeColor="text1"/>
          <w:sz w:val="28"/>
          <w:szCs w:val="28"/>
          <w:highlight w:val="none"/>
          <w14:textFill>
            <w14:solidFill>
              <w14:schemeClr w14:val="tx1"/>
            </w14:solidFill>
          </w14:textFill>
        </w:rPr>
        <w:t>4.1投标人在收到招标文件后，对招标文件若有任何疑问或要求澄清招标文件的，应在投标截止时间2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892B0C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4.2投标人在规定的时间内未对招标文件澄清或提出疑问的，招标代理机构将视其为接受招标文件的所有条款，对招标文件没有异议，此后也不再受理对招标文件的相关质疑。</w:t>
      </w:r>
    </w:p>
    <w:bookmarkEnd w:id="35"/>
    <w:p w14:paraId="3E951AD6">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5.招标文件的修改</w:t>
      </w:r>
    </w:p>
    <w:p w14:paraId="79335B5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5.l在投标截止时间2日以前，无论出于何种原因，招标代理机构或招标人可主动或在解答投标人提出的疑问时对招标文件进行修改。</w:t>
      </w:r>
    </w:p>
    <w:p w14:paraId="4243B2A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3A2A9F2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1028116E">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36" w:name="_Toc66864044"/>
      <w:bookmarkStart w:id="37" w:name="_Toc130891906"/>
      <w:r>
        <w:rPr>
          <w:rStyle w:val="431"/>
          <w:rFonts w:hint="eastAsia" w:ascii="仿宋" w:hAnsi="仿宋" w:eastAsia="仿宋"/>
          <w:b/>
          <w:bCs/>
          <w:color w:val="000000" w:themeColor="text1"/>
          <w:kern w:val="2"/>
          <w:sz w:val="28"/>
          <w:szCs w:val="32"/>
          <w:highlight w:val="none"/>
          <w14:textFill>
            <w14:solidFill>
              <w14:schemeClr w14:val="tx1"/>
            </w14:solidFill>
          </w14:textFill>
        </w:rPr>
        <w:t>三、投标文件的编制</w:t>
      </w:r>
      <w:bookmarkEnd w:id="36"/>
      <w:bookmarkEnd w:id="37"/>
    </w:p>
    <w:p w14:paraId="6C316B45">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38" w:name="_Hlk154667644"/>
      <w:r>
        <w:rPr>
          <w:rFonts w:hint="eastAsia" w:ascii="仿宋" w:hAnsi="仿宋" w:eastAsia="仿宋" w:cs="仿宋"/>
          <w:b/>
          <w:color w:val="000000" w:themeColor="text1"/>
          <w:sz w:val="28"/>
          <w:szCs w:val="28"/>
          <w:highlight w:val="none"/>
          <w14:textFill>
            <w14:solidFill>
              <w14:schemeClr w14:val="tx1"/>
            </w14:solidFill>
          </w14:textFill>
        </w:rPr>
        <w:t>6.投标文件编制要求</w:t>
      </w:r>
    </w:p>
    <w:p w14:paraId="3EED2CC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6.1投标人编写的文件和往来信件应以简体中文书写。如果投标文件或与投标有关的其它文件、信件及来往函电以其它语言书写的，投标人应将其译成中文，如未翻译该文件为无效文件。</w:t>
      </w:r>
    </w:p>
    <w:p w14:paraId="2BDAB72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6.2投标文件中使用的计量单位应使用中华人民共和国法定计量单位。</w:t>
      </w:r>
    </w:p>
    <w:p w14:paraId="00B191F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738693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6.4投标人应参照招标文件中提供的投标文件格式（详见第五章 投标文件格式）按包段编写投标文件。</w:t>
      </w:r>
    </w:p>
    <w:p w14:paraId="0A28882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6.5投标人按照招标文件要求所提供的各种证明文件必须真实且合法有效，确保清晰度可辨认，评审时由于无法辨认所产生的后果，由投标人自行承担。</w:t>
      </w:r>
    </w:p>
    <w:p w14:paraId="4FFCB93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D5ADD9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6.7为了保证系统整体效率，系统对所投递的电子文件有大小的限制，因此，投标人应尽可能降低本文件的大小，小尺寸投标文件将使提交更快捷、减少差错发生几率，避免投标截止时间前未能完整上传文件。</w:t>
      </w:r>
    </w:p>
    <w:p w14:paraId="11F36C1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6.8投标文件具有法律效力，投标人与招标代理机构或招标人任何人的口头协议不影响投标文件的任何条款和内容。</w:t>
      </w:r>
    </w:p>
    <w:p w14:paraId="42870C8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6.9招标人或招标代理机构均无义务向投标人解释其中标或未中标的原因，且无论投标人是否中标，投标人所提交的投标文件均不予退还，不提供副本拷贝。</w:t>
      </w:r>
    </w:p>
    <w:bookmarkEnd w:id="38"/>
    <w:p w14:paraId="51F81372">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39" w:name="_Hlk154667652"/>
      <w:r>
        <w:rPr>
          <w:rFonts w:hint="eastAsia" w:ascii="仿宋" w:hAnsi="仿宋" w:eastAsia="仿宋" w:cs="仿宋"/>
          <w:b/>
          <w:color w:val="000000" w:themeColor="text1"/>
          <w:sz w:val="28"/>
          <w:szCs w:val="28"/>
          <w:highlight w:val="none"/>
          <w14:textFill>
            <w14:solidFill>
              <w14:schemeClr w14:val="tx1"/>
            </w14:solidFill>
          </w14:textFill>
        </w:rPr>
        <w:t>7.数据文件编制要求</w:t>
      </w:r>
    </w:p>
    <w:p w14:paraId="350EE10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Pr>
          <w:rFonts w:ascii="仿宋" w:hAnsi="仿宋" w:eastAsia="仿宋" w:cs="仿宋"/>
          <w:color w:val="000000" w:themeColor="text1"/>
          <w:sz w:val="28"/>
          <w:szCs w:val="28"/>
          <w:highlight w:val="none"/>
          <w14:textFill>
            <w14:solidFill>
              <w14:schemeClr w14:val="tx1"/>
            </w14:solidFill>
          </w14:textFill>
        </w:rPr>
        <w:t>、对工作表先后顺序的变动，</w:t>
      </w:r>
      <w:r>
        <w:rPr>
          <w:rFonts w:hint="eastAsia" w:ascii="仿宋" w:hAnsi="仿宋" w:eastAsia="仿宋" w:cs="仿宋"/>
          <w:color w:val="000000" w:themeColor="text1"/>
          <w:sz w:val="28"/>
          <w:szCs w:val="28"/>
          <w:highlight w:val="none"/>
          <w14:textFill>
            <w14:solidFill>
              <w14:schemeClr w14:val="tx1"/>
            </w14:solidFill>
          </w14:textFill>
        </w:rPr>
        <w:t>以及对锁定区域内的数据进行更改、</w:t>
      </w:r>
      <w:r>
        <w:rPr>
          <w:rFonts w:hint="eastAsia" w:ascii="仿宋" w:hAnsi="仿宋" w:eastAsia="仿宋" w:cs="仿宋"/>
          <w:b/>
          <w:color w:val="000000" w:themeColor="text1"/>
          <w:sz w:val="28"/>
          <w:szCs w:val="28"/>
          <w:highlight w:val="none"/>
          <w14:textFill>
            <w14:solidFill>
              <w14:schemeClr w14:val="tx1"/>
            </w14:solidFill>
          </w14:textFill>
        </w:rPr>
        <w:t>文件另存到其他文件</w:t>
      </w:r>
      <w:r>
        <w:rPr>
          <w:rFonts w:hint="eastAsia" w:ascii="仿宋" w:hAnsi="仿宋" w:eastAsia="仿宋" w:cs="仿宋"/>
          <w:color w:val="000000" w:themeColor="text1"/>
          <w:sz w:val="28"/>
          <w:szCs w:val="28"/>
          <w:highlight w:val="none"/>
          <w14:textFill>
            <w14:solidFill>
              <w14:schemeClr w14:val="tx1"/>
            </w14:solidFill>
          </w14:textFill>
        </w:rPr>
        <w:t>等违规性操作，都会破坏本文件中的数字指纹，导致系统无法接收该文件使其</w:t>
      </w:r>
      <w:r>
        <w:rPr>
          <w:rFonts w:hint="eastAsia" w:ascii="仿宋" w:hAnsi="仿宋" w:eastAsia="仿宋" w:cs="仿宋"/>
          <w:b/>
          <w:color w:val="000000" w:themeColor="text1"/>
          <w:sz w:val="28"/>
          <w:szCs w:val="28"/>
          <w:highlight w:val="none"/>
          <w14:textFill>
            <w14:solidFill>
              <w14:schemeClr w14:val="tx1"/>
            </w14:solidFill>
          </w14:textFill>
        </w:rPr>
        <w:t>投标失败</w:t>
      </w:r>
      <w:r>
        <w:rPr>
          <w:rFonts w:hint="eastAsia" w:ascii="仿宋" w:hAnsi="仿宋" w:eastAsia="仿宋" w:cs="仿宋"/>
          <w:color w:val="000000" w:themeColor="text1"/>
          <w:sz w:val="28"/>
          <w:szCs w:val="28"/>
          <w:highlight w:val="none"/>
          <w14:textFill>
            <w14:solidFill>
              <w14:schemeClr w14:val="tx1"/>
            </w14:solidFill>
          </w14:textFill>
        </w:rPr>
        <w:t>。</w:t>
      </w:r>
    </w:p>
    <w:p w14:paraId="16DC3AA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 w:hAnsi="仿宋" w:eastAsia="仿宋" w:cs="仿宋"/>
          <w:b/>
          <w:color w:val="000000" w:themeColor="text1"/>
          <w:sz w:val="28"/>
          <w:szCs w:val="28"/>
          <w:highlight w:val="none"/>
          <w14:textFill>
            <w14:solidFill>
              <w14:schemeClr w14:val="tx1"/>
            </w14:solidFill>
          </w14:textFill>
        </w:rPr>
        <w:t>投标失败</w:t>
      </w:r>
      <w:r>
        <w:rPr>
          <w:rFonts w:hint="eastAsia" w:ascii="仿宋" w:hAnsi="仿宋" w:eastAsia="仿宋" w:cs="仿宋"/>
          <w:color w:val="000000" w:themeColor="text1"/>
          <w:sz w:val="28"/>
          <w:szCs w:val="28"/>
          <w:highlight w:val="none"/>
          <w14:textFill>
            <w14:solidFill>
              <w14:schemeClr w14:val="tx1"/>
            </w14:solidFill>
          </w14:textFill>
        </w:rPr>
        <w:t>。</w:t>
      </w:r>
    </w:p>
    <w:p w14:paraId="19C3532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7.3投标人在对数据文件电子签章前，应按照上述2项的要求进行认真检查、确认。因投标人自身原因所导致其投标失败的，须自行承担相关责任。</w:t>
      </w:r>
    </w:p>
    <w:bookmarkEnd w:id="39"/>
    <w:p w14:paraId="755A5011">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40" w:name="_Hlk154667662"/>
      <w:r>
        <w:rPr>
          <w:rFonts w:hint="eastAsia" w:ascii="仿宋" w:hAnsi="仿宋" w:eastAsia="仿宋" w:cs="仿宋"/>
          <w:b/>
          <w:color w:val="000000" w:themeColor="text1"/>
          <w:sz w:val="28"/>
          <w:szCs w:val="28"/>
          <w:highlight w:val="none"/>
          <w14:textFill>
            <w14:solidFill>
              <w14:schemeClr w14:val="tx1"/>
            </w14:solidFill>
          </w14:textFill>
        </w:rPr>
        <w:t>8.文件构成</w:t>
      </w:r>
    </w:p>
    <w:p w14:paraId="24BE85E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投标人应按不同包段分别编制投标文件，每个包段的投标文件分两册必须包括：投标文件（pdf格式）（第一册）、数据文件（PDF格式）（第二册），以上内容缺一不可，否则为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w:t>
      </w:r>
    </w:p>
    <w:p w14:paraId="3C23ADC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8.1投标人编制的投标文件（pdf格式）（第一册）应包括但不少于下列内容：</w:t>
      </w:r>
    </w:p>
    <w:p w14:paraId="3FCEBAB5">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（1）投标文件封面</w:t>
      </w:r>
    </w:p>
    <w:p w14:paraId="78DD7E8D">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（2）投标文件目录</w:t>
      </w:r>
    </w:p>
    <w:p w14:paraId="644CEE64">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（3）投标承诺函</w:t>
      </w:r>
    </w:p>
    <w:p w14:paraId="7662663D">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）投标（报价）一览表</w:t>
      </w:r>
    </w:p>
    <w:p w14:paraId="37F9324A">
      <w:pPr>
        <w:snapToGrid w:val="0"/>
        <w:spacing w:line="560" w:lineRule="exact"/>
        <w:ind w:firstLine="562" w:firstLineChars="201"/>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（5）报价明细表</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格式自拟</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6E0B0BBC">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（6）投标人资格证明文件</w:t>
      </w:r>
    </w:p>
    <w:bookmarkEnd w:id="40"/>
    <w:p w14:paraId="38CE16BF">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bookmarkStart w:id="41" w:name="_Hlk210808393"/>
      <w:r>
        <w:rPr>
          <w:rFonts w:hint="eastAsia" w:ascii="仿宋" w:hAnsi="仿宋" w:eastAsia="仿宋" w:cs="仿宋"/>
          <w:color w:val="000000" w:themeColor="text1"/>
          <w:sz w:val="28"/>
          <w:szCs w:val="28"/>
          <w:highlight w:val="none"/>
          <w14:textFill>
            <w14:solidFill>
              <w14:schemeClr w14:val="tx1"/>
            </w14:solidFill>
          </w14:textFill>
        </w:rPr>
        <w:t>1）投标人有效的营业执照扫描件；</w:t>
      </w:r>
    </w:p>
    <w:p w14:paraId="554B6325">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2）法定代表人身份证明、法定代表人有效的身份证扫描件；</w:t>
      </w:r>
    </w:p>
    <w:p w14:paraId="48276067">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3）法定代表人授权委托书、被授权人有效的身份证扫描件；</w:t>
      </w:r>
    </w:p>
    <w:p w14:paraId="29AA20B8">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4）投标人信用承诺书；</w:t>
      </w:r>
    </w:p>
    <w:p w14:paraId="7EB5E963">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5）投标人参与投标的声明函；</w:t>
      </w:r>
    </w:p>
    <w:p w14:paraId="23C78429">
      <w:pPr>
        <w:snapToGrid w:val="0"/>
        <w:spacing w:line="520" w:lineRule="exact"/>
        <w:ind w:firstLine="840" w:firstLineChars="3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6）交纳投标保证金的证明材料（两者缺一不可）：a.企业银行基本账户开户证明（如开户许可证或银行开户证明等）、b.电汇凭证或电子汇款截图扫描件；</w:t>
      </w:r>
    </w:p>
    <w:p w14:paraId="3825E2D9">
      <w:pPr>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w:t>
      </w:r>
      <w:r>
        <w:rPr>
          <w:rFonts w:ascii="仿宋" w:hAnsi="仿宋" w:eastAsia="仿宋" w:cs="仿宋"/>
          <w:color w:val="000000" w:themeColor="text1"/>
          <w:sz w:val="28"/>
          <w:szCs w:val="28"/>
          <w:highlight w:val="none"/>
          <w14:textFill>
            <w14:solidFill>
              <w14:schemeClr w14:val="tx1"/>
            </w14:solidFill>
          </w14:textFill>
        </w:rPr>
        <w:t>投标人</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法定代表人、委托代理人未被最高法院（查询网址：http://zxgk.court.gov.cn/shixin/）列入失信被执行人。投标文件附通过网站查询信息记录，包含投标人</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法定代表人、委托代理人失信被执行人情况网页截图（省份为全部）</w:t>
      </w:r>
      <w:r>
        <w:rPr>
          <w:rFonts w:hint="eastAsia" w:ascii="仿宋" w:hAnsi="仿宋" w:eastAsia="仿宋" w:cs="仿宋"/>
          <w:color w:val="000000" w:themeColor="text1"/>
          <w:sz w:val="28"/>
          <w:szCs w:val="28"/>
          <w:highlight w:val="none"/>
          <w14:textFill>
            <w14:solidFill>
              <w14:schemeClr w14:val="tx1"/>
            </w14:solidFill>
          </w14:textFill>
        </w:rPr>
        <w:t>；</w:t>
      </w:r>
    </w:p>
    <w:p w14:paraId="207C8363">
      <w:pPr>
        <w:wordWrap w:val="0"/>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8）投标人近一年在“</w:t>
      </w:r>
      <w:r>
        <w:rPr>
          <w:rFonts w:ascii="仿宋" w:hAnsi="仿宋" w:eastAsia="仿宋" w:cs="仿宋"/>
          <w:color w:val="000000" w:themeColor="text1"/>
          <w:sz w:val="28"/>
          <w:szCs w:val="28"/>
          <w:highlight w:val="none"/>
          <w14:textFill>
            <w14:solidFill>
              <w14:schemeClr w14:val="tx1"/>
            </w14:solidFill>
          </w14:textFill>
        </w:rPr>
        <w:t>信用中国</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或</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信用中国（山东）</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无严重失信记录</w:t>
      </w:r>
      <w:r>
        <w:rPr>
          <w:rFonts w:hint="eastAsia" w:ascii="仿宋" w:hAnsi="仿宋" w:eastAsia="仿宋" w:cs="仿宋"/>
          <w:color w:val="000000" w:themeColor="text1"/>
          <w:sz w:val="28"/>
          <w:szCs w:val="28"/>
          <w:highlight w:val="none"/>
          <w14:textFill>
            <w14:solidFill>
              <w14:schemeClr w14:val="tx1"/>
            </w14:solidFill>
          </w14:textFill>
        </w:rPr>
        <w:t>，投标文件中需附通过信用中国（查询网址：</w:t>
      </w:r>
      <w:r>
        <w:rPr>
          <w:rFonts w:ascii="仿宋" w:hAnsi="仿宋" w:eastAsia="仿宋" w:cs="仿宋"/>
          <w:color w:val="000000" w:themeColor="text1"/>
          <w:sz w:val="28"/>
          <w:szCs w:val="28"/>
          <w:highlight w:val="none"/>
          <w14:textFill>
            <w14:solidFill>
              <w14:schemeClr w14:val="tx1"/>
            </w14:solidFill>
          </w14:textFill>
        </w:rPr>
        <w:t>https://www.creditchina.gov.cn）</w:t>
      </w:r>
      <w:r>
        <w:rPr>
          <w:rFonts w:hint="eastAsia" w:ascii="仿宋" w:hAnsi="仿宋" w:eastAsia="仿宋" w:cs="仿宋"/>
          <w:color w:val="000000" w:themeColor="text1"/>
          <w:sz w:val="28"/>
          <w:szCs w:val="28"/>
          <w:highlight w:val="none"/>
          <w14:textFill>
            <w14:solidFill>
              <w14:schemeClr w14:val="tx1"/>
            </w14:solidFill>
          </w14:textFill>
        </w:rPr>
        <w:t>查询的信用报告</w:t>
      </w:r>
      <w:r>
        <w:rPr>
          <w:rFonts w:ascii="仿宋" w:hAnsi="仿宋" w:eastAsia="仿宋" w:cs="仿宋"/>
          <w:color w:val="000000" w:themeColor="text1"/>
          <w:sz w:val="28"/>
          <w:szCs w:val="28"/>
          <w:highlight w:val="none"/>
          <w14:textFill>
            <w14:solidFill>
              <w14:schemeClr w14:val="tx1"/>
            </w14:solidFill>
          </w14:textFill>
        </w:rPr>
        <w:t>或信用中国（山东）（</w:t>
      </w:r>
      <w:r>
        <w:rPr>
          <w:rFonts w:hint="eastAsia" w:ascii="仿宋" w:hAnsi="仿宋" w:eastAsia="仿宋" w:cs="仿宋"/>
          <w:color w:val="000000" w:themeColor="text1"/>
          <w:sz w:val="28"/>
          <w:szCs w:val="28"/>
          <w:highlight w:val="none"/>
          <w14:textFill>
            <w14:solidFill>
              <w14:schemeClr w14:val="tx1"/>
            </w14:solidFill>
          </w14:textFill>
        </w:rPr>
        <w:t>查询网站：</w:t>
      </w:r>
      <w:r>
        <w:rPr>
          <w:rFonts w:ascii="仿宋" w:hAnsi="仿宋" w:eastAsia="仿宋" w:cs="仿宋"/>
          <w:color w:val="000000" w:themeColor="text1"/>
          <w:sz w:val="28"/>
          <w:szCs w:val="28"/>
          <w:highlight w:val="none"/>
          <w14:textFill>
            <w14:solidFill>
              <w14:schemeClr w14:val="tx1"/>
            </w14:solidFill>
          </w14:textFill>
        </w:rPr>
        <w:t>https://credit.shandong.gov.cn）查询的信用报告</w:t>
      </w:r>
      <w:r>
        <w:rPr>
          <w:rFonts w:hint="eastAsia" w:ascii="仿宋" w:hAnsi="仿宋" w:eastAsia="仿宋" w:cs="仿宋"/>
          <w:color w:val="000000" w:themeColor="text1"/>
          <w:sz w:val="28"/>
          <w:szCs w:val="28"/>
          <w:highlight w:val="none"/>
          <w14:textFill>
            <w14:solidFill>
              <w14:schemeClr w14:val="tx1"/>
            </w14:solidFill>
          </w14:textFill>
        </w:rPr>
        <w:t>；</w:t>
      </w:r>
    </w:p>
    <w:p w14:paraId="63C93DA9">
      <w:pPr>
        <w:wordWrap w:val="0"/>
        <w:snapToGrid w:val="0"/>
        <w:spacing w:line="560" w:lineRule="exact"/>
        <w:ind w:firstLine="840" w:firstLineChars="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9）投标人认为需要提供的资质资格证明文件。</w:t>
      </w:r>
    </w:p>
    <w:p w14:paraId="3A4F6E49">
      <w:pPr>
        <w:wordWrap w:val="0"/>
        <w:snapToGrid w:val="0"/>
        <w:spacing w:line="560" w:lineRule="exact"/>
        <w:ind w:firstLine="565" w:firstLineChars="202"/>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（7）投标人基本情况表</w:t>
      </w:r>
    </w:p>
    <w:p w14:paraId="02AA6EDC">
      <w:pPr>
        <w:wordWrap w:val="0"/>
        <w:snapToGrid w:val="0"/>
        <w:spacing w:line="560" w:lineRule="exact"/>
        <w:ind w:firstLine="565" w:firstLineChars="202"/>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（8）类似业绩汇总表</w:t>
      </w:r>
    </w:p>
    <w:p w14:paraId="1446C3F5">
      <w:pPr>
        <w:wordWrap w:val="0"/>
        <w:snapToGrid w:val="0"/>
        <w:spacing w:line="560" w:lineRule="exact"/>
        <w:ind w:firstLine="565" w:firstLineChars="202"/>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（9）技术文件</w:t>
      </w:r>
    </w:p>
    <w:bookmarkEnd w:id="41"/>
    <w:p w14:paraId="79D854E2">
      <w:pPr>
        <w:wordWrap w:val="0"/>
        <w:snapToGrid w:val="0"/>
        <w:spacing w:line="560" w:lineRule="exact"/>
        <w:ind w:firstLine="565" w:firstLineChars="202"/>
        <w:rPr>
          <w:rFonts w:hint="eastAsia" w:ascii="仿宋" w:hAnsi="仿宋" w:eastAsia="仿宋" w:cs="仿宋"/>
          <w:color w:val="000000" w:themeColor="text1"/>
          <w:sz w:val="28"/>
          <w:szCs w:val="28"/>
          <w:highlight w:val="none"/>
          <w14:textFill>
            <w14:solidFill>
              <w14:schemeClr w14:val="tx1"/>
            </w14:solidFill>
          </w14:textFill>
        </w:rPr>
      </w:pPr>
      <w:bookmarkStart w:id="42" w:name="_Hlk154667818"/>
      <w:r>
        <w:rPr>
          <w:rFonts w:hint="eastAsia" w:ascii="仿宋" w:hAnsi="仿宋" w:eastAsia="仿宋" w:cs="仿宋"/>
          <w:color w:val="000000" w:themeColor="text1"/>
          <w:sz w:val="28"/>
          <w:szCs w:val="28"/>
          <w:highlight w:val="none"/>
          <w14:textFill>
            <w14:solidFill>
              <w14:schemeClr w14:val="tx1"/>
            </w14:solidFill>
          </w14:textFill>
        </w:rPr>
        <w:t>8.2数据文件（PDF格式）（第二册）</w:t>
      </w:r>
    </w:p>
    <w:p w14:paraId="7B3D5BD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。数据文件（PDF格式）包含下列内容：</w:t>
      </w:r>
    </w:p>
    <w:p w14:paraId="7BF9E734">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（1）封面</w:t>
      </w:r>
    </w:p>
    <w:p w14:paraId="3D279F7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（2）投标报价表（含明细）</w:t>
      </w:r>
    </w:p>
    <w:p w14:paraId="341D6F86">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（3）需求响应表（如有）</w:t>
      </w:r>
    </w:p>
    <w:bookmarkEnd w:id="42"/>
    <w:p w14:paraId="684C329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9.投标报价</w:t>
      </w:r>
    </w:p>
    <w:p w14:paraId="4E3E56B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9.1投标人所提供的</w:t>
      </w:r>
      <w:r>
        <w:rPr>
          <w:rFonts w:hint="eastAsia" w:ascii="仿宋" w:hAnsi="仿宋" w:eastAsia="仿宋" w:cs="仿宋"/>
          <w:color w:val="000000" w:themeColor="text1"/>
          <w:sz w:val="28"/>
          <w:szCs w:val="28"/>
          <w:highlight w:val="none"/>
          <w:lang w:val="en-US" w:eastAsia="zh-CN"/>
          <w14:textFill>
            <w14:solidFill>
              <w14:schemeClr w14:val="tx1"/>
            </w14:solidFill>
          </w14:textFill>
        </w:rPr>
        <w:t>服务</w:t>
      </w:r>
      <w:r>
        <w:rPr>
          <w:rFonts w:hint="eastAsia" w:ascii="仿宋" w:hAnsi="仿宋" w:eastAsia="仿宋" w:cs="仿宋"/>
          <w:color w:val="000000" w:themeColor="text1"/>
          <w:sz w:val="28"/>
          <w:szCs w:val="28"/>
          <w:highlight w:val="none"/>
          <w14:textFill>
            <w14:solidFill>
              <w14:schemeClr w14:val="tx1"/>
            </w14:solidFill>
          </w14:textFill>
        </w:rPr>
        <w:t>均以人民币报价，精确到小数点后两位。</w:t>
      </w:r>
    </w:p>
    <w:p w14:paraId="4891DF0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43" w:name="_Hlk154667840"/>
      <w:r>
        <w:rPr>
          <w:rFonts w:hint="eastAsia" w:ascii="仿宋" w:hAnsi="仿宋" w:eastAsia="仿宋" w:cs="仿宋"/>
          <w:color w:val="000000" w:themeColor="text1"/>
          <w:sz w:val="28"/>
          <w:szCs w:val="28"/>
          <w:highlight w:val="none"/>
          <w14:textFill>
            <w14:solidFill>
              <w14:schemeClr w14:val="tx1"/>
            </w14:solidFill>
          </w14:textFill>
        </w:rPr>
        <w:t>9.2投标人应按照“第四章采购项目说明”的内容进行报价。并按数据文件中“投标报价表（含明细）”规定的格式报出分项价格。</w:t>
      </w:r>
    </w:p>
    <w:p w14:paraId="1F2712D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9.3投标人应按数据文件“投标报价表（含明细）”要求的统一格式填写，并加盖电子公章。</w:t>
      </w:r>
    </w:p>
    <w:p w14:paraId="390AE4D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9.4《投标报价表（含明细）》填写时应响应下列要求：</w:t>
      </w:r>
    </w:p>
    <w:p w14:paraId="71FA46C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（1）所有根据合同或其它原因应由投标人支付的税款和其它应交纳的费用都要包括在投标人提交的报价中；</w:t>
      </w:r>
    </w:p>
    <w:p w14:paraId="29791F8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（2）投标人在投标报价时，应根据企业自身实力结合市场信息，充分考虑</w:t>
      </w:r>
      <w:bookmarkEnd w:id="43"/>
      <w:r>
        <w:rPr>
          <w:rFonts w:hint="eastAsia" w:ascii="仿宋" w:hAnsi="仿宋" w:eastAsia="仿宋" w:cs="仿宋"/>
          <w:color w:val="000000" w:themeColor="text1"/>
          <w:sz w:val="28"/>
          <w:szCs w:val="28"/>
          <w:highlight w:val="none"/>
          <w14:textFill>
            <w14:solidFill>
              <w14:schemeClr w14:val="tx1"/>
            </w14:solidFill>
          </w14:textFill>
        </w:rPr>
        <w:t>市场竞争因素和市场风险进行自主报价。投标报价需包含</w:t>
      </w:r>
      <w:r>
        <w:rPr>
          <w:rFonts w:hint="eastAsia" w:ascii="仿宋" w:hAnsi="仿宋" w:eastAsia="仿宋" w:cs="仿宋"/>
          <w:color w:val="000000"/>
          <w:sz w:val="28"/>
          <w:szCs w:val="28"/>
          <w:highlight w:val="none"/>
        </w:rPr>
        <w:t>人工费、</w:t>
      </w:r>
      <w:r>
        <w:rPr>
          <w:rFonts w:hint="eastAsia" w:ascii="仿宋" w:hAnsi="仿宋" w:eastAsia="仿宋" w:cs="仿宋"/>
          <w:color w:val="000000"/>
          <w:sz w:val="28"/>
          <w:szCs w:val="28"/>
          <w:highlight w:val="none"/>
          <w:lang w:val="en-US" w:eastAsia="zh-CN"/>
        </w:rPr>
        <w:t>补助费、</w:t>
      </w:r>
      <w:r>
        <w:rPr>
          <w:rFonts w:hint="eastAsia" w:ascii="仿宋" w:hAnsi="仿宋" w:eastAsia="仿宋" w:cs="仿宋"/>
          <w:color w:val="000000"/>
          <w:sz w:val="28"/>
          <w:szCs w:val="28"/>
          <w:highlight w:val="none"/>
        </w:rPr>
        <w:t>交通费、工具费、</w:t>
      </w:r>
      <w:r>
        <w:rPr>
          <w:rFonts w:hint="eastAsia" w:ascii="仿宋" w:hAnsi="仿宋" w:eastAsia="仿宋" w:cs="仿宋"/>
          <w:color w:val="000000"/>
          <w:sz w:val="28"/>
          <w:szCs w:val="28"/>
          <w:highlight w:val="none"/>
          <w:lang w:val="en-US" w:eastAsia="zh-CN"/>
        </w:rPr>
        <w:t>设计费、材料费、损耗费、差旅费、组织费、</w:t>
      </w:r>
      <w:r>
        <w:rPr>
          <w:rFonts w:hint="eastAsia" w:ascii="仿宋" w:hAnsi="仿宋" w:eastAsia="仿宋" w:cs="仿宋"/>
          <w:color w:val="000000"/>
          <w:sz w:val="28"/>
          <w:szCs w:val="28"/>
          <w:highlight w:val="none"/>
        </w:rPr>
        <w:t>运输费、安装费、税费等完成本项目所需的全部内容</w:t>
      </w:r>
      <w:r>
        <w:rPr>
          <w:rFonts w:hint="eastAsia" w:ascii="仿宋" w:hAnsi="仿宋" w:eastAsia="仿宋" w:cs="仿宋"/>
          <w:color w:val="000000" w:themeColor="text1"/>
          <w:sz w:val="28"/>
          <w:szCs w:val="28"/>
          <w:highlight w:val="none"/>
          <w14:textFill>
            <w14:solidFill>
              <w14:schemeClr w14:val="tx1"/>
            </w14:solidFill>
          </w14:textFill>
        </w:rPr>
        <w:t>。招标人不再另行支付其他费用。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26BA2CC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44" w:name="_Hlk154667928"/>
      <w:r>
        <w:rPr>
          <w:rFonts w:hint="eastAsia" w:ascii="仿宋" w:hAnsi="仿宋" w:eastAsia="仿宋" w:cs="仿宋"/>
          <w:color w:val="000000" w:themeColor="text1"/>
          <w:sz w:val="28"/>
          <w:szCs w:val="28"/>
          <w:highlight w:val="none"/>
          <w14:textFill>
            <w14:solidFill>
              <w14:schemeClr w14:val="tx1"/>
            </w14:solidFill>
          </w14:textFill>
        </w:rPr>
        <w:t>（3）投标人应对本次招标的全部内容进行报价，缺项报价投标无效。如因投标人自身的原因报价失误而造成的损失，由投标人自行承担。</w:t>
      </w:r>
    </w:p>
    <w:p w14:paraId="4F544F0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70692BC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（5）投标人提供的文件中，若存在前后不一致的情形，以“投标承诺函”中填写的内容为准。</w:t>
      </w:r>
    </w:p>
    <w:p w14:paraId="0DC1D99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（6）投标人须严格按照报价明细表说明进行填写，报价明细表中“*”是必填项，任何必填项为空时都可能导致本次投标无效。</w:t>
      </w:r>
    </w:p>
    <w:p w14:paraId="60C4932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《投标报价表（含明细）》中合价将由单价乘以数量自动计算，无需手工录入。</w:t>
      </w:r>
    </w:p>
    <w:p w14:paraId="704EF6B8">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w:t>
      </w: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需求响应表</w:t>
      </w:r>
      <w:r>
        <w:rPr>
          <w:rFonts w:hint="eastAsia" w:ascii="仿宋" w:hAnsi="仿宋" w:eastAsia="仿宋" w:cs="仿宋"/>
          <w:color w:val="000000" w:themeColor="text1"/>
          <w:sz w:val="28"/>
          <w:szCs w:val="28"/>
          <w:highlight w:val="none"/>
          <w14:textFill>
            <w14:solidFill>
              <w14:schemeClr w14:val="tx1"/>
            </w14:solidFill>
          </w14:textFill>
        </w:rPr>
        <w:t>（如有）》</w:t>
      </w:r>
      <w:r>
        <w:rPr>
          <w:rFonts w:ascii="仿宋" w:hAnsi="仿宋" w:eastAsia="仿宋" w:cs="仿宋"/>
          <w:color w:val="000000" w:themeColor="text1"/>
          <w:sz w:val="28"/>
          <w:szCs w:val="28"/>
          <w:highlight w:val="none"/>
          <w14:textFill>
            <w14:solidFill>
              <w14:schemeClr w14:val="tx1"/>
            </w14:solidFill>
          </w14:textFill>
        </w:rPr>
        <w:t>填写时应响应下列要求：</w:t>
      </w:r>
    </w:p>
    <w:p w14:paraId="205BD4BA">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（1）有底色标识的单元格须填写，有“*”的列是必输项，任何必输项为空都可能导致您的本次</w:t>
      </w:r>
      <w:r>
        <w:rPr>
          <w:rFonts w:hint="eastAsia" w:ascii="仿宋" w:hAnsi="仿宋" w:eastAsia="仿宋" w:cs="仿宋"/>
          <w:color w:val="000000" w:themeColor="text1"/>
          <w:sz w:val="28"/>
          <w:szCs w:val="28"/>
          <w:highlight w:val="none"/>
          <w14:textFill>
            <w14:solidFill>
              <w14:schemeClr w14:val="tx1"/>
            </w14:solidFill>
          </w14:textFill>
        </w:rPr>
        <w:t>投标</w:t>
      </w:r>
      <w:r>
        <w:rPr>
          <w:rFonts w:ascii="仿宋" w:hAnsi="仿宋" w:eastAsia="仿宋" w:cs="仿宋"/>
          <w:color w:val="000000" w:themeColor="text1"/>
          <w:sz w:val="28"/>
          <w:szCs w:val="28"/>
          <w:highlight w:val="none"/>
          <w14:textFill>
            <w14:solidFill>
              <w14:schemeClr w14:val="tx1"/>
            </w14:solidFill>
          </w14:textFill>
        </w:rPr>
        <w:t>无效；</w:t>
      </w:r>
    </w:p>
    <w:p w14:paraId="7DFC9BFD">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（2）如想拷贝数据到某个待填写单元格，应采用选择性粘贴(只粘贴文本)，否则单元格填写无效或被锁死；</w:t>
      </w:r>
    </w:p>
    <w:p w14:paraId="5EF9307F">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（3）当招标需求列的内容显示不完整时，请点击编辑栏进行查看；</w:t>
      </w:r>
    </w:p>
    <w:p w14:paraId="18C64E15">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（4）响应需求请按照商品(服务)的招标需求的逐一说明，如实填写。“响应需求”中需详细列明所报产品（服务）的明细；若与</w:t>
      </w:r>
      <w:r>
        <w:rPr>
          <w:rFonts w:hint="eastAsia" w:ascii="仿宋" w:hAnsi="仿宋" w:eastAsia="仿宋" w:cs="仿宋"/>
          <w:color w:val="000000" w:themeColor="text1"/>
          <w:sz w:val="28"/>
          <w:szCs w:val="28"/>
          <w:highlight w:val="none"/>
          <w14:textFill>
            <w14:solidFill>
              <w14:schemeClr w14:val="tx1"/>
            </w14:solidFill>
          </w14:textFill>
        </w:rPr>
        <w:t>投标文件</w:t>
      </w:r>
      <w:r>
        <w:rPr>
          <w:rFonts w:ascii="仿宋" w:hAnsi="仿宋" w:eastAsia="仿宋" w:cs="仿宋"/>
          <w:color w:val="000000" w:themeColor="text1"/>
          <w:sz w:val="28"/>
          <w:szCs w:val="28"/>
          <w:highlight w:val="none"/>
          <w14:textFill>
            <w14:solidFill>
              <w14:schemeClr w14:val="tx1"/>
            </w14:solidFill>
          </w14:textFill>
        </w:rPr>
        <w:t>中提供的产品检测报告（如有）、生产厂家出具的产品彩页等证明材料的实质性响应情况不一致，按</w:t>
      </w:r>
      <w:r>
        <w:rPr>
          <w:rFonts w:ascii="仿宋" w:hAnsi="仿宋" w:eastAsia="仿宋" w:cs="仿宋"/>
          <w:b/>
          <w:color w:val="000000" w:themeColor="text1"/>
          <w:sz w:val="28"/>
          <w:szCs w:val="28"/>
          <w:highlight w:val="none"/>
          <w14:textFill>
            <w14:solidFill>
              <w14:schemeClr w14:val="tx1"/>
            </w14:solidFill>
          </w14:textFill>
        </w:rPr>
        <w:t>无效</w:t>
      </w:r>
      <w:r>
        <w:rPr>
          <w:rFonts w:hint="eastAsia" w:ascii="仿宋" w:hAnsi="仿宋" w:eastAsia="仿宋" w:cs="仿宋"/>
          <w:b/>
          <w:color w:val="000000" w:themeColor="text1"/>
          <w:sz w:val="28"/>
          <w:szCs w:val="28"/>
          <w:highlight w:val="none"/>
          <w14:textFill>
            <w14:solidFill>
              <w14:schemeClr w14:val="tx1"/>
            </w14:solidFill>
          </w14:textFill>
        </w:rPr>
        <w:t>投标</w:t>
      </w:r>
      <w:r>
        <w:rPr>
          <w:rFonts w:ascii="仿宋" w:hAnsi="仿宋" w:eastAsia="仿宋" w:cs="仿宋"/>
          <w:b/>
          <w:color w:val="000000" w:themeColor="text1"/>
          <w:sz w:val="28"/>
          <w:szCs w:val="28"/>
          <w:highlight w:val="none"/>
          <w14:textFill>
            <w14:solidFill>
              <w14:schemeClr w14:val="tx1"/>
            </w14:solidFill>
          </w14:textFill>
        </w:rPr>
        <w:t>处理</w:t>
      </w:r>
      <w:r>
        <w:rPr>
          <w:rFonts w:hint="eastAsia" w:ascii="仿宋" w:hAnsi="仿宋" w:eastAsia="仿宋" w:cs="仿宋"/>
          <w:color w:val="000000" w:themeColor="text1"/>
          <w:sz w:val="28"/>
          <w:szCs w:val="28"/>
          <w:highlight w:val="none"/>
          <w14:textFill>
            <w14:solidFill>
              <w14:schemeClr w14:val="tx1"/>
            </w14:solidFill>
          </w14:textFill>
        </w:rPr>
        <w:t>；</w:t>
      </w:r>
    </w:p>
    <w:p w14:paraId="0AAE3C38">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（5）按照该表显示位置加盖一个电子印章；</w:t>
      </w:r>
    </w:p>
    <w:p w14:paraId="5948F9D9">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（6）该表为固定格式且有数字指纹，必须在原表上填写，填写完毕后只可保存不可另存。删除该表、增加该表、增加行列、删除行列、对固定格式的任何改动均会导致</w:t>
      </w:r>
      <w:r>
        <w:rPr>
          <w:rFonts w:ascii="仿宋" w:hAnsi="仿宋" w:eastAsia="仿宋" w:cs="仿宋"/>
          <w:b/>
          <w:color w:val="000000" w:themeColor="text1"/>
          <w:sz w:val="28"/>
          <w:szCs w:val="28"/>
          <w:highlight w:val="none"/>
          <w14:textFill>
            <w14:solidFill>
              <w14:schemeClr w14:val="tx1"/>
            </w14:solidFill>
          </w14:textFill>
        </w:rPr>
        <w:t>无效</w:t>
      </w:r>
      <w:r>
        <w:rPr>
          <w:rFonts w:hint="eastAsia" w:ascii="仿宋" w:hAnsi="仿宋" w:eastAsia="仿宋" w:cs="仿宋"/>
          <w:b/>
          <w:color w:val="000000" w:themeColor="text1"/>
          <w:sz w:val="28"/>
          <w:szCs w:val="28"/>
          <w:highlight w:val="none"/>
          <w14:textFill>
            <w14:solidFill>
              <w14:schemeClr w14:val="tx1"/>
            </w14:solidFill>
          </w14:textFill>
        </w:rPr>
        <w:t>投标</w:t>
      </w:r>
      <w:r>
        <w:rPr>
          <w:rFonts w:ascii="仿宋" w:hAnsi="仿宋" w:eastAsia="仿宋" w:cs="仿宋"/>
          <w:color w:val="000000" w:themeColor="text1"/>
          <w:sz w:val="28"/>
          <w:szCs w:val="28"/>
          <w:highlight w:val="none"/>
          <w14:textFill>
            <w14:solidFill>
              <w14:schemeClr w14:val="tx1"/>
            </w14:solidFill>
          </w14:textFill>
        </w:rPr>
        <w:t>；</w:t>
      </w:r>
    </w:p>
    <w:bookmarkEnd w:id="44"/>
    <w:p w14:paraId="5FA5DAF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45" w:name="_Hlk154667948"/>
      <w:r>
        <w:rPr>
          <w:rFonts w:hint="eastAsia" w:ascii="仿宋" w:hAnsi="仿宋" w:eastAsia="仿宋" w:cs="仿宋"/>
          <w:color w:val="000000" w:themeColor="text1"/>
          <w:sz w:val="28"/>
          <w:szCs w:val="28"/>
          <w:highlight w:val="none"/>
          <w14:textFill>
            <w14:solidFill>
              <w14:schemeClr w14:val="tx1"/>
            </w14:solidFill>
          </w14:textFill>
        </w:rPr>
        <w:t>9.6投标人的报价在合同执行过程中是固定不变的，不得以任何理由改变。所有价格折扣、优惠条件必须在报价明细表中注明，否则评审时不予认可。</w:t>
      </w:r>
    </w:p>
    <w:p w14:paraId="78CD129C">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10.联合体投标</w:t>
      </w:r>
    </w:p>
    <w:p w14:paraId="6E4FDA5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两个以上的自然人、法人或者其他组织可以组成一个联合体，以一个投标人的身份共同参加国企采购。</w:t>
      </w:r>
    </w:p>
    <w:p w14:paraId="087721C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5D57ACB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10.2联合体中有同类资质的投标人按照联合体分工承担相同工作的，应当按照资质等级较低的投标人确定资质等级。</w:t>
      </w:r>
    </w:p>
    <w:p w14:paraId="078A48D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10.3联合体的各方应当共同推荐一名联合体投标授权代表方，由联合体各方提交一份授权书，证明其有资格代表联合体各方签署投标文件，该授权书作为投标文件的组成部分一并提交给招标代理机构。</w:t>
      </w:r>
    </w:p>
    <w:p w14:paraId="5F184D5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10.4以联合体形式参加国企采购活动的，联合体各方不得再单独参加或者与其他投标人另外组成联合体参加同一合同项下的国企采购活动。</w:t>
      </w:r>
    </w:p>
    <w:p w14:paraId="425B22FF">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本项目是否接受联合体投标详见《投标须知前附表》。</w:t>
      </w:r>
    </w:p>
    <w:p w14:paraId="3D5A732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11.关于分包</w:t>
      </w:r>
    </w:p>
    <w:p w14:paraId="52010CF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1投标人拟将项目的非主体、非关键性工作分包的，应当在投标文件中载明分包承担主体，分包承担主体应当具备相应资质条件且不得再次分包。</w:t>
      </w:r>
    </w:p>
    <w:p w14:paraId="0D5C33F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2投标人应当就分包项目向招标人负责，分包承担主体就分包项目承担责任。</w:t>
      </w:r>
    </w:p>
    <w:p w14:paraId="2542F781">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本项目是否接受分包投标详见《投标须知前附表》。</w:t>
      </w:r>
    </w:p>
    <w:p w14:paraId="151DE91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12.现场踏勘</w:t>
      </w:r>
    </w:p>
    <w:p w14:paraId="3784711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EF3A01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12.2投标人及其人员经过招标人的允许，可以踏勘目的进入招标人的项目现场。若本项目招标文件要求投标人于统一时间地点踏勘现场的，投标人应当按时前往。</w:t>
      </w:r>
    </w:p>
    <w:p w14:paraId="1350EA7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12.3除招标人的原因外，投标人自行负责在踏勘现场中所发生的人员伤亡和财产损失。</w:t>
      </w:r>
    </w:p>
    <w:p w14:paraId="2240CBB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12.4未参与现场踏勘不作为否定投标人资格的理由。</w:t>
      </w:r>
    </w:p>
    <w:p w14:paraId="2AD36965">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本项目是否组织现场踏勘详见《投标须知前附表》。</w:t>
      </w:r>
    </w:p>
    <w:p w14:paraId="0B7F1997">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13.投标的有效期</w:t>
      </w:r>
    </w:p>
    <w:p w14:paraId="26057DC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13.1从开标之日起，投标有效期为90天。投标有效期短于90天的，其投标为无效投标。</w:t>
      </w:r>
    </w:p>
    <w:p w14:paraId="3BB7703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13.2特殊情况下，在投标有效期满之前，招标代理机构可以要求投标人延长投标有效期，投标人可以书面形式拒绝或接受上述要求。同意延长投标有效期的投标人不得修改投标文件的实质性内容。</w:t>
      </w:r>
    </w:p>
    <w:p w14:paraId="0759EDC4">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14.投标保证金</w:t>
      </w:r>
    </w:p>
    <w:p w14:paraId="2003399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14.1本项目投标保证金要求：详见投标须知前附表。</w:t>
      </w:r>
    </w:p>
    <w:p w14:paraId="36C62BD4">
      <w:pPr>
        <w:adjustRightInd w:val="0"/>
        <w:snapToGrid w:val="0"/>
        <w:spacing w:line="520" w:lineRule="exact"/>
        <w:ind w:right="-147" w:rightChars="-70"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14.2退还保证金：</w:t>
      </w:r>
      <w:r>
        <w:rPr>
          <w:rFonts w:ascii="仿宋" w:hAnsi="仿宋" w:eastAsia="仿宋" w:cs="仿宋"/>
          <w:color w:val="000000" w:themeColor="text1"/>
          <w:sz w:val="28"/>
          <w:highlight w:val="none"/>
          <w14:textFill>
            <w14:solidFill>
              <w14:schemeClr w14:val="tx1"/>
            </w14:solidFill>
          </w14:textFill>
        </w:rPr>
        <w:t>目前系统采用自动退还保证金操作，分为未中标人退还和中标人退还。代理公司向中标人发送中标通知书后，系统自动退还未中标人保证金；招标人和中标人签署完合同后，系统自动退还中标人保证金。</w:t>
      </w:r>
      <w:r>
        <w:rPr>
          <w:rFonts w:hint="eastAsia" w:ascii="仿宋" w:hAnsi="仿宋" w:eastAsia="仿宋" w:cs="仿宋"/>
          <w:color w:val="000000" w:themeColor="text1"/>
          <w:sz w:val="28"/>
          <w:szCs w:val="28"/>
          <w:highlight w:val="none"/>
          <w14:textFill>
            <w14:solidFill>
              <w14:schemeClr w14:val="tx1"/>
            </w14:solidFill>
          </w14:textFill>
        </w:rPr>
        <w:t>非由中标人原因未能签订合同的，应在招标人作出处理结果之日起五个工作日内退还中标人的保证金。招标项目流标的，应在确定流标之日起五个工作日内退还所有投标人的保证金。</w:t>
      </w:r>
    </w:p>
    <w:p w14:paraId="6B8C3E27">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14.3有下列情况之一的，投标保证金</w:t>
      </w:r>
      <w:r>
        <w:rPr>
          <w:rFonts w:hint="eastAsia" w:ascii="仿宋" w:hAnsi="仿宋" w:eastAsia="仿宋" w:cs="仿宋"/>
          <w:b/>
          <w:color w:val="000000" w:themeColor="text1"/>
          <w:kern w:val="0"/>
          <w:sz w:val="28"/>
          <w:szCs w:val="28"/>
          <w:highlight w:val="none"/>
          <w14:textFill>
            <w14:solidFill>
              <w14:schemeClr w14:val="tx1"/>
            </w14:solidFill>
          </w14:textFill>
        </w:rPr>
        <w:t>不予返还</w:t>
      </w:r>
      <w:r>
        <w:rPr>
          <w:rFonts w:hint="eastAsia" w:ascii="仿宋" w:hAnsi="仿宋" w:eastAsia="仿宋" w:cs="仿宋"/>
          <w:color w:val="000000" w:themeColor="text1"/>
          <w:kern w:val="0"/>
          <w:sz w:val="28"/>
          <w:szCs w:val="28"/>
          <w:highlight w:val="none"/>
          <w14:textFill>
            <w14:solidFill>
              <w14:schemeClr w14:val="tx1"/>
            </w14:solidFill>
          </w14:textFill>
        </w:rPr>
        <w:t>。</w:t>
      </w:r>
    </w:p>
    <w:p w14:paraId="7E394BB6">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（1）投标人提供不真实资格、资质证明文件的；</w:t>
      </w:r>
    </w:p>
    <w:p w14:paraId="771A7488">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（2）在投标有效期内撤回报价的；</w:t>
      </w:r>
    </w:p>
    <w:p w14:paraId="4CF58981">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（3）除因不可抗力或招标文件认可的情形以外，中标人不与招标人签订合同的；</w:t>
      </w:r>
    </w:p>
    <w:p w14:paraId="02A8FCB3">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（4）投标人与招标人、其他投标人或者招标代理机构恶意串通的；</w:t>
      </w:r>
    </w:p>
    <w:p w14:paraId="27F3028C">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（5）评审委员会认定的其他事项。</w:t>
      </w:r>
    </w:p>
    <w:p w14:paraId="30B56C16">
      <w:pPr>
        <w:adjustRightInd w:val="0"/>
        <w:snapToGrid w:val="0"/>
        <w:spacing w:line="560" w:lineRule="exact"/>
        <w:ind w:right="-147" w:rightChars="-70" w:firstLine="562" w:firstLineChars="201"/>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对以提供虚假材料或恶意串通或采取不正当竞争手段谋取中标的投标人，一经发现将依法取消其投标人资格，投标保证金不予返还，列入平台黑名单。</w:t>
      </w:r>
    </w:p>
    <w:p w14:paraId="3B004D74">
      <w:pPr>
        <w:pStyle w:val="47"/>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本项目投标保证金相关要求见《投标须知前附表》。</w:t>
      </w:r>
    </w:p>
    <w:bookmarkEnd w:id="45"/>
    <w:p w14:paraId="15A81D3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bookmarkStart w:id="46" w:name="_Hlk154667959"/>
      <w:r>
        <w:rPr>
          <w:rFonts w:hint="eastAsia" w:ascii="仿宋" w:hAnsi="仿宋" w:eastAsia="仿宋" w:cs="仿宋"/>
          <w:b/>
          <w:color w:val="000000" w:themeColor="text1"/>
          <w:sz w:val="28"/>
          <w:szCs w:val="28"/>
          <w:highlight w:val="none"/>
          <w14:textFill>
            <w14:solidFill>
              <w14:schemeClr w14:val="tx1"/>
            </w14:solidFill>
          </w14:textFill>
        </w:rPr>
        <w:t>15.履约保证金的交纳与返还</w:t>
      </w:r>
    </w:p>
    <w:p w14:paraId="6D761BD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该项目无需交纳履约保证金。</w:t>
      </w:r>
    </w:p>
    <w:p w14:paraId="6717559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16.投标文件的数量和签署</w:t>
      </w:r>
    </w:p>
    <w:p w14:paraId="053C0C3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16.1投标文件（pdf格式）（第一册）1份</w:t>
      </w:r>
    </w:p>
    <w:p w14:paraId="6BADDCA4">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（1）投标人应使用带电子签章功能的CA锁对投标文件须盖章或签名的部位加盖电子印章（单位电子公章、法定代表人电子人名章），电子印章与实物印章具有同等法律效力。</w:t>
      </w:r>
    </w:p>
    <w:p w14:paraId="07F67C0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（2）投标人应首先编制word格式投标文件，</w:t>
      </w:r>
      <w:bookmarkStart w:id="47" w:name="_Hlk219895739"/>
      <w:r>
        <w:rPr>
          <w:rFonts w:hint="eastAsia" w:ascii="仿宋" w:hAnsi="仿宋" w:eastAsia="仿宋" w:cs="仿宋"/>
          <w:color w:val="000000" w:themeColor="text1"/>
          <w:sz w:val="28"/>
          <w:szCs w:val="28"/>
          <w:highlight w:val="none"/>
          <w14:textFill>
            <w14:solidFill>
              <w14:schemeClr w14:val="tx1"/>
            </w14:solidFill>
          </w14:textFill>
        </w:rPr>
        <w:t>编制完成后在国企阳光采购平台中上传该投标文件（PDF格式），再加盖投标人电子印章，加盖了电子印章的pdf文件即为最终的投标文件。</w:t>
      </w:r>
    </w:p>
    <w:bookmarkEnd w:id="47"/>
    <w:p w14:paraId="160133D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（3）文件中要求法定代表人签字或签章的须加盖法定代表人电子人名章。</w:t>
      </w:r>
    </w:p>
    <w:p w14:paraId="472FBA3E">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（4）须被授权人签字的，被授权人又无电子章，在word编制时可将被授权人手写签字扫描后的图片粘贴到投标文件中对应位置，并加盖单位电子公章。</w:t>
      </w:r>
    </w:p>
    <w:p w14:paraId="0D08BA4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（5）可使用系统的多页盖章功能快速签章。但须逐页浏览检查并注意印章</w:t>
      </w:r>
      <w:bookmarkEnd w:id="46"/>
      <w:r>
        <w:rPr>
          <w:rFonts w:hint="eastAsia" w:ascii="仿宋" w:hAnsi="仿宋" w:eastAsia="仿宋" w:cs="仿宋"/>
          <w:color w:val="000000" w:themeColor="text1"/>
          <w:sz w:val="28"/>
          <w:szCs w:val="28"/>
          <w:highlight w:val="none"/>
          <w14:textFill>
            <w14:solidFill>
              <w14:schemeClr w14:val="tx1"/>
            </w14:solidFill>
          </w14:textFill>
        </w:rPr>
        <w:t>重叠及完整性。</w:t>
      </w:r>
    </w:p>
    <w:p w14:paraId="22DE58B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48" w:name="_Hlk154667982"/>
      <w:r>
        <w:rPr>
          <w:rFonts w:hint="eastAsia" w:ascii="仿宋" w:hAnsi="仿宋" w:eastAsia="仿宋" w:cs="仿宋"/>
          <w:color w:val="000000" w:themeColor="text1"/>
          <w:sz w:val="28"/>
          <w:szCs w:val="28"/>
          <w:highlight w:val="none"/>
          <w14:textFill>
            <w14:solidFill>
              <w14:schemeClr w14:val="tx1"/>
            </w14:solidFill>
          </w14:textFill>
        </w:rPr>
        <w:t>（6）采用扫描粘贴投标人公章或扫描法定代表人人名章而不加盖单位电子公章的为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w:t>
      </w:r>
    </w:p>
    <w:p w14:paraId="46FEE73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16.2数据文件（PDF格式）（第二册）1份</w:t>
      </w:r>
    </w:p>
    <w:p w14:paraId="3BF8BDF6">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（1）投标人应先填写数据文件（EXCEL格式），</w:t>
      </w:r>
      <w:bookmarkStart w:id="49" w:name="_Hlk219896050"/>
      <w:r>
        <w:rPr>
          <w:rFonts w:hint="eastAsia" w:ascii="仿宋" w:hAnsi="仿宋" w:eastAsia="仿宋" w:cs="仿宋"/>
          <w:color w:val="000000" w:themeColor="text1"/>
          <w:sz w:val="28"/>
          <w:szCs w:val="28"/>
          <w:highlight w:val="none"/>
          <w14:textFill>
            <w14:solidFill>
              <w14:schemeClr w14:val="tx1"/>
            </w14:solidFill>
          </w14:textFill>
        </w:rPr>
        <w:t>填写完成后在国企阳光采购平台中上传该数据文件（EXCEL格式），系统将自行转换为PDF格式，再加盖投标人电子印章，加盖了电子印章的pdf文件即为最终的数据文件。</w:t>
      </w:r>
      <w:bookmarkEnd w:id="49"/>
    </w:p>
    <w:p w14:paraId="509C5AD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（2）文件中要求法定代表人签字或签章的须加盖法定代表人电子人名章。</w:t>
      </w:r>
    </w:p>
    <w:p w14:paraId="1954AC3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（3）采用扫描粘贴投标人公章或法定代表人人名章的为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w:t>
      </w:r>
    </w:p>
    <w:p w14:paraId="60606F5C">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50" w:name="_Toc66864045"/>
      <w:bookmarkStart w:id="51" w:name="_Toc130891907"/>
      <w:r>
        <w:rPr>
          <w:rStyle w:val="431"/>
          <w:rFonts w:hint="eastAsia" w:ascii="仿宋" w:hAnsi="仿宋" w:eastAsia="仿宋"/>
          <w:b/>
          <w:bCs/>
          <w:color w:val="000000" w:themeColor="text1"/>
          <w:kern w:val="2"/>
          <w:sz w:val="28"/>
          <w:szCs w:val="32"/>
          <w:highlight w:val="none"/>
          <w14:textFill>
            <w14:solidFill>
              <w14:schemeClr w14:val="tx1"/>
            </w14:solidFill>
          </w14:textFill>
        </w:rPr>
        <w:t>四、投标文件的提交</w:t>
      </w:r>
      <w:bookmarkEnd w:id="50"/>
      <w:bookmarkEnd w:id="51"/>
    </w:p>
    <w:p w14:paraId="6E9CF609">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17.投标文件的密封和标记</w:t>
      </w:r>
    </w:p>
    <w:p w14:paraId="16979A67">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17.1电子投标文件的密封和标记</w:t>
      </w:r>
    </w:p>
    <w:p w14:paraId="510B20E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加盖了电子印章的电子投标文件（PDF格式）和数据文件（PDF格式）须在</w:t>
      </w:r>
      <w:bookmarkStart w:id="52" w:name="_Hlk219896064"/>
      <w:r>
        <w:rPr>
          <w:rFonts w:hint="eastAsia" w:ascii="仿宋" w:hAnsi="仿宋" w:eastAsia="仿宋" w:cs="仿宋"/>
          <w:color w:val="000000" w:themeColor="text1"/>
          <w:sz w:val="28"/>
          <w:szCs w:val="28"/>
          <w:highlight w:val="none"/>
          <w14:textFill>
            <w14:solidFill>
              <w14:schemeClr w14:val="tx1"/>
            </w14:solidFill>
          </w14:textFill>
        </w:rPr>
        <w:t>国企阳光采购平台的“投标”界面</w:t>
      </w:r>
      <w:bookmarkEnd w:id="52"/>
      <w:r>
        <w:rPr>
          <w:rFonts w:hint="eastAsia" w:ascii="仿宋" w:hAnsi="仿宋" w:eastAsia="仿宋" w:cs="仿宋"/>
          <w:color w:val="000000" w:themeColor="text1"/>
          <w:sz w:val="28"/>
          <w:szCs w:val="28"/>
          <w:highlight w:val="none"/>
          <w14:textFill>
            <w14:solidFill>
              <w14:schemeClr w14:val="tx1"/>
            </w14:solidFill>
          </w14:textFill>
        </w:rPr>
        <w:t>进行提交，提交前系统会自动在本地进行加密和数字签名，加密和电子签章后的文件可自行下载到本地计算机。</w:t>
      </w:r>
    </w:p>
    <w:p w14:paraId="32F9522C">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17.2资质证明文件原件的密封和标记</w:t>
      </w:r>
    </w:p>
    <w:p w14:paraId="21D2342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无需提供资质证明文件原件。</w:t>
      </w:r>
    </w:p>
    <w:p w14:paraId="1828AC85">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17.3文件提交</w:t>
      </w:r>
    </w:p>
    <w:p w14:paraId="6B6F1BB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（1）投标人应在投标须知前附表规定的时间前在</w:t>
      </w:r>
      <w:bookmarkStart w:id="53" w:name="_Hlk219896087"/>
      <w:r>
        <w:rPr>
          <w:rFonts w:hint="eastAsia" w:ascii="仿宋" w:hAnsi="仿宋" w:eastAsia="仿宋" w:cs="仿宋"/>
          <w:color w:val="000000" w:themeColor="text1"/>
          <w:sz w:val="28"/>
          <w:szCs w:val="28"/>
          <w:highlight w:val="none"/>
          <w14:textFill>
            <w14:solidFill>
              <w14:schemeClr w14:val="tx1"/>
            </w14:solidFill>
          </w14:textFill>
        </w:rPr>
        <w:t>国企阳光采购平台</w:t>
      </w:r>
      <w:bookmarkEnd w:id="53"/>
      <w:r>
        <w:rPr>
          <w:rFonts w:hint="eastAsia" w:ascii="仿宋" w:hAnsi="仿宋" w:eastAsia="仿宋" w:cs="仿宋"/>
          <w:color w:val="000000" w:themeColor="text1"/>
          <w:sz w:val="28"/>
          <w:szCs w:val="28"/>
          <w:highlight w:val="none"/>
          <w14:textFill>
            <w14:solidFill>
              <w14:schemeClr w14:val="tx1"/>
            </w14:solidFill>
          </w14:textFill>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Pr>
          <w:rFonts w:hint="eastAsia" w:ascii="仿宋" w:hAnsi="仿宋" w:eastAsia="仿宋" w:cs="仿宋"/>
          <w:b/>
          <w:color w:val="000000" w:themeColor="text1"/>
          <w:sz w:val="28"/>
          <w:szCs w:val="28"/>
          <w:highlight w:val="none"/>
          <w14:textFill>
            <w14:solidFill>
              <w14:schemeClr w14:val="tx1"/>
            </w14:solidFill>
          </w14:textFill>
        </w:rPr>
        <w:t>其投标将会被判定为无效。</w:t>
      </w:r>
    </w:p>
    <w:p w14:paraId="20864A0B">
      <w:pPr>
        <w:spacing w:line="560" w:lineRule="exact"/>
        <w:ind w:firstLine="565"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（2）投标人须使用数字证书（CA）进行解密，如忘记密码或输入密码错误次数太多导致其数字证书（CA）锁定，其提交的电子投标文件将无法解密，导致无法提取数据和供他人阅读文件，致使其投标失败。</w:t>
      </w:r>
    </w:p>
    <w:p w14:paraId="5AD33B7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（3）除投标须知前附表另有规定外，招标代理机构拒绝接收纸质投标文件。</w:t>
      </w:r>
    </w:p>
    <w:p w14:paraId="749D62A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（4）投标人应将网上提交的已盖章未加密的数据文件和投标文件谨慎保存备份，以便启动应急开标程序时备案使用。</w:t>
      </w:r>
    </w:p>
    <w:p w14:paraId="54DD93E0">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18.投标截止期</w:t>
      </w:r>
    </w:p>
    <w:p w14:paraId="537EED0A">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本次招标的投标截止期见《投标须知前附表》。</w:t>
      </w:r>
    </w:p>
    <w:p w14:paraId="47586B5B">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19.迟交的投标文件</w:t>
      </w:r>
    </w:p>
    <w:p w14:paraId="261B49E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54" w:name="_Toc429313655"/>
      <w:r>
        <w:rPr>
          <w:rFonts w:hint="eastAsia" w:ascii="仿宋" w:hAnsi="仿宋" w:eastAsia="仿宋" w:cs="仿宋"/>
          <w:color w:val="000000" w:themeColor="text1"/>
          <w:sz w:val="28"/>
          <w:szCs w:val="28"/>
          <w:highlight w:val="none"/>
          <w14:textFill>
            <w14:solidFill>
              <w14:schemeClr w14:val="tx1"/>
            </w14:solidFill>
          </w14:textFill>
        </w:rPr>
        <w:t>国企阳光采购平台无法接收投标截止时间后提交的电子投标文件。</w:t>
      </w:r>
    </w:p>
    <w:p w14:paraId="7FEF7743">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20.</w:t>
      </w:r>
      <w:bookmarkEnd w:id="54"/>
      <w:r>
        <w:rPr>
          <w:rFonts w:hint="eastAsia" w:ascii="仿宋" w:hAnsi="仿宋" w:eastAsia="仿宋" w:cs="仿宋"/>
          <w:b/>
          <w:color w:val="000000" w:themeColor="text1"/>
          <w:sz w:val="28"/>
          <w:szCs w:val="28"/>
          <w:highlight w:val="none"/>
          <w14:textFill>
            <w14:solidFill>
              <w14:schemeClr w14:val="tx1"/>
            </w14:solidFill>
          </w14:textFill>
        </w:rPr>
        <w:t>现场演示</w:t>
      </w:r>
      <w:r>
        <w:rPr>
          <w:rFonts w:ascii="仿宋" w:hAnsi="仿宋" w:eastAsia="仿宋" w:cs="仿宋"/>
          <w:b/>
          <w:color w:val="000000" w:themeColor="text1"/>
          <w:sz w:val="28"/>
          <w:szCs w:val="28"/>
          <w:highlight w:val="none"/>
          <w14:textFill>
            <w14:solidFill>
              <w14:schemeClr w14:val="tx1"/>
            </w14:solidFill>
          </w14:textFill>
        </w:rPr>
        <w:t>/</w:t>
      </w:r>
      <w:r>
        <w:rPr>
          <w:rFonts w:hint="eastAsia" w:ascii="仿宋" w:hAnsi="仿宋" w:eastAsia="仿宋" w:cs="仿宋"/>
          <w:b/>
          <w:color w:val="000000" w:themeColor="text1"/>
          <w:sz w:val="28"/>
          <w:szCs w:val="28"/>
          <w:highlight w:val="none"/>
          <w14:textFill>
            <w14:solidFill>
              <w14:schemeClr w14:val="tx1"/>
            </w14:solidFill>
          </w14:textFill>
        </w:rPr>
        <w:t>样品递交</w:t>
      </w:r>
    </w:p>
    <w:p w14:paraId="20BF3CB4">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20.1招标人可以要求投标人对其提供的信息化、自动化等相关类别服务进行演示。投标人可以到现场演示，也可以使用系统相关功能与评标专家进行远程演示。</w:t>
      </w:r>
    </w:p>
    <w:p w14:paraId="63888680">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20.2若服务项目涉及货物时，招标人可以要求投标人提供样品，样品作为投标文件的一部分。未中标投标人提供的样品将于评审结束后退还。中标人的样品由招标人保留，作为验收的依据。</w:t>
      </w:r>
    </w:p>
    <w:p w14:paraId="079CD6C9">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是否要求投标人提供演示/提交样品，详见招标文件《投标须知前附表》的有关规定。</w:t>
      </w:r>
    </w:p>
    <w:p w14:paraId="26E8A148">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21.投标文件的修改和撤回</w:t>
      </w:r>
    </w:p>
    <w:p w14:paraId="45800CD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21.1投标人必须在规定的投标截止时间之前将修改的投标文件和数据文件上传到国企阳光采购平台,在投标截止时间之后，投标人不得对其投标文件做任何修改。</w:t>
      </w:r>
    </w:p>
    <w:p w14:paraId="5C796B1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21.2投标人在提交投标文件后，可以在投标截止时间之前撤回其投标文件。</w:t>
      </w:r>
    </w:p>
    <w:p w14:paraId="390E738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21.3开标后不允许对投标文件做实质性修改和补充，不得撤回投标文件。</w:t>
      </w:r>
    </w:p>
    <w:bookmarkEnd w:id="48"/>
    <w:p w14:paraId="7A71D208">
      <w:pPr>
        <w:pStyle w:val="4"/>
        <w:rPr>
          <w:rFonts w:hint="eastAsia" w:ascii="仿宋" w:hAnsi="仿宋" w:cs="仿宋"/>
          <w:b w:val="0"/>
          <w:color w:val="000000" w:themeColor="text1"/>
          <w:szCs w:val="28"/>
          <w:highlight w:val="none"/>
          <w14:textFill>
            <w14:solidFill>
              <w14:schemeClr w14:val="tx1"/>
            </w14:solidFill>
          </w14:textFill>
        </w:rPr>
      </w:pPr>
      <w:bookmarkStart w:id="55" w:name="_Toc130891908"/>
      <w:r>
        <w:rPr>
          <w:rStyle w:val="431"/>
          <w:rFonts w:hint="eastAsia" w:ascii="仿宋" w:hAnsi="仿宋" w:eastAsia="仿宋"/>
          <w:b/>
          <w:bCs/>
          <w:color w:val="000000" w:themeColor="text1"/>
          <w:kern w:val="2"/>
          <w:sz w:val="28"/>
          <w:szCs w:val="32"/>
          <w:highlight w:val="none"/>
          <w14:textFill>
            <w14:solidFill>
              <w14:schemeClr w14:val="tx1"/>
            </w14:solidFill>
          </w14:textFill>
        </w:rPr>
        <w:t>五、开标与评审</w:t>
      </w:r>
      <w:bookmarkEnd w:id="55"/>
    </w:p>
    <w:p w14:paraId="7B93899E">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2</w:t>
      </w:r>
      <w:r>
        <w:rPr>
          <w:rFonts w:ascii="仿宋" w:hAnsi="仿宋" w:eastAsia="仿宋" w:cs="仿宋"/>
          <w:b/>
          <w:color w:val="000000" w:themeColor="text1"/>
          <w:sz w:val="28"/>
          <w:szCs w:val="28"/>
          <w:highlight w:val="none"/>
          <w14:textFill>
            <w14:solidFill>
              <w14:schemeClr w14:val="tx1"/>
            </w14:solidFill>
          </w14:textFill>
        </w:rPr>
        <w:t>2.</w:t>
      </w:r>
      <w:r>
        <w:rPr>
          <w:rFonts w:hint="eastAsia" w:ascii="仿宋" w:hAnsi="仿宋" w:eastAsia="仿宋" w:cs="仿宋"/>
          <w:b/>
          <w:color w:val="000000" w:themeColor="text1"/>
          <w:sz w:val="28"/>
          <w:szCs w:val="28"/>
          <w:highlight w:val="none"/>
          <w14:textFill>
            <w14:solidFill>
              <w14:schemeClr w14:val="tx1"/>
            </w14:solidFill>
          </w14:textFill>
        </w:rPr>
        <w:t>开标</w:t>
      </w:r>
    </w:p>
    <w:p w14:paraId="6613776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w:t>
      </w:r>
      <w:r>
        <w:rPr>
          <w:rFonts w:hint="eastAsia" w:ascii="仿宋" w:hAnsi="仿宋" w:eastAsia="仿宋" w:cs="仿宋"/>
          <w:color w:val="000000" w:themeColor="text1"/>
          <w:sz w:val="28"/>
          <w:szCs w:val="28"/>
          <w:highlight w:val="none"/>
          <w14:textFill>
            <w14:solidFill>
              <w14:schemeClr w14:val="tx1"/>
            </w14:solidFill>
          </w14:textFill>
        </w:rPr>
        <w:t>1投标截止时间结束后，投标人不足3家的不得开标。</w:t>
      </w:r>
    </w:p>
    <w:p w14:paraId="13D8476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56" w:name="_Hlk154667997"/>
      <w:r>
        <w:rPr>
          <w:rFonts w:ascii="仿宋" w:hAnsi="仿宋" w:eastAsia="仿宋" w:cs="仿宋"/>
          <w:color w:val="000000" w:themeColor="text1"/>
          <w:sz w:val="28"/>
          <w:szCs w:val="28"/>
          <w:highlight w:val="none"/>
          <w14:textFill>
            <w14:solidFill>
              <w14:schemeClr w14:val="tx1"/>
            </w14:solidFill>
          </w14:textFill>
        </w:rPr>
        <w:t>22.</w:t>
      </w:r>
      <w:r>
        <w:rPr>
          <w:rFonts w:hint="eastAsia" w:ascii="仿宋" w:hAnsi="仿宋" w:eastAsia="仿宋" w:cs="仿宋"/>
          <w:color w:val="000000" w:themeColor="text1"/>
          <w:sz w:val="28"/>
          <w:szCs w:val="28"/>
          <w:highlight w:val="none"/>
          <w14:textFill>
            <w14:solidFill>
              <w14:schemeClr w14:val="tx1"/>
            </w14:solidFill>
          </w14:textFill>
        </w:rPr>
        <w:t>2招标代理机构在招标公告规定的时间和地点组织开标。投标人需提前准备已配置好环境的电脑，在规定的时间进行远程开标的各项操作。</w:t>
      </w:r>
    </w:p>
    <w:p w14:paraId="6B3892A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22.3</w:t>
      </w:r>
      <w:r>
        <w:rPr>
          <w:rFonts w:hint="eastAsia" w:ascii="仿宋" w:hAnsi="仿宋" w:eastAsia="仿宋" w:cs="仿宋"/>
          <w:color w:val="000000" w:themeColor="text1"/>
          <w:sz w:val="28"/>
          <w:szCs w:val="28"/>
          <w:highlight w:val="none"/>
          <w14:textFill>
            <w14:solidFill>
              <w14:schemeClr w14:val="tx1"/>
            </w14:solidFill>
          </w14:textFill>
        </w:rPr>
        <w:t>投标人代表应在签到表格相应位置上加盖CA锁中的法定代表人电子人名章以证明其出席，未按时完成签到的将会被</w:t>
      </w:r>
      <w:r>
        <w:rPr>
          <w:rFonts w:hint="eastAsia" w:ascii="仿宋" w:hAnsi="仿宋" w:eastAsia="仿宋" w:cs="仿宋"/>
          <w:b/>
          <w:color w:val="000000" w:themeColor="text1"/>
          <w:sz w:val="28"/>
          <w:szCs w:val="28"/>
          <w:highlight w:val="none"/>
          <w14:textFill>
            <w14:solidFill>
              <w14:schemeClr w14:val="tx1"/>
            </w14:solidFill>
          </w14:textFill>
        </w:rPr>
        <w:t>视作</w:t>
      </w:r>
      <w:r>
        <w:rPr>
          <w:rFonts w:hint="eastAsia" w:ascii="仿宋" w:hAnsi="仿宋" w:eastAsia="仿宋" w:cs="仿宋"/>
          <w:color w:val="000000" w:themeColor="text1"/>
          <w:sz w:val="28"/>
          <w:szCs w:val="28"/>
          <w:highlight w:val="none"/>
          <w14:textFill>
            <w14:solidFill>
              <w14:schemeClr w14:val="tx1"/>
            </w14:solidFill>
          </w14:textFill>
        </w:rPr>
        <w:t>认同开标结果。</w:t>
      </w:r>
    </w:p>
    <w:p w14:paraId="745F3F7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22.4</w:t>
      </w:r>
      <w:r>
        <w:rPr>
          <w:rFonts w:hint="eastAsia" w:ascii="仿宋" w:hAnsi="仿宋" w:eastAsia="仿宋" w:cs="仿宋"/>
          <w:color w:val="000000" w:themeColor="text1"/>
          <w:sz w:val="28"/>
          <w:szCs w:val="28"/>
          <w:highlight w:val="none"/>
          <w14:textFill>
            <w14:solidFill>
              <w14:schemeClr w14:val="tx1"/>
            </w14:solidFill>
          </w14:textFill>
        </w:rPr>
        <w:t>投标须知前附表规定了文件解密时间，投标人忘记密码、输入密码错误太多导致CA锁定、未能按时完成解密、其《数据文件》填写、盖章不规范等导致系统无法解析的，将会被视为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w:t>
      </w:r>
    </w:p>
    <w:p w14:paraId="0512FC5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22.5</w:t>
      </w:r>
      <w:r>
        <w:rPr>
          <w:rFonts w:hint="eastAsia" w:ascii="仿宋" w:hAnsi="仿宋" w:eastAsia="仿宋" w:cs="仿宋"/>
          <w:color w:val="000000" w:themeColor="text1"/>
          <w:sz w:val="28"/>
          <w:szCs w:val="28"/>
          <w:highlight w:val="none"/>
          <w14:textFill>
            <w14:solidFill>
              <w14:schemeClr w14:val="tx1"/>
            </w14:solidFill>
          </w14:textFill>
        </w:rPr>
        <w:t>开标过程应当由招标人或招标代理机构负责记录，最终形成开标一览表并由各投标人代表签字或盖章确认。</w:t>
      </w:r>
    </w:p>
    <w:p w14:paraId="446696E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22.6</w:t>
      </w:r>
      <w:r>
        <w:rPr>
          <w:rFonts w:hint="eastAsia" w:ascii="仿宋" w:hAnsi="仿宋" w:eastAsia="仿宋" w:cs="仿宋"/>
          <w:color w:val="000000" w:themeColor="text1"/>
          <w:sz w:val="28"/>
          <w:szCs w:val="28"/>
          <w:highlight w:val="none"/>
          <w14:textFill>
            <w14:solidFill>
              <w14:schemeClr w14:val="tx1"/>
            </w14:solidFill>
          </w14:textFill>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EB7EFD7">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22.7</w:t>
      </w:r>
      <w:r>
        <w:rPr>
          <w:rFonts w:hint="eastAsia" w:ascii="仿宋" w:hAnsi="仿宋" w:eastAsia="仿宋" w:cs="仿宋"/>
          <w:color w:val="000000" w:themeColor="text1"/>
          <w:sz w:val="28"/>
          <w:szCs w:val="28"/>
          <w:highlight w:val="none"/>
          <w14:textFill>
            <w14:solidFill>
              <w14:schemeClr w14:val="tx1"/>
            </w14:solidFill>
          </w14:textFill>
        </w:rPr>
        <w:t>录音、录像：威海市公共资源交易中心负责从提交投标文件开始到确定中标结果全过程的录音、录像工作，确保声音清楚、图像清晰、内容无遗漏。</w:t>
      </w:r>
    </w:p>
    <w:p w14:paraId="6178CF5D">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22.8</w:t>
      </w:r>
      <w:r>
        <w:rPr>
          <w:rFonts w:hint="eastAsia" w:ascii="仿宋" w:hAnsi="仿宋" w:eastAsia="仿宋" w:cs="仿宋"/>
          <w:color w:val="000000" w:themeColor="text1"/>
          <w:sz w:val="28"/>
          <w:szCs w:val="28"/>
          <w:highlight w:val="none"/>
          <w14:textFill>
            <w14:solidFill>
              <w14:schemeClr w14:val="tx1"/>
            </w14:solidFill>
          </w14:textFill>
        </w:rPr>
        <w:t>评审过程中，如遇特殊情况，服从威海市公共资源交易中心场地调配，并遵守相关规章制度。</w:t>
      </w:r>
    </w:p>
    <w:bookmarkEnd w:id="56"/>
    <w:p w14:paraId="72B80ED4">
      <w:pPr>
        <w:spacing w:line="56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bookmarkStart w:id="57" w:name="_Hlk154668012"/>
      <w:r>
        <w:rPr>
          <w:rFonts w:ascii="仿宋" w:hAnsi="仿宋" w:eastAsia="仿宋" w:cs="仿宋"/>
          <w:color w:val="000000" w:themeColor="text1"/>
          <w:sz w:val="28"/>
          <w:szCs w:val="28"/>
          <w:highlight w:val="none"/>
          <w14:textFill>
            <w14:solidFill>
              <w14:schemeClr w14:val="tx1"/>
            </w14:solidFill>
          </w14:textFill>
        </w:rPr>
        <w:t>22.9</w:t>
      </w:r>
      <w:r>
        <w:rPr>
          <w:rFonts w:hint="eastAsia" w:ascii="仿宋" w:hAnsi="仿宋" w:eastAsia="仿宋" w:cs="仿宋"/>
          <w:color w:val="000000" w:themeColor="text1"/>
          <w:sz w:val="28"/>
          <w:szCs w:val="28"/>
          <w:highlight w:val="none"/>
          <w14:textFill>
            <w14:solidFill>
              <w14:schemeClr w14:val="tx1"/>
            </w14:solidFill>
          </w14:textFill>
        </w:rPr>
        <w:t>对投标文件报价出现前后不一致的，按以下规定修正：</w:t>
      </w:r>
    </w:p>
    <w:p w14:paraId="1A1DD86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（1）“投标（报价）一览表”的报价与“报价明细表”的总报价不一致的，以“投标（报价）一览表”的报价为准；</w:t>
      </w:r>
    </w:p>
    <w:p w14:paraId="06028A0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（2）大写金额和小写金额不一致的，以大写金额为准；</w:t>
      </w:r>
    </w:p>
    <w:p w14:paraId="2A752BD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（3）单价金额小数点或者百分比有明显错位的，以投标（报价）一览表的总价为准，并修改单价。</w:t>
      </w:r>
    </w:p>
    <w:p w14:paraId="6C20C5E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（4）总价金额与按单价汇总金额不一致的，以单价金额计算结果为准。</w:t>
      </w:r>
    </w:p>
    <w:p w14:paraId="4054279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（5）同时出现两种以上不一致的，按照前款规定的顺序修正。修正后的报价经投标人确认后产生约束力，投标人不确认的，其投标无效。</w:t>
      </w:r>
    </w:p>
    <w:p w14:paraId="777FF0E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22.10</w:t>
      </w:r>
      <w:r>
        <w:rPr>
          <w:rFonts w:hint="eastAsia" w:ascii="仿宋" w:hAnsi="仿宋" w:eastAsia="仿宋" w:cs="仿宋"/>
          <w:color w:val="000000" w:themeColor="text1"/>
          <w:sz w:val="28"/>
          <w:szCs w:val="28"/>
          <w:highlight w:val="none"/>
          <w14:textFill>
            <w14:solidFill>
              <w14:schemeClr w14:val="tx1"/>
            </w14:solidFill>
          </w14:textFill>
        </w:rPr>
        <w:t>开标程序</w:t>
      </w:r>
    </w:p>
    <w:p w14:paraId="024A6D7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（1）签到：在投标须知前附表规定的时间完成签到。</w:t>
      </w:r>
    </w:p>
    <w:p w14:paraId="7C575A0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（2）开标：工作人员在投标须知前附表规定的开标时间启动开标。</w:t>
      </w:r>
    </w:p>
    <w:p w14:paraId="3E24D366">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（3）解密：开标后工作人员启动开始解密指令，投标人开始输入解密密码，解密时间到后工作人员启动停止解密指令。</w:t>
      </w:r>
    </w:p>
    <w:p w14:paraId="25CEC45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84F717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22.11</w:t>
      </w:r>
      <w:r>
        <w:rPr>
          <w:rFonts w:hint="eastAsia" w:ascii="仿宋" w:hAnsi="仿宋" w:eastAsia="仿宋" w:cs="仿宋"/>
          <w:color w:val="000000" w:themeColor="text1"/>
          <w:sz w:val="28"/>
          <w:szCs w:val="28"/>
          <w:highlight w:val="none"/>
          <w14:textFill>
            <w14:solidFill>
              <w14:schemeClr w14:val="tx1"/>
            </w14:solidFill>
          </w14:textFill>
        </w:rPr>
        <w:t>应急开标程序</w:t>
      </w:r>
    </w:p>
    <w:p w14:paraId="6ABF86C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电子开标过程中如出现下列情况，导致系统无法正常运行，或者无法保证开标过程的公平、公正和信息安全时，经与招标人沟通后可启动应急开标程序。</w:t>
      </w:r>
    </w:p>
    <w:p w14:paraId="50A1E61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（1）系统服务器发生故障，无法访问或无法使用系统；</w:t>
      </w:r>
    </w:p>
    <w:p w14:paraId="6E04045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（2）系统的软件或数据库出现错误，不能进行正常操作；</w:t>
      </w:r>
    </w:p>
    <w:p w14:paraId="2B27B2E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（3）系统发现有安全漏洞，有潜在的泄密危险；</w:t>
      </w:r>
    </w:p>
    <w:bookmarkEnd w:id="57"/>
    <w:p w14:paraId="2D08442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58" w:name="_Hlk154668029"/>
      <w:r>
        <w:rPr>
          <w:rFonts w:hint="eastAsia" w:ascii="仿宋" w:hAnsi="仿宋" w:eastAsia="仿宋" w:cs="仿宋"/>
          <w:color w:val="000000" w:themeColor="text1"/>
          <w:sz w:val="28"/>
          <w:szCs w:val="28"/>
          <w:highlight w:val="none"/>
          <w14:textFill>
            <w14:solidFill>
              <w14:schemeClr w14:val="tx1"/>
            </w14:solidFill>
          </w14:textFill>
        </w:rPr>
        <w:t>（4）病毒发作或受到外来病毒的攻击；</w:t>
      </w:r>
    </w:p>
    <w:p w14:paraId="312C6BE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（5）其他无法保证开标过程公平、公正和信息安全的情形。</w:t>
      </w:r>
    </w:p>
    <w:p w14:paraId="1033886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应急开标程序包括：</w:t>
      </w:r>
    </w:p>
    <w:p w14:paraId="2404C65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（1）对</w:t>
      </w:r>
      <w:r>
        <w:rPr>
          <w:rFonts w:ascii="仿宋" w:hAnsi="仿宋" w:eastAsia="仿宋" w:cs="仿宋"/>
          <w:color w:val="000000" w:themeColor="text1"/>
          <w:sz w:val="28"/>
          <w:szCs w:val="28"/>
          <w:highlight w:val="none"/>
          <w14:textFill>
            <w14:solidFill>
              <w14:schemeClr w14:val="tx1"/>
            </w14:solidFill>
          </w14:textFill>
        </w:rPr>
        <w:t>未在系统中开标的可暂停开标</w:t>
      </w:r>
      <w:r>
        <w:rPr>
          <w:rFonts w:hint="eastAsia" w:ascii="仿宋" w:hAnsi="仿宋" w:eastAsia="仿宋" w:cs="仿宋"/>
          <w:color w:val="000000" w:themeColor="text1"/>
          <w:sz w:val="28"/>
          <w:szCs w:val="28"/>
          <w:highlight w:val="none"/>
          <w14:textFill>
            <w14:solidFill>
              <w14:schemeClr w14:val="tx1"/>
            </w14:solidFill>
          </w14:textFill>
        </w:rPr>
        <w:t>；</w:t>
      </w:r>
    </w:p>
    <w:p w14:paraId="6638BE4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2）对</w:t>
      </w:r>
      <w:r>
        <w:rPr>
          <w:rFonts w:ascii="仿宋" w:hAnsi="仿宋" w:eastAsia="仿宋" w:cs="仿宋"/>
          <w:color w:val="000000" w:themeColor="text1"/>
          <w:sz w:val="28"/>
          <w:szCs w:val="28"/>
          <w:highlight w:val="none"/>
          <w14:textFill>
            <w14:solidFill>
              <w14:schemeClr w14:val="tx1"/>
            </w14:solidFill>
          </w14:textFill>
        </w:rPr>
        <w:t>已在系统中开标的</w:t>
      </w:r>
      <w:r>
        <w:rPr>
          <w:rFonts w:hint="eastAsia" w:ascii="仿宋" w:hAnsi="仿宋" w:eastAsia="仿宋" w:cs="仿宋"/>
          <w:color w:val="000000" w:themeColor="text1"/>
          <w:sz w:val="28"/>
          <w:szCs w:val="28"/>
          <w:highlight w:val="none"/>
          <w14:textFill>
            <w14:solidFill>
              <w14:schemeClr w14:val="tx1"/>
            </w14:solidFill>
          </w14:textFill>
        </w:rPr>
        <w:t>应停止，等待系统恢复正常后再组织进行开标</w:t>
      </w:r>
      <w:r>
        <w:rPr>
          <w:rFonts w:ascii="仿宋" w:hAnsi="仿宋" w:eastAsia="仿宋" w:cs="仿宋"/>
          <w:color w:val="000000" w:themeColor="text1"/>
          <w:sz w:val="28"/>
          <w:szCs w:val="28"/>
          <w:highlight w:val="none"/>
          <w14:textFill>
            <w14:solidFill>
              <w14:schemeClr w14:val="tx1"/>
            </w14:solidFill>
          </w14:textFill>
        </w:rPr>
        <w:t>。</w:t>
      </w:r>
    </w:p>
    <w:p w14:paraId="29E9AEF9">
      <w:pPr>
        <w:spacing w:line="560" w:lineRule="exact"/>
        <w:ind w:firstLine="562"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Pr>
          <w:rFonts w:hint="eastAsia" w:ascii="仿宋" w:hAnsi="仿宋" w:eastAsia="仿宋" w:cs="仿宋"/>
          <w:b/>
          <w:color w:val="000000" w:themeColor="text1"/>
          <w:sz w:val="28"/>
          <w:szCs w:val="28"/>
          <w:highlight w:val="none"/>
          <w14:textFill>
            <w14:solidFill>
              <w14:schemeClr w14:val="tx1"/>
            </w14:solidFill>
          </w14:textFill>
        </w:rPr>
        <w:t>无效投标处理。</w:t>
      </w:r>
    </w:p>
    <w:p w14:paraId="04EA4AD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Pr>
          <w:rFonts w:hint="eastAsia" w:ascii="仿宋" w:hAnsi="仿宋" w:eastAsia="仿宋" w:cs="仿宋"/>
          <w:b/>
          <w:color w:val="000000" w:themeColor="text1"/>
          <w:sz w:val="28"/>
          <w:szCs w:val="28"/>
          <w:highlight w:val="none"/>
          <w14:textFill>
            <w14:solidFill>
              <w14:schemeClr w14:val="tx1"/>
            </w14:solidFill>
          </w14:textFill>
        </w:rPr>
        <w:t>无效投标处理</w:t>
      </w:r>
      <w:r>
        <w:rPr>
          <w:rFonts w:hint="eastAsia" w:ascii="仿宋" w:hAnsi="仿宋" w:eastAsia="仿宋" w:cs="仿宋"/>
          <w:color w:val="000000" w:themeColor="text1"/>
          <w:sz w:val="28"/>
          <w:szCs w:val="28"/>
          <w:highlight w:val="none"/>
          <w14:textFill>
            <w14:solidFill>
              <w14:schemeClr w14:val="tx1"/>
            </w14:solidFill>
          </w14:textFill>
        </w:rPr>
        <w:t>。</w:t>
      </w:r>
    </w:p>
    <w:p w14:paraId="2B46FA4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22.12</w:t>
      </w:r>
      <w:r>
        <w:rPr>
          <w:rFonts w:hint="eastAsia" w:ascii="仿宋" w:hAnsi="仿宋" w:eastAsia="仿宋" w:cs="仿宋"/>
          <w:color w:val="000000" w:themeColor="text1"/>
          <w:sz w:val="28"/>
          <w:szCs w:val="28"/>
          <w:highlight w:val="none"/>
          <w14:textFill>
            <w14:solidFill>
              <w14:schemeClr w14:val="tx1"/>
            </w14:solidFill>
          </w14:textFill>
        </w:rPr>
        <w:t>应急开标电子邮件提交规定</w:t>
      </w:r>
    </w:p>
    <w:p w14:paraId="5CFBF7D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接收电子邮箱：whtyzb@</w:t>
      </w:r>
      <w:r>
        <w:rPr>
          <w:rFonts w:ascii="仿宋" w:hAnsi="仿宋" w:eastAsia="仿宋" w:cs="仿宋"/>
          <w:color w:val="000000" w:themeColor="text1"/>
          <w:sz w:val="28"/>
          <w:szCs w:val="28"/>
          <w:highlight w:val="none"/>
          <w14:textFill>
            <w14:solidFill>
              <w14:schemeClr w14:val="tx1"/>
            </w14:solidFill>
          </w14:textFill>
        </w:rPr>
        <w:t>126.</w:t>
      </w:r>
      <w:r>
        <w:rPr>
          <w:rFonts w:hint="eastAsia" w:ascii="仿宋" w:hAnsi="仿宋" w:eastAsia="仿宋" w:cs="仿宋"/>
          <w:color w:val="000000" w:themeColor="text1"/>
          <w:sz w:val="28"/>
          <w:szCs w:val="28"/>
          <w:highlight w:val="none"/>
          <w14:textFill>
            <w14:solidFill>
              <w14:schemeClr w14:val="tx1"/>
            </w14:solidFill>
          </w14:textFill>
        </w:rPr>
        <w:t>com</w:t>
      </w:r>
    </w:p>
    <w:p w14:paraId="495EE31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提交时间：以电子邮件或电话通知的时间为准；</w:t>
      </w:r>
    </w:p>
    <w:p w14:paraId="583AE536">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邮件数量：一封；</w:t>
      </w:r>
    </w:p>
    <w:p w14:paraId="66782C1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邮件主题：招标编号、投标人名称；</w:t>
      </w:r>
    </w:p>
    <w:p w14:paraId="2B41837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0B5E57A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22.13</w:t>
      </w:r>
      <w:r>
        <w:rPr>
          <w:rFonts w:hint="eastAsia" w:ascii="仿宋" w:hAnsi="仿宋" w:eastAsia="仿宋" w:cs="仿宋"/>
          <w:color w:val="000000" w:themeColor="text1"/>
          <w:sz w:val="28"/>
          <w:szCs w:val="28"/>
          <w:highlight w:val="none"/>
          <w14:textFill>
            <w14:solidFill>
              <w14:schemeClr w14:val="tx1"/>
            </w14:solidFill>
          </w14:textFill>
        </w:rPr>
        <w:t>启动电子邮件开标流程</w:t>
      </w:r>
    </w:p>
    <w:p w14:paraId="3D54BA0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工作人员电话通知所有投标人启动应急开标程序；</w:t>
      </w:r>
    </w:p>
    <w:p w14:paraId="767209D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投标人收到通知后在规定时间内通过电子邮件提交投标文件（在非应急开标期间招标代理机构不接受、不处理任何通过电子邮件提交的投标文件）；</w:t>
      </w:r>
    </w:p>
    <w:p w14:paraId="0FEF7E4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提交截止时间到，工作人员开始下载投标文件，将投标报价形成开标报告并邮件回复各投标人；</w:t>
      </w:r>
    </w:p>
    <w:p w14:paraId="71CB49A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投标人确认报价并邮件回复，不及时回复的视为对开标报告的内容无异议。</w:t>
      </w:r>
    </w:p>
    <w:bookmarkEnd w:id="58"/>
    <w:p w14:paraId="1ED61EF5">
      <w:pPr>
        <w:spacing w:line="560" w:lineRule="exact"/>
        <w:ind w:firstLine="565" w:firstLineChars="201"/>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
          <w:color w:val="000000" w:themeColor="text1"/>
          <w:sz w:val="28"/>
          <w:szCs w:val="28"/>
          <w:highlight w:val="none"/>
          <w14:textFill>
            <w14:solidFill>
              <w14:schemeClr w14:val="tx1"/>
            </w14:solidFill>
          </w14:textFill>
        </w:rPr>
        <w:t>2</w:t>
      </w:r>
      <w:r>
        <w:rPr>
          <w:rFonts w:ascii="仿宋" w:hAnsi="仿宋" w:eastAsia="仿宋" w:cs="宋体"/>
          <w:b/>
          <w:color w:val="000000" w:themeColor="text1"/>
          <w:sz w:val="28"/>
          <w:szCs w:val="28"/>
          <w:highlight w:val="none"/>
          <w14:textFill>
            <w14:solidFill>
              <w14:schemeClr w14:val="tx1"/>
            </w14:solidFill>
          </w14:textFill>
        </w:rPr>
        <w:t>3.</w:t>
      </w:r>
      <w:r>
        <w:rPr>
          <w:rFonts w:hint="eastAsia" w:ascii="仿宋" w:hAnsi="仿宋" w:eastAsia="仿宋" w:cs="宋体"/>
          <w:b/>
          <w:color w:val="000000" w:themeColor="text1"/>
          <w:sz w:val="28"/>
          <w:szCs w:val="28"/>
          <w:highlight w:val="none"/>
          <w14:textFill>
            <w14:solidFill>
              <w14:schemeClr w14:val="tx1"/>
            </w14:solidFill>
          </w14:textFill>
        </w:rPr>
        <w:t>评标委员会的组成和评标办法</w:t>
      </w:r>
    </w:p>
    <w:p w14:paraId="176E5DF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59" w:name="_Hlk154668068"/>
      <w:r>
        <w:rPr>
          <w:rFonts w:ascii="仿宋" w:hAnsi="仿宋" w:eastAsia="仿宋" w:cs="仿宋"/>
          <w:color w:val="000000" w:themeColor="text1"/>
          <w:sz w:val="28"/>
          <w:szCs w:val="28"/>
          <w:highlight w:val="none"/>
          <w14:textFill>
            <w14:solidFill>
              <w14:schemeClr w14:val="tx1"/>
            </w14:solidFill>
          </w14:textFill>
        </w:rPr>
        <w:t>23.</w:t>
      </w:r>
      <w:r>
        <w:rPr>
          <w:rFonts w:hint="eastAsia" w:ascii="仿宋" w:hAnsi="仿宋" w:eastAsia="仿宋" w:cs="仿宋"/>
          <w:color w:val="000000" w:themeColor="text1"/>
          <w:sz w:val="28"/>
          <w:szCs w:val="28"/>
          <w:highlight w:val="none"/>
          <w14:textFill>
            <w14:solidFill>
              <w14:schemeClr w14:val="tx1"/>
            </w14:solidFill>
          </w14:textFill>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Pr>
          <w:rFonts w:ascii="仿宋" w:hAnsi="仿宋" w:eastAsia="仿宋" w:cs="仿宋"/>
          <w:color w:val="000000" w:themeColor="text1"/>
          <w:sz w:val="28"/>
          <w:szCs w:val="28"/>
          <w:highlight w:val="none"/>
          <w14:textFill>
            <w14:solidFill>
              <w14:schemeClr w14:val="tx1"/>
            </w14:solidFill>
          </w14:textFill>
        </w:rPr>
        <w:t>评标委员会成员不得被最高法院列入失信被执行人，若为失信被执行人，将及时清退（开标现场查询）。</w:t>
      </w:r>
    </w:p>
    <w:p w14:paraId="0017B915">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0" w:name="_Hlk154668119"/>
      <w:r>
        <w:rPr>
          <w:rFonts w:ascii="仿宋" w:hAnsi="仿宋" w:eastAsia="仿宋" w:cs="仿宋"/>
          <w:color w:val="000000" w:themeColor="text1"/>
          <w:sz w:val="28"/>
          <w:szCs w:val="28"/>
          <w:highlight w:val="none"/>
          <w14:textFill>
            <w14:solidFill>
              <w14:schemeClr w14:val="tx1"/>
            </w14:solidFill>
          </w14:textFill>
        </w:rPr>
        <w:t>23.</w:t>
      </w:r>
      <w:r>
        <w:rPr>
          <w:rFonts w:hint="eastAsia" w:ascii="仿宋" w:hAnsi="仿宋" w:eastAsia="仿宋" w:cs="仿宋"/>
          <w:color w:val="000000" w:themeColor="text1"/>
          <w:sz w:val="28"/>
          <w:szCs w:val="28"/>
          <w:highlight w:val="none"/>
          <w14:textFill>
            <w14:solidFill>
              <w14:schemeClr w14:val="tx1"/>
            </w14:solidFill>
          </w14:textFill>
        </w:rPr>
        <w:t>2招标人员及相关人员与投标人有利害关系的应当回避。曾参与项目征询意见或论证的专家，不得再作为评审专家参加评审。招标人不得以专家身份参与本项目的评审。招标人和</w:t>
      </w:r>
      <w:r>
        <w:rPr>
          <w:rFonts w:ascii="仿宋" w:hAnsi="仿宋" w:eastAsia="仿宋" w:cs="仿宋"/>
          <w:color w:val="000000" w:themeColor="text1"/>
          <w:sz w:val="28"/>
          <w:szCs w:val="28"/>
          <w:highlight w:val="none"/>
          <w14:textFill>
            <w14:solidFill>
              <w14:schemeClr w14:val="tx1"/>
            </w14:solidFill>
          </w14:textFill>
        </w:rPr>
        <w:t>招标代理机构</w:t>
      </w:r>
      <w:r>
        <w:rPr>
          <w:rFonts w:hint="eastAsia" w:ascii="仿宋" w:hAnsi="仿宋" w:eastAsia="仿宋" w:cs="仿宋"/>
          <w:color w:val="000000" w:themeColor="text1"/>
          <w:sz w:val="28"/>
          <w:szCs w:val="28"/>
          <w:highlight w:val="none"/>
          <w14:textFill>
            <w14:solidFill>
              <w14:schemeClr w14:val="tx1"/>
            </w14:solidFill>
          </w14:textFill>
        </w:rPr>
        <w:t>工作人员离职或退休不满三年的，不能作为专家参加评审工作。</w:t>
      </w:r>
    </w:p>
    <w:p w14:paraId="292400C5">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23.3</w:t>
      </w:r>
      <w:r>
        <w:rPr>
          <w:rFonts w:hint="eastAsia" w:ascii="仿宋" w:hAnsi="仿宋" w:eastAsia="仿宋" w:cs="仿宋"/>
          <w:color w:val="000000" w:themeColor="text1"/>
          <w:sz w:val="28"/>
          <w:szCs w:val="28"/>
          <w:highlight w:val="none"/>
          <w14:textFill>
            <w14:solidFill>
              <w14:schemeClr w14:val="tx1"/>
            </w14:solidFill>
          </w14:textFill>
        </w:rPr>
        <w:t>评标委员会成员职责：</w:t>
      </w:r>
    </w:p>
    <w:p w14:paraId="653E4A8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（1）评标前，评标委员会成员应当主动确认与投标人是否有利害关系。如有利害关系应当主动回避，如无利害关系，应当在含有相关内容的《无利害关系声明》上签字；</w:t>
      </w:r>
    </w:p>
    <w:p w14:paraId="21BCFC2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（2）按照招标文件中确定的评标办法，对投标文件的内容进行评审，并对评审结果承担责任；</w:t>
      </w:r>
    </w:p>
    <w:p w14:paraId="6A22FE7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（3）对评标过程和结果，以及投标人的商业秘密进行保密；</w:t>
      </w:r>
    </w:p>
    <w:p w14:paraId="5B8A382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（4）在评标委员会集体起草的评标报告上签字；</w:t>
      </w:r>
    </w:p>
    <w:p w14:paraId="6099578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（5）配合招标代理机构答复投标人质疑；</w:t>
      </w:r>
    </w:p>
    <w:p w14:paraId="75C0DA8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）配合主管部门处理投标人投诉；</w:t>
      </w:r>
    </w:p>
    <w:p w14:paraId="028CFF4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）向招标人反映评审工作中的问题，提出意见和建议。</w:t>
      </w:r>
    </w:p>
    <w:bookmarkEnd w:id="60"/>
    <w:p w14:paraId="762A3F8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1" w:name="_Hlk154668127"/>
      <w:r>
        <w:rPr>
          <w:rFonts w:ascii="仿宋" w:hAnsi="仿宋" w:eastAsia="仿宋" w:cs="仿宋"/>
          <w:color w:val="000000" w:themeColor="text1"/>
          <w:sz w:val="28"/>
          <w:szCs w:val="28"/>
          <w:highlight w:val="none"/>
          <w14:textFill>
            <w14:solidFill>
              <w14:schemeClr w14:val="tx1"/>
            </w14:solidFill>
          </w14:textFill>
        </w:rPr>
        <w:t>23.4</w:t>
      </w:r>
      <w:r>
        <w:rPr>
          <w:rFonts w:hint="eastAsia" w:ascii="仿宋" w:hAnsi="仿宋" w:eastAsia="仿宋" w:cs="仿宋"/>
          <w:color w:val="000000" w:themeColor="text1"/>
          <w:sz w:val="28"/>
          <w:szCs w:val="28"/>
          <w:highlight w:val="none"/>
          <w14:textFill>
            <w14:solidFill>
              <w14:schemeClr w14:val="tx1"/>
            </w14:solidFill>
          </w14:textFill>
        </w:rPr>
        <w:t>评标委员会集体职责：</w:t>
      </w:r>
    </w:p>
    <w:p w14:paraId="4DD3033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330481A">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（2）配合招标人和</w:t>
      </w:r>
      <w:r>
        <w:rPr>
          <w:rFonts w:ascii="仿宋" w:hAnsi="仿宋" w:eastAsia="仿宋" w:cs="仿宋"/>
          <w:color w:val="000000" w:themeColor="text1"/>
          <w:sz w:val="28"/>
          <w:szCs w:val="28"/>
          <w:highlight w:val="none"/>
          <w14:textFill>
            <w14:solidFill>
              <w14:schemeClr w14:val="tx1"/>
            </w14:solidFill>
          </w14:textFill>
        </w:rPr>
        <w:t>招标代理机构</w:t>
      </w:r>
      <w:r>
        <w:rPr>
          <w:rFonts w:hint="eastAsia" w:ascii="仿宋" w:hAnsi="仿宋" w:eastAsia="仿宋" w:cs="仿宋"/>
          <w:color w:val="000000" w:themeColor="text1"/>
          <w:sz w:val="28"/>
          <w:szCs w:val="28"/>
          <w:highlight w:val="none"/>
          <w14:textFill>
            <w14:solidFill>
              <w14:schemeClr w14:val="tx1"/>
            </w14:solidFill>
          </w14:textFill>
        </w:rPr>
        <w:t>答复投标人的质疑；</w:t>
      </w:r>
    </w:p>
    <w:p w14:paraId="5E4ADA78">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（3）配合主管部门做好投诉处理工作；</w:t>
      </w:r>
    </w:p>
    <w:p w14:paraId="78AC234E">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）必要时，向投标人解释评审结果；</w:t>
      </w:r>
    </w:p>
    <w:p w14:paraId="7ED34EE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）向主管部门或者有关部门报告非法干预评审工作的行为。</w:t>
      </w:r>
    </w:p>
    <w:bookmarkEnd w:id="61"/>
    <w:p w14:paraId="0B86358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2" w:name="_Hlk154668139"/>
      <w:r>
        <w:rPr>
          <w:rFonts w:ascii="仿宋" w:hAnsi="仿宋" w:eastAsia="仿宋" w:cs="仿宋"/>
          <w:color w:val="000000" w:themeColor="text1"/>
          <w:sz w:val="28"/>
          <w:szCs w:val="28"/>
          <w:highlight w:val="none"/>
          <w14:textFill>
            <w14:solidFill>
              <w14:schemeClr w14:val="tx1"/>
            </w14:solidFill>
          </w14:textFill>
        </w:rPr>
        <w:t>23.5</w:t>
      </w:r>
      <w:r>
        <w:rPr>
          <w:rFonts w:hint="eastAsia" w:ascii="仿宋" w:hAnsi="仿宋" w:eastAsia="仿宋" w:cs="仿宋"/>
          <w:color w:val="000000" w:themeColor="text1"/>
          <w:sz w:val="28"/>
          <w:szCs w:val="28"/>
          <w:highlight w:val="none"/>
          <w14:textFill>
            <w14:solidFill>
              <w14:schemeClr w14:val="tx1"/>
            </w14:solidFill>
          </w14:textFill>
        </w:rPr>
        <w:t>招标代理机构或招标人的职责：</w:t>
      </w:r>
    </w:p>
    <w:p w14:paraId="36BF6404">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（1）核对评标专家身份和招标人代表授权书（如有），对评标专家在招标活动中的职责履行情况予以记录，并及时将有关违法违规行为向主管部门报告；</w:t>
      </w:r>
    </w:p>
    <w:p w14:paraId="676CB23C">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（2）宣布评审纪律；</w:t>
      </w:r>
    </w:p>
    <w:p w14:paraId="4FFE9E42">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（3）公布投标人名单，告知评标委员会专家应当回避的情形；</w:t>
      </w:r>
    </w:p>
    <w:p w14:paraId="760A2A7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（4）组织评标委员会推选评标组长</w:t>
      </w:r>
      <w:r>
        <w:rPr>
          <w:rFonts w:hint="eastAsia" w:ascii="仿宋" w:hAnsi="仿宋" w:eastAsia="仿宋" w:cs="仿宋"/>
          <w:color w:val="000000" w:themeColor="text1"/>
          <w:sz w:val="28"/>
          <w:szCs w:val="21"/>
          <w:highlight w:val="none"/>
          <w14:textFill>
            <w14:solidFill>
              <w14:schemeClr w14:val="tx1"/>
            </w14:solidFill>
          </w14:textFill>
        </w:rPr>
        <w:t>，招标人代表不得担任评标组长</w:t>
      </w:r>
      <w:r>
        <w:rPr>
          <w:rFonts w:hint="eastAsia" w:ascii="仿宋" w:hAnsi="仿宋" w:eastAsia="仿宋" w:cs="仿宋"/>
          <w:color w:val="000000" w:themeColor="text1"/>
          <w:sz w:val="28"/>
          <w:szCs w:val="28"/>
          <w:highlight w:val="none"/>
          <w14:textFill>
            <w14:solidFill>
              <w14:schemeClr w14:val="tx1"/>
            </w14:solidFill>
          </w14:textFill>
        </w:rPr>
        <w:t>（如有）；</w:t>
      </w:r>
    </w:p>
    <w:p w14:paraId="7F0CAF16">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）在评审期间采取必要的通讯管理措施，保证评审活动不受外界干扰；</w:t>
      </w:r>
    </w:p>
    <w:p w14:paraId="24A5C951">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）根据评标委员会的要求介绍阳光国企采购相关政策法规、招标文件；</w:t>
      </w:r>
    </w:p>
    <w:p w14:paraId="0728F8AE">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）维护评审秩序，监督评标委员会依照招标文件规定的评标程序、方法和标准进行独立评审，及时制止和纠正评标专家的倾向性言论或者违法违规行为；</w:t>
      </w:r>
    </w:p>
    <w:p w14:paraId="49D8CCEE">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1D3A9643">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9</w:t>
      </w:r>
      <w:r>
        <w:rPr>
          <w:rFonts w:hint="eastAsia" w:ascii="仿宋" w:hAnsi="仿宋" w:eastAsia="仿宋" w:cs="仿宋"/>
          <w:color w:val="000000" w:themeColor="text1"/>
          <w:sz w:val="28"/>
          <w:szCs w:val="28"/>
          <w:highlight w:val="none"/>
          <w14:textFill>
            <w14:solidFill>
              <w14:schemeClr w14:val="tx1"/>
            </w14:solidFill>
          </w14:textFill>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6BA34CF9">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w:t>
      </w:r>
      <w:r>
        <w:rPr>
          <w:rFonts w:ascii="仿宋" w:hAnsi="仿宋" w:eastAsia="仿宋" w:cs="仿宋"/>
          <w:color w:val="000000" w:themeColor="text1"/>
          <w:sz w:val="28"/>
          <w:szCs w:val="28"/>
          <w:highlight w:val="none"/>
          <w14:textFill>
            <w14:solidFill>
              <w14:schemeClr w14:val="tx1"/>
            </w14:solidFill>
          </w14:textFill>
        </w:rPr>
        <w:t>10</w:t>
      </w:r>
      <w:r>
        <w:rPr>
          <w:rFonts w:hint="eastAsia" w:ascii="仿宋" w:hAnsi="仿宋" w:eastAsia="仿宋" w:cs="仿宋"/>
          <w:color w:val="000000" w:themeColor="text1"/>
          <w:sz w:val="28"/>
          <w:szCs w:val="28"/>
          <w:highlight w:val="none"/>
          <w14:textFill>
            <w14:solidFill>
              <w14:schemeClr w14:val="tx1"/>
            </w14:solidFill>
          </w14:textFill>
        </w:rPr>
        <w:t>）处理与评标有关的其他事项。</w:t>
      </w:r>
    </w:p>
    <w:p w14:paraId="72CCD4F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招标人可以在评标前说明项目背景和招标需求，说明内容不得含有歧视性、倾向性意见，不得超出招标文件所述范围。</w:t>
      </w:r>
    </w:p>
    <w:bookmarkEnd w:id="62"/>
    <w:p w14:paraId="37138A0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3" w:name="_Hlk154668158"/>
      <w:r>
        <w:rPr>
          <w:rFonts w:ascii="仿宋" w:hAnsi="仿宋" w:eastAsia="仿宋" w:cs="仿宋"/>
          <w:color w:val="000000" w:themeColor="text1"/>
          <w:sz w:val="28"/>
          <w:szCs w:val="28"/>
          <w:highlight w:val="none"/>
          <w14:textFill>
            <w14:solidFill>
              <w14:schemeClr w14:val="tx1"/>
            </w14:solidFill>
          </w14:textFill>
        </w:rPr>
        <w:t>23.6</w:t>
      </w:r>
      <w:r>
        <w:rPr>
          <w:rFonts w:hint="eastAsia" w:ascii="仿宋" w:hAnsi="仿宋" w:eastAsia="仿宋" w:cs="仿宋"/>
          <w:color w:val="000000" w:themeColor="text1"/>
          <w:sz w:val="28"/>
          <w:szCs w:val="28"/>
          <w:highlight w:val="none"/>
          <w14:textFill>
            <w14:solidFill>
              <w14:schemeClr w14:val="tx1"/>
            </w14:solidFill>
          </w14:textFill>
        </w:rPr>
        <w:t>评标委员会采用集中办公、封闭方式进行评审。评标前，招标代理机构工作人员向评标委员会成员宣布评标纪律和工作规则。评标委员会成员签署《无利害关系声明表》，并遵照执行。</w:t>
      </w:r>
    </w:p>
    <w:p w14:paraId="03A24D1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23.7</w:t>
      </w:r>
      <w:r>
        <w:rPr>
          <w:rFonts w:hint="eastAsia" w:ascii="仿宋" w:hAnsi="仿宋" w:eastAsia="仿宋" w:cs="仿宋"/>
          <w:color w:val="000000" w:themeColor="text1"/>
          <w:sz w:val="28"/>
          <w:szCs w:val="28"/>
          <w:highlight w:val="none"/>
          <w14:textFill>
            <w14:solidFill>
              <w14:schemeClr w14:val="tx1"/>
            </w14:solidFill>
          </w14:textFill>
        </w:rPr>
        <w:t>在招标采购活动中，招标人员及相关人员与投标人有以下利害关系之一的，应当回避：</w:t>
      </w:r>
    </w:p>
    <w:p w14:paraId="04732C9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（1）参加招标采购活动前3年内与投标人存在劳动关系；</w:t>
      </w:r>
    </w:p>
    <w:p w14:paraId="5182652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（2）参加招标采购活动前3年内担任投标人的董事、监事；</w:t>
      </w:r>
    </w:p>
    <w:p w14:paraId="126FBA9A">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（3）参加招标采购活动前3年内是投标人的控股股东或者实际控制人；</w:t>
      </w:r>
    </w:p>
    <w:p w14:paraId="63565E3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（4）与投标人的法定代表人或者负责人有服务、直系血亲、三代以内旁系血亲或者近姻亲关系；</w:t>
      </w:r>
    </w:p>
    <w:p w14:paraId="03694DA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（5）与投标人有其他可能影响招标采购活动公平、公正进行的关系。</w:t>
      </w:r>
    </w:p>
    <w:p w14:paraId="79D3F7A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3D167B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23.8</w:t>
      </w:r>
      <w:r>
        <w:rPr>
          <w:rFonts w:hint="eastAsia" w:ascii="仿宋" w:hAnsi="仿宋" w:eastAsia="仿宋" w:cs="仿宋"/>
          <w:color w:val="000000" w:themeColor="text1"/>
          <w:sz w:val="28"/>
          <w:szCs w:val="28"/>
          <w:highlight w:val="none"/>
          <w14:textFill>
            <w14:solidFill>
              <w14:schemeClr w14:val="tx1"/>
            </w14:solidFill>
          </w14:textFill>
        </w:rPr>
        <w:t>评标委员会成员对与自己有利害关系的评标项目应当主动提出回避。</w:t>
      </w:r>
    </w:p>
    <w:p w14:paraId="23839B7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23.9</w:t>
      </w:r>
      <w:r>
        <w:rPr>
          <w:rFonts w:hint="eastAsia" w:ascii="仿宋" w:hAnsi="仿宋" w:eastAsia="仿宋" w:cs="仿宋"/>
          <w:color w:val="000000" w:themeColor="text1"/>
          <w:sz w:val="28"/>
          <w:szCs w:val="28"/>
          <w:highlight w:val="none"/>
          <w14:textFill>
            <w14:solidFill>
              <w14:schemeClr w14:val="tx1"/>
            </w14:solidFill>
          </w14:textFill>
        </w:rPr>
        <w:t>评标委员会将按照招标文件确定的评标原则和方法进行评标。评标委员会对投标文件的评审内容分为资格性审查、符合性审查、商务评议、技术评议和价格评议。</w:t>
      </w:r>
    </w:p>
    <w:bookmarkEnd w:id="63"/>
    <w:p w14:paraId="0AF0C801">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4" w:name="_Hlk154668166"/>
      <w:r>
        <w:rPr>
          <w:rFonts w:ascii="仿宋" w:hAnsi="仿宋" w:eastAsia="仿宋" w:cs="仿宋"/>
          <w:color w:val="000000" w:themeColor="text1"/>
          <w:sz w:val="28"/>
          <w:szCs w:val="28"/>
          <w:highlight w:val="none"/>
          <w14:textFill>
            <w14:solidFill>
              <w14:schemeClr w14:val="tx1"/>
            </w14:solidFill>
          </w14:textFill>
        </w:rPr>
        <w:t>23.10</w:t>
      </w:r>
      <w:r>
        <w:rPr>
          <w:rFonts w:hint="eastAsia" w:ascii="仿宋" w:hAnsi="仿宋" w:eastAsia="仿宋" w:cs="仿宋"/>
          <w:color w:val="000000" w:themeColor="text1"/>
          <w:sz w:val="28"/>
          <w:szCs w:val="28"/>
          <w:highlight w:val="none"/>
          <w14:textFill>
            <w14:solidFill>
              <w14:schemeClr w14:val="tx1"/>
            </w14:solidFill>
          </w14:textFill>
        </w:rPr>
        <w:t>评标委员会独立履行下列职责：</w:t>
      </w:r>
    </w:p>
    <w:p w14:paraId="52358DA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（1）审查、评价投标文件是否符合招标文件的商务、技术等实质性要求；</w:t>
      </w:r>
    </w:p>
    <w:p w14:paraId="6B89125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（2）要求投标人对投标文件有关事项作出澄清或者说明；</w:t>
      </w:r>
    </w:p>
    <w:p w14:paraId="0491946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（3）对投标文件进行比较和评价；</w:t>
      </w:r>
    </w:p>
    <w:p w14:paraId="5FF73CE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（4）确定中标候选人名单，以及根据招标人委托直接确定中标人；</w:t>
      </w:r>
    </w:p>
    <w:p w14:paraId="2AE89C66">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（5）向招标人、招标代理机构或者有关部门报告评标中发现的违法行为。</w:t>
      </w:r>
    </w:p>
    <w:p w14:paraId="38C4C22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23.11</w:t>
      </w:r>
      <w:r>
        <w:rPr>
          <w:rFonts w:hint="eastAsia" w:ascii="仿宋" w:hAnsi="仿宋" w:eastAsia="仿宋" w:cs="仿宋"/>
          <w:color w:val="000000" w:themeColor="text1"/>
          <w:sz w:val="28"/>
          <w:szCs w:val="28"/>
          <w:highlight w:val="none"/>
          <w14:textFill>
            <w14:solidFill>
              <w14:schemeClr w14:val="tx1"/>
            </w14:solidFill>
          </w14:textFill>
        </w:rPr>
        <w:t>评标中因评标委员会成员缺席、回避或者健康等特殊原因导致评标委员会组成不符合本办法规定的，招标人应当依法补足后继续评标。被更换的评标委员会成员所作出的评标意见无效。</w:t>
      </w:r>
    </w:p>
    <w:p w14:paraId="6F594ED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无法及时补足评标委员会成员的，招标代理机构应当停止评标活动，封存所有投标文件和开标、评标资料，依法重新组建评标委员会进行评标。原评标委员会作出的评标意见无效。</w:t>
      </w:r>
    </w:p>
    <w:p w14:paraId="5032BE4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招标代理机构应当将变更、重新组建评标委员会的情况予以记录，并随招标文件一并存档。</w:t>
      </w:r>
    </w:p>
    <w:bookmarkEnd w:id="59"/>
    <w:bookmarkEnd w:id="64"/>
    <w:p w14:paraId="45B9EBAD">
      <w:pPr>
        <w:spacing w:line="560" w:lineRule="exact"/>
        <w:ind w:firstLine="565" w:firstLineChars="201"/>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
          <w:color w:val="000000" w:themeColor="text1"/>
          <w:sz w:val="28"/>
          <w:szCs w:val="28"/>
          <w:highlight w:val="none"/>
          <w14:textFill>
            <w14:solidFill>
              <w14:schemeClr w14:val="tx1"/>
            </w14:solidFill>
          </w14:textFill>
        </w:rPr>
        <w:t>24.投标文件的初审</w:t>
      </w:r>
    </w:p>
    <w:p w14:paraId="089335CD">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bookmarkStart w:id="65" w:name="_Hlk154668175"/>
      <w:r>
        <w:rPr>
          <w:rFonts w:ascii="仿宋" w:hAnsi="仿宋" w:eastAsia="仿宋" w:cs="仿宋_GB2312"/>
          <w:color w:val="000000" w:themeColor="text1"/>
          <w:sz w:val="28"/>
          <w:highlight w:val="none"/>
          <w14:textFill>
            <w14:solidFill>
              <w14:schemeClr w14:val="tx1"/>
            </w14:solidFill>
          </w14:textFill>
        </w:rPr>
        <w:t>评标委员会将按照招标文件的规定对投标文件进行资格性和符合性审查，以确定投标文件的有效性</w:t>
      </w:r>
      <w:bookmarkEnd w:id="65"/>
      <w:r>
        <w:rPr>
          <w:rFonts w:ascii="仿宋" w:hAnsi="仿宋" w:eastAsia="仿宋" w:cs="仿宋_GB2312"/>
          <w:color w:val="000000" w:themeColor="text1"/>
          <w:sz w:val="28"/>
          <w:highlight w:val="none"/>
          <w14:textFill>
            <w14:solidFill>
              <w14:schemeClr w14:val="tx1"/>
            </w14:solidFill>
          </w14:textFill>
        </w:rPr>
        <w:t>。</w:t>
      </w:r>
    </w:p>
    <w:p w14:paraId="1283A6C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24.1</w:t>
      </w:r>
      <w:r>
        <w:rPr>
          <w:rFonts w:hint="eastAsia" w:ascii="仿宋" w:hAnsi="仿宋" w:eastAsia="仿宋" w:cs="仿宋"/>
          <w:color w:val="000000" w:themeColor="text1"/>
          <w:sz w:val="28"/>
          <w:szCs w:val="28"/>
          <w:highlight w:val="none"/>
          <w14:textFill>
            <w14:solidFill>
              <w14:schemeClr w14:val="tx1"/>
            </w14:solidFill>
          </w14:textFill>
        </w:rPr>
        <w:t>资格性审查。在招标项目开标结束后,评标委员会对投标人的资格进行审查。合格投标人不足3家的，不得评标。在资格性检查时,如有下列情况之一的，经评标委员会认定，视为非实质性响应，为无效投标：</w:t>
      </w:r>
    </w:p>
    <w:p w14:paraId="5FA3028D">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6" w:name="_Hlk154668197"/>
      <w:r>
        <w:rPr>
          <w:rFonts w:ascii="仿宋" w:hAnsi="仿宋" w:eastAsia="仿宋" w:cs="仿宋"/>
          <w:color w:val="000000" w:themeColor="text1"/>
          <w:sz w:val="28"/>
          <w:szCs w:val="28"/>
          <w:highlight w:val="none"/>
          <w14:textFill>
            <w14:solidFill>
              <w14:schemeClr w14:val="tx1"/>
            </w14:solidFill>
          </w14:textFill>
        </w:rPr>
        <w:t>（1）投标文件不完整的；</w:t>
      </w:r>
    </w:p>
    <w:p w14:paraId="0BA5D3A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（2）资质、资格证明文件不完整或不符合招标文件要求或过期失效的；</w:t>
      </w:r>
    </w:p>
    <w:p w14:paraId="73B4C3B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（3）投标文件未按规定签署及盖章的；</w:t>
      </w:r>
    </w:p>
    <w:p w14:paraId="78C549D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（4）投标人的法定代表人或授权代表不在规定时间内答疑或澄清的；</w:t>
      </w:r>
    </w:p>
    <w:p w14:paraId="43AE17B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与招标人存在利害关系且可能影响招标活动的公正性；</w:t>
      </w:r>
    </w:p>
    <w:p w14:paraId="08D0AF4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（6）与本招标项目的其他投标人为同一个单位负责人；</w:t>
      </w:r>
    </w:p>
    <w:p w14:paraId="48E0406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（7）与本招标项目的其他投标人存在控股、管理关系；</w:t>
      </w:r>
    </w:p>
    <w:p w14:paraId="5E13AFE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（8）为本招标项目的代建人；</w:t>
      </w:r>
    </w:p>
    <w:p w14:paraId="3450B7EB">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（9）为本招标项目的招标代理机构；</w:t>
      </w:r>
    </w:p>
    <w:p w14:paraId="17AC7B47">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（10）被依法暂停或者取消投标资格；</w:t>
      </w:r>
    </w:p>
    <w:p w14:paraId="4F022284">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（11）被责令停产停业、暂扣或者吊销许可证、暂扣或者吊销执照；</w:t>
      </w:r>
    </w:p>
    <w:p w14:paraId="1FF305FC">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（12）进入清算程序，或被宣告破产，或其他丧失履约能力的情形；</w:t>
      </w:r>
    </w:p>
    <w:p w14:paraId="49395AD4">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（13）除招标文件规定提交备选投标方案外，同一投标人递交两个以上不同的投标文件或者投标报价的；</w:t>
      </w:r>
    </w:p>
    <w:p w14:paraId="385E5F64">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w:t>
      </w:r>
      <w:r>
        <w:rPr>
          <w:rFonts w:ascii="仿宋" w:hAnsi="仿宋" w:eastAsia="仿宋" w:cs="仿宋"/>
          <w:color w:val="000000" w:themeColor="text1"/>
          <w:sz w:val="28"/>
          <w:szCs w:val="28"/>
          <w:highlight w:val="none"/>
          <w14:textFill>
            <w14:solidFill>
              <w14:schemeClr w14:val="tx1"/>
            </w14:solidFill>
          </w14:textFill>
        </w:rPr>
        <w:t>评标委员会认为不符合招标文件其他实质性要求或法律规定的；</w:t>
      </w:r>
    </w:p>
    <w:p w14:paraId="177E5A25">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（15）法律法规规定的其他情形。</w:t>
      </w:r>
    </w:p>
    <w:bookmarkEnd w:id="66"/>
    <w:p w14:paraId="6554F69C">
      <w:pPr>
        <w:snapToGrid w:val="0"/>
        <w:spacing w:line="52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67" w:name="_Hlk154668205"/>
      <w:r>
        <w:rPr>
          <w:rFonts w:ascii="仿宋" w:hAnsi="仿宋" w:eastAsia="仿宋" w:cs="仿宋"/>
          <w:color w:val="000000" w:themeColor="text1"/>
          <w:sz w:val="28"/>
          <w:szCs w:val="28"/>
          <w:highlight w:val="none"/>
          <w14:textFill>
            <w14:solidFill>
              <w14:schemeClr w14:val="tx1"/>
            </w14:solidFill>
          </w14:textFill>
        </w:rPr>
        <w:t>24.2</w:t>
      </w:r>
      <w:r>
        <w:rPr>
          <w:rFonts w:hint="eastAsia" w:ascii="仿宋" w:hAnsi="仿宋" w:eastAsia="仿宋" w:cs="仿宋"/>
          <w:color w:val="000000" w:themeColor="text1"/>
          <w:sz w:val="28"/>
          <w:szCs w:val="28"/>
          <w:highlight w:val="none"/>
          <w14:textFill>
            <w14:solidFill>
              <w14:schemeClr w14:val="tx1"/>
            </w14:solidFill>
          </w14:textFill>
        </w:rPr>
        <w:t>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0785AF38">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具体内容详见《投标须知》-《实质性条款一览表》中符合性审查条件。</w:t>
      </w:r>
    </w:p>
    <w:p w14:paraId="2E9FA414">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24.3</w:t>
      </w:r>
      <w:r>
        <w:rPr>
          <w:rFonts w:hint="eastAsia" w:ascii="仿宋" w:hAnsi="仿宋" w:eastAsia="仿宋" w:cs="仿宋"/>
          <w:color w:val="000000" w:themeColor="text1"/>
          <w:sz w:val="28"/>
          <w:szCs w:val="28"/>
          <w:highlight w:val="none"/>
          <w14:textFill>
            <w14:solidFill>
              <w14:schemeClr w14:val="tx1"/>
            </w14:solidFill>
          </w14:textFill>
        </w:rPr>
        <w:t>投标人有下列情形之一的，视为投标人串通投标，其投标无效：</w:t>
      </w:r>
    </w:p>
    <w:p w14:paraId="3D66579A">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（1）不同投标人的投标文件由同一单位或者个人编制的；</w:t>
      </w:r>
    </w:p>
    <w:p w14:paraId="1A3B7B99">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（2）不同投标人使用同一个投标人或者同一个自然人的IP地址、设备下</w:t>
      </w:r>
      <w:bookmarkEnd w:id="67"/>
      <w:bookmarkStart w:id="68" w:name="_Hlk154668217"/>
      <w:r>
        <w:rPr>
          <w:rFonts w:hint="eastAsia" w:ascii="仿宋" w:hAnsi="仿宋" w:eastAsia="仿宋" w:cs="仿宋"/>
          <w:color w:val="000000" w:themeColor="text1"/>
          <w:kern w:val="2"/>
          <w:sz w:val="28"/>
          <w:szCs w:val="28"/>
          <w:highlight w:val="none"/>
          <w14:textFill>
            <w14:solidFill>
              <w14:schemeClr w14:val="tx1"/>
            </w14:solidFill>
          </w14:textFill>
        </w:rPr>
        <w:t>载招标文件或者制作、上传投标文件的；</w:t>
      </w:r>
    </w:p>
    <w:p w14:paraId="77016F73">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bookmarkStart w:id="69" w:name="_Hlk154668229"/>
      <w:r>
        <w:rPr>
          <w:rFonts w:hint="eastAsia" w:ascii="仿宋" w:hAnsi="仿宋" w:eastAsia="仿宋" w:cs="仿宋"/>
          <w:color w:val="000000" w:themeColor="text1"/>
          <w:kern w:val="2"/>
          <w:sz w:val="28"/>
          <w:szCs w:val="28"/>
          <w:highlight w:val="none"/>
          <w14:textFill>
            <w14:solidFill>
              <w14:schemeClr w14:val="tx1"/>
            </w14:solidFill>
          </w14:textFill>
        </w:rPr>
        <w:t>（3）不同投标人委托同一单位或者个人办理投标事宜；</w:t>
      </w:r>
    </w:p>
    <w:p w14:paraId="0D1D8AF0">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（4）不同投标人的投标文件载明的项目管理成员或者联系人员为同一人；</w:t>
      </w:r>
    </w:p>
    <w:p w14:paraId="4167CBEA">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（5）不同投标人的投标文件重要内容异常一致、或者投标报价呈现规律性差异；</w:t>
      </w:r>
    </w:p>
    <w:p w14:paraId="4606A8B9">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（6）不同投标人编制的投标文件存在两处以上错误一致的；</w:t>
      </w:r>
    </w:p>
    <w:p w14:paraId="08839D73">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（7）不同投标人的投标文件相互混装；</w:t>
      </w:r>
    </w:p>
    <w:p w14:paraId="3C3BE8E5">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（8）不同投标人的投标保证金从同一单位或者个人的账户转出；</w:t>
      </w:r>
    </w:p>
    <w:p w14:paraId="616261CC">
      <w:pPr>
        <w:pStyle w:val="156"/>
        <w:widowControl w:val="0"/>
        <w:shd w:val="clear" w:color="auto" w:fill="FFFFFF"/>
        <w:spacing w:before="0" w:beforeAutospacing="0" w:after="0" w:afterAutospacing="0" w:line="560" w:lineRule="exact"/>
        <w:ind w:firstLine="640"/>
        <w:jc w:val="both"/>
        <w:rPr>
          <w:rFonts w:hint="eastAsia" w:ascii="仿宋" w:hAnsi="仿宋" w:eastAsia="仿宋" w:cs="仿宋"/>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（9）不同投标人制作的电子投标文件经系统审查存在cpu编码、硬盘编码及MAC地址三项编码均相同的。</w:t>
      </w:r>
      <w:bookmarkEnd w:id="69"/>
    </w:p>
    <w:p w14:paraId="164EA953">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bookmarkStart w:id="70" w:name="_Hlk154668255"/>
      <w:bookmarkStart w:id="71" w:name="_Hlk154668244"/>
      <w:r>
        <w:rPr>
          <w:rFonts w:ascii="仿宋" w:hAnsi="仿宋" w:eastAsia="仿宋" w:cs="仿宋"/>
          <w:color w:val="000000" w:themeColor="text1"/>
          <w:sz w:val="28"/>
          <w:szCs w:val="28"/>
          <w:highlight w:val="none"/>
          <w14:textFill>
            <w14:solidFill>
              <w14:schemeClr w14:val="tx1"/>
            </w14:solidFill>
          </w14:textFill>
        </w:rPr>
        <w:t>24.4属于无</w:t>
      </w:r>
      <w:r>
        <w:rPr>
          <w:rFonts w:ascii="仿宋" w:hAnsi="仿宋" w:eastAsia="仿宋" w:cs="仿宋_GB2312"/>
          <w:color w:val="000000" w:themeColor="text1"/>
          <w:sz w:val="28"/>
          <w:highlight w:val="none"/>
          <w14:textFill>
            <w14:solidFill>
              <w14:schemeClr w14:val="tx1"/>
            </w14:solidFill>
          </w14:textFill>
        </w:rPr>
        <w:t>效投标的，投标人不能通过修正或</w:t>
      </w:r>
      <w:r>
        <w:rPr>
          <w:rFonts w:hint="eastAsia" w:ascii="仿宋" w:hAnsi="仿宋" w:eastAsia="仿宋" w:cs="仿宋_GB2312"/>
          <w:color w:val="000000" w:themeColor="text1"/>
          <w:sz w:val="28"/>
          <w:highlight w:val="none"/>
          <w14:textFill>
            <w14:solidFill>
              <w14:schemeClr w14:val="tx1"/>
            </w14:solidFill>
          </w14:textFill>
        </w:rPr>
        <w:t>撤销</w:t>
      </w:r>
      <w:r>
        <w:rPr>
          <w:rFonts w:ascii="仿宋" w:hAnsi="仿宋" w:eastAsia="仿宋" w:cs="仿宋_GB2312"/>
          <w:color w:val="000000" w:themeColor="text1"/>
          <w:sz w:val="28"/>
          <w:highlight w:val="none"/>
          <w14:textFill>
            <w14:solidFill>
              <w14:schemeClr w14:val="tx1"/>
            </w14:solidFill>
          </w14:textFill>
        </w:rPr>
        <w:t>投标文件中不符合之处而成为实质性响应的投标，</w:t>
      </w:r>
      <w:r>
        <w:rPr>
          <w:rFonts w:hint="eastAsia" w:ascii="仿宋" w:hAnsi="仿宋" w:eastAsia="仿宋" w:cs="仿宋_GB2312"/>
          <w:color w:val="000000" w:themeColor="text1"/>
          <w:sz w:val="28"/>
          <w:highlight w:val="none"/>
          <w14:textFill>
            <w14:solidFill>
              <w14:schemeClr w14:val="tx1"/>
            </w14:solidFill>
          </w14:textFill>
        </w:rPr>
        <w:t>招标代理机构</w:t>
      </w:r>
      <w:r>
        <w:rPr>
          <w:rFonts w:ascii="仿宋" w:hAnsi="仿宋" w:eastAsia="仿宋" w:cs="仿宋_GB2312"/>
          <w:color w:val="000000" w:themeColor="text1"/>
          <w:sz w:val="28"/>
          <w:highlight w:val="none"/>
          <w14:textFill>
            <w14:solidFill>
              <w14:schemeClr w14:val="tx1"/>
            </w14:solidFill>
          </w14:textFill>
        </w:rPr>
        <w:t>将通知投标人，并说明无效投标理由；属于有效投标文件的，将进行下一轮次的询标和澄清</w:t>
      </w:r>
      <w:bookmarkEnd w:id="70"/>
      <w:r>
        <w:rPr>
          <w:rFonts w:ascii="仿宋" w:hAnsi="仿宋" w:eastAsia="仿宋" w:cs="仿宋_GB2312"/>
          <w:color w:val="000000" w:themeColor="text1"/>
          <w:sz w:val="28"/>
          <w:highlight w:val="none"/>
          <w14:textFill>
            <w14:solidFill>
              <w14:schemeClr w14:val="tx1"/>
            </w14:solidFill>
          </w14:textFill>
        </w:rPr>
        <w:t>。</w:t>
      </w:r>
    </w:p>
    <w:p w14:paraId="62C2A34D">
      <w:pPr>
        <w:spacing w:line="560" w:lineRule="exact"/>
        <w:ind w:firstLine="565" w:firstLineChars="201"/>
        <w:rPr>
          <w:rFonts w:hint="eastAsia" w:ascii="仿宋" w:hAnsi="仿宋" w:eastAsia="仿宋" w:cs="宋体"/>
          <w:b/>
          <w:color w:val="000000" w:themeColor="text1"/>
          <w:sz w:val="28"/>
          <w:szCs w:val="28"/>
          <w:highlight w:val="none"/>
          <w14:textFill>
            <w14:solidFill>
              <w14:schemeClr w14:val="tx1"/>
            </w14:solidFill>
          </w14:textFill>
        </w:rPr>
      </w:pPr>
      <w:bookmarkStart w:id="72" w:name="_Hlk154668262"/>
      <w:r>
        <w:rPr>
          <w:rFonts w:ascii="仿宋" w:hAnsi="仿宋" w:eastAsia="仿宋" w:cs="宋体"/>
          <w:b/>
          <w:color w:val="000000" w:themeColor="text1"/>
          <w:sz w:val="28"/>
          <w:szCs w:val="28"/>
          <w:highlight w:val="none"/>
          <w14:textFill>
            <w14:solidFill>
              <w14:schemeClr w14:val="tx1"/>
            </w14:solidFill>
          </w14:textFill>
        </w:rPr>
        <w:t>25.</w:t>
      </w:r>
      <w:r>
        <w:rPr>
          <w:rFonts w:hint="eastAsia" w:ascii="仿宋" w:hAnsi="仿宋" w:eastAsia="仿宋" w:cs="宋体"/>
          <w:b/>
          <w:color w:val="000000" w:themeColor="text1"/>
          <w:sz w:val="28"/>
          <w:szCs w:val="28"/>
          <w:highlight w:val="none"/>
          <w14:textFill>
            <w14:solidFill>
              <w14:schemeClr w14:val="tx1"/>
            </w14:solidFill>
          </w14:textFill>
        </w:rPr>
        <w:t>投标文件的澄清</w:t>
      </w:r>
    </w:p>
    <w:bookmarkEnd w:id="68"/>
    <w:p w14:paraId="5FFFAC1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r>
        <w:rPr>
          <w:rFonts w:ascii="仿宋" w:hAnsi="仿宋" w:eastAsia="仿宋" w:cs="仿宋"/>
          <w:color w:val="000000" w:themeColor="text1"/>
          <w:sz w:val="28"/>
          <w:szCs w:val="28"/>
          <w:highlight w:val="none"/>
          <w14:textFill>
            <w14:solidFill>
              <w14:schemeClr w14:val="tx1"/>
            </w14:solidFill>
          </w14:textFill>
        </w:rPr>
        <w:t>5.1</w:t>
      </w:r>
      <w:r>
        <w:rPr>
          <w:rFonts w:hint="eastAsia" w:ascii="仿宋" w:hAnsi="仿宋" w:eastAsia="仿宋" w:cs="仿宋"/>
          <w:color w:val="000000" w:themeColor="text1"/>
          <w:sz w:val="28"/>
          <w:szCs w:val="28"/>
          <w:highlight w:val="none"/>
          <w14:textFill>
            <w14:solidFill>
              <w14:schemeClr w14:val="tx1"/>
            </w14:solidFill>
          </w14:textFill>
        </w:rPr>
        <w:t>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7AF15C">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r>
        <w:rPr>
          <w:rFonts w:ascii="仿宋" w:hAnsi="仿宋" w:eastAsia="仿宋" w:cs="仿宋"/>
          <w:color w:val="000000" w:themeColor="text1"/>
          <w:sz w:val="28"/>
          <w:szCs w:val="28"/>
          <w:highlight w:val="none"/>
          <w14:textFill>
            <w14:solidFill>
              <w14:schemeClr w14:val="tx1"/>
            </w14:solidFill>
          </w14:textFill>
        </w:rPr>
        <w:t>5.2</w:t>
      </w:r>
      <w:r>
        <w:rPr>
          <w:rFonts w:hint="eastAsia" w:ascii="仿宋" w:hAnsi="仿宋" w:eastAsia="仿宋" w:cs="仿宋"/>
          <w:color w:val="000000" w:themeColor="text1"/>
          <w:sz w:val="28"/>
          <w:szCs w:val="28"/>
          <w:highlight w:val="none"/>
          <w14:textFill>
            <w14:solidFill>
              <w14:schemeClr w14:val="tx1"/>
            </w14:solidFill>
          </w14:textFill>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72"/>
      <w:r>
        <w:rPr>
          <w:rFonts w:hint="eastAsia" w:ascii="仿宋" w:hAnsi="仿宋" w:eastAsia="仿宋" w:cs="仿宋"/>
          <w:color w:val="000000" w:themeColor="text1"/>
          <w:sz w:val="28"/>
          <w:szCs w:val="28"/>
          <w:highlight w:val="none"/>
          <w14:textFill>
            <w14:solidFill>
              <w14:schemeClr w14:val="tx1"/>
            </w14:solidFill>
          </w14:textFill>
        </w:rPr>
        <w:t>。</w:t>
      </w:r>
    </w:p>
    <w:p w14:paraId="7D8A36ED">
      <w:pPr>
        <w:spacing w:line="560" w:lineRule="exact"/>
        <w:ind w:firstLine="565" w:firstLineChars="201"/>
        <w:rPr>
          <w:rFonts w:hint="eastAsia" w:ascii="仿宋" w:hAnsi="仿宋" w:eastAsia="仿宋" w:cs="宋体"/>
          <w:b/>
          <w:color w:val="000000" w:themeColor="text1"/>
          <w:sz w:val="28"/>
          <w:szCs w:val="28"/>
          <w:highlight w:val="none"/>
          <w14:textFill>
            <w14:solidFill>
              <w14:schemeClr w14:val="tx1"/>
            </w14:solidFill>
          </w14:textFill>
        </w:rPr>
      </w:pPr>
      <w:bookmarkStart w:id="73" w:name="_Hlk154668269"/>
      <w:r>
        <w:rPr>
          <w:rFonts w:ascii="仿宋" w:hAnsi="仿宋" w:eastAsia="仿宋" w:cs="宋体"/>
          <w:b/>
          <w:color w:val="000000" w:themeColor="text1"/>
          <w:sz w:val="28"/>
          <w:szCs w:val="28"/>
          <w:highlight w:val="none"/>
          <w14:textFill>
            <w14:solidFill>
              <w14:schemeClr w14:val="tx1"/>
            </w14:solidFill>
          </w14:textFill>
        </w:rPr>
        <w:t>26.</w:t>
      </w:r>
      <w:r>
        <w:rPr>
          <w:rFonts w:hint="eastAsia" w:ascii="仿宋" w:hAnsi="仿宋" w:eastAsia="仿宋" w:cs="宋体"/>
          <w:b/>
          <w:color w:val="000000" w:themeColor="text1"/>
          <w:sz w:val="28"/>
          <w:szCs w:val="28"/>
          <w:highlight w:val="none"/>
          <w14:textFill>
            <w14:solidFill>
              <w14:schemeClr w14:val="tx1"/>
            </w14:solidFill>
          </w14:textFill>
        </w:rPr>
        <w:t>投标文件的评价</w:t>
      </w:r>
    </w:p>
    <w:p w14:paraId="3A6A2081">
      <w:pPr>
        <w:spacing w:line="518" w:lineRule="exact"/>
        <w:ind w:firstLine="548" w:firstLineChars="196"/>
        <w:rPr>
          <w:rFonts w:hint="eastAsia" w:ascii="仿宋" w:hAnsi="仿宋" w:eastAsia="仿宋" w:cs="仿宋_GB2312"/>
          <w:color w:val="000000" w:themeColor="text1"/>
          <w:sz w:val="28"/>
          <w:highlight w:val="none"/>
          <w14:textFill>
            <w14:solidFill>
              <w14:schemeClr w14:val="tx1"/>
            </w14:solidFill>
          </w14:textFill>
        </w:rPr>
      </w:pPr>
      <w:r>
        <w:rPr>
          <w:rFonts w:ascii="仿宋" w:hAnsi="仿宋" w:eastAsia="仿宋" w:cs="仿宋_GB2312"/>
          <w:color w:val="000000" w:themeColor="text1"/>
          <w:sz w:val="28"/>
          <w:highlight w:val="none"/>
          <w14:textFill>
            <w14:solidFill>
              <w14:schemeClr w14:val="tx1"/>
            </w14:solidFill>
          </w14:textFill>
        </w:rPr>
        <w:t>评标委员会按招标文件中规定的评标方法和评标标准对有效投标文件的商务和技术进行评分，综合比较和评价，</w:t>
      </w:r>
      <w:bookmarkEnd w:id="73"/>
      <w:bookmarkStart w:id="74" w:name="_Hlk154668274"/>
      <w:r>
        <w:rPr>
          <w:rFonts w:ascii="仿宋" w:hAnsi="仿宋" w:eastAsia="仿宋" w:cs="仿宋_GB2312"/>
          <w:color w:val="000000" w:themeColor="text1"/>
          <w:sz w:val="28"/>
          <w:highlight w:val="none"/>
          <w14:textFill>
            <w14:solidFill>
              <w14:schemeClr w14:val="tx1"/>
            </w14:solidFill>
          </w14:textFill>
        </w:rPr>
        <w:t>按综合得分高低列出中标候选人排序表。若总分相同，以报价得分高的排前；若总分、报价得分都相同，则以</w:t>
      </w:r>
      <w:r>
        <w:rPr>
          <w:rFonts w:hint="eastAsia" w:ascii="仿宋" w:hAnsi="仿宋" w:eastAsia="仿宋" w:cs="仿宋_GB2312"/>
          <w:color w:val="000000" w:themeColor="text1"/>
          <w:sz w:val="28"/>
          <w:highlight w:val="none"/>
          <w14:textFill>
            <w14:solidFill>
              <w14:schemeClr w14:val="tx1"/>
            </w14:solidFill>
          </w14:textFill>
        </w:rPr>
        <w:t>会议策划方案</w:t>
      </w:r>
      <w:r>
        <w:rPr>
          <w:rFonts w:ascii="仿宋" w:hAnsi="仿宋" w:eastAsia="仿宋" w:cs="仿宋_GB2312"/>
          <w:color w:val="000000" w:themeColor="text1"/>
          <w:sz w:val="28"/>
          <w:highlight w:val="none"/>
          <w14:textFill>
            <w14:solidFill>
              <w14:schemeClr w14:val="tx1"/>
            </w14:solidFill>
          </w14:textFill>
        </w:rPr>
        <w:t>得分高的排前</w:t>
      </w:r>
      <w:bookmarkEnd w:id="71"/>
      <w:r>
        <w:rPr>
          <w:rFonts w:ascii="仿宋" w:hAnsi="仿宋" w:eastAsia="仿宋" w:cs="仿宋_GB2312"/>
          <w:color w:val="000000" w:themeColor="text1"/>
          <w:sz w:val="28"/>
          <w:highlight w:val="none"/>
          <w14:textFill>
            <w14:solidFill>
              <w14:schemeClr w14:val="tx1"/>
            </w14:solidFill>
          </w14:textFill>
        </w:rPr>
        <w:t>。</w:t>
      </w:r>
      <w:bookmarkEnd w:id="74"/>
    </w:p>
    <w:p w14:paraId="146DB8D4">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bookmarkStart w:id="75" w:name="_Hlk154668281"/>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6.1评审采用百分制。评标委员会各成员分别独立对实质上响应</w:t>
      </w:r>
      <w:r>
        <w:rPr>
          <w:rFonts w:hint="eastAsia" w:ascii="仿宋" w:hAnsi="仿宋" w:eastAsia="仿宋" w:cs="仿宋_GB2312"/>
          <w:color w:val="000000" w:themeColor="text1"/>
          <w:sz w:val="28"/>
          <w:highlight w:val="none"/>
          <w14:textFill>
            <w14:solidFill>
              <w14:schemeClr w14:val="tx1"/>
            </w14:solidFill>
          </w14:textFill>
        </w:rPr>
        <w:t>招标</w:t>
      </w:r>
      <w:r>
        <w:rPr>
          <w:rFonts w:ascii="仿宋" w:hAnsi="仿宋" w:eastAsia="仿宋" w:cs="仿宋_GB2312"/>
          <w:color w:val="000000" w:themeColor="text1"/>
          <w:sz w:val="28"/>
          <w:highlight w:val="none"/>
          <w14:textFill>
            <w14:solidFill>
              <w14:schemeClr w14:val="tx1"/>
            </w14:solidFill>
          </w14:textFill>
        </w:rPr>
        <w:t>文件的投标</w:t>
      </w:r>
      <w:r>
        <w:rPr>
          <w:rFonts w:hint="eastAsia" w:ascii="仿宋" w:hAnsi="仿宋" w:eastAsia="仿宋" w:cs="仿宋_GB2312"/>
          <w:color w:val="000000" w:themeColor="text1"/>
          <w:sz w:val="28"/>
          <w:highlight w:val="none"/>
          <w14:textFill>
            <w14:solidFill>
              <w14:schemeClr w14:val="tx1"/>
            </w14:solidFill>
          </w14:textFill>
        </w:rPr>
        <w:t xml:space="preserve">文件 </w:t>
      </w:r>
      <w:r>
        <w:rPr>
          <w:rFonts w:ascii="仿宋" w:hAnsi="仿宋" w:eastAsia="仿宋" w:cs="仿宋_GB2312"/>
          <w:color w:val="000000" w:themeColor="text1"/>
          <w:sz w:val="28"/>
          <w:highlight w:val="none"/>
          <w14:textFill>
            <w14:solidFill>
              <w14:schemeClr w14:val="tx1"/>
            </w14:solidFill>
          </w14:textFill>
        </w:rPr>
        <w:t>进行逐项评价打分，对评标委员会各成员每一因素的打分汇总后的得分为投标人的得分，汇总得分保留两位小数。</w:t>
      </w:r>
    </w:p>
    <w:p w14:paraId="505846D3">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6.2评标委员会只对确定为实质响应招标文件要求的投标文件进行评价和比较。必要时需标明评审理由。</w:t>
      </w:r>
    </w:p>
    <w:p w14:paraId="65A1F420">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6.3</w:t>
      </w:r>
      <w:r>
        <w:rPr>
          <w:rFonts w:hint="eastAsia" w:ascii="仿宋" w:hAnsi="仿宋" w:eastAsia="仿宋" w:cs="仿宋_GB2312"/>
          <w:color w:val="000000" w:themeColor="text1"/>
          <w:sz w:val="28"/>
          <w:highlight w:val="none"/>
          <w14:textFill>
            <w14:solidFill>
              <w14:schemeClr w14:val="tx1"/>
            </w14:solidFill>
          </w14:textFill>
        </w:rPr>
        <w:t>招标代理机构</w:t>
      </w:r>
      <w:r>
        <w:rPr>
          <w:rFonts w:ascii="仿宋" w:hAnsi="仿宋" w:eastAsia="仿宋" w:cs="仿宋_GB2312"/>
          <w:color w:val="000000" w:themeColor="text1"/>
          <w:sz w:val="28"/>
          <w:highlight w:val="none"/>
          <w14:textFill>
            <w14:solidFill>
              <w14:schemeClr w14:val="tx1"/>
            </w14:solidFill>
          </w14:textFill>
        </w:rPr>
        <w:t>工作人员负责复核、统计评标委员会成员的评审情况，发现评审意见有失公正时，提请该评标委员会成员修改评审意见</w:t>
      </w:r>
      <w:bookmarkEnd w:id="75"/>
      <w:r>
        <w:rPr>
          <w:rFonts w:ascii="仿宋" w:hAnsi="仿宋" w:eastAsia="仿宋" w:cs="仿宋_GB2312"/>
          <w:color w:val="000000" w:themeColor="text1"/>
          <w:sz w:val="28"/>
          <w:highlight w:val="none"/>
          <w14:textFill>
            <w14:solidFill>
              <w14:schemeClr w14:val="tx1"/>
            </w14:solidFill>
          </w14:textFill>
        </w:rPr>
        <w:t>。</w:t>
      </w:r>
    </w:p>
    <w:p w14:paraId="111F69E9">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bookmarkStart w:id="76" w:name="_Hlk154668289"/>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6.4评审时除考虑投标人的报价之外，还将考虑以下因素：</w:t>
      </w:r>
    </w:p>
    <w:p w14:paraId="7D2ED3E7">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ascii="仿宋" w:hAnsi="仿宋" w:eastAsia="仿宋" w:cs="仿宋_GB2312"/>
          <w:color w:val="000000" w:themeColor="text1"/>
          <w:sz w:val="28"/>
          <w:highlight w:val="none"/>
          <w14:textFill>
            <w14:solidFill>
              <w14:schemeClr w14:val="tx1"/>
            </w14:solidFill>
          </w14:textFill>
        </w:rPr>
        <w:t>①投标文件的响应状况（包括是否按照招标文件要求制作）；</w:t>
      </w:r>
    </w:p>
    <w:p w14:paraId="088430F8">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②</w:t>
      </w:r>
      <w:r>
        <w:rPr>
          <w:rFonts w:ascii="仿宋" w:hAnsi="仿宋" w:eastAsia="仿宋" w:cs="仿宋_GB2312"/>
          <w:color w:val="000000" w:themeColor="text1"/>
          <w:sz w:val="28"/>
          <w:highlight w:val="none"/>
          <w14:textFill>
            <w14:solidFill>
              <w14:schemeClr w14:val="tx1"/>
            </w14:solidFill>
          </w14:textFill>
        </w:rPr>
        <w:t>招标文件规定的其它评审因素。</w:t>
      </w:r>
    </w:p>
    <w:p w14:paraId="52574ADF">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Pr>
          <w:rFonts w:hint="eastAsia" w:ascii="仿宋" w:hAnsi="仿宋" w:eastAsia="仿宋" w:cs="仿宋_GB2312"/>
          <w:color w:val="000000" w:themeColor="text1"/>
          <w:sz w:val="28"/>
          <w:highlight w:val="none"/>
          <w14:textFill>
            <w14:solidFill>
              <w14:schemeClr w14:val="tx1"/>
            </w14:solidFill>
          </w14:textFill>
        </w:rPr>
        <w:t>招标</w:t>
      </w:r>
      <w:r>
        <w:rPr>
          <w:rFonts w:ascii="仿宋" w:hAnsi="仿宋" w:eastAsia="仿宋" w:cs="仿宋_GB2312"/>
          <w:color w:val="000000" w:themeColor="text1"/>
          <w:sz w:val="28"/>
          <w:highlight w:val="none"/>
          <w14:textFill>
            <w14:solidFill>
              <w14:schemeClr w14:val="tx1"/>
            </w14:solidFill>
          </w14:textFill>
        </w:rPr>
        <w:t>活动。</w:t>
      </w:r>
    </w:p>
    <w:p w14:paraId="79E0305D">
      <w:pPr>
        <w:spacing w:line="518" w:lineRule="exact"/>
        <w:ind w:firstLine="548" w:firstLineChars="196"/>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s="仿宋_GB2312"/>
          <w:color w:val="000000" w:themeColor="text1"/>
          <w:sz w:val="28"/>
          <w:highlight w:val="none"/>
          <w14:textFill>
            <w14:solidFill>
              <w14:schemeClr w14:val="tx1"/>
            </w14:solidFill>
          </w14:textFill>
        </w:rPr>
        <w:t>2</w:t>
      </w:r>
      <w:r>
        <w:rPr>
          <w:rFonts w:ascii="仿宋" w:hAnsi="仿宋" w:eastAsia="仿宋" w:cs="仿宋_GB2312"/>
          <w:color w:val="000000" w:themeColor="text1"/>
          <w:sz w:val="28"/>
          <w:highlight w:val="none"/>
          <w14:textFill>
            <w14:solidFill>
              <w14:schemeClr w14:val="tx1"/>
            </w14:solidFill>
          </w14:textFill>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28AC5A72">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t>2</w:t>
      </w:r>
      <w:r>
        <w:rPr>
          <w:rFonts w:hint="eastAsia" w:ascii="仿宋" w:hAnsi="仿宋" w:eastAsia="仿宋" w:cs="仿宋"/>
          <w:b/>
          <w:color w:val="000000" w:themeColor="text1"/>
          <w:sz w:val="28"/>
          <w:szCs w:val="28"/>
          <w:highlight w:val="none"/>
          <w14:textFill>
            <w14:solidFill>
              <w14:schemeClr w14:val="tx1"/>
            </w14:solidFill>
          </w14:textFill>
        </w:rPr>
        <w:t>7.出现下列情形之一的，应予废标</w:t>
      </w:r>
      <w:bookmarkEnd w:id="76"/>
      <w:r>
        <w:rPr>
          <w:rFonts w:hint="eastAsia" w:ascii="仿宋" w:hAnsi="仿宋" w:eastAsia="仿宋" w:cs="仿宋"/>
          <w:b/>
          <w:color w:val="000000" w:themeColor="text1"/>
          <w:sz w:val="28"/>
          <w:szCs w:val="28"/>
          <w:highlight w:val="none"/>
          <w14:textFill>
            <w14:solidFill>
              <w14:schemeClr w14:val="tx1"/>
            </w14:solidFill>
          </w14:textFill>
        </w:rPr>
        <w:t>：</w:t>
      </w:r>
    </w:p>
    <w:p w14:paraId="77168839">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1"/>
          <w:highlight w:val="none"/>
          <w14:textFill>
            <w14:solidFill>
              <w14:schemeClr w14:val="tx1"/>
            </w14:solidFill>
          </w14:textFill>
        </w:rPr>
        <w:t>合格的投标人或参加投标的企业不足三家的</w:t>
      </w:r>
      <w:r>
        <w:rPr>
          <w:rFonts w:hint="eastAsia" w:ascii="仿宋" w:hAnsi="仿宋" w:eastAsia="仿宋" w:cs="仿宋"/>
          <w:color w:val="000000" w:themeColor="text1"/>
          <w:sz w:val="28"/>
          <w:szCs w:val="28"/>
          <w:highlight w:val="none"/>
          <w14:textFill>
            <w14:solidFill>
              <w14:schemeClr w14:val="tx1"/>
            </w14:solidFill>
          </w14:textFill>
        </w:rPr>
        <w:t>；</w:t>
      </w:r>
    </w:p>
    <w:p w14:paraId="3674F77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bookmarkStart w:id="77" w:name="_Hlk154668298"/>
      <w:r>
        <w:rPr>
          <w:rFonts w:hint="eastAsia" w:ascii="仿宋" w:hAnsi="仿宋" w:eastAsia="仿宋" w:cs="仿宋"/>
          <w:color w:val="000000" w:themeColor="text1"/>
          <w:sz w:val="28"/>
          <w:szCs w:val="28"/>
          <w:highlight w:val="none"/>
          <w14:textFill>
            <w14:solidFill>
              <w14:schemeClr w14:val="tx1"/>
            </w14:solidFill>
          </w14:textFill>
        </w:rPr>
        <w:t>（2）出现影响招标公正的违法、违规行为的；</w:t>
      </w:r>
    </w:p>
    <w:p w14:paraId="4046FE6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（3）投标报价超过招标文件中规定的最高限价，招标人不能支付的；</w:t>
      </w:r>
    </w:p>
    <w:p w14:paraId="7E9B8624">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（4）因重大变故，招标任务取消的</w:t>
      </w:r>
      <w:bookmarkEnd w:id="77"/>
      <w:r>
        <w:rPr>
          <w:rFonts w:hint="eastAsia" w:ascii="仿宋" w:hAnsi="仿宋" w:eastAsia="仿宋" w:cs="仿宋"/>
          <w:color w:val="000000" w:themeColor="text1"/>
          <w:sz w:val="28"/>
          <w:szCs w:val="28"/>
          <w:highlight w:val="none"/>
          <w14:textFill>
            <w14:solidFill>
              <w14:schemeClr w14:val="tx1"/>
            </w14:solidFill>
          </w14:textFill>
        </w:rPr>
        <w:t>。</w:t>
      </w:r>
    </w:p>
    <w:p w14:paraId="2F761E85">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78" w:name="_Toc66864047"/>
      <w:bookmarkStart w:id="79" w:name="_Toc130891909"/>
      <w:r>
        <w:rPr>
          <w:rStyle w:val="431"/>
          <w:rFonts w:hint="eastAsia" w:ascii="仿宋" w:hAnsi="仿宋" w:eastAsia="仿宋"/>
          <w:b/>
          <w:bCs/>
          <w:color w:val="000000" w:themeColor="text1"/>
          <w:kern w:val="2"/>
          <w:sz w:val="28"/>
          <w:szCs w:val="32"/>
          <w:highlight w:val="none"/>
          <w14:textFill>
            <w14:solidFill>
              <w14:schemeClr w14:val="tx1"/>
            </w14:solidFill>
          </w14:textFill>
        </w:rPr>
        <w:t>六、定标</w:t>
      </w:r>
      <w:bookmarkEnd w:id="78"/>
      <w:bookmarkEnd w:id="79"/>
    </w:p>
    <w:p w14:paraId="617DAF81">
      <w:pPr>
        <w:spacing w:line="560" w:lineRule="exact"/>
        <w:ind w:firstLine="565" w:firstLineChars="201"/>
        <w:rPr>
          <w:rFonts w:hint="eastAsia" w:ascii="仿宋" w:hAnsi="仿宋" w:eastAsia="仿宋" w:cs="宋体"/>
          <w:b/>
          <w:color w:val="000000" w:themeColor="text1"/>
          <w:sz w:val="28"/>
          <w:szCs w:val="28"/>
          <w:highlight w:val="none"/>
          <w14:textFill>
            <w14:solidFill>
              <w14:schemeClr w14:val="tx1"/>
            </w14:solidFill>
          </w14:textFill>
        </w:rPr>
      </w:pPr>
      <w:bookmarkStart w:id="80" w:name="_Hlk154668311"/>
      <w:r>
        <w:rPr>
          <w:rFonts w:hint="eastAsia" w:ascii="仿宋" w:hAnsi="仿宋" w:eastAsia="仿宋" w:cs="宋体"/>
          <w:b/>
          <w:color w:val="000000" w:themeColor="text1"/>
          <w:sz w:val="28"/>
          <w:szCs w:val="28"/>
          <w:highlight w:val="none"/>
          <w14:textFill>
            <w14:solidFill>
              <w14:schemeClr w14:val="tx1"/>
            </w14:solidFill>
          </w14:textFill>
        </w:rPr>
        <w:t>28.确定中标候选人</w:t>
      </w:r>
    </w:p>
    <w:p w14:paraId="2DC2C3E0">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28.1评标委员会按照招标文件确定的评标方法、步骤、标准，对投标文件进行评审。评标结束后，对</w:t>
      </w:r>
      <w:bookmarkEnd w:id="80"/>
      <w:r>
        <w:rPr>
          <w:rFonts w:hint="eastAsia" w:ascii="仿宋" w:hAnsi="仿宋" w:eastAsia="仿宋" w:cs="宋体"/>
          <w:bCs/>
          <w:color w:val="000000" w:themeColor="text1"/>
          <w:sz w:val="28"/>
          <w:szCs w:val="28"/>
          <w:highlight w:val="none"/>
          <w14:textFill>
            <w14:solidFill>
              <w14:schemeClr w14:val="tx1"/>
            </w14:solidFill>
          </w14:textFill>
        </w:rPr>
        <w:t>投标人的评审名次进行排序，确定中标候选人，根据全体评标成员签字的原始评标记录和评标结果编写评标报告。</w:t>
      </w:r>
    </w:p>
    <w:p w14:paraId="23E14450">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bookmarkStart w:id="81" w:name="_Hlk154668326"/>
      <w:r>
        <w:rPr>
          <w:rFonts w:hint="eastAsia" w:ascii="仿宋" w:hAnsi="仿宋" w:eastAsia="仿宋" w:cs="宋体"/>
          <w:bCs/>
          <w:color w:val="000000" w:themeColor="text1"/>
          <w:sz w:val="28"/>
          <w:szCs w:val="28"/>
          <w:highlight w:val="none"/>
          <w14:textFill>
            <w14:solidFill>
              <w14:schemeClr w14:val="tx1"/>
            </w14:solidFill>
          </w14:textFill>
        </w:rPr>
        <w:t>28.</w:t>
      </w:r>
      <w:r>
        <w:rPr>
          <w:rFonts w:ascii="仿宋" w:hAnsi="仿宋" w:eastAsia="仿宋" w:cs="宋体"/>
          <w:bCs/>
          <w:color w:val="000000" w:themeColor="text1"/>
          <w:sz w:val="28"/>
          <w:szCs w:val="28"/>
          <w:highlight w:val="none"/>
          <w14:textFill>
            <w14:solidFill>
              <w14:schemeClr w14:val="tx1"/>
            </w14:solidFill>
          </w14:textFill>
        </w:rPr>
        <w:t>2</w:t>
      </w:r>
      <w:r>
        <w:rPr>
          <w:rFonts w:hint="eastAsia" w:ascii="仿宋" w:hAnsi="仿宋" w:eastAsia="仿宋" w:cs="宋体"/>
          <w:bCs/>
          <w:color w:val="000000" w:themeColor="text1"/>
          <w:sz w:val="28"/>
          <w:szCs w:val="28"/>
          <w:highlight w:val="none"/>
          <w14:textFill>
            <w14:solidFill>
              <w14:schemeClr w14:val="tx1"/>
            </w14:solidFill>
          </w14:textFill>
        </w:rPr>
        <w:t>评委会所有成员应当在评标报告上签字确认，评标报告的主要内容包括：</w:t>
      </w:r>
    </w:p>
    <w:p w14:paraId="14068609">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（1）招标公告刊登的媒介名称、开标日期和地点；</w:t>
      </w:r>
    </w:p>
    <w:p w14:paraId="5950B9FF">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（2）投标人名单和评标委员会成员名单；</w:t>
      </w:r>
    </w:p>
    <w:p w14:paraId="08FC445B">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（3）评标方法和评标标准；</w:t>
      </w:r>
    </w:p>
    <w:p w14:paraId="50D70CEE">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（4）开标记录和评标情况及说明，包括投标无效投标人名单及原因；</w:t>
      </w:r>
    </w:p>
    <w:p w14:paraId="6517F74D">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（5）评标结果，确定的中标候选人名单或者经招标人委托直接确定的中标人；</w:t>
      </w:r>
    </w:p>
    <w:p w14:paraId="637733F1">
      <w:pPr>
        <w:spacing w:line="560" w:lineRule="exact"/>
        <w:ind w:firstLine="562" w:firstLineChars="201"/>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（6）其他需要说明的情况，包括评标过程中投标人根据评标委员会要求进行澄清、说明或者补正，评标委员会成员的更换等</w:t>
      </w:r>
      <w:bookmarkEnd w:id="81"/>
      <w:r>
        <w:rPr>
          <w:rFonts w:hint="eastAsia" w:ascii="仿宋" w:hAnsi="仿宋" w:eastAsia="仿宋" w:cs="宋体"/>
          <w:bCs/>
          <w:color w:val="000000" w:themeColor="text1"/>
          <w:sz w:val="28"/>
          <w:szCs w:val="28"/>
          <w:highlight w:val="none"/>
          <w14:textFill>
            <w14:solidFill>
              <w14:schemeClr w14:val="tx1"/>
            </w14:solidFill>
          </w14:textFill>
        </w:rPr>
        <w:t>。</w:t>
      </w:r>
    </w:p>
    <w:p w14:paraId="6F107EC3">
      <w:pPr>
        <w:spacing w:line="560" w:lineRule="exact"/>
        <w:ind w:firstLine="565" w:firstLineChars="201"/>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2</w:t>
      </w:r>
      <w:r>
        <w:rPr>
          <w:rFonts w:ascii="仿宋" w:hAnsi="仿宋" w:eastAsia="仿宋" w:cs="宋体"/>
          <w:b/>
          <w:bCs/>
          <w:color w:val="000000" w:themeColor="text1"/>
          <w:sz w:val="28"/>
          <w:szCs w:val="28"/>
          <w:highlight w:val="none"/>
          <w14:textFill>
            <w14:solidFill>
              <w14:schemeClr w14:val="tx1"/>
            </w14:solidFill>
          </w14:textFill>
        </w:rPr>
        <w:t>9.</w:t>
      </w:r>
      <w:r>
        <w:rPr>
          <w:rFonts w:hint="eastAsia" w:ascii="仿宋" w:hAnsi="仿宋" w:eastAsia="仿宋" w:cs="宋体"/>
          <w:b/>
          <w:bCs/>
          <w:color w:val="000000" w:themeColor="text1"/>
          <w:sz w:val="28"/>
          <w:szCs w:val="28"/>
          <w:highlight w:val="none"/>
          <w14:textFill>
            <w14:solidFill>
              <w14:schemeClr w14:val="tx1"/>
            </w14:solidFill>
          </w14:textFill>
        </w:rPr>
        <w:t>确定中标人</w:t>
      </w:r>
    </w:p>
    <w:p w14:paraId="66DBF35A">
      <w:pPr>
        <w:snapToGrid w:val="0"/>
        <w:spacing w:line="560" w:lineRule="exact"/>
        <w:ind w:firstLine="562" w:firstLineChars="201"/>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512A4470">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82" w:name="_Toc130891910"/>
      <w:bookmarkStart w:id="83" w:name="_Toc66864048"/>
      <w:r>
        <w:rPr>
          <w:rStyle w:val="431"/>
          <w:rFonts w:hint="eastAsia" w:ascii="仿宋" w:hAnsi="仿宋" w:eastAsia="仿宋"/>
          <w:b/>
          <w:bCs/>
          <w:color w:val="000000" w:themeColor="text1"/>
          <w:kern w:val="2"/>
          <w:sz w:val="28"/>
          <w:szCs w:val="32"/>
          <w:highlight w:val="none"/>
          <w14:textFill>
            <w14:solidFill>
              <w14:schemeClr w14:val="tx1"/>
            </w14:solidFill>
          </w14:textFill>
        </w:rPr>
        <w:t>七、结果公告</w:t>
      </w:r>
      <w:bookmarkEnd w:id="82"/>
      <w:bookmarkEnd w:id="83"/>
    </w:p>
    <w:p w14:paraId="5D905913">
      <w:pPr>
        <w:spacing w:line="560" w:lineRule="exact"/>
        <w:ind w:firstLine="565" w:firstLineChars="201"/>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30.结果公告</w:t>
      </w:r>
    </w:p>
    <w:p w14:paraId="05B60652">
      <w:pPr>
        <w:snapToGrid w:val="0"/>
        <w:spacing w:line="560" w:lineRule="exact"/>
        <w:ind w:firstLine="562" w:firstLineChars="201"/>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招标人应当自定标结束后在招标公告发布媒介发布中标公告。</w:t>
      </w:r>
      <w:r>
        <w:rPr>
          <w:rFonts w:hint="eastAsia" w:ascii="仿宋" w:hAnsi="仿宋" w:eastAsia="仿宋" w:cs="宋体"/>
          <w:color w:val="000000" w:themeColor="text1"/>
          <w:sz w:val="28"/>
          <w:szCs w:val="28"/>
          <w:highlight w:val="none"/>
          <w14:textFill>
            <w14:solidFill>
              <w14:schemeClr w14:val="tx1"/>
            </w14:solidFill>
          </w14:textFill>
        </w:rPr>
        <w:t>中标公告期限为1个工作日。中标公告应当包括下列内容：</w:t>
      </w:r>
    </w:p>
    <w:p w14:paraId="331D3827">
      <w:pPr>
        <w:snapToGrid w:val="0"/>
        <w:spacing w:line="560" w:lineRule="exact"/>
        <w:ind w:firstLine="562" w:firstLineChars="201"/>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（1）招标人、代理机构的名称、地址和联系方式；</w:t>
      </w:r>
    </w:p>
    <w:p w14:paraId="03000B23">
      <w:pPr>
        <w:snapToGrid w:val="0"/>
        <w:spacing w:line="560" w:lineRule="exact"/>
        <w:ind w:firstLine="562" w:firstLineChars="201"/>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（2）项目名称和招标编号；</w:t>
      </w:r>
    </w:p>
    <w:p w14:paraId="33B7DE76">
      <w:pPr>
        <w:snapToGrid w:val="0"/>
        <w:spacing w:line="560" w:lineRule="exact"/>
        <w:ind w:firstLine="562" w:firstLineChars="201"/>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（3）中标人名称和中标金额。</w:t>
      </w:r>
    </w:p>
    <w:p w14:paraId="2FDE16CF">
      <w:pPr>
        <w:spacing w:line="560" w:lineRule="exact"/>
        <w:ind w:firstLine="565" w:firstLineChars="201"/>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31.签发中标通知书</w:t>
      </w:r>
    </w:p>
    <w:p w14:paraId="761DC7AE">
      <w:pPr>
        <w:snapToGrid w:val="0"/>
        <w:spacing w:line="560" w:lineRule="exact"/>
        <w:ind w:firstLine="562" w:firstLineChars="201"/>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中标公告结束且无尚未处理的异议后，招标人和代理机构联合向中标人发出中标通知书。</w:t>
      </w:r>
    </w:p>
    <w:p w14:paraId="6F825F29">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84" w:name="_Toc130891911"/>
      <w:bookmarkStart w:id="85" w:name="_Toc66864049"/>
      <w:r>
        <w:rPr>
          <w:rStyle w:val="431"/>
          <w:rFonts w:hint="eastAsia" w:ascii="仿宋" w:hAnsi="仿宋" w:eastAsia="仿宋"/>
          <w:b/>
          <w:bCs/>
          <w:color w:val="000000" w:themeColor="text1"/>
          <w:kern w:val="2"/>
          <w:sz w:val="28"/>
          <w:szCs w:val="32"/>
          <w:highlight w:val="none"/>
          <w14:textFill>
            <w14:solidFill>
              <w14:schemeClr w14:val="tx1"/>
            </w14:solidFill>
          </w14:textFill>
        </w:rPr>
        <w:t>八、质疑</w:t>
      </w:r>
      <w:bookmarkEnd w:id="84"/>
      <w:bookmarkEnd w:id="85"/>
    </w:p>
    <w:p w14:paraId="778998F5">
      <w:pPr>
        <w:snapToGrid w:val="0"/>
        <w:spacing w:line="560" w:lineRule="exact"/>
        <w:ind w:firstLine="565" w:firstLineChars="201"/>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32.质疑</w:t>
      </w:r>
    </w:p>
    <w:p w14:paraId="74BDF2F3">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32.1投标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认为招标文件、招标过程、中标结果使自己的权益受到损害，应于法律法规的规定期限内以书面形式向招标人或招标代理机构提出质疑。招标人或招标代理机构应当在收到投标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的书面质疑后3个工作日内做出书面答复，但答复内容不得涉及商业秘密。</w:t>
      </w:r>
    </w:p>
    <w:p w14:paraId="361E4F89">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应按照下列规定进行质疑：</w:t>
      </w:r>
    </w:p>
    <w:p w14:paraId="43DE0CF7">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32.2提出质疑的投标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应当是参与本项目招标活动的投标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w:t>
      </w:r>
    </w:p>
    <w:p w14:paraId="38A44389">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32.3投标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应在法定质疑期内一次性提出针对同一采购程序环节的质疑。</w:t>
      </w:r>
    </w:p>
    <w:p w14:paraId="10BFB684">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32.4质疑采用实名制，为了使提出的质疑事项在规定时间内得到有效答复、处理，提交的质疑函务必提供以下内容。</w:t>
      </w:r>
    </w:p>
    <w:p w14:paraId="25C98DF7">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的姓名或名称、地址（邮箱）、邮编、联系人及联系电话；</w:t>
      </w:r>
    </w:p>
    <w:p w14:paraId="4058166C">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（2）质疑项目的名称、编号；</w:t>
      </w:r>
    </w:p>
    <w:p w14:paraId="0E60F0F9">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（3）具体、明确的质疑事项和与质疑事项相关的请求；</w:t>
      </w:r>
    </w:p>
    <w:p w14:paraId="38093BBA">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（4）事实依据；</w:t>
      </w:r>
    </w:p>
    <w:p w14:paraId="55451C0C">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（5）必要的法律依据；</w:t>
      </w:r>
    </w:p>
    <w:p w14:paraId="5751CB27">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（6）提出质疑的日期。</w:t>
      </w:r>
    </w:p>
    <w:p w14:paraId="77EB8C5A">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为自然人的，应当由本人签字；投标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为法人或者其他组织的，应当由法定代表人、单位负责人，或者其被授权人签字或者盖章，并加盖公章。</w:t>
      </w:r>
    </w:p>
    <w:p w14:paraId="22745C32">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32.5招标人或招标代理机构正式受理后方可生效。否则，为无效质疑。</w:t>
      </w:r>
    </w:p>
    <w:p w14:paraId="6501BB9C">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32.6有下列情况之一的质疑不予受理：</w:t>
      </w:r>
    </w:p>
    <w:p w14:paraId="0E873A86">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（1）无质疑函件或质疑函件缺少投标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法人印章、投标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法定代表人签字、有效授权书和联系方式之一的质疑；</w:t>
      </w:r>
    </w:p>
    <w:p w14:paraId="74DCDAE7">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（2）质疑函件无实质性内容或佐证文件资料，主观臆断及推理得出结论的质疑；</w:t>
      </w:r>
    </w:p>
    <w:p w14:paraId="57C6C0E9">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（3）相应证明材料不真实或来源不合法的质疑；</w:t>
      </w:r>
    </w:p>
    <w:p w14:paraId="7EE3812F">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（4）未按规定时间或超过公示期限提出的质疑；</w:t>
      </w:r>
    </w:p>
    <w:p w14:paraId="78DFE068">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32.7对捏造事实，提供虚假材料或者以非法手段取得证明材料进行恶意质疑的，一经查实，将列入平台黑名单。</w:t>
      </w:r>
    </w:p>
    <w:p w14:paraId="3FB0EB32">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32.8仲裁或起诉</w:t>
      </w:r>
    </w:p>
    <w:p w14:paraId="013BA8EC">
      <w:pPr>
        <w:spacing w:line="560" w:lineRule="exact"/>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对答复不满意，或者招标人、招标代理机构未在规定的时间内做出书面答复的，投标</w:t>
      </w:r>
      <w:r>
        <w:rPr>
          <w:rFonts w:hint="eastAsia" w:ascii="仿宋" w:hAnsi="仿宋" w:eastAsia="仿宋" w:cs="仿宋"/>
          <w:color w:val="000000" w:themeColor="text1"/>
          <w:sz w:val="28"/>
          <w:highlight w:val="none"/>
          <w14:textFill>
            <w14:solidFill>
              <w14:schemeClr w14:val="tx1"/>
            </w14:solidFill>
          </w14:textFill>
        </w:rPr>
        <w:t>人</w:t>
      </w:r>
      <w:r>
        <w:rPr>
          <w:rFonts w:ascii="仿宋" w:hAnsi="仿宋" w:eastAsia="仿宋" w:cs="仿宋"/>
          <w:color w:val="000000" w:themeColor="text1"/>
          <w:sz w:val="28"/>
          <w:highlight w:val="none"/>
          <w14:textFill>
            <w14:solidFill>
              <w14:schemeClr w14:val="tx1"/>
            </w14:solidFill>
          </w14:textFill>
        </w:rPr>
        <w:t>可以在答复期满后向招标人所在地仲裁机构、人民法院申请仲裁或起诉。</w:t>
      </w:r>
    </w:p>
    <w:p w14:paraId="68CC0B59">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86" w:name="_Toc130891912"/>
      <w:bookmarkStart w:id="87" w:name="_Toc66864050"/>
      <w:r>
        <w:rPr>
          <w:rStyle w:val="431"/>
          <w:rFonts w:hint="eastAsia" w:ascii="仿宋" w:hAnsi="仿宋" w:eastAsia="仿宋"/>
          <w:b/>
          <w:bCs/>
          <w:color w:val="000000" w:themeColor="text1"/>
          <w:kern w:val="2"/>
          <w:sz w:val="28"/>
          <w:szCs w:val="32"/>
          <w:highlight w:val="none"/>
          <w14:textFill>
            <w14:solidFill>
              <w14:schemeClr w14:val="tx1"/>
            </w14:solidFill>
          </w14:textFill>
        </w:rPr>
        <w:t>九、签订合同</w:t>
      </w:r>
      <w:bookmarkEnd w:id="86"/>
      <w:bookmarkEnd w:id="87"/>
    </w:p>
    <w:p w14:paraId="76DC3636">
      <w:pPr>
        <w:snapToGrid w:val="0"/>
        <w:spacing w:line="560" w:lineRule="exact"/>
        <w:ind w:firstLine="562" w:firstLineChars="201"/>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中标通知书发出之日起30日内，按招标文件、中标人的投标文件签订采购合同。</w:t>
      </w:r>
    </w:p>
    <w:p w14:paraId="44415970">
      <w:pPr>
        <w:snapToGrid w:val="0"/>
        <w:spacing w:line="560" w:lineRule="exact"/>
        <w:ind w:firstLine="562" w:firstLineChars="201"/>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Pr>
          <w:rFonts w:ascii="仿宋" w:hAnsi="仿宋" w:eastAsia="仿宋" w:cs="仿宋"/>
          <w:color w:val="000000" w:themeColor="text1"/>
          <w:sz w:val="28"/>
          <w:highlight w:val="none"/>
          <w14:textFill>
            <w14:solidFill>
              <w14:schemeClr w14:val="tx1"/>
            </w14:solidFill>
          </w14:textFill>
        </w:rPr>
        <w:t>第六章 合同（范本）</w:t>
      </w:r>
      <w:r>
        <w:rPr>
          <w:rFonts w:hint="eastAsia" w:ascii="仿宋" w:hAnsi="仿宋" w:eastAsia="仿宋"/>
          <w:color w:val="000000" w:themeColor="text1"/>
          <w:sz w:val="28"/>
          <w:szCs w:val="28"/>
          <w:highlight w:val="none"/>
          <w14:textFill>
            <w14:solidFill>
              <w14:schemeClr w14:val="tx1"/>
            </w14:solidFill>
          </w14:textFill>
        </w:rPr>
        <w:t>为基础，并根据响应、答疑情况进行修改补充，自签订之日起生效。</w:t>
      </w:r>
      <w:bookmarkEnd w:id="20"/>
      <w:bookmarkEnd w:id="21"/>
      <w:bookmarkEnd w:id="22"/>
      <w:bookmarkStart w:id="88" w:name="_Toc66864051"/>
      <w:bookmarkEnd w:id="88"/>
      <w:bookmarkStart w:id="89" w:name="_Toc66864046"/>
      <w:bookmarkEnd w:id="89"/>
      <w:bookmarkStart w:id="90" w:name="_Toc66864053"/>
      <w:bookmarkStart w:id="91" w:name="_Toc130891913"/>
      <w:bookmarkStart w:id="92" w:name="_Toc382129915"/>
      <w:bookmarkStart w:id="93" w:name="_Toc266431156"/>
      <w:bookmarkStart w:id="94" w:name="_Toc413596397"/>
    </w:p>
    <w:p w14:paraId="495175A1">
      <w:pPr>
        <w:pStyle w:val="4"/>
        <w:rPr>
          <w:rFonts w:hint="eastAsia" w:ascii="仿宋" w:hAnsi="仿宋" w:eastAsia="仿宋" w:cs="仿宋"/>
          <w:highlight w:val="none"/>
        </w:rPr>
      </w:pPr>
      <w:r>
        <w:rPr>
          <w:rFonts w:hint="eastAsia" w:ascii="仿宋" w:hAnsi="仿宋" w:eastAsia="仿宋" w:cs="仿宋"/>
          <w:highlight w:val="none"/>
        </w:rPr>
        <w:t>十、其他</w:t>
      </w:r>
    </w:p>
    <w:p w14:paraId="7918BBF6">
      <w:pPr>
        <w:snapToGrid w:val="0"/>
        <w:spacing w:line="560" w:lineRule="exact"/>
        <w:ind w:firstLine="562" w:firstLineChars="201"/>
        <w:rPr>
          <w:rFonts w:hint="eastAsia" w:ascii="仿宋" w:hAnsi="仿宋" w:eastAsia="仿宋" w:cs="仿宋"/>
          <w:b/>
          <w:bCs/>
          <w:color w:val="000000" w:themeColor="text1"/>
          <w:kern w:val="44"/>
          <w:sz w:val="44"/>
          <w:szCs w:val="44"/>
          <w:highlight w:val="none"/>
          <w14:textFill>
            <w14:solidFill>
              <w14:schemeClr w14:val="tx1"/>
            </w14:solidFill>
          </w14:textFill>
        </w:rPr>
      </w:pPr>
      <w:r>
        <w:rPr>
          <w:rFonts w:hint="eastAsia" w:ascii="仿宋" w:hAnsi="仿宋" w:eastAsia="仿宋" w:cs="仿宋"/>
          <w:sz w:val="28"/>
          <w:szCs w:val="28"/>
          <w:highlight w:val="none"/>
        </w:rPr>
        <w:t>中标人放弃中标、在规定时间内无正当理由拒绝签订合同、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r>
        <w:rPr>
          <w:rFonts w:ascii="仿宋" w:hAnsi="仿宋" w:eastAsia="仿宋" w:cs="仿宋"/>
          <w:color w:val="000000" w:themeColor="text1"/>
          <w:highlight w:val="none"/>
          <w14:textFill>
            <w14:solidFill>
              <w14:schemeClr w14:val="tx1"/>
            </w14:solidFill>
          </w14:textFill>
        </w:rPr>
        <w:br w:type="page"/>
      </w:r>
    </w:p>
    <w:p w14:paraId="44EFC06E">
      <w:pPr>
        <w:pStyle w:val="3"/>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第三章</w:t>
      </w:r>
      <w:bookmarkEnd w:id="90"/>
      <w:r>
        <w:rPr>
          <w:rFonts w:hint="eastAsia" w:ascii="仿宋" w:hAnsi="仿宋" w:eastAsia="仿宋" w:cs="仿宋"/>
          <w:color w:val="000000" w:themeColor="text1"/>
          <w:highlight w:val="none"/>
          <w14:textFill>
            <w14:solidFill>
              <w14:schemeClr w14:val="tx1"/>
            </w14:solidFill>
          </w14:textFill>
        </w:rPr>
        <w:t xml:space="preserve">  开标、评标、定标</w:t>
      </w:r>
      <w:bookmarkEnd w:id="91"/>
    </w:p>
    <w:p w14:paraId="3CB623BD">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95" w:name="_Toc130891914"/>
      <w:r>
        <w:rPr>
          <w:rStyle w:val="431"/>
          <w:rFonts w:hint="eastAsia" w:ascii="仿宋" w:hAnsi="仿宋" w:eastAsia="仿宋"/>
          <w:b/>
          <w:bCs/>
          <w:color w:val="000000" w:themeColor="text1"/>
          <w:kern w:val="2"/>
          <w:sz w:val="28"/>
          <w:szCs w:val="32"/>
          <w:highlight w:val="none"/>
          <w14:textFill>
            <w14:solidFill>
              <w14:schemeClr w14:val="tx1"/>
            </w14:solidFill>
          </w14:textFill>
        </w:rPr>
        <w:t>一、开标</w:t>
      </w:r>
      <w:bookmarkEnd w:id="95"/>
    </w:p>
    <w:p w14:paraId="3285D317">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招标代理机构在招标公告规定的时间和地点组织开标。投标截止时间结束后，投标人不足3家的不得开标。</w:t>
      </w:r>
    </w:p>
    <w:p w14:paraId="52FFF37E">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开标前准备：投标人需提前准备已配置好环境的电脑，在规定的时间进行远程开标的各项操作。</w:t>
      </w:r>
    </w:p>
    <w:p w14:paraId="402D165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开标程序：签到-开标-解密-唱标，具体详见“第二章 投标须知”。</w:t>
      </w:r>
    </w:p>
    <w:p w14:paraId="1CBE10B2">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（1）投标人代表应在签到表格相应位置上加盖CA锁中的法定代表人电子人名章或公章以证明其出席，在开标时间前未完成签到的将会被</w:t>
      </w:r>
      <w:r>
        <w:rPr>
          <w:rFonts w:hint="eastAsia" w:ascii="仿宋" w:hAnsi="仿宋" w:eastAsia="仿宋" w:cs="仿宋"/>
          <w:b/>
          <w:color w:val="000000" w:themeColor="text1"/>
          <w:sz w:val="28"/>
          <w:szCs w:val="28"/>
          <w:highlight w:val="none"/>
          <w14:textFill>
            <w14:solidFill>
              <w14:schemeClr w14:val="tx1"/>
            </w14:solidFill>
          </w14:textFill>
        </w:rPr>
        <w:t>视作</w:t>
      </w:r>
      <w:r>
        <w:rPr>
          <w:rFonts w:hint="eastAsia" w:ascii="仿宋" w:hAnsi="仿宋" w:eastAsia="仿宋" w:cs="仿宋"/>
          <w:color w:val="000000" w:themeColor="text1"/>
          <w:sz w:val="28"/>
          <w:szCs w:val="28"/>
          <w:highlight w:val="none"/>
          <w14:textFill>
            <w14:solidFill>
              <w14:schemeClr w14:val="tx1"/>
            </w14:solidFill>
          </w14:textFill>
        </w:rPr>
        <w:t>认同开标结果。</w:t>
      </w:r>
    </w:p>
    <w:p w14:paraId="42934C6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（2）投标须知前附表规定了文件解密时间，投标人忘记密码、输入密码错误太多导致CA锁定、未能按时完成解密、其《数据文件》填写、盖章不规范等导致系统无法解析的，将会被视为</w:t>
      </w:r>
      <w:r>
        <w:rPr>
          <w:rFonts w:hint="eastAsia" w:ascii="仿宋" w:hAnsi="仿宋" w:eastAsia="仿宋" w:cs="仿宋"/>
          <w:b/>
          <w:color w:val="000000" w:themeColor="text1"/>
          <w:sz w:val="28"/>
          <w:szCs w:val="28"/>
          <w:highlight w:val="none"/>
          <w14:textFill>
            <w14:solidFill>
              <w14:schemeClr w14:val="tx1"/>
            </w14:solidFill>
          </w14:textFill>
        </w:rPr>
        <w:t>无效投标</w:t>
      </w:r>
      <w:r>
        <w:rPr>
          <w:rFonts w:hint="eastAsia" w:ascii="仿宋" w:hAnsi="仿宋" w:eastAsia="仿宋" w:cs="仿宋"/>
          <w:color w:val="000000" w:themeColor="text1"/>
          <w:sz w:val="28"/>
          <w:szCs w:val="28"/>
          <w:highlight w:val="none"/>
          <w14:textFill>
            <w14:solidFill>
              <w14:schemeClr w14:val="tx1"/>
            </w14:solidFill>
          </w14:textFill>
        </w:rPr>
        <w:t>。</w:t>
      </w:r>
    </w:p>
    <w:p w14:paraId="27E655F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（3）开标过程应当由招标人或招标代理机构负责记录，最终形成开标一览表并加盖CA锁中的法定代表人电子人名章或公章。</w:t>
      </w:r>
    </w:p>
    <w:p w14:paraId="4A7DDDEB">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59B768BF">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应急开标程序：如需启动应急开标程序，应按第二章投标须知第</w:t>
      </w:r>
      <w:r>
        <w:rPr>
          <w:rFonts w:ascii="仿宋" w:hAnsi="仿宋" w:eastAsia="仿宋" w:cs="仿宋"/>
          <w:color w:val="000000" w:themeColor="text1"/>
          <w:sz w:val="28"/>
          <w:szCs w:val="28"/>
          <w:highlight w:val="none"/>
          <w14:textFill>
            <w14:solidFill>
              <w14:schemeClr w14:val="tx1"/>
            </w14:solidFill>
          </w14:textFill>
        </w:rPr>
        <w:t>22.11-22.13内容进行</w:t>
      </w:r>
      <w:r>
        <w:rPr>
          <w:rFonts w:hint="eastAsia" w:ascii="仿宋" w:hAnsi="仿宋" w:eastAsia="仿宋" w:cs="仿宋"/>
          <w:color w:val="000000" w:themeColor="text1"/>
          <w:sz w:val="28"/>
          <w:szCs w:val="28"/>
          <w:highlight w:val="none"/>
          <w14:textFill>
            <w14:solidFill>
              <w14:schemeClr w14:val="tx1"/>
            </w14:solidFill>
          </w14:textFill>
        </w:rPr>
        <w:t>。</w:t>
      </w:r>
    </w:p>
    <w:p w14:paraId="6C3A4233">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.录音、录像：威海市公共资源交易中心负责从提交投标文件开始到确定中标结果全过程的录音、录像工作，确保声音清楚、图像清晰、内容无遗漏。</w:t>
      </w:r>
    </w:p>
    <w:p w14:paraId="120A7E10">
      <w:pPr>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.评审过程中，如遇特殊情况，服从威海市公共资源交易中心场地调配，并遵守相关规章制度。</w:t>
      </w:r>
    </w:p>
    <w:p w14:paraId="3792F611">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96" w:name="_Toc130891915"/>
      <w:r>
        <w:rPr>
          <w:rStyle w:val="431"/>
          <w:rFonts w:hint="eastAsia" w:ascii="仿宋" w:hAnsi="仿宋" w:eastAsia="仿宋"/>
          <w:b/>
          <w:bCs/>
          <w:color w:val="000000" w:themeColor="text1"/>
          <w:kern w:val="2"/>
          <w:sz w:val="28"/>
          <w:szCs w:val="32"/>
          <w:highlight w:val="none"/>
          <w14:textFill>
            <w14:solidFill>
              <w14:schemeClr w14:val="tx1"/>
            </w14:solidFill>
          </w14:textFill>
        </w:rPr>
        <w:t>二、评标</w:t>
      </w:r>
      <w:bookmarkEnd w:id="96"/>
    </w:p>
    <w:p w14:paraId="1BF6C43E">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w:t>
      </w:r>
      <w:r>
        <w:rPr>
          <w:rFonts w:ascii="仿宋" w:hAnsi="仿宋" w:eastAsia="仿宋" w:cs="仿宋"/>
          <w:b/>
          <w:color w:val="000000" w:themeColor="text1"/>
          <w:sz w:val="28"/>
          <w:szCs w:val="28"/>
          <w:highlight w:val="none"/>
          <w14:textFill>
            <w14:solidFill>
              <w14:schemeClr w14:val="tx1"/>
            </w14:solidFill>
          </w14:textFill>
        </w:rPr>
        <w:t>.</w:t>
      </w:r>
      <w:r>
        <w:rPr>
          <w:rFonts w:hint="eastAsia" w:ascii="仿宋" w:hAnsi="仿宋" w:eastAsia="仿宋" w:cs="仿宋"/>
          <w:b/>
          <w:color w:val="000000" w:themeColor="text1"/>
          <w:sz w:val="28"/>
          <w:szCs w:val="28"/>
          <w:highlight w:val="none"/>
          <w14:textFill>
            <w14:solidFill>
              <w14:schemeClr w14:val="tx1"/>
            </w14:solidFill>
          </w14:textFill>
        </w:rPr>
        <w:t>评标原则</w:t>
      </w:r>
    </w:p>
    <w:p w14:paraId="64D33EBC">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“公平、公正、科学、择优”为本次评标的基本原则，评标委员会将按照这一原则的要求，公正、平等地对待各投标人，同时，在评标时恪守以下原则：</w:t>
      </w:r>
    </w:p>
    <w:p w14:paraId="171AA5B0">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（1）客观性原则：评标委员会将严格按照招标文件的要求，对投标人的投标文件进行认真评审，评标委员会对投标文件的评审仅依据投标文件本身，而不依靠投标文件以外的任何因素。</w:t>
      </w:r>
    </w:p>
    <w:p w14:paraId="74532049">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（2）统一性原则：评标委员会将按照统一的评标原则和评标方法，采用统一标准进行评标。</w:t>
      </w:r>
    </w:p>
    <w:p w14:paraId="340A7812">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（3）独立性原则：评标工作在评标委员会内部独立进行，不受外界任何因素的干扰和影响。</w:t>
      </w:r>
    </w:p>
    <w:p w14:paraId="10AD2595">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（4）保密性原则：评标委员会及熟知情况的有关工作人员必须对每位评委的评标意见和投标人的商业秘密严格保密，不得外泄。</w:t>
      </w:r>
    </w:p>
    <w:p w14:paraId="5D876CD7">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（5）综合性原则：评标委员会将综合分析、评审投标人的各项指标，而不以单项指标的优劣评定出中标人。</w:t>
      </w:r>
    </w:p>
    <w:p w14:paraId="2F675849">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t>2.</w:t>
      </w:r>
      <w:r>
        <w:rPr>
          <w:rFonts w:hint="eastAsia" w:ascii="仿宋" w:hAnsi="仿宋" w:eastAsia="仿宋" w:cs="仿宋"/>
          <w:b/>
          <w:color w:val="000000" w:themeColor="text1"/>
          <w:sz w:val="28"/>
          <w:szCs w:val="28"/>
          <w:highlight w:val="none"/>
          <w14:textFill>
            <w14:solidFill>
              <w14:schemeClr w14:val="tx1"/>
            </w14:solidFill>
          </w14:textFill>
        </w:rPr>
        <w:t>评标程序</w:t>
      </w:r>
    </w:p>
    <w:p w14:paraId="2AB2BCBE">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（1）</w:t>
      </w:r>
      <w:r>
        <w:rPr>
          <w:rFonts w:ascii="仿宋" w:hAnsi="仿宋" w:eastAsia="仿宋" w:cs="仿宋"/>
          <w:color w:val="000000" w:themeColor="text1"/>
          <w:sz w:val="28"/>
          <w:szCs w:val="21"/>
          <w:highlight w:val="none"/>
          <w14:textFill>
            <w14:solidFill>
              <w14:schemeClr w14:val="tx1"/>
            </w14:solidFill>
          </w14:textFill>
        </w:rPr>
        <w:t>核对评审专家身份</w:t>
      </w:r>
      <w:r>
        <w:rPr>
          <w:rFonts w:hint="eastAsia" w:ascii="仿宋" w:hAnsi="仿宋" w:eastAsia="仿宋" w:cs="仿宋"/>
          <w:color w:val="000000" w:themeColor="text1"/>
          <w:sz w:val="28"/>
          <w:szCs w:val="21"/>
          <w:highlight w:val="none"/>
          <w14:textFill>
            <w14:solidFill>
              <w14:schemeClr w14:val="tx1"/>
            </w14:solidFill>
          </w14:textFill>
        </w:rPr>
        <w:t>、招标人代表授权书（如有）</w:t>
      </w:r>
      <w:r>
        <w:rPr>
          <w:rFonts w:ascii="仿宋" w:hAnsi="仿宋" w:eastAsia="仿宋" w:cs="仿宋"/>
          <w:color w:val="000000" w:themeColor="text1"/>
          <w:sz w:val="28"/>
          <w:szCs w:val="21"/>
          <w:highlight w:val="none"/>
          <w14:textFill>
            <w14:solidFill>
              <w14:schemeClr w14:val="tx1"/>
            </w14:solidFill>
          </w14:textFill>
        </w:rPr>
        <w:t>；</w:t>
      </w:r>
    </w:p>
    <w:p w14:paraId="25FF7ECC">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（2）</w:t>
      </w:r>
      <w:r>
        <w:rPr>
          <w:rFonts w:ascii="仿宋" w:hAnsi="仿宋" w:eastAsia="仿宋" w:cs="仿宋"/>
          <w:color w:val="000000" w:themeColor="text1"/>
          <w:sz w:val="28"/>
          <w:szCs w:val="21"/>
          <w:highlight w:val="none"/>
          <w14:textFill>
            <w14:solidFill>
              <w14:schemeClr w14:val="tx1"/>
            </w14:solidFill>
          </w14:textFill>
        </w:rPr>
        <w:t>宣布评标纪律；</w:t>
      </w:r>
    </w:p>
    <w:p w14:paraId="55B00D4F">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（3）</w:t>
      </w:r>
      <w:r>
        <w:rPr>
          <w:rFonts w:ascii="仿宋" w:hAnsi="仿宋" w:eastAsia="仿宋" w:cs="仿宋"/>
          <w:color w:val="000000" w:themeColor="text1"/>
          <w:sz w:val="28"/>
          <w:szCs w:val="21"/>
          <w:highlight w:val="none"/>
          <w14:textFill>
            <w14:solidFill>
              <w14:schemeClr w14:val="tx1"/>
            </w14:solidFill>
          </w14:textFill>
        </w:rPr>
        <w:t>公布投标人名单，告知评审专家应当回避的情形；</w:t>
      </w:r>
    </w:p>
    <w:p w14:paraId="5DFB6830">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（4）</w:t>
      </w:r>
      <w:r>
        <w:rPr>
          <w:rFonts w:ascii="仿宋" w:hAnsi="仿宋" w:eastAsia="仿宋" w:cs="仿宋"/>
          <w:color w:val="000000" w:themeColor="text1"/>
          <w:sz w:val="28"/>
          <w:szCs w:val="21"/>
          <w:highlight w:val="none"/>
          <w14:textFill>
            <w14:solidFill>
              <w14:schemeClr w14:val="tx1"/>
            </w14:solidFill>
          </w14:textFill>
        </w:rPr>
        <w:t>组织评标委员会推选评标组长</w:t>
      </w:r>
      <w:r>
        <w:rPr>
          <w:rFonts w:hint="eastAsia" w:ascii="仿宋" w:hAnsi="仿宋" w:eastAsia="仿宋" w:cs="仿宋"/>
          <w:color w:val="000000" w:themeColor="text1"/>
          <w:sz w:val="28"/>
          <w:szCs w:val="21"/>
          <w:highlight w:val="none"/>
          <w14:textFill>
            <w14:solidFill>
              <w14:schemeClr w14:val="tx1"/>
            </w14:solidFill>
          </w14:textFill>
        </w:rPr>
        <w:t>，招标人代表不得担任评标组长（如有）</w:t>
      </w:r>
      <w:r>
        <w:rPr>
          <w:rFonts w:ascii="仿宋" w:hAnsi="仿宋" w:eastAsia="仿宋" w:cs="仿宋"/>
          <w:color w:val="000000" w:themeColor="text1"/>
          <w:sz w:val="28"/>
          <w:szCs w:val="21"/>
          <w:highlight w:val="none"/>
          <w14:textFill>
            <w14:solidFill>
              <w14:schemeClr w14:val="tx1"/>
            </w14:solidFill>
          </w14:textFill>
        </w:rPr>
        <w:t>；</w:t>
      </w:r>
    </w:p>
    <w:p w14:paraId="10D8E723">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（5）</w:t>
      </w:r>
      <w:r>
        <w:rPr>
          <w:rFonts w:ascii="仿宋" w:hAnsi="仿宋" w:eastAsia="仿宋" w:cs="仿宋"/>
          <w:color w:val="000000" w:themeColor="text1"/>
          <w:sz w:val="28"/>
          <w:szCs w:val="21"/>
          <w:highlight w:val="none"/>
          <w14:textFill>
            <w14:solidFill>
              <w14:schemeClr w14:val="tx1"/>
            </w14:solidFill>
          </w14:textFill>
        </w:rPr>
        <w:t>开标结束后，评标委员会对投标</w:t>
      </w:r>
      <w:r>
        <w:rPr>
          <w:rFonts w:hint="eastAsia" w:ascii="仿宋" w:hAnsi="仿宋" w:eastAsia="仿宋" w:cs="仿宋"/>
          <w:color w:val="000000" w:themeColor="text1"/>
          <w:sz w:val="28"/>
          <w:szCs w:val="21"/>
          <w:highlight w:val="none"/>
          <w14:textFill>
            <w14:solidFill>
              <w14:schemeClr w14:val="tx1"/>
            </w14:solidFill>
          </w14:textFill>
        </w:rPr>
        <w:t>人</w:t>
      </w:r>
      <w:r>
        <w:rPr>
          <w:rFonts w:ascii="仿宋" w:hAnsi="仿宋" w:eastAsia="仿宋" w:cs="仿宋"/>
          <w:color w:val="000000" w:themeColor="text1"/>
          <w:sz w:val="28"/>
          <w:szCs w:val="21"/>
          <w:highlight w:val="none"/>
          <w14:textFill>
            <w14:solidFill>
              <w14:schemeClr w14:val="tx1"/>
            </w14:solidFill>
          </w14:textFill>
        </w:rPr>
        <w:t>的投标文件进行资格性和符合性审查，以确定其是否满足招标文件的实质性要求。</w:t>
      </w:r>
      <w:r>
        <w:rPr>
          <w:rFonts w:hint="eastAsia" w:ascii="仿宋" w:hAnsi="仿宋" w:eastAsia="仿宋" w:cs="仿宋"/>
          <w:color w:val="000000" w:themeColor="text1"/>
          <w:sz w:val="28"/>
          <w:szCs w:val="21"/>
          <w:highlight w:val="none"/>
          <w14:textFill>
            <w14:solidFill>
              <w14:schemeClr w14:val="tx1"/>
            </w14:solidFill>
          </w14:textFill>
        </w:rPr>
        <w:t>详见第二章 《投标须知前附表》</w:t>
      </w:r>
      <w:r>
        <w:rPr>
          <w:rFonts w:ascii="仿宋" w:hAnsi="仿宋" w:eastAsia="仿宋" w:cs="仿宋"/>
          <w:color w:val="000000" w:themeColor="text1"/>
          <w:sz w:val="28"/>
          <w:szCs w:val="21"/>
          <w:highlight w:val="none"/>
          <w14:textFill>
            <w14:solidFill>
              <w14:schemeClr w14:val="tx1"/>
            </w14:solidFill>
          </w14:textFill>
        </w:rPr>
        <w:t>-《实质性条款一览表》中</w:t>
      </w:r>
      <w:r>
        <w:rPr>
          <w:rFonts w:hint="eastAsia" w:ascii="仿宋" w:hAnsi="仿宋" w:eastAsia="仿宋" w:cs="仿宋"/>
          <w:color w:val="000000" w:themeColor="text1"/>
          <w:sz w:val="28"/>
          <w:szCs w:val="21"/>
          <w:highlight w:val="none"/>
          <w14:textFill>
            <w14:solidFill>
              <w14:schemeClr w14:val="tx1"/>
            </w14:solidFill>
          </w14:textFill>
        </w:rPr>
        <w:t>资格性和</w:t>
      </w:r>
      <w:r>
        <w:rPr>
          <w:rFonts w:ascii="仿宋" w:hAnsi="仿宋" w:eastAsia="仿宋" w:cs="仿宋"/>
          <w:color w:val="000000" w:themeColor="text1"/>
          <w:sz w:val="28"/>
          <w:szCs w:val="21"/>
          <w:highlight w:val="none"/>
          <w14:textFill>
            <w14:solidFill>
              <w14:schemeClr w14:val="tx1"/>
            </w14:solidFill>
          </w14:textFill>
        </w:rPr>
        <w:t>符合性检查条款。</w:t>
      </w:r>
    </w:p>
    <w:p w14:paraId="6C27DA31">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w:t>
      </w:r>
      <w:r>
        <w:rPr>
          <w:rFonts w:ascii="仿宋" w:hAnsi="仿宋" w:eastAsia="仿宋" w:cs="仿宋"/>
          <w:color w:val="000000" w:themeColor="text1"/>
          <w:sz w:val="28"/>
          <w:szCs w:val="21"/>
          <w:highlight w:val="none"/>
          <w14:textFill>
            <w14:solidFill>
              <w14:schemeClr w14:val="tx1"/>
            </w14:solidFill>
          </w14:textFill>
        </w:rPr>
        <w:t>6</w:t>
      </w:r>
      <w:r>
        <w:rPr>
          <w:rFonts w:hint="eastAsia" w:ascii="仿宋" w:hAnsi="仿宋" w:eastAsia="仿宋" w:cs="仿宋"/>
          <w:color w:val="000000" w:themeColor="text1"/>
          <w:sz w:val="28"/>
          <w:szCs w:val="21"/>
          <w:highlight w:val="none"/>
          <w14:textFill>
            <w14:solidFill>
              <w14:schemeClr w14:val="tx1"/>
            </w14:solidFill>
          </w14:textFill>
        </w:rPr>
        <w:t>）</w:t>
      </w:r>
      <w:r>
        <w:rPr>
          <w:rFonts w:ascii="仿宋" w:hAnsi="仿宋" w:eastAsia="仿宋" w:cs="仿宋"/>
          <w:color w:val="000000" w:themeColor="text1"/>
          <w:sz w:val="28"/>
          <w:szCs w:val="21"/>
          <w:highlight w:val="none"/>
          <w14:textFill>
            <w14:solidFill>
              <w14:schemeClr w14:val="tx1"/>
            </w14:solidFill>
          </w14:textFill>
        </w:rPr>
        <w:t>属于无效投标的，投标人不能通过修正或撤销投标文件中不符合之处而成为实质性响应的投标，</w:t>
      </w:r>
      <w:r>
        <w:rPr>
          <w:rFonts w:hint="eastAsia" w:ascii="仿宋" w:hAnsi="仿宋" w:eastAsia="仿宋" w:cs="仿宋"/>
          <w:color w:val="000000" w:themeColor="text1"/>
          <w:sz w:val="28"/>
          <w:szCs w:val="21"/>
          <w:highlight w:val="none"/>
          <w14:textFill>
            <w14:solidFill>
              <w14:schemeClr w14:val="tx1"/>
            </w14:solidFill>
          </w14:textFill>
        </w:rPr>
        <w:t>招标</w:t>
      </w:r>
      <w:r>
        <w:rPr>
          <w:rFonts w:ascii="仿宋" w:hAnsi="仿宋" w:eastAsia="仿宋" w:cs="仿宋"/>
          <w:color w:val="000000" w:themeColor="text1"/>
          <w:sz w:val="28"/>
          <w:szCs w:val="21"/>
          <w:highlight w:val="none"/>
          <w14:textFill>
            <w14:solidFill>
              <w14:schemeClr w14:val="tx1"/>
            </w14:solidFill>
          </w14:textFill>
        </w:rPr>
        <w:t>代理将通知投标人，并说明无效投标理由；属于有效投标文件的，将进行下一轮次的询标和澄清、说明或补正。</w:t>
      </w:r>
    </w:p>
    <w:p w14:paraId="4FEA77A5">
      <w:pPr>
        <w:spacing w:line="520" w:lineRule="exact"/>
        <w:ind w:firstLine="562" w:firstLineChars="200"/>
        <w:rPr>
          <w:rFonts w:hint="eastAsia" w:ascii="仿宋" w:hAnsi="仿宋" w:eastAsia="仿宋" w:cs="仿宋"/>
          <w:b/>
          <w:bCs/>
          <w:color w:val="000000" w:themeColor="text1"/>
          <w:sz w:val="28"/>
          <w:szCs w:val="21"/>
          <w:highlight w:val="none"/>
          <w14:textFill>
            <w14:solidFill>
              <w14:schemeClr w14:val="tx1"/>
            </w14:solidFill>
          </w14:textFill>
        </w:rPr>
      </w:pPr>
      <w:r>
        <w:rPr>
          <w:rFonts w:hint="eastAsia" w:ascii="仿宋" w:hAnsi="仿宋" w:eastAsia="仿宋" w:cs="仿宋"/>
          <w:b/>
          <w:bCs/>
          <w:color w:val="000000" w:themeColor="text1"/>
          <w:sz w:val="28"/>
          <w:szCs w:val="21"/>
          <w:highlight w:val="none"/>
          <w14:textFill>
            <w14:solidFill>
              <w14:schemeClr w14:val="tx1"/>
            </w14:solidFill>
          </w14:textFill>
        </w:rPr>
        <w:t>（</w:t>
      </w:r>
      <w:r>
        <w:rPr>
          <w:rFonts w:ascii="仿宋" w:hAnsi="仿宋" w:eastAsia="仿宋" w:cs="仿宋"/>
          <w:b/>
          <w:bCs/>
          <w:color w:val="000000" w:themeColor="text1"/>
          <w:sz w:val="28"/>
          <w:szCs w:val="21"/>
          <w:highlight w:val="none"/>
          <w14:textFill>
            <w14:solidFill>
              <w14:schemeClr w14:val="tx1"/>
            </w14:solidFill>
          </w14:textFill>
        </w:rPr>
        <w:t>7</w:t>
      </w:r>
      <w:r>
        <w:rPr>
          <w:rFonts w:hint="eastAsia" w:ascii="仿宋" w:hAnsi="仿宋" w:eastAsia="仿宋" w:cs="仿宋"/>
          <w:b/>
          <w:bCs/>
          <w:color w:val="000000" w:themeColor="text1"/>
          <w:sz w:val="28"/>
          <w:szCs w:val="21"/>
          <w:highlight w:val="none"/>
          <w14:textFill>
            <w14:solidFill>
              <w14:schemeClr w14:val="tx1"/>
            </w14:solidFill>
          </w14:textFill>
        </w:rPr>
        <w:t>）</w:t>
      </w:r>
      <w:r>
        <w:rPr>
          <w:rFonts w:ascii="仿宋" w:hAnsi="仿宋" w:eastAsia="仿宋" w:cs="仿宋"/>
          <w:b/>
          <w:bCs/>
          <w:color w:val="000000" w:themeColor="text1"/>
          <w:sz w:val="28"/>
          <w:szCs w:val="21"/>
          <w:highlight w:val="none"/>
          <w14:textFill>
            <w14:solidFill>
              <w14:schemeClr w14:val="tx1"/>
            </w14:solidFill>
          </w14:textFill>
        </w:rPr>
        <w:t>澄清、说明或者补正</w:t>
      </w:r>
    </w:p>
    <w:p w14:paraId="70FCD9DE">
      <w:pPr>
        <w:spacing w:line="520" w:lineRule="exact"/>
        <w:ind w:firstLine="840" w:firstLineChars="300"/>
        <w:rPr>
          <w:rFonts w:hint="eastAsia" w:ascii="仿宋" w:hAnsi="仿宋" w:eastAsia="仿宋" w:cs="仿宋"/>
          <w:color w:val="000000" w:themeColor="text1"/>
          <w:sz w:val="28"/>
          <w:szCs w:val="21"/>
          <w:highlight w:val="none"/>
          <w14:textFill>
            <w14:solidFill>
              <w14:schemeClr w14:val="tx1"/>
            </w14:solidFill>
          </w14:textFill>
        </w:rPr>
      </w:pPr>
      <w:r>
        <w:rPr>
          <w:rFonts w:ascii="仿宋" w:hAnsi="仿宋" w:eastAsia="仿宋" w:cs="仿宋"/>
          <w:color w:val="000000" w:themeColor="text1"/>
          <w:sz w:val="28"/>
          <w:szCs w:val="21"/>
          <w:highlight w:val="none"/>
          <w14:textFill>
            <w14:solidFill>
              <w14:schemeClr w14:val="tx1"/>
            </w14:solidFill>
          </w14:textFill>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或盖章，且不得超出投标文件的范围或者改变投标文件的实质性内容。</w:t>
      </w:r>
    </w:p>
    <w:p w14:paraId="2F3F0D30">
      <w:pPr>
        <w:spacing w:line="520" w:lineRule="exact"/>
        <w:ind w:firstLine="840" w:firstLineChars="300"/>
        <w:rPr>
          <w:rFonts w:hint="eastAsia" w:ascii="仿宋" w:hAnsi="仿宋" w:eastAsia="仿宋" w:cs="仿宋"/>
          <w:color w:val="000000" w:themeColor="text1"/>
          <w:sz w:val="28"/>
          <w:szCs w:val="21"/>
          <w:highlight w:val="none"/>
          <w14:textFill>
            <w14:solidFill>
              <w14:schemeClr w14:val="tx1"/>
            </w14:solidFill>
          </w14:textFill>
        </w:rPr>
      </w:pPr>
      <w:r>
        <w:rPr>
          <w:rFonts w:ascii="仿宋" w:hAnsi="仿宋" w:eastAsia="仿宋" w:cs="仿宋"/>
          <w:color w:val="000000" w:themeColor="text1"/>
          <w:sz w:val="28"/>
          <w:szCs w:val="21"/>
          <w:highlight w:val="none"/>
          <w14:textFill>
            <w14:solidFill>
              <w14:schemeClr w14:val="tx1"/>
            </w14:solidFill>
          </w14:textFill>
        </w:rPr>
        <w:t>2）投标人依据评审要求进行澄清、说明或者补正的内容构成投标文件的组成部分。</w:t>
      </w:r>
    </w:p>
    <w:p w14:paraId="20E9C7E0">
      <w:pPr>
        <w:spacing w:line="520" w:lineRule="exact"/>
        <w:ind w:firstLine="562" w:firstLineChars="200"/>
        <w:rPr>
          <w:rFonts w:hint="eastAsia" w:ascii="仿宋" w:hAnsi="仿宋" w:eastAsia="仿宋" w:cs="仿宋"/>
          <w:b/>
          <w:bCs/>
          <w:color w:val="000000" w:themeColor="text1"/>
          <w:sz w:val="28"/>
          <w:szCs w:val="21"/>
          <w:highlight w:val="none"/>
          <w14:textFill>
            <w14:solidFill>
              <w14:schemeClr w14:val="tx1"/>
            </w14:solidFill>
          </w14:textFill>
        </w:rPr>
      </w:pPr>
      <w:r>
        <w:rPr>
          <w:rFonts w:hint="eastAsia" w:ascii="仿宋" w:hAnsi="仿宋" w:eastAsia="仿宋" w:cs="仿宋"/>
          <w:b/>
          <w:bCs/>
          <w:color w:val="000000" w:themeColor="text1"/>
          <w:sz w:val="28"/>
          <w:szCs w:val="21"/>
          <w:highlight w:val="none"/>
          <w14:textFill>
            <w14:solidFill>
              <w14:schemeClr w14:val="tx1"/>
            </w14:solidFill>
          </w14:textFill>
        </w:rPr>
        <w:t>（</w:t>
      </w:r>
      <w:r>
        <w:rPr>
          <w:rFonts w:ascii="仿宋" w:hAnsi="仿宋" w:eastAsia="仿宋" w:cs="仿宋"/>
          <w:b/>
          <w:bCs/>
          <w:color w:val="000000" w:themeColor="text1"/>
          <w:sz w:val="28"/>
          <w:szCs w:val="21"/>
          <w:highlight w:val="none"/>
          <w14:textFill>
            <w14:solidFill>
              <w14:schemeClr w14:val="tx1"/>
            </w14:solidFill>
          </w14:textFill>
        </w:rPr>
        <w:t>8</w:t>
      </w:r>
      <w:r>
        <w:rPr>
          <w:rFonts w:hint="eastAsia" w:ascii="仿宋" w:hAnsi="仿宋" w:eastAsia="仿宋" w:cs="仿宋"/>
          <w:b/>
          <w:bCs/>
          <w:color w:val="000000" w:themeColor="text1"/>
          <w:sz w:val="28"/>
          <w:szCs w:val="21"/>
          <w:highlight w:val="none"/>
          <w14:textFill>
            <w14:solidFill>
              <w14:schemeClr w14:val="tx1"/>
            </w14:solidFill>
          </w14:textFill>
        </w:rPr>
        <w:t>）</w:t>
      </w:r>
      <w:r>
        <w:rPr>
          <w:rFonts w:ascii="仿宋" w:hAnsi="仿宋" w:eastAsia="仿宋" w:cs="仿宋"/>
          <w:b/>
          <w:bCs/>
          <w:color w:val="000000" w:themeColor="text1"/>
          <w:sz w:val="28"/>
          <w:szCs w:val="21"/>
          <w:highlight w:val="none"/>
          <w14:textFill>
            <w14:solidFill>
              <w14:schemeClr w14:val="tx1"/>
            </w14:solidFill>
          </w14:textFill>
        </w:rPr>
        <w:t>比较与评价</w:t>
      </w:r>
    </w:p>
    <w:p w14:paraId="43A5A342">
      <w:pPr>
        <w:spacing w:line="518" w:lineRule="exact"/>
        <w:ind w:firstLine="548" w:firstLineChars="196"/>
        <w:rPr>
          <w:rFonts w:hint="eastAsia" w:ascii="仿宋" w:hAnsi="仿宋" w:eastAsia="仿宋" w:cs="仿宋_GB2312"/>
          <w:color w:val="000000" w:themeColor="text1"/>
          <w:sz w:val="28"/>
          <w:highlight w:val="none"/>
          <w14:textFill>
            <w14:solidFill>
              <w14:schemeClr w14:val="tx1"/>
            </w14:solidFill>
          </w14:textFill>
        </w:rPr>
      </w:pPr>
      <w:r>
        <w:rPr>
          <w:rFonts w:ascii="仿宋" w:hAnsi="仿宋" w:eastAsia="仿宋" w:cs="仿宋_GB2312"/>
          <w:color w:val="000000" w:themeColor="text1"/>
          <w:sz w:val="28"/>
          <w:highlight w:val="none"/>
          <w14:textFill>
            <w14:solidFill>
              <w14:schemeClr w14:val="tx1"/>
            </w14:solidFill>
          </w14:textFill>
        </w:rPr>
        <w:t>评标委员会按招标文件中规定的评标方法和评标标准对有效投标文件的商务和技术进行评分，综合比较和评价，按综合得分高低列出</w:t>
      </w:r>
      <w:r>
        <w:rPr>
          <w:rFonts w:hint="eastAsia" w:ascii="仿宋" w:hAnsi="仿宋" w:eastAsia="仿宋" w:cs="仿宋_GB2312"/>
          <w:color w:val="000000" w:themeColor="text1"/>
          <w:sz w:val="28"/>
          <w:highlight w:val="none"/>
          <w14:textFill>
            <w14:solidFill>
              <w14:schemeClr w14:val="tx1"/>
            </w14:solidFill>
          </w14:textFill>
        </w:rPr>
        <w:t>3名</w:t>
      </w:r>
      <w:r>
        <w:rPr>
          <w:rFonts w:ascii="仿宋" w:hAnsi="仿宋" w:eastAsia="仿宋" w:cs="仿宋_GB2312"/>
          <w:color w:val="000000" w:themeColor="text1"/>
          <w:sz w:val="28"/>
          <w:highlight w:val="none"/>
          <w14:textFill>
            <w14:solidFill>
              <w14:schemeClr w14:val="tx1"/>
            </w14:solidFill>
          </w14:textFill>
        </w:rPr>
        <w:t>中标候选人排序表。若总分相同，以报价得分高的排前；若总分、报价得分都相同，则以</w:t>
      </w:r>
      <w:r>
        <w:rPr>
          <w:rFonts w:hint="eastAsia" w:ascii="仿宋" w:hAnsi="仿宋" w:eastAsia="仿宋" w:cs="仿宋_GB2312"/>
          <w:color w:val="000000" w:themeColor="text1"/>
          <w:sz w:val="28"/>
          <w:highlight w:val="none"/>
          <w14:textFill>
            <w14:solidFill>
              <w14:schemeClr w14:val="tx1"/>
            </w14:solidFill>
          </w14:textFill>
        </w:rPr>
        <w:t>会议策划方案</w:t>
      </w:r>
      <w:r>
        <w:rPr>
          <w:rFonts w:ascii="仿宋" w:hAnsi="仿宋" w:eastAsia="仿宋" w:cs="仿宋_GB2312"/>
          <w:color w:val="000000" w:themeColor="text1"/>
          <w:sz w:val="28"/>
          <w:highlight w:val="none"/>
          <w14:textFill>
            <w14:solidFill>
              <w14:schemeClr w14:val="tx1"/>
            </w14:solidFill>
          </w14:textFill>
        </w:rPr>
        <w:t>得分高的排前。</w:t>
      </w:r>
    </w:p>
    <w:p w14:paraId="4474EE5F">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w:t>
      </w:r>
      <w:r>
        <w:rPr>
          <w:rFonts w:ascii="仿宋" w:hAnsi="仿宋" w:eastAsia="仿宋" w:cs="仿宋"/>
          <w:b/>
          <w:color w:val="000000" w:themeColor="text1"/>
          <w:sz w:val="28"/>
          <w:szCs w:val="28"/>
          <w:highlight w:val="none"/>
          <w14:textFill>
            <w14:solidFill>
              <w14:schemeClr w14:val="tx1"/>
            </w14:solidFill>
          </w14:textFill>
        </w:rPr>
        <w:t>9</w:t>
      </w:r>
      <w:r>
        <w:rPr>
          <w:rFonts w:hint="eastAsia" w:ascii="仿宋" w:hAnsi="仿宋" w:eastAsia="仿宋" w:cs="仿宋"/>
          <w:b/>
          <w:color w:val="000000" w:themeColor="text1"/>
          <w:sz w:val="28"/>
          <w:szCs w:val="28"/>
          <w:highlight w:val="none"/>
          <w14:textFill>
            <w14:solidFill>
              <w14:schemeClr w14:val="tx1"/>
            </w14:solidFill>
          </w14:textFill>
        </w:rPr>
        <w:t>）出现下列情形之一的，应予废标：</w:t>
      </w:r>
    </w:p>
    <w:p w14:paraId="54E992B8">
      <w:pPr>
        <w:spacing w:line="560" w:lineRule="exact"/>
        <w:ind w:firstLine="842" w:firstLineChars="3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1"/>
          <w:highlight w:val="none"/>
          <w14:textFill>
            <w14:solidFill>
              <w14:schemeClr w14:val="tx1"/>
            </w14:solidFill>
          </w14:textFill>
        </w:rPr>
        <w:t>合格的投标人或参加投标的企业不足三家的</w:t>
      </w:r>
      <w:r>
        <w:rPr>
          <w:rFonts w:hint="eastAsia" w:ascii="仿宋" w:hAnsi="仿宋" w:eastAsia="仿宋" w:cs="仿宋"/>
          <w:color w:val="000000" w:themeColor="text1"/>
          <w:sz w:val="28"/>
          <w:szCs w:val="28"/>
          <w:highlight w:val="none"/>
          <w14:textFill>
            <w14:solidFill>
              <w14:schemeClr w14:val="tx1"/>
            </w14:solidFill>
          </w14:textFill>
        </w:rPr>
        <w:t>；</w:t>
      </w:r>
    </w:p>
    <w:p w14:paraId="1FAE7F60">
      <w:pPr>
        <w:spacing w:line="560" w:lineRule="exact"/>
        <w:ind w:firstLine="842" w:firstLineChars="3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2）出现影响招标公正的违法、违规行为的；</w:t>
      </w:r>
    </w:p>
    <w:p w14:paraId="04595A40">
      <w:pPr>
        <w:spacing w:line="560" w:lineRule="exact"/>
        <w:ind w:firstLine="842" w:firstLineChars="301"/>
        <w:rPr>
          <w:rFonts w:hint="eastAsia" w:ascii="仿宋" w:hAnsi="仿宋" w:eastAsia="仿宋" w:cs="仿宋"/>
          <w:sz w:val="28"/>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t>3）投标报价超过招标文件中规定的最高限价，招标人不能支付的；</w:t>
      </w:r>
    </w:p>
    <w:p w14:paraId="72E7EA97">
      <w:pPr>
        <w:spacing w:line="560" w:lineRule="exact"/>
        <w:ind w:firstLine="842" w:firstLineChars="3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4）因重大变故，招标任务取消的。</w:t>
      </w:r>
    </w:p>
    <w:p w14:paraId="461F9C8A">
      <w:pPr>
        <w:spacing w:line="560" w:lineRule="exact"/>
        <w:ind w:firstLine="565"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t>3</w:t>
      </w:r>
      <w:r>
        <w:rPr>
          <w:rFonts w:hint="eastAsia" w:ascii="仿宋" w:hAnsi="仿宋" w:eastAsia="仿宋" w:cs="仿宋"/>
          <w:b/>
          <w:color w:val="000000" w:themeColor="text1"/>
          <w:sz w:val="28"/>
          <w:szCs w:val="28"/>
          <w:highlight w:val="none"/>
          <w14:textFill>
            <w14:solidFill>
              <w14:schemeClr w14:val="tx1"/>
            </w14:solidFill>
          </w14:textFill>
        </w:rPr>
        <w:t>.评标方法：</w:t>
      </w:r>
    </w:p>
    <w:p w14:paraId="45C5335F">
      <w:pPr>
        <w:spacing w:line="560" w:lineRule="exact"/>
        <w:ind w:firstLine="562" w:firstLineChars="201"/>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（1）综合评分法，即投标人的投标文件满足招标文件全部实质性要求，对评审因素的量化指标进行打分，按照综合得分由高到低的顺序确定投标人排序。</w:t>
      </w:r>
    </w:p>
    <w:p w14:paraId="3950AA2A">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bookmarkStart w:id="97" w:name="_Hlk191971768"/>
      <w:r>
        <w:rPr>
          <w:rFonts w:hint="eastAsia" w:ascii="仿宋" w:hAnsi="仿宋" w:eastAsia="仿宋" w:cs="仿宋"/>
          <w:color w:val="000000" w:themeColor="text1"/>
          <w:sz w:val="28"/>
          <w:szCs w:val="21"/>
          <w:highlight w:val="none"/>
          <w14:textFill>
            <w14:solidFill>
              <w14:schemeClr w14:val="tx1"/>
            </w14:solidFill>
          </w14:textFill>
        </w:rPr>
        <w:t>（2）评标细则</w:t>
      </w:r>
    </w:p>
    <w:p w14:paraId="6B7D2BFE">
      <w:pPr>
        <w:pStyle w:val="19"/>
        <w:rPr>
          <w:rFonts w:hint="eastAsia"/>
          <w:highlight w:val="none"/>
        </w:rPr>
      </w:pPr>
    </w:p>
    <w:p w14:paraId="71292E7C">
      <w:pPr>
        <w:pStyle w:val="20"/>
        <w:ind w:left="5250"/>
        <w:rPr>
          <w:highlight w:val="none"/>
        </w:rPr>
      </w:pPr>
    </w:p>
    <w:p w14:paraId="36E1D49E">
      <w:pPr>
        <w:rPr>
          <w:rFonts w:hint="eastAsia"/>
          <w:highlight w:val="none"/>
        </w:rPr>
      </w:pPr>
    </w:p>
    <w:tbl>
      <w:tblPr>
        <w:tblStyle w:val="52"/>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1257"/>
        <w:gridCol w:w="5458"/>
        <w:gridCol w:w="1094"/>
        <w:gridCol w:w="826"/>
      </w:tblGrid>
      <w:tr w14:paraId="27572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893" w:hRule="atLeast"/>
          <w:jc w:val="center"/>
        </w:trPr>
        <w:tc>
          <w:tcPr>
            <w:tcW w:w="826" w:type="dxa"/>
            <w:shd w:val="clear" w:color="auto" w:fill="D9D9D9"/>
            <w:noWrap/>
            <w:vAlign w:val="center"/>
          </w:tcPr>
          <w:p w14:paraId="3479AB8B">
            <w:pPr>
              <w:jc w:val="center"/>
              <w:rPr>
                <w:rFonts w:hint="eastAsia" w:ascii="仿宋" w:hAnsi="仿宋" w:eastAsia="仿宋" w:cs="仿宋"/>
                <w:b/>
                <w:sz w:val="28"/>
                <w:szCs w:val="28"/>
                <w:highlight w:val="none"/>
              </w:rPr>
            </w:pPr>
            <w:bookmarkStart w:id="98" w:name="OLE_LINK11"/>
            <w:r>
              <w:rPr>
                <w:rFonts w:hint="eastAsia" w:ascii="仿宋" w:hAnsi="仿宋" w:eastAsia="仿宋" w:cs="仿宋"/>
                <w:b/>
                <w:sz w:val="28"/>
                <w:szCs w:val="28"/>
                <w:highlight w:val="none"/>
              </w:rPr>
              <w:t>编号</w:t>
            </w:r>
          </w:p>
        </w:tc>
        <w:tc>
          <w:tcPr>
            <w:tcW w:w="1257" w:type="dxa"/>
            <w:shd w:val="clear" w:color="auto" w:fill="D9D9D9"/>
            <w:noWrap/>
            <w:vAlign w:val="center"/>
          </w:tcPr>
          <w:p w14:paraId="0FCE067D">
            <w:pPr>
              <w:spacing w:line="40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评分</w:t>
            </w:r>
          </w:p>
          <w:p w14:paraId="6DDBAC2B">
            <w:pPr>
              <w:spacing w:line="400" w:lineRule="exact"/>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标题</w:t>
            </w:r>
          </w:p>
        </w:tc>
        <w:tc>
          <w:tcPr>
            <w:tcW w:w="5458" w:type="dxa"/>
            <w:shd w:val="clear" w:color="auto" w:fill="D9D9D9"/>
            <w:noWrap/>
            <w:vAlign w:val="center"/>
          </w:tcPr>
          <w:p w14:paraId="1F68E7C2">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评分标准</w:t>
            </w:r>
          </w:p>
        </w:tc>
        <w:tc>
          <w:tcPr>
            <w:tcW w:w="1094" w:type="dxa"/>
            <w:shd w:val="clear" w:color="auto" w:fill="D9D9D9"/>
            <w:noWrap/>
            <w:vAlign w:val="center"/>
          </w:tcPr>
          <w:p w14:paraId="168FB3F4">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性质</w:t>
            </w:r>
          </w:p>
        </w:tc>
        <w:tc>
          <w:tcPr>
            <w:tcW w:w="826" w:type="dxa"/>
            <w:shd w:val="clear" w:color="auto" w:fill="D9D9D9"/>
            <w:noWrap/>
            <w:vAlign w:val="center"/>
          </w:tcPr>
          <w:p w14:paraId="21F74D24">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分数</w:t>
            </w:r>
          </w:p>
        </w:tc>
      </w:tr>
      <w:tr w14:paraId="015B7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ign w:val="center"/>
          </w:tcPr>
          <w:p w14:paraId="5642D87A">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257" w:type="dxa"/>
            <w:noWrap/>
            <w:vAlign w:val="center"/>
          </w:tcPr>
          <w:p w14:paraId="50286B2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报价</w:t>
            </w:r>
          </w:p>
        </w:tc>
        <w:tc>
          <w:tcPr>
            <w:tcW w:w="5458" w:type="dxa"/>
            <w:noWrap/>
            <w:vAlign w:val="center"/>
          </w:tcPr>
          <w:p w14:paraId="39A39641">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投标报价高于最高限价的，投标无效。</w:t>
            </w:r>
          </w:p>
          <w:p w14:paraId="53C80258">
            <w:pPr>
              <w:spacing w:line="400" w:lineRule="exact"/>
              <w:jc w:val="left"/>
              <w:rPr>
                <w:rFonts w:hint="eastAsia" w:ascii="仿宋" w:hAnsi="仿宋" w:eastAsia="仿宋" w:cs="仿宋"/>
                <w:sz w:val="28"/>
                <w:szCs w:val="28"/>
                <w:highlight w:val="none"/>
              </w:rPr>
            </w:pPr>
            <w:r>
              <w:rPr>
                <w:rFonts w:hint="eastAsia" w:ascii="仿宋" w:hAnsi="仿宋" w:eastAsia="仿宋" w:cs="Times New Roman"/>
                <w:sz w:val="28"/>
                <w:szCs w:val="28"/>
                <w:highlight w:val="none"/>
              </w:rPr>
              <w:t>投标报价等于评标基准价的，得满分</w:t>
            </w:r>
            <w:r>
              <w:rPr>
                <w:rFonts w:ascii="仿宋" w:hAnsi="仿宋" w:eastAsia="仿宋" w:cs="Times New Roman"/>
                <w:sz w:val="28"/>
                <w:szCs w:val="28"/>
                <w:highlight w:val="none"/>
              </w:rPr>
              <w:t>3</w:t>
            </w:r>
            <w:r>
              <w:rPr>
                <w:rFonts w:hint="eastAsia" w:ascii="仿宋" w:hAnsi="仿宋" w:eastAsia="仿宋" w:cs="Times New Roman"/>
                <w:sz w:val="28"/>
                <w:szCs w:val="28"/>
                <w:highlight w:val="none"/>
              </w:rPr>
              <w:t>0分；投标报价每高于评标基准价1％扣0.</w:t>
            </w:r>
            <w:r>
              <w:rPr>
                <w:rFonts w:ascii="仿宋" w:hAnsi="仿宋" w:eastAsia="仿宋" w:cs="Times New Roman"/>
                <w:sz w:val="28"/>
                <w:szCs w:val="28"/>
                <w:highlight w:val="none"/>
              </w:rPr>
              <w:t>2</w:t>
            </w:r>
            <w:r>
              <w:rPr>
                <w:rFonts w:hint="eastAsia" w:ascii="仿宋" w:hAnsi="仿宋" w:eastAsia="仿宋" w:cs="Times New Roman"/>
                <w:sz w:val="28"/>
                <w:szCs w:val="28"/>
                <w:highlight w:val="none"/>
              </w:rPr>
              <w:t>分，每低于评标基准价1％扣0.1分，最低计至0分（得分精确到小数点后2位，分数计算过程中，比例不足部分按直线插入法计算）。</w:t>
            </w:r>
          </w:p>
          <w:p w14:paraId="3B0ED5CB">
            <w:pPr>
              <w:snapToGrid w:val="0"/>
              <w:spacing w:line="4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评标基准价技术方法：</w:t>
            </w:r>
          </w:p>
          <w:p w14:paraId="432C8ED5">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当n（有效投标人个数，以下相同）≤5时，评标基准价=所有有效投标报价的算术平均值；</w:t>
            </w:r>
          </w:p>
          <w:p w14:paraId="1F70632A">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当5＜n≤9时，评标基准价=所有有效投标报价中去掉1个最高价、1个最低价后的算术平均值；</w:t>
            </w:r>
          </w:p>
          <w:p w14:paraId="2BEB6175">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当n≥10时，评标基准价=所有有效投标报价中去掉2个最高价、2个最低价后的算术平均值。</w:t>
            </w:r>
          </w:p>
          <w:p w14:paraId="5053E6D0">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偏差率计算公式：</w:t>
            </w:r>
          </w:p>
          <w:p w14:paraId="3598F74F">
            <w:pPr>
              <w:spacing w:line="400" w:lineRule="exact"/>
              <w:jc w:val="left"/>
              <w:rPr>
                <w:rFonts w:hint="eastAsia"/>
                <w:highlight w:val="none"/>
                <w:lang w:val="zh-CN"/>
              </w:rPr>
            </w:pPr>
            <w:r>
              <w:rPr>
                <w:rFonts w:hint="eastAsia" w:ascii="仿宋" w:hAnsi="仿宋" w:eastAsia="仿宋" w:cs="仿宋"/>
                <w:sz w:val="28"/>
                <w:szCs w:val="28"/>
                <w:highlight w:val="none"/>
                <w:lang w:val="zh-CN"/>
              </w:rPr>
              <w:t>偏差率＝100％×（投标人投标报价-评审基准价）/评审基准价</w:t>
            </w:r>
          </w:p>
        </w:tc>
        <w:tc>
          <w:tcPr>
            <w:tcW w:w="1094" w:type="dxa"/>
            <w:noWrap/>
            <w:vAlign w:val="center"/>
          </w:tcPr>
          <w:p w14:paraId="48545C41">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价格分</w:t>
            </w:r>
          </w:p>
        </w:tc>
        <w:tc>
          <w:tcPr>
            <w:tcW w:w="826" w:type="dxa"/>
            <w:noWrap/>
            <w:vAlign w:val="center"/>
          </w:tcPr>
          <w:p w14:paraId="6763F92F">
            <w:pPr>
              <w:jc w:val="center"/>
              <w:rPr>
                <w:rFonts w:hint="eastAsia" w:ascii="仿宋" w:hAnsi="仿宋" w:eastAsia="仿宋" w:cs="仿宋"/>
                <w:sz w:val="28"/>
                <w:szCs w:val="28"/>
                <w:highlight w:val="none"/>
              </w:rPr>
            </w:pPr>
            <w:r>
              <w:rPr>
                <w:rFonts w:ascii="仿宋" w:hAnsi="仿宋" w:eastAsia="仿宋" w:cs="仿宋"/>
                <w:sz w:val="28"/>
                <w:szCs w:val="28"/>
                <w:highlight w:val="none"/>
              </w:rPr>
              <w:t>30</w:t>
            </w:r>
            <w:r>
              <w:rPr>
                <w:rFonts w:hint="eastAsia" w:ascii="仿宋" w:hAnsi="仿宋" w:eastAsia="仿宋" w:cs="仿宋"/>
                <w:sz w:val="28"/>
                <w:szCs w:val="28"/>
                <w:highlight w:val="none"/>
              </w:rPr>
              <w:t>.00</w:t>
            </w:r>
          </w:p>
        </w:tc>
      </w:tr>
      <w:tr w14:paraId="6F344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ign w:val="center"/>
          </w:tcPr>
          <w:p w14:paraId="19479742">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w:t>
            </w:r>
          </w:p>
        </w:tc>
        <w:tc>
          <w:tcPr>
            <w:tcW w:w="1257" w:type="dxa"/>
            <w:noWrap/>
            <w:vAlign w:val="center"/>
          </w:tcPr>
          <w:p w14:paraId="6A8290B9">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类似业绩</w:t>
            </w:r>
          </w:p>
        </w:tc>
        <w:tc>
          <w:tcPr>
            <w:tcW w:w="5458" w:type="dxa"/>
            <w:noWrap/>
            <w:vAlign w:val="center"/>
          </w:tcPr>
          <w:p w14:paraId="5B30A5F4">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投标人</w:t>
            </w:r>
            <w:r>
              <w:rPr>
                <w:rFonts w:hint="eastAsia" w:ascii="仿宋" w:hAnsi="仿宋" w:eastAsia="仿宋" w:cs="仿宋"/>
                <w:sz w:val="28"/>
                <w:szCs w:val="28"/>
                <w:highlight w:val="none"/>
                <w:lang w:val="en-US" w:eastAsia="zh-CN"/>
              </w:rPr>
              <w:t>自</w:t>
            </w:r>
            <w:r>
              <w:rPr>
                <w:rFonts w:hint="eastAsia" w:ascii="仿宋" w:hAnsi="仿宋" w:eastAsia="仿宋" w:cs="仿宋"/>
                <w:sz w:val="28"/>
                <w:szCs w:val="28"/>
                <w:highlight w:val="none"/>
                <w:lang w:val="zh-CN"/>
              </w:rPr>
              <w:t>2023年1月1日至今承揽</w:t>
            </w:r>
            <w:r>
              <w:rPr>
                <w:rFonts w:hint="eastAsia" w:ascii="仿宋" w:hAnsi="仿宋" w:eastAsia="仿宋" w:cs="仿宋"/>
                <w:sz w:val="28"/>
                <w:szCs w:val="28"/>
                <w:highlight w:val="none"/>
                <w:lang w:val="en-US" w:eastAsia="zh-CN"/>
              </w:rPr>
              <w:t>的</w:t>
            </w:r>
            <w:r>
              <w:rPr>
                <w:rFonts w:hint="eastAsia" w:ascii="仿宋" w:hAnsi="仿宋" w:eastAsia="仿宋" w:cs="仿宋"/>
                <w:sz w:val="28"/>
                <w:szCs w:val="28"/>
                <w:highlight w:val="none"/>
                <w:lang w:val="zh-CN"/>
              </w:rPr>
              <w:t>会议</w:t>
            </w:r>
            <w:r>
              <w:rPr>
                <w:rFonts w:hint="eastAsia" w:ascii="仿宋" w:hAnsi="仿宋" w:eastAsia="仿宋" w:cs="仿宋"/>
                <w:sz w:val="28"/>
                <w:szCs w:val="28"/>
                <w:highlight w:val="none"/>
                <w:lang w:val="en-US" w:eastAsia="zh-CN"/>
              </w:rPr>
              <w:t>活动</w:t>
            </w:r>
            <w:r>
              <w:rPr>
                <w:rFonts w:hint="eastAsia" w:ascii="仿宋" w:hAnsi="仿宋" w:eastAsia="仿宋" w:cs="仿宋"/>
                <w:sz w:val="28"/>
                <w:szCs w:val="28"/>
                <w:highlight w:val="none"/>
                <w:lang w:val="zh-CN"/>
              </w:rPr>
              <w:t>组织策划项目的，每有1个业绩，</w:t>
            </w:r>
            <w:r>
              <w:rPr>
                <w:rFonts w:hint="eastAsia" w:ascii="仿宋" w:hAnsi="仿宋" w:eastAsia="仿宋" w:cs="仿宋"/>
                <w:sz w:val="28"/>
                <w:szCs w:val="28"/>
                <w:highlight w:val="none"/>
                <w:lang w:val="zh-CN"/>
              </w:rPr>
              <w:t>得2分，本项最高得10分。</w:t>
            </w:r>
          </w:p>
          <w:p w14:paraId="2F6908E1">
            <w:pPr>
              <w:spacing w:line="400" w:lineRule="exact"/>
              <w:jc w:val="left"/>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注：1.需将合同扫描件附在投标文件中，合同扫描件应能体现业主名称、项目名称及项目主要内容，时间以合同签订时间为准，否则不得分。</w:t>
            </w:r>
          </w:p>
          <w:p w14:paraId="2DF6E991">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color w:val="000000" w:themeColor="text1"/>
                <w:sz w:val="28"/>
                <w:szCs w:val="21"/>
                <w:highlight w:val="none"/>
                <w14:textFill>
                  <w14:solidFill>
                    <w14:schemeClr w14:val="tx1"/>
                  </w14:solidFill>
                </w14:textFill>
              </w:rPr>
              <w:t>2.</w:t>
            </w:r>
            <w:r>
              <w:rPr>
                <w:rFonts w:hint="eastAsia" w:ascii="仿宋" w:hAnsi="仿宋" w:eastAsia="仿宋" w:cs="仿宋"/>
                <w:color w:val="000000" w:themeColor="text1"/>
                <w:sz w:val="28"/>
                <w:szCs w:val="21"/>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1"/>
                <w:highlight w:val="none"/>
                <w14:textFill>
                  <w14:solidFill>
                    <w14:schemeClr w14:val="tx1"/>
                  </w14:solidFill>
                </w14:textFill>
              </w:rPr>
              <w:t>名称如不能体现类似业绩，应附合同关键页（包含承包范围）或相关证明材料。</w:t>
            </w:r>
          </w:p>
        </w:tc>
        <w:tc>
          <w:tcPr>
            <w:tcW w:w="1094" w:type="dxa"/>
            <w:noWrap/>
            <w:vAlign w:val="center"/>
          </w:tcPr>
          <w:p w14:paraId="746B29C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客观分</w:t>
            </w:r>
          </w:p>
        </w:tc>
        <w:tc>
          <w:tcPr>
            <w:tcW w:w="826" w:type="dxa"/>
            <w:noWrap/>
            <w:vAlign w:val="center"/>
          </w:tcPr>
          <w:p w14:paraId="4E2EA9C8">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10.00</w:t>
            </w:r>
          </w:p>
        </w:tc>
      </w:tr>
      <w:tr w14:paraId="0E937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ign w:val="center"/>
          </w:tcPr>
          <w:p w14:paraId="1296FAA3">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w:t>
            </w:r>
          </w:p>
        </w:tc>
        <w:tc>
          <w:tcPr>
            <w:tcW w:w="1257" w:type="dxa"/>
            <w:noWrap/>
            <w:vAlign w:val="center"/>
          </w:tcPr>
          <w:p w14:paraId="1254A163">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会议策划方案</w:t>
            </w:r>
          </w:p>
        </w:tc>
        <w:tc>
          <w:tcPr>
            <w:tcW w:w="5458" w:type="dxa"/>
            <w:noWrap/>
            <w:vAlign w:val="center"/>
          </w:tcPr>
          <w:p w14:paraId="4D86ADDD">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评标委员会根据投标人提供的会议策划方案内容，按照以下标准进行打分：</w:t>
            </w:r>
          </w:p>
          <w:p w14:paraId="5CFDE1C6">
            <w:pPr>
              <w:spacing w:line="400" w:lineRule="exact"/>
              <w:jc w:val="left"/>
              <w:rPr>
                <w:rFonts w:hint="eastAsia" w:ascii="仿宋" w:hAnsi="仿宋" w:eastAsia="仿宋" w:cs="仿宋"/>
                <w:sz w:val="28"/>
                <w:szCs w:val="28"/>
                <w:highlight w:val="none"/>
                <w:lang w:val="zh-CN"/>
              </w:rPr>
            </w:pPr>
            <w:r>
              <w:rPr>
                <w:rFonts w:ascii="仿宋" w:hAnsi="仿宋" w:eastAsia="仿宋" w:cs="仿宋"/>
                <w:sz w:val="28"/>
                <w:szCs w:val="28"/>
                <w:highlight w:val="none"/>
                <w:lang w:val="zh-CN"/>
              </w:rPr>
              <w:t>1.策划方案及工作计划编制（8分）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按时提交会议策划方案、筹备工作计划；内容完整，符合会议定位；根据</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书面意见按期修改完善。</w:t>
            </w:r>
          </w:p>
          <w:p w14:paraId="0C0E0E2C">
            <w:pPr>
              <w:spacing w:line="400" w:lineRule="exact"/>
              <w:jc w:val="left"/>
              <w:rPr>
                <w:rFonts w:hint="eastAsia" w:ascii="仿宋" w:hAnsi="仿宋" w:eastAsia="仿宋" w:cs="仿宋"/>
                <w:sz w:val="28"/>
                <w:szCs w:val="28"/>
                <w:highlight w:val="none"/>
                <w:lang w:val="zh-CN"/>
              </w:rPr>
            </w:pPr>
            <w:r>
              <w:rPr>
                <w:rFonts w:ascii="仿宋" w:hAnsi="仿宋" w:eastAsia="仿宋" w:cs="仿宋"/>
                <w:sz w:val="28"/>
                <w:szCs w:val="28"/>
                <w:highlight w:val="none"/>
                <w:lang w:val="zh-CN"/>
              </w:rPr>
              <w:t>2.嘉宾邀约及参会规模（10分）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按协议邀约行业领导、院士专家、产业链企业、科研院所等嘉宾；保障约定参会规模，及时报送嘉宾清单，同步邀约进度。</w:t>
            </w:r>
            <w:r>
              <w:rPr>
                <w:rFonts w:hint="eastAsia" w:ascii="仿宋" w:hAnsi="仿宋" w:eastAsia="仿宋" w:cs="仿宋"/>
                <w:sz w:val="28"/>
                <w:szCs w:val="28"/>
                <w:highlight w:val="none"/>
                <w:lang w:val="zh-CN"/>
              </w:rPr>
              <w:t>完成约定参会人数，嘉宾层级匹配会议定位。</w:t>
            </w:r>
          </w:p>
          <w:p w14:paraId="30343BF3">
            <w:pPr>
              <w:spacing w:line="400" w:lineRule="exact"/>
              <w:jc w:val="left"/>
              <w:rPr>
                <w:rFonts w:hint="eastAsia" w:ascii="仿宋" w:hAnsi="仿宋" w:eastAsia="仿宋" w:cs="仿宋"/>
                <w:sz w:val="28"/>
                <w:szCs w:val="28"/>
                <w:highlight w:val="none"/>
                <w:lang w:val="zh-CN"/>
              </w:rPr>
            </w:pPr>
            <w:r>
              <w:rPr>
                <w:rFonts w:ascii="仿宋" w:hAnsi="仿宋" w:eastAsia="仿宋" w:cs="仿宋"/>
                <w:sz w:val="28"/>
                <w:szCs w:val="28"/>
                <w:highlight w:val="none"/>
                <w:lang w:val="zh-CN"/>
              </w:rPr>
              <w:t>3.接待方案、物料与设计工作（</w:t>
            </w:r>
            <w:r>
              <w:rPr>
                <w:rFonts w:hint="eastAsia" w:ascii="仿宋" w:hAnsi="仿宋" w:eastAsia="仿宋" w:cs="仿宋"/>
                <w:sz w:val="28"/>
                <w:szCs w:val="28"/>
                <w:highlight w:val="none"/>
                <w:lang w:val="zh-CN"/>
              </w:rPr>
              <w:t>7</w:t>
            </w:r>
            <w:r>
              <w:rPr>
                <w:rFonts w:ascii="仿宋" w:hAnsi="仿宋" w:eastAsia="仿宋" w:cs="仿宋"/>
                <w:sz w:val="28"/>
                <w:szCs w:val="28"/>
                <w:highlight w:val="none"/>
                <w:lang w:val="zh-CN"/>
              </w:rPr>
              <w:t>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编制接待方案；主视觉及各类延展物料设计，全部设计稿、物料清单报送</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审核，确认后实施。</w:t>
            </w:r>
          </w:p>
          <w:p w14:paraId="53C0034B">
            <w:pPr>
              <w:spacing w:line="400" w:lineRule="exact"/>
              <w:jc w:val="left"/>
              <w:rPr>
                <w:rFonts w:hint="eastAsia"/>
                <w:highlight w:val="none"/>
                <w:lang w:val="zh-CN"/>
              </w:rPr>
            </w:pPr>
            <w:r>
              <w:rPr>
                <w:rFonts w:ascii="仿宋" w:hAnsi="仿宋" w:eastAsia="仿宋" w:cs="仿宋"/>
                <w:sz w:val="28"/>
                <w:szCs w:val="28"/>
                <w:highlight w:val="none"/>
                <w:lang w:val="zh-CN"/>
              </w:rPr>
              <w:t>4.进度汇报与沟通对接（5分）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定期向</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汇报筹备进度，及时反馈问题并提供解决方案；指定项目负责人稳定在岗，变更提前书面告知</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w:t>
            </w:r>
          </w:p>
        </w:tc>
        <w:tc>
          <w:tcPr>
            <w:tcW w:w="1094" w:type="dxa"/>
            <w:noWrap/>
            <w:vAlign w:val="center"/>
          </w:tcPr>
          <w:p w14:paraId="084B3428">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主观分</w:t>
            </w:r>
          </w:p>
        </w:tc>
        <w:tc>
          <w:tcPr>
            <w:tcW w:w="826" w:type="dxa"/>
            <w:noWrap/>
            <w:vAlign w:val="center"/>
          </w:tcPr>
          <w:p w14:paraId="481CA930">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30.00</w:t>
            </w:r>
          </w:p>
        </w:tc>
      </w:tr>
      <w:tr w14:paraId="58D58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noWrap/>
            <w:vAlign w:val="center"/>
          </w:tcPr>
          <w:p w14:paraId="03FB5AC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4</w:t>
            </w:r>
          </w:p>
        </w:tc>
        <w:tc>
          <w:tcPr>
            <w:tcW w:w="1257" w:type="dxa"/>
            <w:noWrap/>
            <w:vAlign w:val="center"/>
          </w:tcPr>
          <w:p w14:paraId="5CD638F7">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会议现场执行与会务保障</w:t>
            </w:r>
          </w:p>
        </w:tc>
        <w:tc>
          <w:tcPr>
            <w:tcW w:w="5458" w:type="dxa"/>
            <w:noWrap/>
            <w:vAlign w:val="center"/>
          </w:tcPr>
          <w:p w14:paraId="3F3861A8">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评标委员会根据投标人提供的会议现场执行与会务保障内容，按照以下标准进行打分：</w:t>
            </w:r>
          </w:p>
          <w:p w14:paraId="1680A62E">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w:t>
            </w:r>
            <w:r>
              <w:rPr>
                <w:rFonts w:ascii="仿宋" w:hAnsi="仿宋" w:eastAsia="仿宋" w:cs="仿宋"/>
                <w:sz w:val="28"/>
                <w:szCs w:val="28"/>
                <w:highlight w:val="none"/>
                <w:lang w:val="zh-CN"/>
              </w:rPr>
              <w:t>会场及现场综合保障（</w:t>
            </w:r>
            <w:r>
              <w:rPr>
                <w:rFonts w:hint="eastAsia" w:ascii="仿宋" w:hAnsi="仿宋" w:eastAsia="仿宋" w:cs="仿宋"/>
                <w:sz w:val="28"/>
                <w:szCs w:val="28"/>
                <w:highlight w:val="none"/>
                <w:lang w:val="zh-CN"/>
              </w:rPr>
              <w:t>5</w:t>
            </w:r>
            <w:r>
              <w:rPr>
                <w:rFonts w:ascii="仿宋" w:hAnsi="仿宋" w:eastAsia="仿宋" w:cs="仿宋"/>
                <w:sz w:val="28"/>
                <w:szCs w:val="28"/>
                <w:highlight w:val="none"/>
                <w:lang w:val="zh-CN"/>
              </w:rPr>
              <w:t>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会场布置、报到注册、签到、嘉宾接待、食宿协调、现场流程把控、会后企业观摩组织落地，保障会议平稳有序开展。</w:t>
            </w:r>
          </w:p>
          <w:p w14:paraId="4CFDB686">
            <w:pPr>
              <w:spacing w:line="400" w:lineRule="exact"/>
              <w:jc w:val="left"/>
              <w:rPr>
                <w:rFonts w:hint="eastAsia" w:ascii="仿宋" w:hAnsi="仿宋" w:eastAsia="仿宋" w:cs="仿宋"/>
                <w:sz w:val="28"/>
                <w:szCs w:val="28"/>
                <w:highlight w:val="none"/>
                <w:lang w:val="zh-CN"/>
              </w:rPr>
            </w:pPr>
            <w:r>
              <w:rPr>
                <w:rFonts w:ascii="仿宋" w:hAnsi="仿宋" w:eastAsia="仿宋" w:cs="仿宋"/>
                <w:sz w:val="28"/>
                <w:szCs w:val="28"/>
                <w:highlight w:val="none"/>
                <w:lang w:val="zh-CN"/>
              </w:rPr>
              <w:t>2.会议流程管控（</w:t>
            </w:r>
            <w:r>
              <w:rPr>
                <w:rFonts w:hint="eastAsia" w:ascii="仿宋" w:hAnsi="仿宋" w:eastAsia="仿宋" w:cs="仿宋"/>
                <w:sz w:val="28"/>
                <w:szCs w:val="28"/>
                <w:highlight w:val="none"/>
                <w:lang w:val="zh-CN"/>
              </w:rPr>
              <w:t>5</w:t>
            </w:r>
            <w:r>
              <w:rPr>
                <w:rFonts w:ascii="仿宋" w:hAnsi="仿宋" w:eastAsia="仿宋" w:cs="仿宋"/>
                <w:sz w:val="28"/>
                <w:szCs w:val="28"/>
                <w:highlight w:val="none"/>
                <w:lang w:val="zh-CN"/>
              </w:rPr>
              <w:t xml:space="preserve"> 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严格按照</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书面确认的方案执行会议流程；把控时间节奏。</w:t>
            </w:r>
          </w:p>
          <w:p w14:paraId="5C019233">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3.</w:t>
            </w:r>
            <w:r>
              <w:rPr>
                <w:rFonts w:ascii="仿宋" w:hAnsi="仿宋" w:eastAsia="仿宋" w:cs="仿宋"/>
                <w:sz w:val="28"/>
                <w:szCs w:val="28"/>
                <w:highlight w:val="none"/>
                <w:lang w:val="zh-CN"/>
              </w:rPr>
              <w:t>宣传及现场素材采集（</w:t>
            </w:r>
            <w:r>
              <w:rPr>
                <w:rFonts w:hint="eastAsia" w:ascii="仿宋" w:hAnsi="仿宋" w:eastAsia="仿宋" w:cs="仿宋"/>
                <w:sz w:val="28"/>
                <w:szCs w:val="28"/>
                <w:highlight w:val="none"/>
                <w:lang w:val="zh-CN"/>
              </w:rPr>
              <w:t>5</w:t>
            </w:r>
            <w:r>
              <w:rPr>
                <w:rFonts w:ascii="仿宋" w:hAnsi="仿宋" w:eastAsia="仿宋" w:cs="仿宋"/>
                <w:sz w:val="28"/>
                <w:szCs w:val="28"/>
                <w:highlight w:val="none"/>
                <w:lang w:val="zh-CN"/>
              </w:rPr>
              <w:t xml:space="preserve"> 分）</w:t>
            </w:r>
            <w:r>
              <w:rPr>
                <w:rFonts w:hint="eastAsia" w:ascii="仿宋" w:hAnsi="仿宋" w:eastAsia="仿宋" w:cs="仿宋"/>
                <w:sz w:val="28"/>
                <w:szCs w:val="28"/>
                <w:highlight w:val="none"/>
                <w:lang w:val="zh-CN"/>
              </w:rPr>
              <w:t>：</w:t>
            </w:r>
            <w:r>
              <w:rPr>
                <w:rFonts w:ascii="仿宋" w:hAnsi="仿宋" w:eastAsia="仿宋" w:cs="仿宋"/>
                <w:sz w:val="28"/>
                <w:szCs w:val="28"/>
                <w:highlight w:val="none"/>
                <w:lang w:val="zh-CN"/>
              </w:rPr>
              <w:t>落实会议宣传策划，完成现场照片、视频等素材采集，配合</w:t>
            </w:r>
            <w:r>
              <w:rPr>
                <w:rFonts w:hint="eastAsia" w:ascii="仿宋" w:hAnsi="仿宋" w:eastAsia="仿宋" w:cs="仿宋"/>
                <w:sz w:val="28"/>
                <w:szCs w:val="28"/>
                <w:highlight w:val="none"/>
                <w:lang w:val="en-US" w:eastAsia="zh-CN"/>
              </w:rPr>
              <w:t>招标人</w:t>
            </w:r>
            <w:r>
              <w:rPr>
                <w:rFonts w:ascii="仿宋" w:hAnsi="仿宋" w:eastAsia="仿宋" w:cs="仿宋"/>
                <w:sz w:val="28"/>
                <w:szCs w:val="28"/>
                <w:highlight w:val="none"/>
                <w:lang w:val="zh-CN"/>
              </w:rPr>
              <w:t>完成会议新闻素材归集。</w:t>
            </w:r>
          </w:p>
          <w:p w14:paraId="2154502C">
            <w:pPr>
              <w:spacing w:line="400" w:lineRule="exact"/>
              <w:jc w:val="left"/>
              <w:rPr>
                <w:rFonts w:hint="eastAsia"/>
                <w:highlight w:val="none"/>
              </w:rPr>
            </w:pPr>
            <w:r>
              <w:rPr>
                <w:rFonts w:ascii="仿宋" w:hAnsi="仿宋" w:eastAsia="仿宋" w:cs="仿宋"/>
                <w:sz w:val="28"/>
                <w:szCs w:val="28"/>
                <w:highlight w:val="none"/>
                <w:lang w:val="zh-CN"/>
              </w:rPr>
              <w:t>4. 现场安全管理（</w:t>
            </w:r>
            <w:r>
              <w:rPr>
                <w:rFonts w:hint="eastAsia" w:ascii="仿宋" w:hAnsi="仿宋" w:eastAsia="仿宋" w:cs="仿宋"/>
                <w:sz w:val="28"/>
                <w:szCs w:val="28"/>
                <w:highlight w:val="none"/>
                <w:lang w:val="zh-CN"/>
              </w:rPr>
              <w:t>5</w:t>
            </w:r>
            <w:r>
              <w:rPr>
                <w:rFonts w:ascii="仿宋" w:hAnsi="仿宋" w:eastAsia="仿宋" w:cs="仿宋"/>
                <w:sz w:val="28"/>
                <w:szCs w:val="28"/>
                <w:highlight w:val="none"/>
                <w:lang w:val="zh-CN"/>
              </w:rPr>
              <w:t xml:space="preserve"> 分）</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包含但不限于:1)会议安保职责划分方案2)会议安保方案3)安全维稳方案4)危机管理突发事件处置方案等内容方案细致合理，职责划分明确，物资、人力配置科学。</w:t>
            </w:r>
          </w:p>
        </w:tc>
        <w:tc>
          <w:tcPr>
            <w:tcW w:w="1094" w:type="dxa"/>
            <w:noWrap/>
            <w:vAlign w:val="center"/>
          </w:tcPr>
          <w:p w14:paraId="3A9465CD">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主观分</w:t>
            </w:r>
          </w:p>
        </w:tc>
        <w:tc>
          <w:tcPr>
            <w:tcW w:w="826" w:type="dxa"/>
            <w:noWrap/>
            <w:vAlign w:val="center"/>
          </w:tcPr>
          <w:p w14:paraId="6A123DB1">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20分</w:t>
            </w:r>
          </w:p>
        </w:tc>
      </w:tr>
      <w:tr w14:paraId="18EEA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tcBorders>
              <w:top w:val="single" w:color="auto" w:sz="4" w:space="0"/>
              <w:bottom w:val="single" w:color="auto" w:sz="4" w:space="0"/>
            </w:tcBorders>
            <w:noWrap/>
            <w:vAlign w:val="center"/>
          </w:tcPr>
          <w:p w14:paraId="09378FD4">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5</w:t>
            </w:r>
          </w:p>
        </w:tc>
        <w:tc>
          <w:tcPr>
            <w:tcW w:w="1257" w:type="dxa"/>
            <w:noWrap/>
            <w:vAlign w:val="center"/>
          </w:tcPr>
          <w:p w14:paraId="04FC2173">
            <w:pPr>
              <w:spacing w:line="460" w:lineRule="exact"/>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服务承诺及保密</w:t>
            </w:r>
          </w:p>
        </w:tc>
        <w:tc>
          <w:tcPr>
            <w:tcW w:w="5458" w:type="dxa"/>
            <w:noWrap/>
            <w:vAlign w:val="center"/>
          </w:tcPr>
          <w:p w14:paraId="11D42F97">
            <w:pPr>
              <w:spacing w:line="400" w:lineRule="exact"/>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评标委员会根据投标人提供的服务承诺内容，按照以下标准进行打分：</w:t>
            </w:r>
          </w:p>
          <w:p w14:paraId="6182D123">
            <w:pPr>
              <w:spacing w:line="400" w:lineRule="exact"/>
              <w:jc w:val="left"/>
              <w:rPr>
                <w:rFonts w:hint="eastAsia"/>
                <w:highlight w:val="none"/>
              </w:rPr>
            </w:pPr>
            <w:r>
              <w:rPr>
                <w:rFonts w:hint="eastAsia" w:ascii="仿宋" w:hAnsi="仿宋" w:eastAsia="仿宋" w:cs="仿宋"/>
                <w:sz w:val="28"/>
                <w:szCs w:val="28"/>
                <w:highlight w:val="none"/>
              </w:rPr>
              <w:t>1.服务承诺（5分）：服务承诺内容全面、措施完善，按照约定时限完整移交全部会议档案、影像素材、剩余物料；资料分类规整。针对不同的工程有不同的服务流程。</w:t>
            </w:r>
          </w:p>
          <w:p w14:paraId="579BFD7C">
            <w:pPr>
              <w:spacing w:line="400" w:lineRule="exact"/>
              <w:jc w:val="left"/>
              <w:rPr>
                <w:rFonts w:hint="eastAsia"/>
                <w:highlight w:val="none"/>
              </w:rPr>
            </w:pPr>
            <w:r>
              <w:rPr>
                <w:rFonts w:hint="eastAsia" w:ascii="仿宋" w:hAnsi="仿宋" w:eastAsia="仿宋" w:cs="仿宋"/>
                <w:sz w:val="28"/>
                <w:szCs w:val="28"/>
                <w:highlight w:val="none"/>
              </w:rPr>
              <w:t>2.保密义务（5分）：严格履行保密义务，不泄露</w:t>
            </w:r>
            <w:r>
              <w:rPr>
                <w:rFonts w:hint="eastAsia" w:ascii="仿宋" w:hAnsi="仿宋" w:eastAsia="仿宋" w:cs="仿宋"/>
                <w:sz w:val="28"/>
                <w:szCs w:val="28"/>
                <w:highlight w:val="none"/>
                <w:lang w:val="en-US" w:eastAsia="zh-CN"/>
              </w:rPr>
              <w:t>招标人</w:t>
            </w:r>
            <w:r>
              <w:rPr>
                <w:rFonts w:hint="eastAsia" w:ascii="仿宋" w:hAnsi="仿宋" w:eastAsia="仿宋" w:cs="仿宋"/>
                <w:sz w:val="28"/>
                <w:szCs w:val="28"/>
                <w:highlight w:val="none"/>
              </w:rPr>
              <w:t>商业秘密、嘉宾个人信息；物料知识产权归属符合协议约定。</w:t>
            </w:r>
          </w:p>
        </w:tc>
        <w:tc>
          <w:tcPr>
            <w:tcW w:w="1094" w:type="dxa"/>
            <w:noWrap/>
            <w:vAlign w:val="center"/>
          </w:tcPr>
          <w:p w14:paraId="16586D8B">
            <w:pPr>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主观分</w:t>
            </w:r>
          </w:p>
        </w:tc>
        <w:tc>
          <w:tcPr>
            <w:tcW w:w="826" w:type="dxa"/>
            <w:noWrap/>
            <w:vAlign w:val="center"/>
          </w:tcPr>
          <w:p w14:paraId="596F2BC3">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10.00</w:t>
            </w:r>
          </w:p>
        </w:tc>
      </w:tr>
      <w:bookmarkEnd w:id="97"/>
      <w:bookmarkEnd w:id="98"/>
    </w:tbl>
    <w:p w14:paraId="608CFC60">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注：①本细则只针对有效投标文件予以评分。</w:t>
      </w:r>
    </w:p>
    <w:p w14:paraId="1BBACCFD">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②计算得分时，四舍五入保留至小数点后二位。</w:t>
      </w:r>
    </w:p>
    <w:p w14:paraId="6856BEC7">
      <w:pPr>
        <w:spacing w:line="520" w:lineRule="exact"/>
        <w:ind w:firstLine="560" w:firstLineChars="200"/>
        <w:rPr>
          <w:rFonts w:hint="eastAsia" w:ascii="仿宋" w:hAnsi="仿宋" w:eastAsia="仿宋" w:cs="仿宋"/>
          <w:color w:val="000000" w:themeColor="text1"/>
          <w:sz w:val="28"/>
          <w:szCs w:val="21"/>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③汇总各评委打分进行算术平均，计算出各投标人的综合得分。</w:t>
      </w:r>
    </w:p>
    <w:p w14:paraId="0C74FABC">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99" w:name="_Toc130891916"/>
      <w:r>
        <w:rPr>
          <w:rStyle w:val="431"/>
          <w:rFonts w:hint="eastAsia" w:ascii="仿宋" w:hAnsi="仿宋" w:eastAsia="仿宋"/>
          <w:b/>
          <w:bCs/>
          <w:color w:val="000000" w:themeColor="text1"/>
          <w:kern w:val="2"/>
          <w:sz w:val="28"/>
          <w:szCs w:val="32"/>
          <w:highlight w:val="none"/>
          <w14:textFill>
            <w14:solidFill>
              <w14:schemeClr w14:val="tx1"/>
            </w14:solidFill>
          </w14:textFill>
        </w:rPr>
        <w:t>三、编写评标报告</w:t>
      </w:r>
      <w:bookmarkEnd w:id="99"/>
    </w:p>
    <w:p w14:paraId="7EC3C121">
      <w:pPr>
        <w:spacing w:line="520" w:lineRule="exact"/>
        <w:ind w:firstLine="560" w:firstLineChars="200"/>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szCs w:val="21"/>
          <w:highlight w:val="none"/>
          <w14:textFill>
            <w14:solidFill>
              <w14:schemeClr w14:val="tx1"/>
            </w14:solidFill>
          </w14:textFill>
        </w:rPr>
        <w:t>依据</w:t>
      </w:r>
      <w:r>
        <w:rPr>
          <w:rFonts w:ascii="仿宋" w:hAnsi="仿宋" w:eastAsia="仿宋" w:cs="仿宋"/>
          <w:color w:val="000000" w:themeColor="text1"/>
          <w:sz w:val="28"/>
          <w:highlight w:val="none"/>
          <w14:textFill>
            <w14:solidFill>
              <w14:schemeClr w14:val="tx1"/>
            </w14:solidFill>
          </w14:textFill>
        </w:rPr>
        <w:t>评标委员会</w:t>
      </w:r>
      <w:r>
        <w:rPr>
          <w:rFonts w:hint="eastAsia" w:ascii="仿宋" w:hAnsi="仿宋" w:eastAsia="仿宋" w:cs="仿宋"/>
          <w:color w:val="000000" w:themeColor="text1"/>
          <w:sz w:val="28"/>
          <w:szCs w:val="21"/>
          <w:highlight w:val="none"/>
          <w14:textFill>
            <w14:solidFill>
              <w14:schemeClr w14:val="tx1"/>
            </w14:solidFill>
          </w14:textFill>
        </w:rPr>
        <w:t>签字的原始记录和评标结果，按照规定的内容要求编写评标报告，并由全体评委签名。</w:t>
      </w:r>
    </w:p>
    <w:p w14:paraId="36D51017">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100" w:name="_Toc130891917"/>
      <w:r>
        <w:rPr>
          <w:rStyle w:val="431"/>
          <w:rFonts w:hint="eastAsia" w:ascii="仿宋" w:hAnsi="仿宋" w:eastAsia="仿宋"/>
          <w:b/>
          <w:bCs/>
          <w:color w:val="000000" w:themeColor="text1"/>
          <w:kern w:val="2"/>
          <w:sz w:val="28"/>
          <w:szCs w:val="32"/>
          <w:highlight w:val="none"/>
          <w14:textFill>
            <w14:solidFill>
              <w14:schemeClr w14:val="tx1"/>
            </w14:solidFill>
          </w14:textFill>
        </w:rPr>
        <w:t>四、定标</w:t>
      </w:r>
      <w:bookmarkEnd w:id="100"/>
    </w:p>
    <w:p w14:paraId="26D71AFF">
      <w:pPr>
        <w:spacing w:line="360" w:lineRule="auto"/>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w:t>
      </w:r>
      <w:r>
        <w:rPr>
          <w:rFonts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14:textFill>
            <w14:solidFill>
              <w14:schemeClr w14:val="tx1"/>
            </w14:solidFill>
          </w14:textFill>
        </w:rPr>
        <w:t>评标委员会根据招标文件载明的评标细则进行综合评审，并按评审后综合得分由高到低进行顺序排列，确定排序前三名为中标候选人。</w:t>
      </w:r>
    </w:p>
    <w:p w14:paraId="25337DE8">
      <w:pPr>
        <w:spacing w:line="360" w:lineRule="auto"/>
        <w:ind w:firstLine="482"/>
        <w:rPr>
          <w:rFonts w:hint="eastAsia" w:ascii="仿宋" w:hAnsi="仿宋" w:eastAsia="仿宋" w:cs="仿宋"/>
          <w:color w:val="000000"/>
          <w:sz w:val="28"/>
          <w:highlight w:val="none"/>
        </w:rPr>
      </w:pPr>
      <w:r>
        <w:rPr>
          <w:rFonts w:ascii="仿宋" w:hAnsi="仿宋" w:eastAsia="仿宋" w:cs="仿宋"/>
          <w:color w:val="000000" w:themeColor="text1"/>
          <w:sz w:val="28"/>
          <w:highlight w:val="none"/>
          <w14:textFill>
            <w14:solidFill>
              <w14:schemeClr w14:val="tx1"/>
            </w14:solidFill>
          </w14:textFill>
        </w:rPr>
        <w:t>2</w:t>
      </w:r>
      <w:r>
        <w:rPr>
          <w:rFonts w:hint="eastAsia" w:ascii="仿宋" w:hAnsi="仿宋" w:eastAsia="仿宋" w:cs="仿宋"/>
          <w:color w:val="000000" w:themeColor="text1"/>
          <w:sz w:val="28"/>
          <w:highlight w:val="none"/>
          <w14:textFill>
            <w14:solidFill>
              <w14:schemeClr w14:val="tx1"/>
            </w14:solidFill>
          </w14:textFill>
        </w:rPr>
        <w:t>.</w:t>
      </w:r>
      <w:r>
        <w:rPr>
          <w:rFonts w:ascii="仿宋" w:hAnsi="仿宋" w:eastAsia="仿宋" w:cs="仿宋"/>
          <w:color w:val="000000"/>
          <w:sz w:val="28"/>
          <w:highlight w:val="none"/>
        </w:rPr>
        <w:t>评标结束后，</w:t>
      </w:r>
      <w:r>
        <w:rPr>
          <w:rFonts w:hint="eastAsia" w:ascii="仿宋" w:hAnsi="仿宋" w:eastAsia="仿宋" w:cs="仿宋"/>
          <w:color w:val="000000"/>
          <w:sz w:val="28"/>
          <w:highlight w:val="none"/>
        </w:rPr>
        <w:t>公告无异议确定排名第一名的中标候选人为中标人</w:t>
      </w:r>
      <w:r>
        <w:rPr>
          <w:rFonts w:ascii="仿宋" w:hAnsi="仿宋" w:eastAsia="仿宋" w:cs="仿宋"/>
          <w:color w:val="000000"/>
          <w:sz w:val="28"/>
          <w:highlight w:val="none"/>
        </w:rPr>
        <w:t>。</w:t>
      </w:r>
    </w:p>
    <w:p w14:paraId="4371FBE2">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101" w:name="_Toc130891918"/>
      <w:r>
        <w:rPr>
          <w:rStyle w:val="431"/>
          <w:rFonts w:hint="eastAsia" w:ascii="仿宋" w:hAnsi="仿宋" w:eastAsia="仿宋"/>
          <w:b/>
          <w:bCs/>
          <w:color w:val="000000" w:themeColor="text1"/>
          <w:kern w:val="2"/>
          <w:sz w:val="28"/>
          <w:szCs w:val="32"/>
          <w:highlight w:val="none"/>
          <w14:textFill>
            <w14:solidFill>
              <w14:schemeClr w14:val="tx1"/>
            </w14:solidFill>
          </w14:textFill>
        </w:rPr>
        <w:t>五、结果公告</w:t>
      </w:r>
      <w:bookmarkEnd w:id="101"/>
    </w:p>
    <w:p w14:paraId="06D8D556">
      <w:pPr>
        <w:spacing w:line="360" w:lineRule="auto"/>
        <w:ind w:firstLine="482"/>
        <w:rPr>
          <w:rFonts w:hint="eastAsia" w:ascii="仿宋" w:hAnsi="仿宋" w:eastAsia="仿宋"/>
          <w:color w:val="000000" w:themeColor="text1"/>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招标人应当自定标结束后在招标公告发布媒介发布中标公告。中标公告期限为1个工作日。</w:t>
      </w:r>
    </w:p>
    <w:p w14:paraId="477CFB9D">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102" w:name="_Toc130891919"/>
      <w:r>
        <w:rPr>
          <w:rStyle w:val="431"/>
          <w:rFonts w:hint="eastAsia" w:ascii="仿宋" w:hAnsi="仿宋" w:eastAsia="仿宋"/>
          <w:b/>
          <w:bCs/>
          <w:color w:val="000000" w:themeColor="text1"/>
          <w:kern w:val="2"/>
          <w:sz w:val="28"/>
          <w:szCs w:val="32"/>
          <w:highlight w:val="none"/>
          <w14:textFill>
            <w14:solidFill>
              <w14:schemeClr w14:val="tx1"/>
            </w14:solidFill>
          </w14:textFill>
        </w:rPr>
        <w:t>六、</w:t>
      </w:r>
      <w:r>
        <w:rPr>
          <w:rStyle w:val="431"/>
          <w:rFonts w:ascii="仿宋" w:hAnsi="仿宋" w:eastAsia="仿宋"/>
          <w:b/>
          <w:bCs/>
          <w:color w:val="000000" w:themeColor="text1"/>
          <w:kern w:val="2"/>
          <w:sz w:val="28"/>
          <w:szCs w:val="32"/>
          <w:highlight w:val="none"/>
          <w14:textFill>
            <w14:solidFill>
              <w14:schemeClr w14:val="tx1"/>
            </w14:solidFill>
          </w14:textFill>
        </w:rPr>
        <w:t>签发中标通知书</w:t>
      </w:r>
      <w:bookmarkEnd w:id="102"/>
    </w:p>
    <w:p w14:paraId="20CD98CB">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中标公告结束且无尚未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0A6B66A9">
      <w:pPr>
        <w:pStyle w:val="4"/>
        <w:rPr>
          <w:rStyle w:val="431"/>
          <w:rFonts w:hint="eastAsia" w:ascii="仿宋" w:hAnsi="仿宋" w:eastAsia="仿宋"/>
          <w:b/>
          <w:bCs/>
          <w:color w:val="000000" w:themeColor="text1"/>
          <w:kern w:val="2"/>
          <w:sz w:val="28"/>
          <w:szCs w:val="32"/>
          <w:highlight w:val="none"/>
          <w14:textFill>
            <w14:solidFill>
              <w14:schemeClr w14:val="tx1"/>
            </w14:solidFill>
          </w14:textFill>
        </w:rPr>
      </w:pPr>
      <w:bookmarkStart w:id="103" w:name="_Toc130891920"/>
      <w:r>
        <w:rPr>
          <w:rStyle w:val="431"/>
          <w:rFonts w:hint="eastAsia" w:ascii="仿宋" w:hAnsi="仿宋" w:eastAsia="仿宋"/>
          <w:b/>
          <w:bCs/>
          <w:color w:val="000000" w:themeColor="text1"/>
          <w:kern w:val="2"/>
          <w:sz w:val="28"/>
          <w:szCs w:val="32"/>
          <w:highlight w:val="none"/>
          <w14:textFill>
            <w14:solidFill>
              <w14:schemeClr w14:val="tx1"/>
            </w14:solidFill>
          </w14:textFill>
        </w:rPr>
        <w:t>七、签订合同</w:t>
      </w:r>
      <w:bookmarkEnd w:id="103"/>
    </w:p>
    <w:p w14:paraId="554E1CBD">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ascii="仿宋" w:hAnsi="仿宋" w:eastAsia="仿宋" w:cs="仿宋"/>
          <w:color w:val="000000" w:themeColor="text1"/>
          <w:sz w:val="28"/>
          <w:highlight w:val="none"/>
          <w14:textFill>
            <w14:solidFill>
              <w14:schemeClr w14:val="tx1"/>
            </w14:solidFill>
          </w14:textFill>
        </w:rPr>
        <w:t>1.中标合同原则以第六章 合同（范本）为基础，并根据响应、答疑情况进行修改补充，自签订之日起生效。</w:t>
      </w:r>
    </w:p>
    <w:p w14:paraId="1DCE017C">
      <w:pPr>
        <w:spacing w:line="560" w:lineRule="exact"/>
        <w:ind w:firstLine="482"/>
        <w:rPr>
          <w:rFonts w:hint="eastAsia" w:ascii="仿宋" w:hAnsi="仿宋" w:eastAsia="仿宋" w:cs="仿宋"/>
          <w:b/>
          <w:bCs/>
          <w:color w:val="000000" w:themeColor="text1"/>
          <w:kern w:val="44"/>
          <w:sz w:val="44"/>
          <w:szCs w:val="44"/>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2</w:t>
      </w:r>
      <w:r>
        <w:rPr>
          <w:rFonts w:ascii="仿宋" w:hAnsi="仿宋" w:eastAsia="仿宋" w:cs="仿宋"/>
          <w:color w:val="000000" w:themeColor="text1"/>
          <w:sz w:val="28"/>
          <w:highlight w:val="none"/>
          <w14:textFill>
            <w14:solidFill>
              <w14:schemeClr w14:val="tx1"/>
            </w14:solidFill>
          </w14:textFill>
        </w:rPr>
        <w:t>.</w:t>
      </w:r>
      <w:r>
        <w:rPr>
          <w:rFonts w:ascii="仿宋" w:hAnsi="仿宋" w:eastAsia="仿宋" w:cs="仿宋_GB2312"/>
          <w:color w:val="000000" w:themeColor="text1"/>
          <w:sz w:val="28"/>
          <w:highlight w:val="none"/>
          <w14:textFill>
            <w14:solidFill>
              <w14:schemeClr w14:val="tx1"/>
            </w14:solidFill>
          </w14:textFill>
        </w:rPr>
        <w:t>中标合同，按照</w:t>
      </w:r>
      <w:r>
        <w:rPr>
          <w:rFonts w:hint="eastAsia" w:ascii="仿宋" w:hAnsi="仿宋" w:eastAsia="仿宋" w:cs="仿宋_GB2312"/>
          <w:color w:val="000000" w:themeColor="text1"/>
          <w:sz w:val="28"/>
          <w:highlight w:val="none"/>
          <w14:textFill>
            <w14:solidFill>
              <w14:schemeClr w14:val="tx1"/>
            </w14:solidFill>
          </w14:textFill>
        </w:rPr>
        <w:t>监督部门</w:t>
      </w:r>
      <w:r>
        <w:rPr>
          <w:rFonts w:ascii="仿宋" w:hAnsi="仿宋" w:eastAsia="仿宋" w:cs="仿宋_GB2312"/>
          <w:color w:val="000000" w:themeColor="text1"/>
          <w:sz w:val="28"/>
          <w:highlight w:val="none"/>
          <w14:textFill>
            <w14:solidFill>
              <w14:schemeClr w14:val="tx1"/>
            </w14:solidFill>
          </w14:textFill>
        </w:rPr>
        <w:t>的要求，通过</w:t>
      </w:r>
      <w:r>
        <w:rPr>
          <w:rFonts w:hint="eastAsia" w:ascii="仿宋" w:hAnsi="仿宋" w:eastAsia="仿宋" w:cs="仿宋_GB2312"/>
          <w:color w:val="000000" w:themeColor="text1"/>
          <w:sz w:val="28"/>
          <w:highlight w:val="none"/>
          <w14:textFill>
            <w14:solidFill>
              <w14:schemeClr w14:val="tx1"/>
            </w14:solidFill>
          </w14:textFill>
        </w:rPr>
        <w:t>国企阳光采购平台</w:t>
      </w:r>
      <w:r>
        <w:rPr>
          <w:rFonts w:ascii="仿宋" w:hAnsi="仿宋" w:eastAsia="仿宋" w:cs="仿宋_GB2312"/>
          <w:color w:val="000000" w:themeColor="text1"/>
          <w:sz w:val="28"/>
          <w:highlight w:val="none"/>
          <w14:textFill>
            <w14:solidFill>
              <w14:schemeClr w14:val="tx1"/>
            </w14:solidFill>
          </w14:textFill>
        </w:rPr>
        <w:t>进行签订</w:t>
      </w:r>
      <w:r>
        <w:rPr>
          <w:rFonts w:ascii="仿宋" w:hAnsi="仿宋" w:eastAsia="仿宋" w:cs="仿宋"/>
          <w:color w:val="000000" w:themeColor="text1"/>
          <w:sz w:val="28"/>
          <w:highlight w:val="none"/>
          <w14:textFill>
            <w14:solidFill>
              <w14:schemeClr w14:val="tx1"/>
            </w14:solidFill>
          </w14:textFill>
        </w:rPr>
        <w:t>。</w:t>
      </w:r>
      <w:bookmarkEnd w:id="92"/>
      <w:bookmarkEnd w:id="93"/>
      <w:bookmarkEnd w:id="94"/>
      <w:bookmarkStart w:id="104" w:name="_Toc130891921"/>
      <w:bookmarkStart w:id="105" w:name="_Toc66864054"/>
      <w:r>
        <w:rPr>
          <w:rFonts w:hint="eastAsia" w:ascii="仿宋" w:hAnsi="仿宋" w:eastAsia="仿宋" w:cs="仿宋"/>
          <w:color w:val="000000" w:themeColor="text1"/>
          <w:highlight w:val="none"/>
          <w14:textFill>
            <w14:solidFill>
              <w14:schemeClr w14:val="tx1"/>
            </w14:solidFill>
          </w14:textFill>
        </w:rPr>
        <w:br w:type="page"/>
      </w:r>
    </w:p>
    <w:p w14:paraId="031BC140">
      <w:pPr>
        <w:pStyle w:val="3"/>
        <w:jc w:val="center"/>
        <w:rPr>
          <w:rFonts w:hint="eastAsia" w:ascii="仿宋" w:hAnsi="仿宋" w:eastAsia="仿宋" w:cs="仿宋"/>
          <w:color w:val="000000" w:themeColor="text1"/>
          <w:highlight w:val="none"/>
          <w14:textFill>
            <w14:solidFill>
              <w14:schemeClr w14:val="tx1"/>
            </w14:solidFill>
          </w14:textFill>
        </w:rPr>
      </w:pPr>
      <w:bookmarkStart w:id="106" w:name="_Hlk218496667"/>
      <w:bookmarkStart w:id="107" w:name="_Hlk219971086"/>
      <w:bookmarkStart w:id="108" w:name="_Hlk192682706"/>
      <w:r>
        <w:rPr>
          <w:rFonts w:hint="eastAsia" w:ascii="仿宋" w:hAnsi="仿宋" w:eastAsia="仿宋" w:cs="仿宋"/>
          <w:color w:val="000000" w:themeColor="text1"/>
          <w:highlight w:val="none"/>
          <w14:textFill>
            <w14:solidFill>
              <w14:schemeClr w14:val="tx1"/>
            </w14:solidFill>
          </w14:textFill>
        </w:rPr>
        <w:t>第四章</w:t>
      </w:r>
      <w:bookmarkStart w:id="109" w:name="_Hlk191971788"/>
      <w:r>
        <w:rPr>
          <w:rFonts w:hint="eastAsia" w:ascii="仿宋" w:hAnsi="仿宋" w:eastAsia="仿宋" w:cs="仿宋"/>
          <w:color w:val="000000" w:themeColor="text1"/>
          <w:highlight w:val="none"/>
          <w14:textFill>
            <w14:solidFill>
              <w14:schemeClr w14:val="tx1"/>
            </w14:solidFill>
          </w14:textFill>
        </w:rPr>
        <w:t xml:space="preserve">  采购项目说明</w:t>
      </w:r>
      <w:bookmarkEnd w:id="104"/>
    </w:p>
    <w:bookmarkEnd w:id="106"/>
    <w:bookmarkEnd w:id="107"/>
    <w:p w14:paraId="5BCB0280">
      <w:pPr>
        <w:spacing w:line="560" w:lineRule="exact"/>
        <w:ind w:firstLine="482"/>
        <w:rPr>
          <w:rFonts w:hint="eastAsia" w:ascii="仿宋" w:hAnsi="仿宋" w:eastAsia="仿宋" w:cs="仿宋"/>
          <w:b/>
          <w:bCs/>
          <w:color w:val="000000" w:themeColor="text1"/>
          <w:sz w:val="28"/>
          <w:highlight w:val="none"/>
          <w14:textFill>
            <w14:solidFill>
              <w14:schemeClr w14:val="tx1"/>
            </w14:solidFill>
          </w14:textFill>
        </w:rPr>
      </w:pPr>
      <w:r>
        <w:rPr>
          <w:rFonts w:hint="eastAsia" w:ascii="仿宋" w:hAnsi="仿宋" w:eastAsia="仿宋" w:cs="仿宋_GB2312"/>
          <w:b/>
          <w:bCs/>
          <w:color w:val="000000" w:themeColor="text1"/>
          <w:sz w:val="28"/>
          <w:szCs w:val="28"/>
          <w:highlight w:val="none"/>
          <w14:textFill>
            <w14:solidFill>
              <w14:schemeClr w14:val="tx1"/>
            </w14:solidFill>
          </w14:textFill>
        </w:rPr>
        <w:t>一</w:t>
      </w:r>
      <w:r>
        <w:rPr>
          <w:rFonts w:hint="eastAsia" w:ascii="仿宋" w:hAnsi="仿宋" w:eastAsia="仿宋" w:cs="仿宋"/>
          <w:b/>
          <w:bCs/>
          <w:color w:val="000000" w:themeColor="text1"/>
          <w:sz w:val="28"/>
          <w:highlight w:val="none"/>
          <w14:textFill>
            <w14:solidFill>
              <w14:schemeClr w14:val="tx1"/>
            </w14:solidFill>
          </w14:textFill>
        </w:rPr>
        <w:t>、</w:t>
      </w:r>
      <w:bookmarkEnd w:id="108"/>
      <w:bookmarkEnd w:id="109"/>
      <w:bookmarkStart w:id="110" w:name="_Toc130891923"/>
      <w:r>
        <w:rPr>
          <w:rFonts w:hint="eastAsia" w:ascii="仿宋" w:hAnsi="仿宋" w:eastAsia="仿宋" w:cs="仿宋"/>
          <w:b/>
          <w:bCs/>
          <w:color w:val="000000" w:themeColor="text1"/>
          <w:sz w:val="28"/>
          <w:highlight w:val="none"/>
          <w14:textFill>
            <w14:solidFill>
              <w14:schemeClr w14:val="tx1"/>
            </w14:solidFill>
          </w14:textFill>
        </w:rPr>
        <w:t>项目基本情况</w:t>
      </w:r>
    </w:p>
    <w:p w14:paraId="6E515B5E">
      <w:pPr>
        <w:spacing w:line="560" w:lineRule="exact"/>
        <w:ind w:firstLine="482"/>
        <w:rPr>
          <w:rFonts w:hint="eastAsia" w:ascii="仿宋" w:hAnsi="仿宋" w:eastAsia="仿宋" w:cs="仿宋"/>
          <w:b w:val="0"/>
          <w:bCs w:val="0"/>
          <w:color w:val="000000" w:themeColor="text1"/>
          <w:sz w:val="28"/>
          <w:highlight w:val="none"/>
          <w14:textFill>
            <w14:solidFill>
              <w14:schemeClr w14:val="tx1"/>
            </w14:solidFill>
          </w14:textFill>
        </w:rPr>
      </w:pPr>
      <w:r>
        <w:rPr>
          <w:rFonts w:hint="eastAsia" w:ascii="仿宋" w:hAnsi="仿宋" w:eastAsia="仿宋" w:cs="仿宋"/>
          <w:b w:val="0"/>
          <w:bCs w:val="0"/>
          <w:color w:val="000000" w:themeColor="text1"/>
          <w:sz w:val="28"/>
          <w:highlight w:val="none"/>
          <w14:textFill>
            <w14:solidFill>
              <w14:schemeClr w14:val="tx1"/>
            </w14:solidFill>
          </w14:textFill>
        </w:rPr>
        <w:t>1.1 项目名称：2026新能源铝应用创新发展会议</w:t>
      </w:r>
    </w:p>
    <w:p w14:paraId="599EB242">
      <w:pPr>
        <w:spacing w:line="560" w:lineRule="exact"/>
        <w:ind w:firstLine="482"/>
        <w:rPr>
          <w:rFonts w:hint="eastAsia" w:ascii="仿宋" w:hAnsi="仿宋" w:eastAsia="仿宋" w:cs="仿宋"/>
          <w:b w:val="0"/>
          <w:bCs w:val="0"/>
          <w:color w:val="000000" w:themeColor="text1"/>
          <w:sz w:val="28"/>
          <w:highlight w:val="none"/>
          <w14:textFill>
            <w14:solidFill>
              <w14:schemeClr w14:val="tx1"/>
            </w14:solidFill>
          </w14:textFill>
        </w:rPr>
      </w:pPr>
      <w:r>
        <w:rPr>
          <w:rFonts w:hint="eastAsia" w:ascii="仿宋" w:hAnsi="仿宋" w:eastAsia="仿宋" w:cs="仿宋"/>
          <w:b w:val="0"/>
          <w:bCs w:val="0"/>
          <w:color w:val="000000" w:themeColor="text1"/>
          <w:sz w:val="28"/>
          <w:highlight w:val="none"/>
          <w14:textFill>
            <w14:solidFill>
              <w14:schemeClr w14:val="tx1"/>
            </w14:solidFill>
          </w14:textFill>
        </w:rPr>
        <w:t>1.2 项目实施地点：山东省威海市环翠区，具体地点以</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b w:val="0"/>
          <w:bCs w:val="0"/>
          <w:color w:val="000000" w:themeColor="text1"/>
          <w:sz w:val="28"/>
          <w:highlight w:val="none"/>
          <w14:textFill>
            <w14:solidFill>
              <w14:schemeClr w14:val="tx1"/>
            </w14:solidFill>
          </w14:textFill>
        </w:rPr>
        <w:t>为准。</w:t>
      </w:r>
    </w:p>
    <w:p w14:paraId="1EEC472D">
      <w:pPr>
        <w:spacing w:line="560" w:lineRule="exact"/>
        <w:ind w:firstLine="482"/>
        <w:rPr>
          <w:rFonts w:hint="eastAsia" w:ascii="仿宋" w:hAnsi="仿宋" w:eastAsia="仿宋" w:cs="仿宋"/>
          <w:b w:val="0"/>
          <w:bCs w:val="0"/>
          <w:color w:val="000000" w:themeColor="text1"/>
          <w:sz w:val="28"/>
          <w:highlight w:val="none"/>
          <w14:textFill>
            <w14:solidFill>
              <w14:schemeClr w14:val="tx1"/>
            </w14:solidFill>
          </w14:textFill>
        </w:rPr>
      </w:pPr>
      <w:r>
        <w:rPr>
          <w:rFonts w:hint="eastAsia" w:ascii="仿宋" w:hAnsi="仿宋" w:eastAsia="仿宋" w:cs="仿宋"/>
          <w:b w:val="0"/>
          <w:bCs w:val="0"/>
          <w:color w:val="000000" w:themeColor="text1"/>
          <w:sz w:val="28"/>
          <w:highlight w:val="none"/>
          <w14:textFill>
            <w14:solidFill>
              <w14:schemeClr w14:val="tx1"/>
            </w14:solidFill>
          </w14:textFill>
        </w:rPr>
        <w:t>1.3 会议概况：会议拟于2026年10月29-30日举办，会议规模约150人，具体执行以经</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b w:val="0"/>
          <w:bCs w:val="0"/>
          <w:color w:val="000000" w:themeColor="text1"/>
          <w:sz w:val="28"/>
          <w:highlight w:val="none"/>
          <w14:textFill>
            <w14:solidFill>
              <w14:schemeClr w14:val="tx1"/>
            </w14:solidFill>
          </w14:textFill>
        </w:rPr>
        <w:t>书面确认的会议活动方案为准。</w:t>
      </w:r>
    </w:p>
    <w:p w14:paraId="5F39F8E2">
      <w:pPr>
        <w:spacing w:line="560" w:lineRule="exact"/>
        <w:ind w:firstLine="482"/>
        <w:rPr>
          <w:rFonts w:hint="eastAsia" w:ascii="仿宋" w:hAnsi="仿宋" w:eastAsia="仿宋" w:cs="仿宋"/>
          <w:b/>
          <w:bCs/>
          <w:color w:val="000000" w:themeColor="text1"/>
          <w:sz w:val="28"/>
          <w:highlight w:val="none"/>
          <w14:textFill>
            <w14:solidFill>
              <w14:schemeClr w14:val="tx1"/>
            </w14:solidFill>
          </w14:textFill>
        </w:rPr>
      </w:pPr>
      <w:r>
        <w:rPr>
          <w:rFonts w:hint="eastAsia" w:ascii="仿宋" w:hAnsi="仿宋" w:eastAsia="仿宋" w:cs="仿宋"/>
          <w:b/>
          <w:bCs/>
          <w:color w:val="000000" w:themeColor="text1"/>
          <w:sz w:val="28"/>
          <w:highlight w:val="none"/>
          <w14:textFill>
            <w14:solidFill>
              <w14:schemeClr w14:val="tx1"/>
            </w14:solidFill>
          </w14:textFill>
        </w:rPr>
        <w:t>二、委托内容与委托期限</w:t>
      </w:r>
    </w:p>
    <w:p w14:paraId="07B733B7">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2.1 委托服务内容</w:t>
      </w:r>
    </w:p>
    <w:p w14:paraId="6D40B5FB">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委托</w:t>
      </w:r>
      <w:r>
        <w:rPr>
          <w:rFonts w:hint="eastAsia" w:ascii="仿宋" w:hAnsi="仿宋" w:eastAsia="仿宋" w:cs="仿宋"/>
          <w:color w:val="000000" w:themeColor="text1"/>
          <w:sz w:val="28"/>
          <w:highlight w:val="none"/>
          <w:lang w:val="en-US" w:eastAsia="zh-CN"/>
          <w14:textFill>
            <w14:solidFill>
              <w14:schemeClr w14:val="tx1"/>
            </w14:solidFill>
          </w14:textFill>
        </w:rPr>
        <w:t>中标人</w:t>
      </w:r>
      <w:r>
        <w:rPr>
          <w:rFonts w:hint="eastAsia" w:ascii="仿宋" w:hAnsi="仿宋" w:eastAsia="仿宋" w:cs="仿宋"/>
          <w:color w:val="000000" w:themeColor="text1"/>
          <w:sz w:val="28"/>
          <w:highlight w:val="none"/>
          <w14:textFill>
            <w14:solidFill>
              <w14:schemeClr w14:val="tx1"/>
            </w14:solidFill>
          </w14:textFill>
        </w:rPr>
        <w:t>提供本会议一票制全过程会议服务，包含会议策划、嘉宾邀请、会务组织、现场执行、会议宣传等全流程工作，具体细则详见</w:t>
      </w:r>
      <w:r>
        <w:rPr>
          <w:rFonts w:hint="eastAsia" w:ascii="仿宋" w:hAnsi="仿宋" w:eastAsia="仿宋" w:cs="仿宋"/>
          <w:color w:val="000000" w:themeColor="text1"/>
          <w:sz w:val="28"/>
          <w:highlight w:val="none"/>
          <w:lang w:val="en-US" w:eastAsia="zh-CN"/>
          <w14:textFill>
            <w14:solidFill>
              <w14:schemeClr w14:val="tx1"/>
            </w14:solidFill>
          </w14:textFill>
        </w:rPr>
        <w:t>合同条款</w:t>
      </w:r>
      <w:r>
        <w:rPr>
          <w:rFonts w:hint="eastAsia" w:ascii="仿宋" w:hAnsi="仿宋" w:eastAsia="仿宋" w:cs="仿宋"/>
          <w:color w:val="000000" w:themeColor="text1"/>
          <w:sz w:val="28"/>
          <w:highlight w:val="none"/>
          <w14:textFill>
            <w14:solidFill>
              <w14:schemeClr w14:val="tx1"/>
            </w14:solidFill>
          </w14:textFill>
        </w:rPr>
        <w:t>。本协议为一票制总价包干，除经</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书面确认的增项外，</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无需另行支付其他费用。</w:t>
      </w:r>
    </w:p>
    <w:p w14:paraId="3D8310AE">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2.2 委托期限</w:t>
      </w:r>
    </w:p>
    <w:p w14:paraId="4439CDE0">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本协议委托服务期限：自签订合同之日起至2026年11月15日止，含会议筹备、现场实施、会后资料移交等。</w:t>
      </w:r>
    </w:p>
    <w:p w14:paraId="6BD753B8">
      <w:pPr>
        <w:spacing w:line="560" w:lineRule="exact"/>
        <w:ind w:firstLine="482"/>
        <w:rPr>
          <w:rFonts w:hint="eastAsia" w:ascii="仿宋" w:hAnsi="仿宋" w:eastAsia="仿宋" w:cs="仿宋"/>
          <w:b/>
          <w:bCs/>
          <w:color w:val="000000" w:themeColor="text1"/>
          <w:sz w:val="28"/>
          <w:highlight w:val="none"/>
          <w14:textFill>
            <w14:solidFill>
              <w14:schemeClr w14:val="tx1"/>
            </w14:solidFill>
          </w14:textFill>
        </w:rPr>
      </w:pPr>
      <w:r>
        <w:rPr>
          <w:rFonts w:hint="eastAsia" w:ascii="仿宋" w:hAnsi="仿宋" w:eastAsia="仿宋" w:cs="仿宋"/>
          <w:b/>
          <w:bCs/>
          <w:color w:val="000000" w:themeColor="text1"/>
          <w:sz w:val="28"/>
          <w:highlight w:val="none"/>
          <w14:textFill>
            <w14:solidFill>
              <w14:schemeClr w14:val="tx1"/>
            </w14:solidFill>
          </w14:textFill>
        </w:rPr>
        <w:t>三、双方工作内容与责任义务</w:t>
      </w:r>
    </w:p>
    <w:p w14:paraId="2992EC51">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3.1</w:t>
      </w:r>
      <w:r>
        <w:rPr>
          <w:rFonts w:hint="eastAsia" w:ascii="仿宋" w:hAnsi="仿宋" w:eastAsia="仿宋" w:cs="仿宋"/>
          <w:color w:val="000000" w:themeColor="text1"/>
          <w:sz w:val="28"/>
          <w:highlight w:val="none"/>
          <w:lang w:val="en-US" w:eastAsia="zh-CN"/>
          <w14:textFill>
            <w14:solidFill>
              <w14:schemeClr w14:val="tx1"/>
            </w14:solidFill>
          </w14:textFill>
        </w:rPr>
        <w:t>中标人</w:t>
      </w:r>
      <w:r>
        <w:rPr>
          <w:rFonts w:hint="eastAsia" w:ascii="仿宋" w:hAnsi="仿宋" w:eastAsia="仿宋" w:cs="仿宋"/>
          <w:color w:val="000000" w:themeColor="text1"/>
          <w:sz w:val="28"/>
          <w:highlight w:val="none"/>
          <w14:textFill>
            <w14:solidFill>
              <w14:schemeClr w14:val="tx1"/>
            </w14:solidFill>
          </w14:textFill>
        </w:rPr>
        <w:t>受托完成以下工作</w:t>
      </w:r>
    </w:p>
    <w:p w14:paraId="58940CBA">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（1）编制会议活动策划方案及项目筹备工作计划，提交</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审核，经</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书面确认后组织实施；</w:t>
      </w:r>
    </w:p>
    <w:p w14:paraId="30491689">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（2）按会议目标邀约行业领导、院士专家、重点产业链企业、科研院所、行业组织、投融资机构等参会嘉宾代表，总参会规模约150人（不得少于100人）；</w:t>
      </w:r>
    </w:p>
    <w:p w14:paraId="7A3B8BE8">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（3）编制接待方案，统筹会议报到、嘉宾接待、会场保障、会后企业观摩的组织与落地保障；</w:t>
      </w:r>
    </w:p>
    <w:p w14:paraId="47F8501F">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（4）负责会议主视觉设计及相关物料延展设计，所有策划文件、物料清单、设计稿、执行方案均须报送</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审核，取得</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书面认可后方可开展采购及制作；</w:t>
      </w:r>
    </w:p>
    <w:p w14:paraId="4F38960C">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（5）按照审定的筹备计划完成项目全流程组织与现场落地执行，保质保量完成全部服务工作；</w:t>
      </w:r>
    </w:p>
    <w:p w14:paraId="0FF388CB">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（6）完成会议宣传相关策划落地，配合</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做好会议新闻、素材归集工作；</w:t>
      </w:r>
    </w:p>
    <w:p w14:paraId="3532A161">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（7）会议结束后按</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要求完成全部会议资料归档、素材及剩余物料移交工作。</w:t>
      </w:r>
    </w:p>
    <w:p w14:paraId="7D4CC0BD">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 xml:space="preserve">3.2 </w:t>
      </w:r>
      <w:r>
        <w:rPr>
          <w:rFonts w:hint="eastAsia" w:ascii="仿宋" w:hAnsi="仿宋" w:eastAsia="仿宋" w:cs="仿宋"/>
          <w:b w:val="0"/>
          <w:bCs w:val="0"/>
          <w:color w:val="000000" w:themeColor="text1"/>
          <w:sz w:val="28"/>
          <w:highlight w:val="none"/>
          <w:lang w:val="en-US"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责任</w:t>
      </w:r>
    </w:p>
    <w:p w14:paraId="36706EA1">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（1）确保本次会议活动形式、内容符合国家法律法规，履行相关报批报备手续，会议活动内容应与双方确认方案保持一致；</w:t>
      </w:r>
    </w:p>
    <w:p w14:paraId="477974BA">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（2）及时向</w:t>
      </w:r>
      <w:r>
        <w:rPr>
          <w:rFonts w:hint="eastAsia" w:ascii="仿宋" w:hAnsi="仿宋" w:eastAsia="仿宋" w:cs="仿宋"/>
          <w:color w:val="000000" w:themeColor="text1"/>
          <w:sz w:val="28"/>
          <w:highlight w:val="none"/>
          <w:lang w:val="en-US" w:eastAsia="zh-CN"/>
          <w14:textFill>
            <w14:solidFill>
              <w14:schemeClr w14:val="tx1"/>
            </w14:solidFill>
          </w14:textFill>
        </w:rPr>
        <w:t>中标人</w:t>
      </w:r>
      <w:r>
        <w:rPr>
          <w:rFonts w:hint="eastAsia" w:ascii="仿宋" w:hAnsi="仿宋" w:eastAsia="仿宋" w:cs="仿宋"/>
          <w:color w:val="000000" w:themeColor="text1"/>
          <w:sz w:val="28"/>
          <w:highlight w:val="none"/>
          <w14:textFill>
            <w14:solidFill>
              <w14:schemeClr w14:val="tx1"/>
            </w14:solidFill>
          </w14:textFill>
        </w:rPr>
        <w:t>提供会议执行所需图文资料、产业介绍、企业素材等配套物料；</w:t>
      </w:r>
    </w:p>
    <w:p w14:paraId="45C11A43">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（3）指定专人作为项目对接人，组建内部工作团队，做好内外部协同，配合乙方推进嘉宾对接、政府及本地企业协调等相关工作；</w:t>
      </w:r>
    </w:p>
    <w:p w14:paraId="0209371A">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（4）按本协议约定及时支付服务费用；</w:t>
      </w:r>
    </w:p>
    <w:p w14:paraId="76061100">
      <w:pPr>
        <w:spacing w:line="560" w:lineRule="exact"/>
        <w:ind w:firstLine="482"/>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（5）对</w:t>
      </w:r>
      <w:r>
        <w:rPr>
          <w:rFonts w:hint="eastAsia" w:ascii="仿宋" w:hAnsi="仿宋" w:eastAsia="仿宋" w:cs="仿宋"/>
          <w:color w:val="000000" w:themeColor="text1"/>
          <w:sz w:val="28"/>
          <w:highlight w:val="none"/>
          <w:lang w:val="en-US" w:eastAsia="zh-CN"/>
          <w14:textFill>
            <w14:solidFill>
              <w14:schemeClr w14:val="tx1"/>
            </w14:solidFill>
          </w14:textFill>
        </w:rPr>
        <w:t>中标人</w:t>
      </w:r>
      <w:r>
        <w:rPr>
          <w:rFonts w:hint="eastAsia" w:ascii="仿宋" w:hAnsi="仿宋" w:eastAsia="仿宋" w:cs="仿宋"/>
          <w:color w:val="000000" w:themeColor="text1"/>
          <w:sz w:val="28"/>
          <w:highlight w:val="none"/>
          <w14:textFill>
            <w14:solidFill>
              <w14:schemeClr w14:val="tx1"/>
            </w14:solidFill>
          </w14:textFill>
        </w:rPr>
        <w:t>服务全过程进行监督，有权对不符合约定的服务提出整改要求。</w:t>
      </w:r>
    </w:p>
    <w:p w14:paraId="720A11A6">
      <w:pPr>
        <w:widowControl/>
        <w:jc w:val="left"/>
        <w:rPr>
          <w:rFonts w:hint="eastAsia" w:ascii="仿宋" w:hAnsi="仿宋" w:eastAsia="仿宋" w:cs="仿宋"/>
          <w:b/>
          <w:bCs/>
          <w:color w:val="000000" w:themeColor="text1"/>
          <w:kern w:val="44"/>
          <w:sz w:val="44"/>
          <w:szCs w:val="4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19C61BA2">
      <w:pPr>
        <w:pStyle w:val="3"/>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第五章  投标文件格式</w:t>
      </w:r>
      <w:bookmarkEnd w:id="105"/>
      <w:bookmarkEnd w:id="110"/>
    </w:p>
    <w:p w14:paraId="601EE31A">
      <w:pPr>
        <w:spacing w:line="460" w:lineRule="exact"/>
        <w:jc w:val="left"/>
        <w:rPr>
          <w:rFonts w:hint="eastAsia" w:ascii="仿宋" w:hAnsi="仿宋" w:eastAsia="仿宋" w:cs="仿宋"/>
          <w:color w:val="000000" w:themeColor="text1"/>
          <w:sz w:val="24"/>
          <w:highlight w:val="none"/>
          <w14:textFill>
            <w14:solidFill>
              <w14:schemeClr w14:val="tx1"/>
            </w14:solidFill>
          </w14:textFill>
        </w:rPr>
      </w:pPr>
    </w:p>
    <w:p w14:paraId="1BFB40B4">
      <w:pPr>
        <w:spacing w:line="460" w:lineRule="exact"/>
        <w:jc w:val="left"/>
        <w:rPr>
          <w:rFonts w:hint="eastAsia" w:ascii="仿宋" w:hAnsi="仿宋" w:eastAsia="仿宋" w:cs="仿宋"/>
          <w:b/>
          <w:color w:val="000000" w:themeColor="text1"/>
          <w:kern w:val="0"/>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fldChar w:fldCharType="begin"/>
      </w:r>
      <w:r>
        <w:rPr>
          <w:rFonts w:ascii="仿宋" w:hAnsi="仿宋" w:eastAsia="仿宋" w:cs="仿宋"/>
          <w:color w:val="000000" w:themeColor="text1"/>
          <w:sz w:val="24"/>
          <w:highlight w:val="none"/>
          <w14:textFill>
            <w14:solidFill>
              <w14:schemeClr w14:val="tx1"/>
            </w14:solidFill>
          </w14:textFill>
        </w:rPr>
        <w:instrText xml:space="preserve">&lt;MK</w:instrText>
      </w:r>
      <w:r>
        <w:rPr>
          <w:rFonts w:hint="eastAsia" w:ascii="仿宋" w:hAnsi="仿宋" w:eastAsia="仿宋" w:cs="仿宋"/>
          <w:color w:val="000000" w:themeColor="text1"/>
          <w:sz w:val="24"/>
          <w:highlight w:val="none"/>
          <w14:textFill>
            <w14:solidFill>
              <w14:schemeClr w14:val="tx1"/>
            </w14:solidFill>
          </w14:textFill>
        </w:rPr>
        <w:instrText xml:space="preserve"> cmd="bus"</w:instrText>
      </w:r>
      <w:r>
        <w:rPr>
          <w:rFonts w:ascii="仿宋" w:hAnsi="仿宋" w:eastAsia="仿宋" w:cs="仿宋"/>
          <w:color w:val="000000" w:themeColor="text1"/>
          <w:sz w:val="24"/>
          <w:highlight w:val="none"/>
          <w14:textFill>
            <w14:solidFill>
              <w14:schemeClr w14:val="tx1"/>
            </w14:solidFill>
          </w14:textFill>
        </w:rPr>
        <w:instrText xml:space="preserve">&gt;</w:instrText>
      </w:r>
      <w:r>
        <w:rPr>
          <w:rFonts w:hint="eastAsia" w:ascii="仿宋" w:hAnsi="仿宋" w:eastAsia="仿宋" w:cs="仿宋"/>
          <w:color w:val="000000" w:themeColor="text1"/>
          <w:sz w:val="24"/>
          <w:highlight w:val="none"/>
          <w14:textFill>
            <w14:solidFill>
              <w14:schemeClr w14:val="tx1"/>
            </w14:solidFill>
          </w14:textFill>
        </w:rPr>
        <w:instrText xml:space="preserve">&lt;def type="query" recs="pro"&gt;"</w:instrText>
      </w:r>
      <w:r>
        <w:rPr>
          <w:rFonts w:ascii="仿宋" w:hAnsi="仿宋" w:eastAsia="仿宋" w:cs="仿宋"/>
          <w:color w:val="000000" w:themeColor="text1"/>
          <w:sz w:val="24"/>
          <w:highlight w:val="none"/>
          <w14:textFill>
            <w14:solidFill>
              <w14:schemeClr w14:val="tx1"/>
            </w14:solidFill>
          </w14:textFill>
        </w:rPr>
        <w:instrText xml:space="preserve"> select </w:instrText>
      </w:r>
      <w:r>
        <w:rPr>
          <w:rFonts w:hint="eastAsia" w:ascii="仿宋" w:hAnsi="仿宋" w:eastAsia="仿宋" w:cs="仿宋"/>
          <w:color w:val="000000" w:themeColor="text1"/>
          <w:sz w:val="24"/>
          <w:highlight w:val="none"/>
          <w14:textFill>
            <w14:solidFill>
              <w14:schemeClr w14:val="tx1"/>
            </w14:solidFill>
          </w14:textFill>
        </w:rPr>
        <w:instrText xml:space="preserve">b</w:instrText>
      </w:r>
      <w:r>
        <w:rPr>
          <w:rFonts w:ascii="仿宋" w:hAnsi="仿宋" w:eastAsia="仿宋" w:cs="仿宋"/>
          <w:color w:val="000000" w:themeColor="text1"/>
          <w:sz w:val="24"/>
          <w:highlight w:val="none"/>
          <w14:textFill>
            <w14:solidFill>
              <w14:schemeClr w14:val="tx1"/>
            </w14:solidFill>
          </w14:textFill>
        </w:rPr>
        <w:instrText xml:space="preserve">.tradeWay,a.projectCode,a.projectName,</w:instrText>
      </w:r>
      <w:r>
        <w:rPr>
          <w:rFonts w:hint="eastAsia" w:ascii="仿宋" w:hAnsi="仿宋" w:eastAsia="仿宋" w:cs="仿宋"/>
          <w:color w:val="000000" w:themeColor="text1"/>
          <w:sz w:val="24"/>
          <w:highlight w:val="none"/>
          <w14:textFill>
            <w14:solidFill>
              <w14:schemeClr w14:val="tx1"/>
            </w14:solidFill>
          </w14:textFill>
        </w:rPr>
        <w:instrText xml:space="preserve">b.schemecode,b.</w:instrText>
      </w:r>
      <w:r>
        <w:rPr>
          <w:rFonts w:ascii="仿宋" w:hAnsi="仿宋" w:eastAsia="仿宋" w:cs="仿宋"/>
          <w:color w:val="000000" w:themeColor="text1"/>
          <w:sz w:val="24"/>
          <w:highlight w:val="none"/>
          <w14:textFill>
            <w14:solidFill>
              <w14:schemeClr w14:val="tx1"/>
            </w14:solidFill>
          </w14:textFill>
        </w:rPr>
        <w:instrText xml:space="preserve">saleMode</w:instrText>
      </w:r>
      <w:r>
        <w:rPr>
          <w:rFonts w:hint="eastAsia" w:ascii="仿宋" w:hAnsi="仿宋" w:eastAsia="仿宋" w:cs="仿宋"/>
          <w:color w:val="000000" w:themeColor="text1"/>
          <w:sz w:val="24"/>
          <w:highlight w:val="none"/>
          <w14:textFill>
            <w14:solidFill>
              <w14:schemeClr w14:val="tx1"/>
            </w14:solidFill>
          </w14:textFill>
        </w:rPr>
        <w:instrText xml:space="preserve">,b.applycost,</w:instrText>
      </w:r>
      <w:r>
        <w:rPr>
          <w:rFonts w:ascii="仿宋" w:hAnsi="仿宋" w:eastAsia="仿宋" w:cs="仿宋"/>
          <w:color w:val="000000" w:themeColor="text1"/>
          <w:sz w:val="24"/>
          <w:highlight w:val="none"/>
          <w14:textFill>
            <w14:solidFill>
              <w14:schemeClr w14:val="tx1"/>
            </w14:solidFill>
          </w14:textFill>
        </w:rPr>
        <w:instrText xml:space="preserve">b.applystart,b.applystop,b.deliverstop,b.openstart,b.openaddr</w:instrText>
      </w:r>
      <w:r>
        <w:rPr>
          <w:rFonts w:hint="eastAsia" w:ascii="仿宋" w:hAnsi="仿宋" w:eastAsia="仿宋" w:cs="仿宋"/>
          <w:color w:val="000000" w:themeColor="text1"/>
          <w:sz w:val="24"/>
          <w:highlight w:val="none"/>
          <w14:textFill>
            <w14:solidFill>
              <w14:schemeClr w14:val="tx1"/>
            </w14:solidFill>
          </w14:textFill>
        </w:rPr>
        <w:instrText xml:space="preserve">,a.projectid,b.</w:instrText>
      </w:r>
      <w:r>
        <w:rPr>
          <w:rFonts w:ascii="仿宋" w:hAnsi="仿宋" w:eastAsia="仿宋" w:cs="仿宋"/>
          <w:color w:val="000000" w:themeColor="text1"/>
          <w:sz w:val="24"/>
          <w:highlight w:val="none"/>
          <w14:textFill>
            <w14:solidFill>
              <w14:schemeClr w14:val="tx1"/>
            </w14:solidFill>
          </w14:textFill>
        </w:rPr>
        <w:instrText xml:space="preserve">bidvalidity</w:instrText>
      </w:r>
      <w:r>
        <w:rPr>
          <w:rFonts w:hint="eastAsia" w:ascii="仿宋" w:hAnsi="仿宋" w:eastAsia="仿宋" w:cs="仿宋"/>
          <w:color w:val="000000" w:themeColor="text1"/>
          <w:sz w:val="24"/>
          <w:highlight w:val="none"/>
          <w14:textFill>
            <w14:solidFill>
              <w14:schemeClr w14:val="tx1"/>
            </w14:solidFill>
          </w14:textFill>
        </w:rPr>
        <w:instrText xml:space="preserve">,b.</w:instrText>
      </w:r>
      <w:r>
        <w:rPr>
          <w:rFonts w:ascii="仿宋" w:hAnsi="仿宋" w:eastAsia="仿宋" w:cs="仿宋"/>
          <w:color w:val="000000" w:themeColor="text1"/>
          <w:sz w:val="24"/>
          <w:highlight w:val="none"/>
          <w14:textFill>
            <w14:solidFill>
              <w14:schemeClr w14:val="tx1"/>
            </w14:solidFill>
          </w14:textFill>
        </w:rPr>
        <w:instrText xml:space="preserve">canjoint</w:instrText>
      </w:r>
      <w:r>
        <w:rPr>
          <w:rFonts w:hint="eastAsia" w:ascii="仿宋" w:hAnsi="仿宋" w:eastAsia="仿宋" w:cs="仿宋"/>
          <w:color w:val="000000" w:themeColor="text1"/>
          <w:sz w:val="24"/>
          <w:highlight w:val="none"/>
          <w14:textFill>
            <w14:solidFill>
              <w14:schemeClr w14:val="tx1"/>
            </w14:solidFill>
          </w14:textFill>
        </w:rPr>
        <w:instrText xml:space="preserve">,b.</w:instrText>
      </w:r>
      <w:r>
        <w:rPr>
          <w:rFonts w:ascii="仿宋" w:hAnsi="仿宋" w:eastAsia="仿宋" w:cs="仿宋"/>
          <w:color w:val="000000" w:themeColor="text1"/>
          <w:sz w:val="24"/>
          <w:highlight w:val="none"/>
          <w14:textFill>
            <w14:solidFill>
              <w14:schemeClr w14:val="tx1"/>
            </w14:solidFill>
          </w14:textFill>
        </w:rPr>
        <w:instrText xml:space="preserve">judgecount from gp_project a,gp_projectScheme b where a.projectId=b.projectId and </w:instrText>
      </w:r>
      <w:r>
        <w:rPr>
          <w:rFonts w:hint="eastAsia" w:ascii="仿宋" w:hAnsi="仿宋" w:eastAsia="仿宋" w:cs="仿宋"/>
          <w:color w:val="000000" w:themeColor="text1"/>
          <w:sz w:val="24"/>
          <w:highlight w:val="none"/>
          <w14:textFill>
            <w14:solidFill>
              <w14:schemeClr w14:val="tx1"/>
            </w14:solidFill>
          </w14:textFill>
        </w:rPr>
        <w:instrText xml:space="preserve">b</w:instrText>
      </w:r>
      <w:r>
        <w:rPr>
          <w:rFonts w:ascii="仿宋" w:hAnsi="仿宋" w:eastAsia="仿宋" w:cs="仿宋"/>
          <w:color w:val="000000" w:themeColor="text1"/>
          <w:sz w:val="24"/>
          <w:highlight w:val="none"/>
          <w14:textFill>
            <w14:solidFill>
              <w14:schemeClr w14:val="tx1"/>
            </w14:solidFill>
          </w14:textFill>
        </w:rPr>
        <w:instrText xml:space="preserve">.schemeId=</w:instrText>
      </w:r>
      <w:r>
        <w:rPr>
          <w:rFonts w:hint="eastAsia" w:ascii="仿宋" w:hAnsi="仿宋" w:eastAsia="仿宋" w:cs="仿宋"/>
          <w:color w:val="000000" w:themeColor="text1"/>
          <w:sz w:val="24"/>
          <w:highlight w:val="none"/>
          <w14:textFill>
            <w14:solidFill>
              <w14:schemeClr w14:val="tx1"/>
            </w14:solidFill>
          </w14:textFill>
        </w:rPr>
        <w:instrText xml:space="preserve">"+NFV("</w:instrText>
      </w:r>
      <w:r>
        <w:rPr>
          <w:rFonts w:ascii="仿宋" w:hAnsi="仿宋" w:eastAsia="仿宋" w:cs="仿宋"/>
          <w:color w:val="000000" w:themeColor="text1"/>
          <w:sz w:val="24"/>
          <w:highlight w:val="none"/>
          <w14:textFill>
            <w14:solidFill>
              <w14:schemeClr w14:val="tx1"/>
            </w14:solidFill>
          </w14:textFill>
        </w:rPr>
        <w:instrText xml:space="preserve">scheme</w:instrText>
      </w:r>
      <w:r>
        <w:rPr>
          <w:rFonts w:hint="eastAsia" w:ascii="仿宋" w:hAnsi="仿宋" w:eastAsia="仿宋" w:cs="仿宋"/>
          <w:color w:val="000000" w:themeColor="text1"/>
          <w:sz w:val="24"/>
          <w:highlight w:val="none"/>
          <w14:textFill>
            <w14:solidFill>
              <w14:schemeClr w14:val="tx1"/>
            </w14:solidFill>
          </w14:textFill>
        </w:rPr>
        <w:instrText xml:space="preserve">i</w:instrText>
      </w:r>
      <w:r>
        <w:rPr>
          <w:rFonts w:ascii="仿宋" w:hAnsi="仿宋" w:eastAsia="仿宋" w:cs="仿宋"/>
          <w:color w:val="000000" w:themeColor="text1"/>
          <w:sz w:val="24"/>
          <w:highlight w:val="none"/>
          <w14:textFill>
            <w14:solidFill>
              <w14:schemeClr w14:val="tx1"/>
            </w14:solidFill>
          </w14:textFill>
        </w:rPr>
        <w:instrText xml:space="preserve">d</w:instrText>
      </w:r>
      <w:r>
        <w:rPr>
          <w:rFonts w:hint="eastAsia" w:ascii="仿宋" w:hAnsi="仿宋" w:eastAsia="仿宋" w:cs="仿宋"/>
          <w:color w:val="000000" w:themeColor="text1"/>
          <w:sz w:val="24"/>
          <w:highlight w:val="none"/>
          <w14:textFill>
            <w14:solidFill>
              <w14:schemeClr w14:val="tx1"/>
            </w14:solidFill>
          </w14:textFill>
        </w:rPr>
        <w:instrText xml:space="preserve">",-1) &lt;/def&gt;</w:instrText>
      </w:r>
      <w:r>
        <w:rPr>
          <w:rFonts w:ascii="仿宋" w:hAnsi="仿宋" w:eastAsia="仿宋" w:cs="仿宋"/>
          <w:color w:val="000000" w:themeColor="text1"/>
          <w:sz w:val="24"/>
          <w:highlight w:val="none"/>
          <w14:textFill>
            <w14:solidFill>
              <w14:schemeClr w14:val="tx1"/>
            </w14:solidFill>
          </w14:textFill>
        </w:rPr>
        <w:instrText xml:space="preserve">&lt;/MK&gt;</w:instrText>
      </w:r>
      <w:r>
        <w:rPr>
          <w:rFonts w:ascii="仿宋" w:hAnsi="仿宋" w:eastAsia="仿宋" w:cs="仿宋"/>
          <w:color w:val="000000" w:themeColor="text1"/>
          <w:sz w:val="24"/>
          <w:highlight w:val="none"/>
          <w14:textFill>
            <w14:solidFill>
              <w14:schemeClr w14:val="tx1"/>
            </w14:solidFill>
          </w14:textFill>
        </w:rPr>
        <w:fldChar w:fldCharType="separate"/>
      </w:r>
      <w:r>
        <w:rPr>
          <w:rFonts w:ascii="仿宋" w:hAnsi="仿宋" w:eastAsia="仿宋" w:cs="仿宋"/>
          <w:color w:val="000000" w:themeColor="text1"/>
          <w:sz w:val="24"/>
          <w:highlight w:val="none"/>
          <w14:textFill>
            <w14:solidFill>
              <w14:schemeClr w14:val="tx1"/>
            </w14:solidFill>
          </w14:textFill>
        </w:rPr>
        <w:t>!异常的公式结尾</w:t>
      </w:r>
      <w:r>
        <w:rPr>
          <w:rFonts w:ascii="仿宋" w:hAnsi="仿宋" w:eastAsia="仿宋" w:cs="仿宋"/>
          <w:color w:val="000000" w:themeColor="text1"/>
          <w:sz w:val="24"/>
          <w:highlight w:val="none"/>
          <w14:textFill>
            <w14:solidFill>
              <w14:schemeClr w14:val="tx1"/>
            </w14:solidFill>
          </w14:textFill>
        </w:rPr>
        <w:fldChar w:fldCharType="end"/>
      </w:r>
      <w:r>
        <w:rPr>
          <w:rFonts w:ascii="仿宋" w:hAnsi="仿宋" w:eastAsia="仿宋" w:cs="仿宋"/>
          <w:color w:val="000000" w:themeColor="text1"/>
          <w:sz w:val="24"/>
          <w:highlight w:val="none"/>
          <w14:textFill>
            <w14:solidFill>
              <w14:schemeClr w14:val="tx1"/>
            </w14:solidFill>
          </w14:textFill>
        </w:rPr>
        <w:fldChar w:fldCharType="begin"/>
      </w:r>
      <w:r>
        <w:rPr>
          <w:rFonts w:ascii="仿宋" w:hAnsi="仿宋" w:eastAsia="仿宋" w:cs="仿宋"/>
          <w:color w:val="000000" w:themeColor="text1"/>
          <w:sz w:val="24"/>
          <w:highlight w:val="none"/>
          <w14:textFill>
            <w14:solidFill>
              <w14:schemeClr w14:val="tx1"/>
            </w14:solidFill>
          </w14:textFill>
        </w:rPr>
        <w:instrText xml:space="preserve">&lt;MK</w:instrText>
      </w:r>
      <w:r>
        <w:rPr>
          <w:rFonts w:hint="eastAsia" w:ascii="仿宋" w:hAnsi="仿宋" w:eastAsia="仿宋" w:cs="仿宋"/>
          <w:color w:val="000000" w:themeColor="text1"/>
          <w:sz w:val="24"/>
          <w:highlight w:val="none"/>
          <w14:textFill>
            <w14:solidFill>
              <w14:schemeClr w14:val="tx1"/>
            </w14:solidFill>
          </w14:textFill>
        </w:rPr>
        <w:instrText xml:space="preserve"> cmd="bus"</w:instrText>
      </w:r>
      <w:r>
        <w:rPr>
          <w:rFonts w:ascii="仿宋" w:hAnsi="仿宋" w:eastAsia="仿宋" w:cs="仿宋"/>
          <w:color w:val="000000" w:themeColor="text1"/>
          <w:sz w:val="24"/>
          <w:highlight w:val="none"/>
          <w14:textFill>
            <w14:solidFill>
              <w14:schemeClr w14:val="tx1"/>
            </w14:solidFill>
          </w14:textFill>
        </w:rPr>
        <w:instrText xml:space="preserve">&gt;</w:instrText>
      </w:r>
      <w:r>
        <w:rPr>
          <w:rFonts w:hint="eastAsia" w:ascii="仿宋" w:hAnsi="仿宋" w:eastAsia="仿宋" w:cs="仿宋"/>
          <w:color w:val="000000" w:themeColor="text1"/>
          <w:sz w:val="24"/>
          <w:highlight w:val="none"/>
          <w14:textFill>
            <w14:solidFill>
              <w14:schemeClr w14:val="tx1"/>
            </w14:solidFill>
          </w14:textFill>
        </w:rPr>
        <w:instrText xml:space="preserve">&lt;def type="query" recs="org"&gt;"</w:instrText>
      </w:r>
      <w:r>
        <w:rPr>
          <w:rFonts w:ascii="仿宋" w:hAnsi="仿宋" w:eastAsia="仿宋" w:cs="仿宋"/>
          <w:color w:val="000000" w:themeColor="text1"/>
          <w:sz w:val="24"/>
          <w:highlight w:val="none"/>
          <w14:textFill>
            <w14:solidFill>
              <w14:schemeClr w14:val="tx1"/>
            </w14:solidFill>
          </w14:textFill>
        </w:rPr>
        <w:instrText xml:space="preserve"> select b3.unitaddr,b3.zipcode,b3.linkman,b3.linkphone,</w:instrText>
      </w:r>
      <w:r>
        <w:rPr>
          <w:rFonts w:hint="eastAsia" w:ascii="仿宋" w:hAnsi="仿宋" w:eastAsia="仿宋" w:cs="仿宋"/>
          <w:color w:val="000000" w:themeColor="text1"/>
          <w:sz w:val="24"/>
          <w:highlight w:val="none"/>
          <w14:textFill>
            <w14:solidFill>
              <w14:schemeClr w14:val="tx1"/>
            </w14:solidFill>
          </w14:textFill>
        </w:rPr>
        <w:instrText xml:space="preserve">b3.uniturl,</w:instrText>
      </w:r>
      <w:r>
        <w:rPr>
          <w:rFonts w:ascii="仿宋" w:hAnsi="仿宋" w:eastAsia="仿宋" w:cs="仿宋"/>
          <w:color w:val="000000" w:themeColor="text1"/>
          <w:sz w:val="24"/>
          <w:highlight w:val="none"/>
          <w14:textFill>
            <w14:solidFill>
              <w14:schemeClr w14:val="tx1"/>
            </w14:solidFill>
          </w14:textFill>
        </w:rPr>
        <w:instrText xml:space="preserve">b2.organName from gp_project b1,bas_organ b2,gp_agent b3 where b1.agentOrgan=b2.organId and b2.organId=b3.org</w:instrText>
      </w:r>
      <w:r>
        <w:rPr>
          <w:rFonts w:hint="eastAsia" w:ascii="仿宋" w:hAnsi="仿宋" w:eastAsia="仿宋" w:cs="仿宋"/>
          <w:color w:val="000000" w:themeColor="text1"/>
          <w:sz w:val="24"/>
          <w:highlight w:val="none"/>
          <w14:textFill>
            <w14:solidFill>
              <w14:schemeClr w14:val="tx1"/>
            </w14:solidFill>
          </w14:textFill>
        </w:rPr>
        <w:instrText xml:space="preserve">anid </w:instrText>
      </w:r>
      <w:r>
        <w:rPr>
          <w:rFonts w:ascii="仿宋" w:hAnsi="仿宋" w:eastAsia="仿宋" w:cs="仿宋"/>
          <w:color w:val="000000" w:themeColor="text1"/>
          <w:sz w:val="24"/>
          <w:highlight w:val="none"/>
          <w14:textFill>
            <w14:solidFill>
              <w14:schemeClr w14:val="tx1"/>
            </w14:solidFill>
          </w14:textFill>
        </w:rPr>
        <w:instrText xml:space="preserve">and b1.</w:instrText>
      </w:r>
      <w:r>
        <w:rPr>
          <w:rFonts w:hint="eastAsia" w:ascii="仿宋" w:hAnsi="仿宋" w:eastAsia="仿宋" w:cs="仿宋"/>
          <w:color w:val="000000" w:themeColor="text1"/>
          <w:sz w:val="24"/>
          <w:highlight w:val="none"/>
          <w14:textFill>
            <w14:solidFill>
              <w14:schemeClr w14:val="tx1"/>
            </w14:solidFill>
          </w14:textFill>
        </w:rPr>
        <w:instrText xml:space="preserve">projectid</w:instrText>
      </w:r>
      <w:r>
        <w:rPr>
          <w:rFonts w:ascii="仿宋" w:hAnsi="仿宋" w:eastAsia="仿宋" w:cs="仿宋"/>
          <w:color w:val="000000" w:themeColor="text1"/>
          <w:sz w:val="24"/>
          <w:highlight w:val="none"/>
          <w14:textFill>
            <w14:solidFill>
              <w14:schemeClr w14:val="tx1"/>
            </w14:solidFill>
          </w14:textFill>
        </w:rPr>
        <w:instrText xml:space="preserve"> =</w:instrText>
      </w:r>
      <w:r>
        <w:rPr>
          <w:rFonts w:hint="eastAsia" w:ascii="仿宋" w:hAnsi="仿宋" w:eastAsia="仿宋" w:cs="仿宋"/>
          <w:color w:val="000000" w:themeColor="text1"/>
          <w:sz w:val="24"/>
          <w:highlight w:val="none"/>
          <w14:textFill>
            <w14:solidFill>
              <w14:schemeClr w14:val="tx1"/>
            </w14:solidFill>
          </w14:textFill>
        </w:rPr>
        <w:instrText xml:space="preserve">"+NFV("pro.projectid",-1) &lt;/def&gt;</w:instrText>
      </w:r>
      <w:r>
        <w:rPr>
          <w:rFonts w:ascii="仿宋" w:hAnsi="仿宋" w:eastAsia="仿宋" w:cs="仿宋"/>
          <w:color w:val="000000" w:themeColor="text1"/>
          <w:sz w:val="24"/>
          <w:highlight w:val="none"/>
          <w14:textFill>
            <w14:solidFill>
              <w14:schemeClr w14:val="tx1"/>
            </w14:solidFill>
          </w14:textFill>
        </w:rPr>
        <w:instrText xml:space="preserve">&lt;/MK&gt;</w:instrText>
      </w:r>
      <w:r>
        <w:rPr>
          <w:rFonts w:ascii="仿宋" w:hAnsi="仿宋" w:eastAsia="仿宋" w:cs="仿宋"/>
          <w:color w:val="000000" w:themeColor="text1"/>
          <w:sz w:val="24"/>
          <w:highlight w:val="none"/>
          <w14:textFill>
            <w14:solidFill>
              <w14:schemeClr w14:val="tx1"/>
            </w14:solidFill>
          </w14:textFill>
        </w:rPr>
        <w:fldChar w:fldCharType="separate"/>
      </w:r>
      <w:r>
        <w:rPr>
          <w:rFonts w:ascii="仿宋" w:hAnsi="仿宋" w:eastAsia="仿宋" w:cs="仿宋"/>
          <w:color w:val="000000" w:themeColor="text1"/>
          <w:sz w:val="24"/>
          <w:highlight w:val="none"/>
          <w14:textFill>
            <w14:solidFill>
              <w14:schemeClr w14:val="tx1"/>
            </w14:solidFill>
          </w14:textFill>
        </w:rPr>
        <w:t>!异常的公式结尾</w:t>
      </w:r>
      <w:r>
        <w:rPr>
          <w:rFonts w:ascii="仿宋" w:hAnsi="仿宋" w:eastAsia="仿宋" w:cs="仿宋"/>
          <w:color w:val="000000" w:themeColor="text1"/>
          <w:sz w:val="24"/>
          <w:highlight w:val="none"/>
          <w14:textFill>
            <w14:solidFill>
              <w14:schemeClr w14:val="tx1"/>
            </w14:solidFill>
          </w14:textFill>
        </w:rPr>
        <w:fldChar w:fldCharType="end"/>
      </w:r>
      <w:r>
        <w:rPr>
          <w:rFonts w:ascii="仿宋" w:hAnsi="仿宋" w:eastAsia="仿宋" w:cs="仿宋"/>
          <w:color w:val="000000" w:themeColor="text1"/>
          <w:sz w:val="24"/>
          <w:highlight w:val="none"/>
          <w14:textFill>
            <w14:solidFill>
              <w14:schemeClr w14:val="tx1"/>
            </w14:solidFill>
          </w14:textFill>
        </w:rPr>
        <w:fldChar w:fldCharType="begin"/>
      </w:r>
      <w:r>
        <w:rPr>
          <w:rFonts w:ascii="仿宋" w:hAnsi="仿宋" w:eastAsia="仿宋" w:cs="仿宋"/>
          <w:color w:val="000000" w:themeColor="text1"/>
          <w:sz w:val="24"/>
          <w:highlight w:val="none"/>
          <w14:textFill>
            <w14:solidFill>
              <w14:schemeClr w14:val="tx1"/>
            </w14:solidFill>
          </w14:textFill>
        </w:rPr>
        <w:instrText xml:space="preserve">&lt;MK cmd="bus"&gt;&lt;def type="query" recs="</w:instrText>
      </w:r>
      <w:r>
        <w:rPr>
          <w:rFonts w:hint="eastAsia" w:ascii="仿宋" w:hAnsi="仿宋" w:eastAsia="仿宋" w:cs="仿宋"/>
          <w:color w:val="000000" w:themeColor="text1"/>
          <w:sz w:val="24"/>
          <w:highlight w:val="none"/>
          <w14:textFill>
            <w14:solidFill>
              <w14:schemeClr w14:val="tx1"/>
            </w14:solidFill>
          </w14:textFill>
        </w:rPr>
        <w:instrText xml:space="preserve">totle</w:instrText>
      </w:r>
      <w:r>
        <w:rPr>
          <w:rFonts w:ascii="仿宋" w:hAnsi="仿宋" w:eastAsia="仿宋" w:cs="仿宋"/>
          <w:color w:val="000000" w:themeColor="text1"/>
          <w:sz w:val="24"/>
          <w:highlight w:val="none"/>
          <w14:textFill>
            <w14:solidFill>
              <w14:schemeClr w14:val="tx1"/>
            </w14:solidFill>
          </w14:textFill>
        </w:rPr>
        <w:instrText xml:space="preserve">"&gt;"SELECT</w:instrText>
      </w:r>
      <w:r>
        <w:rPr>
          <w:rFonts w:hint="eastAsia" w:ascii="仿宋" w:hAnsi="仿宋" w:eastAsia="仿宋" w:cs="仿宋"/>
          <w:color w:val="000000" w:themeColor="text1"/>
          <w:sz w:val="24"/>
          <w:highlight w:val="none"/>
          <w14:textFill>
            <w14:solidFill>
              <w14:schemeClr w14:val="tx1"/>
            </w14:solidFill>
          </w14:textFill>
        </w:rPr>
        <w:instrText xml:space="preserve"> sum(a.</w:instrText>
      </w:r>
      <w:r>
        <w:rPr>
          <w:rFonts w:ascii="仿宋" w:hAnsi="仿宋" w:eastAsia="仿宋" w:cs="仿宋"/>
          <w:color w:val="000000" w:themeColor="text1"/>
          <w:sz w:val="24"/>
          <w:highlight w:val="none"/>
          <w14:textFill>
            <w14:solidFill>
              <w14:schemeClr w14:val="tx1"/>
            </w14:solidFill>
          </w14:textFill>
        </w:rPr>
        <w:instrText xml:space="preserve">budgetAmount</w:instrText>
      </w:r>
      <w:r>
        <w:rPr>
          <w:rFonts w:hint="eastAsia" w:ascii="仿宋" w:hAnsi="仿宋" w:eastAsia="仿宋" w:cs="仿宋"/>
          <w:color w:val="000000" w:themeColor="text1"/>
          <w:sz w:val="24"/>
          <w:highlight w:val="none"/>
          <w14:textFill>
            <w14:solidFill>
              <w14:schemeClr w14:val="tx1"/>
            </w14:solidFill>
          </w14:textFill>
        </w:rPr>
        <w:instrText xml:space="preserve">) budgettotlefrom </w:instrText>
      </w:r>
      <w:r>
        <w:rPr>
          <w:rFonts w:ascii="仿宋" w:hAnsi="仿宋" w:eastAsia="仿宋" w:cs="仿宋"/>
          <w:color w:val="000000" w:themeColor="text1"/>
          <w:sz w:val="24"/>
          <w:highlight w:val="none"/>
          <w14:textFill>
            <w14:solidFill>
              <w14:schemeClr w14:val="tx1"/>
            </w14:solidFill>
          </w14:textFill>
        </w:rPr>
        <w:instrText xml:space="preserve">gp_goods a,gp_package b,gp_packageScheme c WHERE a.packageId=b.packageId AND b.packageSchemeId=c.packageSchemeId ANDc.schemeId</w:instrText>
      </w:r>
      <w:r>
        <w:rPr>
          <w:rFonts w:hint="eastAsia" w:ascii="仿宋" w:hAnsi="仿宋" w:eastAsia="仿宋" w:cs="仿宋"/>
          <w:color w:val="000000" w:themeColor="text1"/>
          <w:sz w:val="24"/>
          <w:highlight w:val="none"/>
          <w14:textFill>
            <w14:solidFill>
              <w14:schemeClr w14:val="tx1"/>
            </w14:solidFill>
          </w14:textFill>
        </w:rPr>
        <w:instrText xml:space="preserve"> ="+NFV("schemeid",-1)</w:instrText>
      </w:r>
      <w:r>
        <w:rPr>
          <w:rFonts w:ascii="仿宋" w:hAnsi="仿宋" w:eastAsia="仿宋" w:cs="仿宋"/>
          <w:color w:val="000000" w:themeColor="text1"/>
          <w:sz w:val="24"/>
          <w:highlight w:val="none"/>
          <w14:textFill>
            <w14:solidFill>
              <w14:schemeClr w14:val="tx1"/>
            </w14:solidFill>
          </w14:textFill>
        </w:rPr>
        <w:instrText xml:space="preserve">&lt;/def&gt;&lt;/MK&gt;</w:instrText>
      </w:r>
      <w:r>
        <w:rPr>
          <w:rFonts w:ascii="仿宋" w:hAnsi="仿宋" w:eastAsia="仿宋" w:cs="仿宋"/>
          <w:color w:val="000000" w:themeColor="text1"/>
          <w:sz w:val="24"/>
          <w:highlight w:val="none"/>
          <w14:textFill>
            <w14:solidFill>
              <w14:schemeClr w14:val="tx1"/>
            </w14:solidFill>
          </w14:textFill>
        </w:rPr>
        <w:fldChar w:fldCharType="end"/>
      </w:r>
      <w:r>
        <w:rPr>
          <w:rFonts w:ascii="仿宋" w:hAnsi="仿宋" w:eastAsia="仿宋" w:cs="仿宋"/>
          <w:color w:val="000000" w:themeColor="text1"/>
          <w:sz w:val="24"/>
          <w:highlight w:val="none"/>
          <w14:textFill>
            <w14:solidFill>
              <w14:schemeClr w14:val="tx1"/>
            </w14:solidFill>
          </w14:textFill>
        </w:rPr>
        <w:fldChar w:fldCharType="begin"/>
      </w:r>
      <w:r>
        <w:rPr>
          <w:rFonts w:ascii="仿宋" w:hAnsi="仿宋" w:eastAsia="仿宋" w:cs="仿宋"/>
          <w:color w:val="000000" w:themeColor="text1"/>
          <w:sz w:val="24"/>
          <w:highlight w:val="none"/>
          <w14:textFill>
            <w14:solidFill>
              <w14:schemeClr w14:val="tx1"/>
            </w14:solidFill>
          </w14:textFill>
        </w:rPr>
        <w:instrText xml:space="preserve">&lt;MK cmd="</w:instrText>
      </w:r>
      <w:r>
        <w:rPr>
          <w:rFonts w:hint="eastAsia" w:ascii="仿宋" w:hAnsi="仿宋" w:eastAsia="仿宋" w:cs="仿宋"/>
          <w:color w:val="000000" w:themeColor="text1"/>
          <w:sz w:val="24"/>
          <w:highlight w:val="none"/>
          <w14:textFill>
            <w14:solidFill>
              <w14:schemeClr w14:val="tx1"/>
            </w14:solidFill>
          </w14:textFill>
        </w:rPr>
        <w:instrText xml:space="preserve">bus</w:instrText>
      </w:r>
      <w:r>
        <w:rPr>
          <w:rFonts w:ascii="仿宋" w:hAnsi="仿宋" w:eastAsia="仿宋" w:cs="仿宋"/>
          <w:color w:val="000000" w:themeColor="text1"/>
          <w:sz w:val="24"/>
          <w:highlight w:val="none"/>
          <w14:textFill>
            <w14:solidFill>
              <w14:schemeClr w14:val="tx1"/>
            </w14:solidFill>
          </w14:textFill>
        </w:rPr>
        <w:instrText xml:space="preserve">"&gt;&lt;def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仿宋" w:hAnsi="仿宋" w:eastAsia="仿宋" w:cs="仿宋"/>
          <w:color w:val="000000" w:themeColor="text1"/>
          <w:sz w:val="24"/>
          <w:highlight w:val="none"/>
          <w14:textFill>
            <w14:solidFill>
              <w14:schemeClr w14:val="tx1"/>
            </w14:solidFill>
          </w14:textFill>
        </w:rPr>
        <w:fldChar w:fldCharType="end"/>
      </w:r>
      <w:r>
        <w:rPr>
          <w:rFonts w:ascii="仿宋" w:hAnsi="仿宋" w:eastAsia="仿宋" w:cs="仿宋"/>
          <w:color w:val="000000" w:themeColor="text1"/>
          <w:sz w:val="24"/>
          <w:highlight w:val="none"/>
          <w14:textFill>
            <w14:solidFill>
              <w14:schemeClr w14:val="tx1"/>
            </w14:solidFill>
          </w14:textFill>
        </w:rPr>
        <w:fldChar w:fldCharType="begin"/>
      </w:r>
      <w:r>
        <w:rPr>
          <w:rFonts w:ascii="仿宋" w:hAnsi="仿宋" w:eastAsia="仿宋" w:cs="仿宋"/>
          <w:color w:val="000000" w:themeColor="text1"/>
          <w:sz w:val="24"/>
          <w:highlight w:val="none"/>
          <w14:textFill>
            <w14:solidFill>
              <w14:schemeClr w14:val="tx1"/>
            </w14:solidFill>
          </w14:textFill>
        </w:rPr>
        <w:instrText xml:space="preserve">&lt;MK cmd="</w:instrText>
      </w:r>
      <w:r>
        <w:rPr>
          <w:rFonts w:hint="eastAsia" w:ascii="仿宋" w:hAnsi="仿宋" w:eastAsia="仿宋" w:cs="仿宋"/>
          <w:color w:val="000000" w:themeColor="text1"/>
          <w:sz w:val="24"/>
          <w:highlight w:val="none"/>
          <w14:textFill>
            <w14:solidFill>
              <w14:schemeClr w14:val="tx1"/>
            </w14:solidFill>
          </w14:textFill>
        </w:rPr>
        <w:instrText xml:space="preserve">bus</w:instrText>
      </w:r>
      <w:r>
        <w:rPr>
          <w:rFonts w:ascii="仿宋" w:hAnsi="仿宋" w:eastAsia="仿宋" w:cs="仿宋"/>
          <w:color w:val="000000" w:themeColor="text1"/>
          <w:sz w:val="24"/>
          <w:highlight w:val="none"/>
          <w14:textFill>
            <w14:solidFill>
              <w14:schemeClr w14:val="tx1"/>
            </w14:solidFill>
          </w14:textFill>
        </w:rPr>
        <w:instrText xml:space="preserve">"&gt;&lt;def type="query" recs="filecode"&gt;" SELECT a.grantSymbol FROM gp_plan a WHERE a.planid IN (SELECT DISTINCT b.planId FROM gp_package b,gp_packageScheme c WHERE b.packageSchemeId=c.packageSchemeId AND c.schemeId="+NFV("schemeid")+")"&lt;/def&gt;&lt;/MK&gt;</w:instrText>
      </w:r>
      <w:r>
        <w:rPr>
          <w:rFonts w:ascii="仿宋" w:hAnsi="仿宋" w:eastAsia="仿宋" w:cs="仿宋"/>
          <w:color w:val="000000" w:themeColor="text1"/>
          <w:sz w:val="24"/>
          <w:highlight w:val="none"/>
          <w14:textFill>
            <w14:solidFill>
              <w14:schemeClr w14:val="tx1"/>
            </w14:solidFill>
          </w14:textFill>
        </w:rPr>
        <w:fldChar w:fldCharType="end"/>
      </w:r>
      <w:r>
        <w:rPr>
          <w:rFonts w:ascii="仿宋" w:hAnsi="仿宋" w:eastAsia="仿宋" w:cs="仿宋"/>
          <w:color w:val="000000" w:themeColor="text1"/>
          <w:highlight w:val="none"/>
          <w14:textFill>
            <w14:solidFill>
              <w14:schemeClr w14:val="tx1"/>
            </w14:solidFill>
          </w14:textFill>
        </w:rPr>
        <w:fldChar w:fldCharType="begin"/>
      </w:r>
      <w:r>
        <w:rPr>
          <w:rFonts w:ascii="仿宋" w:hAnsi="仿宋" w:eastAsia="仿宋" w:cs="仿宋"/>
          <w:color w:val="000000" w:themeColor="text1"/>
          <w:highlight w:val="none"/>
          <w14:textFill>
            <w14:solidFill>
              <w14:schemeClr w14:val="tx1"/>
            </w14:solidFill>
          </w14:textFill>
        </w:rPr>
        <w:instrText xml:space="preserve">&lt;MK</w:instrText>
      </w:r>
      <w:r>
        <w:rPr>
          <w:rFonts w:hint="eastAsia" w:ascii="仿宋" w:hAnsi="仿宋" w:eastAsia="仿宋" w:cs="仿宋"/>
          <w:color w:val="000000" w:themeColor="text1"/>
          <w:highlight w:val="none"/>
          <w14:textFill>
            <w14:solidFill>
              <w14:schemeClr w14:val="tx1"/>
            </w14:solidFill>
          </w14:textFill>
        </w:rPr>
        <w:instrText xml:space="preserve"> cmd="bus"</w:instrText>
      </w:r>
      <w:r>
        <w:rPr>
          <w:rFonts w:ascii="仿宋" w:hAnsi="仿宋" w:eastAsia="仿宋" w:cs="仿宋"/>
          <w:color w:val="000000" w:themeColor="text1"/>
          <w:highlight w:val="none"/>
          <w14:textFill>
            <w14:solidFill>
              <w14:schemeClr w14:val="tx1"/>
            </w14:solidFill>
          </w14:textFill>
        </w:rPr>
        <w:instrText xml:space="preserve">&gt;</w:instrText>
      </w:r>
      <w:r>
        <w:rPr>
          <w:rFonts w:hint="eastAsia" w:ascii="仿宋" w:hAnsi="仿宋" w:eastAsia="仿宋" w:cs="仿宋"/>
          <w:color w:val="000000" w:themeColor="text1"/>
          <w:highlight w:val="none"/>
          <w14:textFill>
            <w14:solidFill>
              <w14:schemeClr w14:val="tx1"/>
            </w14:solidFill>
          </w14:textFill>
        </w:rPr>
        <w:instrText xml:space="preserve">&lt;def type="query" recs="mypro"&gt;"</w:instrText>
      </w:r>
      <w:r>
        <w:rPr>
          <w:rFonts w:ascii="仿宋" w:hAnsi="仿宋" w:eastAsia="仿宋" w:cs="仿宋"/>
          <w:color w:val="000000" w:themeColor="text1"/>
          <w:highlight w:val="none"/>
          <w14:textFill>
            <w14:solidFill>
              <w14:schemeClr w14:val="tx1"/>
            </w14:solidFill>
          </w14:textFill>
        </w:rPr>
        <w:instrText xml:space="preserve"> select </w:instrText>
      </w:r>
      <w:r>
        <w:rPr>
          <w:rFonts w:hint="eastAsia" w:ascii="仿宋" w:hAnsi="仿宋" w:eastAsia="仿宋" w:cs="仿宋"/>
          <w:color w:val="000000" w:themeColor="text1"/>
          <w:highlight w:val="none"/>
          <w14:textFill>
            <w14:solidFill>
              <w14:schemeClr w14:val="tx1"/>
            </w14:solidFill>
          </w14:textFill>
        </w:rPr>
        <w:instrText xml:space="preserve">a.agentOrgan,c.organname</w:instrText>
      </w:r>
      <w:r>
        <w:rPr>
          <w:rFonts w:ascii="仿宋" w:hAnsi="仿宋" w:eastAsia="仿宋" w:cs="仿宋"/>
          <w:color w:val="000000" w:themeColor="text1"/>
          <w:highlight w:val="none"/>
          <w14:textFill>
            <w14:solidFill>
              <w14:schemeClr w14:val="tx1"/>
            </w14:solidFill>
          </w14:textFill>
        </w:rPr>
        <w:instrText xml:space="preserve"> from gp_project a,gp_projectScheme b</w:instrText>
      </w:r>
      <w:r>
        <w:rPr>
          <w:rFonts w:hint="eastAsia" w:ascii="仿宋" w:hAnsi="仿宋" w:eastAsia="仿宋" w:cs="仿宋"/>
          <w:color w:val="000000" w:themeColor="text1"/>
          <w:highlight w:val="none"/>
          <w14:textFill>
            <w14:solidFill>
              <w14:schemeClr w14:val="tx1"/>
            </w14:solidFill>
          </w14:textFill>
        </w:rPr>
        <w:instrText xml:space="preserve">,bas_organ c</w:instrText>
      </w:r>
      <w:r>
        <w:rPr>
          <w:rFonts w:ascii="仿宋" w:hAnsi="仿宋" w:eastAsia="仿宋" w:cs="仿宋"/>
          <w:color w:val="000000" w:themeColor="text1"/>
          <w:highlight w:val="none"/>
          <w14:textFill>
            <w14:solidFill>
              <w14:schemeClr w14:val="tx1"/>
            </w14:solidFill>
          </w14:textFill>
        </w:rPr>
        <w:instrText xml:space="preserve"> where a.projectId=b.projectId</w:instrText>
      </w:r>
      <w:r>
        <w:rPr>
          <w:rFonts w:hint="eastAsia" w:ascii="仿宋" w:hAnsi="仿宋" w:eastAsia="仿宋" w:cs="仿宋"/>
          <w:color w:val="000000" w:themeColor="text1"/>
          <w:highlight w:val="none"/>
          <w14:textFill>
            <w14:solidFill>
              <w14:schemeClr w14:val="tx1"/>
            </w14:solidFill>
          </w14:textFill>
        </w:rPr>
        <w:instrText xml:space="preserve"> and a.agentorgan=c.organid</w:instrText>
      </w:r>
      <w:r>
        <w:rPr>
          <w:rFonts w:ascii="仿宋" w:hAnsi="仿宋" w:eastAsia="仿宋" w:cs="仿宋"/>
          <w:color w:val="000000" w:themeColor="text1"/>
          <w:highlight w:val="none"/>
          <w14:textFill>
            <w14:solidFill>
              <w14:schemeClr w14:val="tx1"/>
            </w14:solidFill>
          </w14:textFill>
        </w:rPr>
        <w:instrText xml:space="preserve"> and </w:instrText>
      </w:r>
      <w:r>
        <w:rPr>
          <w:rFonts w:hint="eastAsia" w:ascii="仿宋" w:hAnsi="仿宋" w:eastAsia="仿宋" w:cs="仿宋"/>
          <w:color w:val="000000" w:themeColor="text1"/>
          <w:highlight w:val="none"/>
          <w14:textFill>
            <w14:solidFill>
              <w14:schemeClr w14:val="tx1"/>
            </w14:solidFill>
          </w14:textFill>
        </w:rPr>
        <w:instrText xml:space="preserve">b</w:instrText>
      </w:r>
      <w:r>
        <w:rPr>
          <w:rFonts w:ascii="仿宋" w:hAnsi="仿宋" w:eastAsia="仿宋" w:cs="仿宋"/>
          <w:color w:val="000000" w:themeColor="text1"/>
          <w:highlight w:val="none"/>
          <w14:textFill>
            <w14:solidFill>
              <w14:schemeClr w14:val="tx1"/>
            </w14:solidFill>
          </w14:textFill>
        </w:rPr>
        <w:instrText xml:space="preserve">.schemeId="</w:instrText>
      </w:r>
      <w:r>
        <w:rPr>
          <w:rFonts w:hint="eastAsia" w:ascii="仿宋" w:hAnsi="仿宋" w:eastAsia="仿宋" w:cs="仿宋"/>
          <w:color w:val="000000" w:themeColor="text1"/>
          <w:highlight w:val="none"/>
          <w14:textFill>
            <w14:solidFill>
              <w14:schemeClr w14:val="tx1"/>
            </w14:solidFill>
          </w14:textFill>
        </w:rPr>
        <w:instrText xml:space="preserve">+NFV("</w:instrText>
      </w:r>
      <w:r>
        <w:rPr>
          <w:rFonts w:ascii="仿宋" w:hAnsi="仿宋" w:eastAsia="仿宋" w:cs="仿宋"/>
          <w:color w:val="000000" w:themeColor="text1"/>
          <w:highlight w:val="none"/>
          <w14:textFill>
            <w14:solidFill>
              <w14:schemeClr w14:val="tx1"/>
            </w14:solidFill>
          </w14:textFill>
        </w:rPr>
        <w:instrText xml:space="preserve">schemeid</w:instrText>
      </w:r>
      <w:r>
        <w:rPr>
          <w:rFonts w:hint="eastAsia" w:ascii="仿宋" w:hAnsi="仿宋" w:eastAsia="仿宋" w:cs="仿宋"/>
          <w:color w:val="000000" w:themeColor="text1"/>
          <w:highlight w:val="none"/>
          <w14:textFill>
            <w14:solidFill>
              <w14:schemeClr w14:val="tx1"/>
            </w14:solidFill>
          </w14:textFill>
        </w:rPr>
        <w:instrText xml:space="preserve">",-1)&lt;/def&gt;</w:instrText>
      </w:r>
      <w:r>
        <w:rPr>
          <w:rFonts w:ascii="仿宋" w:hAnsi="仿宋" w:eastAsia="仿宋" w:cs="仿宋"/>
          <w:color w:val="000000" w:themeColor="text1"/>
          <w:highlight w:val="none"/>
          <w14:textFill>
            <w14:solidFill>
              <w14:schemeClr w14:val="tx1"/>
            </w14:solidFill>
          </w14:textFill>
        </w:rPr>
        <w:instrText xml:space="preserve">&lt;/MK&gt;</w:instrText>
      </w:r>
      <w:r>
        <w:rPr>
          <w:rFonts w:ascii="仿宋" w:hAnsi="仿宋" w:eastAsia="仿宋" w:cs="仿宋"/>
          <w:color w:val="000000" w:themeColor="text1"/>
          <w:highlight w:val="none"/>
          <w14:textFill>
            <w14:solidFill>
              <w14:schemeClr w14:val="tx1"/>
            </w14:solidFill>
          </w14:textFill>
        </w:rPr>
        <w:fldChar w:fldCharType="separate"/>
      </w:r>
      <w:r>
        <w:rPr>
          <w:rFonts w:ascii="仿宋" w:hAnsi="仿宋" w:eastAsia="仿宋" w:cs="仿宋"/>
          <w:color w:val="000000" w:themeColor="text1"/>
          <w:highlight w:val="none"/>
          <w14:textFill>
            <w14:solidFill>
              <w14:schemeClr w14:val="tx1"/>
            </w14:solidFill>
          </w14:textFill>
        </w:rPr>
        <w:t>!异常的公式结尾</w:t>
      </w:r>
      <w:r>
        <w:rPr>
          <w:rFonts w:ascii="仿宋" w:hAnsi="仿宋" w:eastAsia="仿宋" w:cs="仿宋"/>
          <w:color w:val="000000" w:themeColor="text1"/>
          <w:highlight w:val="none"/>
          <w14:textFill>
            <w14:solidFill>
              <w14:schemeClr w14:val="tx1"/>
            </w14:solidFill>
          </w14:textFill>
        </w:rPr>
        <w:fldChar w:fldCharType="end"/>
      </w:r>
      <w:bookmarkStart w:id="111" w:name="_Hlk525721599"/>
    </w:p>
    <w:p w14:paraId="10EDEE38">
      <w:pPr>
        <w:jc w:val="center"/>
        <w:rPr>
          <w:rFonts w:hint="eastAsia" w:ascii="仿宋" w:hAnsi="仿宋" w:eastAsia="仿宋" w:cs="仿宋"/>
          <w:bCs/>
          <w:color w:val="000000" w:themeColor="text1"/>
          <w:sz w:val="84"/>
          <w:highlight w:val="none"/>
          <w14:textFill>
            <w14:solidFill>
              <w14:schemeClr w14:val="tx1"/>
            </w14:solidFill>
          </w14:textFill>
        </w:rPr>
      </w:pPr>
    </w:p>
    <w:p w14:paraId="12D88FFF">
      <w:pPr>
        <w:rPr>
          <w:rFonts w:hint="eastAsia" w:ascii="仿宋" w:hAnsi="仿宋" w:eastAsia="仿宋" w:cs="仿宋"/>
          <w:color w:val="000000" w:themeColor="text1"/>
          <w:highlight w:val="none"/>
          <w14:textFill>
            <w14:solidFill>
              <w14:schemeClr w14:val="tx1"/>
            </w14:solidFill>
          </w14:textFill>
        </w:rPr>
      </w:pPr>
    </w:p>
    <w:p w14:paraId="1918DF37">
      <w:pPr>
        <w:jc w:val="center"/>
        <w:rPr>
          <w:rFonts w:hint="eastAsia" w:ascii="仿宋" w:hAnsi="仿宋" w:eastAsia="仿宋" w:cs="仿宋"/>
          <w:bCs/>
          <w:color w:val="000000" w:themeColor="text1"/>
          <w:sz w:val="84"/>
          <w:highlight w:val="none"/>
          <w14:textFill>
            <w14:solidFill>
              <w14:schemeClr w14:val="tx1"/>
            </w14:solidFill>
          </w14:textFill>
        </w:rPr>
      </w:pPr>
      <w:r>
        <w:rPr>
          <w:rFonts w:hint="eastAsia" w:ascii="仿宋" w:hAnsi="仿宋" w:eastAsia="仿宋" w:cs="仿宋"/>
          <w:bCs/>
          <w:color w:val="000000" w:themeColor="text1"/>
          <w:sz w:val="84"/>
          <w:highlight w:val="none"/>
          <w14:textFill>
            <w14:solidFill>
              <w14:schemeClr w14:val="tx1"/>
            </w14:solidFill>
          </w14:textFill>
        </w:rPr>
        <w:t>投 标 文 件</w:t>
      </w:r>
    </w:p>
    <w:p w14:paraId="6A37EF95">
      <w:pPr>
        <w:jc w:val="center"/>
        <w:rPr>
          <w:rFonts w:hint="eastAsia" w:ascii="仿宋" w:hAnsi="仿宋" w:eastAsia="仿宋" w:cs="仿宋"/>
          <w:color w:val="000000" w:themeColor="text1"/>
          <w:sz w:val="72"/>
          <w:highlight w:val="none"/>
          <w14:textFill>
            <w14:solidFill>
              <w14:schemeClr w14:val="tx1"/>
            </w14:solidFill>
          </w14:textFill>
        </w:rPr>
      </w:pPr>
      <w:r>
        <w:rPr>
          <w:rFonts w:hint="eastAsia" w:ascii="仿宋" w:hAnsi="仿宋" w:eastAsia="仿宋" w:cs="仿宋"/>
          <w:color w:val="000000" w:themeColor="text1"/>
          <w:sz w:val="72"/>
          <w:highlight w:val="none"/>
          <w14:textFill>
            <w14:solidFill>
              <w14:schemeClr w14:val="tx1"/>
            </w14:solidFill>
          </w14:textFill>
        </w:rPr>
        <w:t>（第一册）</w:t>
      </w:r>
    </w:p>
    <w:p w14:paraId="7EEF2694">
      <w:pPr>
        <w:jc w:val="center"/>
        <w:rPr>
          <w:rFonts w:hint="eastAsia" w:ascii="仿宋" w:hAnsi="仿宋" w:eastAsia="仿宋" w:cs="仿宋"/>
          <w:color w:val="000000" w:themeColor="text1"/>
          <w:sz w:val="72"/>
          <w:highlight w:val="none"/>
          <w14:textFill>
            <w14:solidFill>
              <w14:schemeClr w14:val="tx1"/>
            </w14:solidFill>
          </w14:textFill>
        </w:rPr>
      </w:pPr>
    </w:p>
    <w:p w14:paraId="37A7FAD8">
      <w:pPr>
        <w:jc w:val="center"/>
        <w:rPr>
          <w:rFonts w:hint="eastAsia" w:ascii="仿宋" w:hAnsi="仿宋" w:eastAsia="仿宋" w:cs="仿宋"/>
          <w:color w:val="000000" w:themeColor="text1"/>
          <w:sz w:val="72"/>
          <w:highlight w:val="none"/>
          <w14:textFill>
            <w14:solidFill>
              <w14:schemeClr w14:val="tx1"/>
            </w14:solidFill>
          </w14:textFill>
        </w:rPr>
      </w:pPr>
    </w:p>
    <w:p w14:paraId="424F0CB5">
      <w:pPr>
        <w:ind w:firstLine="1080" w:firstLineChars="300"/>
        <w:jc w:val="left"/>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bCs/>
          <w:color w:val="000000" w:themeColor="text1"/>
          <w:sz w:val="36"/>
          <w:szCs w:val="36"/>
          <w:highlight w:val="none"/>
          <w14:textFill>
            <w14:solidFill>
              <w14:schemeClr w14:val="tx1"/>
            </w14:solidFill>
          </w14:textFill>
        </w:rPr>
        <w:t>项目名称：</w:t>
      </w:r>
    </w:p>
    <w:p w14:paraId="6DA7463B">
      <w:pPr>
        <w:ind w:firstLine="1080" w:firstLineChars="300"/>
        <w:jc w:val="left"/>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bCs/>
          <w:color w:val="000000" w:themeColor="text1"/>
          <w:sz w:val="36"/>
          <w:szCs w:val="36"/>
          <w:highlight w:val="none"/>
          <w14:textFill>
            <w14:solidFill>
              <w14:schemeClr w14:val="tx1"/>
            </w14:solidFill>
          </w14:textFill>
        </w:rPr>
        <w:t>招标编号：</w:t>
      </w:r>
    </w:p>
    <w:p w14:paraId="453E3467">
      <w:pPr>
        <w:jc w:val="left"/>
        <w:rPr>
          <w:rFonts w:hint="eastAsia" w:ascii="仿宋" w:hAnsi="仿宋" w:eastAsia="仿宋" w:cs="仿宋"/>
          <w:color w:val="000000" w:themeColor="text1"/>
          <w:sz w:val="44"/>
          <w:highlight w:val="none"/>
          <w14:textFill>
            <w14:solidFill>
              <w14:schemeClr w14:val="tx1"/>
            </w14:solidFill>
          </w14:textFill>
        </w:rPr>
      </w:pPr>
    </w:p>
    <w:p w14:paraId="7E6D2DB4">
      <w:pPr>
        <w:tabs>
          <w:tab w:val="left" w:pos="580"/>
        </w:tabs>
        <w:ind w:left="185" w:leftChars="88" w:firstLine="1800" w:firstLineChars="500"/>
        <w:rPr>
          <w:rFonts w:hint="eastAsia" w:ascii="仿宋" w:hAnsi="仿宋" w:eastAsia="仿宋" w:cs="仿宋"/>
          <w:color w:val="000000" w:themeColor="text1"/>
          <w:kern w:val="0"/>
          <w:sz w:val="36"/>
          <w:szCs w:val="21"/>
          <w:highlight w:val="none"/>
          <w14:textFill>
            <w14:solidFill>
              <w14:schemeClr w14:val="tx1"/>
            </w14:solidFill>
          </w14:textFill>
        </w:rPr>
      </w:pPr>
    </w:p>
    <w:p w14:paraId="3D7F4DDF">
      <w:pPr>
        <w:tabs>
          <w:tab w:val="left" w:pos="580"/>
        </w:tabs>
        <w:ind w:left="185" w:leftChars="88" w:firstLine="1800" w:firstLineChars="500"/>
        <w:rPr>
          <w:rFonts w:hint="eastAsia" w:ascii="仿宋" w:hAnsi="仿宋" w:eastAsia="仿宋" w:cs="仿宋"/>
          <w:color w:val="000000" w:themeColor="text1"/>
          <w:kern w:val="0"/>
          <w:sz w:val="36"/>
          <w:szCs w:val="36"/>
          <w:highlight w:val="none"/>
          <w14:textFill>
            <w14:solidFill>
              <w14:schemeClr w14:val="tx1"/>
            </w14:solidFill>
          </w14:textFill>
        </w:rPr>
      </w:pPr>
    </w:p>
    <w:p w14:paraId="57DB4B09">
      <w:pPr>
        <w:tabs>
          <w:tab w:val="left" w:pos="580"/>
        </w:tabs>
        <w:ind w:firstLine="1800" w:firstLineChars="500"/>
        <w:rPr>
          <w:rFonts w:hint="eastAsia" w:ascii="仿宋" w:hAnsi="仿宋" w:eastAsia="仿宋" w:cs="仿宋"/>
          <w:color w:val="000000" w:themeColor="text1"/>
          <w:kern w:val="0"/>
          <w:sz w:val="36"/>
          <w:szCs w:val="36"/>
          <w:highlight w:val="none"/>
          <w14:textFill>
            <w14:solidFill>
              <w14:schemeClr w14:val="tx1"/>
            </w14:solidFill>
          </w14:textFill>
        </w:rPr>
      </w:pPr>
      <w:r>
        <w:rPr>
          <w:rFonts w:hint="eastAsia" w:ascii="仿宋" w:hAnsi="仿宋" w:eastAsia="仿宋" w:cs="仿宋"/>
          <w:color w:val="000000" w:themeColor="text1"/>
          <w:kern w:val="0"/>
          <w:sz w:val="36"/>
          <w:szCs w:val="36"/>
          <w:highlight w:val="none"/>
          <w14:textFill>
            <w14:solidFill>
              <w14:schemeClr w14:val="tx1"/>
            </w14:solidFill>
          </w14:textFill>
        </w:rPr>
        <w:t>投标人：******</w:t>
      </w:r>
    </w:p>
    <w:p w14:paraId="12DA8F1C">
      <w:pPr>
        <w:tabs>
          <w:tab w:val="left" w:pos="580"/>
        </w:tabs>
        <w:ind w:firstLine="1800" w:firstLineChars="500"/>
        <w:rPr>
          <w:rFonts w:hint="eastAsia" w:ascii="仿宋" w:hAnsi="仿宋" w:eastAsia="仿宋" w:cs="仿宋"/>
          <w:color w:val="000000" w:themeColor="text1"/>
          <w:kern w:val="0"/>
          <w:sz w:val="36"/>
          <w:szCs w:val="36"/>
          <w:highlight w:val="none"/>
          <w14:textFill>
            <w14:solidFill>
              <w14:schemeClr w14:val="tx1"/>
            </w14:solidFill>
          </w14:textFill>
        </w:rPr>
      </w:pPr>
      <w:r>
        <w:rPr>
          <w:rFonts w:hint="eastAsia" w:ascii="仿宋" w:hAnsi="仿宋" w:eastAsia="仿宋" w:cs="仿宋"/>
          <w:color w:val="000000" w:themeColor="text1"/>
          <w:kern w:val="0"/>
          <w:sz w:val="36"/>
          <w:szCs w:val="36"/>
          <w:highlight w:val="none"/>
          <w14:textFill>
            <w14:solidFill>
              <w14:schemeClr w14:val="tx1"/>
            </w14:solidFill>
          </w14:textFill>
        </w:rPr>
        <w:t>日      期：   年  月  日</w:t>
      </w:r>
    </w:p>
    <w:p w14:paraId="65B0DBCB">
      <w:pPr>
        <w:widowControl/>
        <w:tabs>
          <w:tab w:val="center" w:pos="4870"/>
        </w:tabs>
        <w:jc w:val="left"/>
        <w:rPr>
          <w:rFonts w:hint="eastAsia" w:ascii="仿宋" w:hAnsi="仿宋" w:eastAsia="仿宋" w:cs="仿宋"/>
          <w:color w:val="000000" w:themeColor="text1"/>
          <w:sz w:val="44"/>
          <w:szCs w:val="44"/>
          <w:highlight w:val="none"/>
          <w14:textFill>
            <w14:solidFill>
              <w14:schemeClr w14:val="tx1"/>
            </w14:solidFill>
          </w14:textFill>
        </w:rPr>
      </w:pPr>
    </w:p>
    <w:p w14:paraId="4CECE48B">
      <w:pPr>
        <w:widowControl/>
        <w:tabs>
          <w:tab w:val="center" w:pos="4870"/>
        </w:tabs>
        <w:jc w:val="left"/>
        <w:rPr>
          <w:rFonts w:hint="eastAsia" w:ascii="仿宋" w:hAnsi="仿宋" w:eastAsia="仿宋" w:cs="仿宋"/>
          <w:color w:val="000000" w:themeColor="text1"/>
          <w:sz w:val="44"/>
          <w:szCs w:val="44"/>
          <w:highlight w:val="none"/>
          <w14:textFill>
            <w14:solidFill>
              <w14:schemeClr w14:val="tx1"/>
            </w14:solidFill>
          </w14:textFill>
        </w:rPr>
      </w:pPr>
      <w:r>
        <w:rPr>
          <w:rFonts w:ascii="仿宋" w:hAnsi="仿宋" w:eastAsia="仿宋" w:cs="仿宋"/>
          <w:color w:val="000000" w:themeColor="text1"/>
          <w:sz w:val="44"/>
          <w:szCs w:val="44"/>
          <w:highlight w:val="none"/>
          <w14:textFill>
            <w14:solidFill>
              <w14:schemeClr w14:val="tx1"/>
            </w14:solidFill>
          </w14:textFill>
        </w:rPr>
        <w:br w:type="page"/>
      </w:r>
      <w:r>
        <w:rPr>
          <w:rFonts w:ascii="仿宋" w:hAnsi="仿宋" w:eastAsia="仿宋" w:cs="仿宋"/>
          <w:color w:val="000000" w:themeColor="text1"/>
          <w:sz w:val="44"/>
          <w:szCs w:val="44"/>
          <w:highlight w:val="none"/>
          <w14:textFill>
            <w14:solidFill>
              <w14:schemeClr w14:val="tx1"/>
            </w14:solidFill>
          </w14:textFill>
        </w:rPr>
        <w:tab/>
      </w:r>
      <w:r>
        <w:rPr>
          <w:rFonts w:hint="eastAsia" w:ascii="仿宋" w:hAnsi="仿宋" w:eastAsia="仿宋" w:cs="仿宋"/>
          <w:color w:val="000000" w:themeColor="text1"/>
          <w:sz w:val="44"/>
          <w:szCs w:val="44"/>
          <w:highlight w:val="none"/>
          <w14:textFill>
            <w14:solidFill>
              <w14:schemeClr w14:val="tx1"/>
            </w14:solidFill>
          </w14:textFill>
        </w:rPr>
        <w:t>目录</w:t>
      </w:r>
    </w:p>
    <w:p w14:paraId="3708949E">
      <w:pPr>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（由投标人自行编制）</w:t>
      </w:r>
    </w:p>
    <w:p w14:paraId="5F3A4F5B">
      <w:pPr>
        <w:pStyle w:val="19"/>
        <w:rPr>
          <w:rFonts w:hint="eastAsia" w:ascii="仿宋" w:hAnsi="仿宋" w:eastAsia="仿宋"/>
          <w:color w:val="000000" w:themeColor="text1"/>
          <w:highlight w:val="none"/>
          <w14:textFill>
            <w14:solidFill>
              <w14:schemeClr w14:val="tx1"/>
            </w14:solidFill>
          </w14:textFill>
        </w:rPr>
      </w:pPr>
    </w:p>
    <w:p w14:paraId="5B034DB8">
      <w:pPr>
        <w:pStyle w:val="20"/>
        <w:ind w:left="5250"/>
        <w:rPr>
          <w:rFonts w:hint="eastAsia" w:ascii="仿宋" w:hAnsi="仿宋" w:eastAsia="仿宋"/>
          <w:color w:val="000000" w:themeColor="text1"/>
          <w:highlight w:val="none"/>
          <w14:textFill>
            <w14:solidFill>
              <w14:schemeClr w14:val="tx1"/>
            </w14:solidFill>
          </w14:textFill>
        </w:rPr>
      </w:pPr>
    </w:p>
    <w:p w14:paraId="28C968C2">
      <w:pPr>
        <w:rPr>
          <w:rFonts w:hint="eastAsia" w:ascii="仿宋" w:hAnsi="仿宋" w:eastAsia="仿宋"/>
          <w:color w:val="000000" w:themeColor="text1"/>
          <w:highlight w:val="none"/>
          <w14:textFill>
            <w14:solidFill>
              <w14:schemeClr w14:val="tx1"/>
            </w14:solidFill>
          </w14:textFill>
        </w:rPr>
      </w:pPr>
    </w:p>
    <w:p w14:paraId="51C496F1">
      <w:pPr>
        <w:pStyle w:val="19"/>
        <w:rPr>
          <w:rFonts w:hint="eastAsia" w:ascii="仿宋" w:hAnsi="仿宋" w:eastAsia="仿宋"/>
          <w:color w:val="000000" w:themeColor="text1"/>
          <w:highlight w:val="none"/>
          <w14:textFill>
            <w14:solidFill>
              <w14:schemeClr w14:val="tx1"/>
            </w14:solidFill>
          </w14:textFill>
        </w:rPr>
      </w:pPr>
    </w:p>
    <w:p w14:paraId="7DDF8BCA">
      <w:pPr>
        <w:pStyle w:val="20"/>
        <w:ind w:left="5250"/>
        <w:rPr>
          <w:rFonts w:hint="eastAsia" w:ascii="仿宋" w:hAnsi="仿宋" w:eastAsia="仿宋"/>
          <w:color w:val="000000" w:themeColor="text1"/>
          <w:highlight w:val="none"/>
          <w14:textFill>
            <w14:solidFill>
              <w14:schemeClr w14:val="tx1"/>
            </w14:solidFill>
          </w14:textFill>
        </w:rPr>
      </w:pPr>
    </w:p>
    <w:p w14:paraId="0402C856">
      <w:pPr>
        <w:rPr>
          <w:rFonts w:hint="eastAsia" w:ascii="仿宋" w:hAnsi="仿宋" w:eastAsia="仿宋"/>
          <w:color w:val="000000" w:themeColor="text1"/>
          <w:highlight w:val="none"/>
          <w14:textFill>
            <w14:solidFill>
              <w14:schemeClr w14:val="tx1"/>
            </w14:solidFill>
          </w14:textFill>
        </w:rPr>
      </w:pPr>
    </w:p>
    <w:p w14:paraId="79CC39C5">
      <w:pPr>
        <w:pStyle w:val="19"/>
        <w:rPr>
          <w:rFonts w:hint="eastAsia" w:ascii="仿宋" w:hAnsi="仿宋" w:eastAsia="仿宋"/>
          <w:color w:val="000000" w:themeColor="text1"/>
          <w:highlight w:val="none"/>
          <w14:textFill>
            <w14:solidFill>
              <w14:schemeClr w14:val="tx1"/>
            </w14:solidFill>
          </w14:textFill>
        </w:rPr>
      </w:pPr>
    </w:p>
    <w:p w14:paraId="2AD1330D">
      <w:pPr>
        <w:pStyle w:val="20"/>
        <w:ind w:left="5250"/>
        <w:rPr>
          <w:rFonts w:hint="eastAsia" w:ascii="仿宋" w:hAnsi="仿宋" w:eastAsia="仿宋"/>
          <w:color w:val="000000" w:themeColor="text1"/>
          <w:highlight w:val="none"/>
          <w14:textFill>
            <w14:solidFill>
              <w14:schemeClr w14:val="tx1"/>
            </w14:solidFill>
          </w14:textFill>
        </w:rPr>
      </w:pPr>
    </w:p>
    <w:p w14:paraId="36A0568F">
      <w:pPr>
        <w:rPr>
          <w:rFonts w:hint="eastAsia" w:ascii="仿宋" w:hAnsi="仿宋" w:eastAsia="仿宋"/>
          <w:color w:val="000000" w:themeColor="text1"/>
          <w:highlight w:val="none"/>
          <w14:textFill>
            <w14:solidFill>
              <w14:schemeClr w14:val="tx1"/>
            </w14:solidFill>
          </w14:textFill>
        </w:rPr>
      </w:pPr>
    </w:p>
    <w:p w14:paraId="402587D0">
      <w:pPr>
        <w:pStyle w:val="19"/>
        <w:rPr>
          <w:rFonts w:hint="eastAsia" w:ascii="仿宋" w:hAnsi="仿宋" w:eastAsia="仿宋"/>
          <w:color w:val="000000" w:themeColor="text1"/>
          <w:highlight w:val="none"/>
          <w14:textFill>
            <w14:solidFill>
              <w14:schemeClr w14:val="tx1"/>
            </w14:solidFill>
          </w14:textFill>
        </w:rPr>
      </w:pPr>
    </w:p>
    <w:p w14:paraId="7AD8048F">
      <w:pPr>
        <w:pStyle w:val="20"/>
        <w:ind w:left="5250"/>
        <w:rPr>
          <w:rFonts w:hint="eastAsia" w:ascii="仿宋" w:hAnsi="仿宋" w:eastAsia="仿宋"/>
          <w:color w:val="000000" w:themeColor="text1"/>
          <w:highlight w:val="none"/>
          <w14:textFill>
            <w14:solidFill>
              <w14:schemeClr w14:val="tx1"/>
            </w14:solidFill>
          </w14:textFill>
        </w:rPr>
      </w:pPr>
    </w:p>
    <w:p w14:paraId="4C33E586">
      <w:pPr>
        <w:rPr>
          <w:rFonts w:hint="eastAsia" w:ascii="仿宋" w:hAnsi="仿宋" w:eastAsia="仿宋"/>
          <w:color w:val="000000" w:themeColor="text1"/>
          <w:highlight w:val="none"/>
          <w14:textFill>
            <w14:solidFill>
              <w14:schemeClr w14:val="tx1"/>
            </w14:solidFill>
          </w14:textFill>
        </w:rPr>
      </w:pPr>
    </w:p>
    <w:p w14:paraId="7DF91E04">
      <w:pPr>
        <w:pStyle w:val="19"/>
        <w:rPr>
          <w:rFonts w:hint="eastAsia" w:ascii="仿宋" w:hAnsi="仿宋" w:eastAsia="仿宋"/>
          <w:color w:val="000000" w:themeColor="text1"/>
          <w:highlight w:val="none"/>
          <w14:textFill>
            <w14:solidFill>
              <w14:schemeClr w14:val="tx1"/>
            </w14:solidFill>
          </w14:textFill>
        </w:rPr>
      </w:pPr>
    </w:p>
    <w:p w14:paraId="59018593">
      <w:pPr>
        <w:pStyle w:val="20"/>
        <w:ind w:left="5250"/>
        <w:rPr>
          <w:rFonts w:hint="eastAsia" w:ascii="仿宋" w:hAnsi="仿宋" w:eastAsia="仿宋"/>
          <w:color w:val="000000" w:themeColor="text1"/>
          <w:highlight w:val="none"/>
          <w14:textFill>
            <w14:solidFill>
              <w14:schemeClr w14:val="tx1"/>
            </w14:solidFill>
          </w14:textFill>
        </w:rPr>
      </w:pPr>
    </w:p>
    <w:p w14:paraId="2A6E37A3">
      <w:pPr>
        <w:rPr>
          <w:rFonts w:hint="eastAsia" w:ascii="仿宋" w:hAnsi="仿宋" w:eastAsia="仿宋"/>
          <w:color w:val="000000" w:themeColor="text1"/>
          <w:highlight w:val="none"/>
          <w14:textFill>
            <w14:solidFill>
              <w14:schemeClr w14:val="tx1"/>
            </w14:solidFill>
          </w14:textFill>
        </w:rPr>
      </w:pPr>
    </w:p>
    <w:p w14:paraId="61593CE2">
      <w:pPr>
        <w:pStyle w:val="19"/>
        <w:rPr>
          <w:rFonts w:hint="eastAsia" w:ascii="仿宋" w:hAnsi="仿宋" w:eastAsia="仿宋"/>
          <w:color w:val="000000" w:themeColor="text1"/>
          <w:highlight w:val="none"/>
          <w14:textFill>
            <w14:solidFill>
              <w14:schemeClr w14:val="tx1"/>
            </w14:solidFill>
          </w14:textFill>
        </w:rPr>
      </w:pPr>
    </w:p>
    <w:p w14:paraId="37818DAF">
      <w:pPr>
        <w:pStyle w:val="20"/>
        <w:ind w:left="5250"/>
        <w:rPr>
          <w:rFonts w:hint="eastAsia" w:ascii="仿宋" w:hAnsi="仿宋" w:eastAsia="仿宋"/>
          <w:color w:val="000000" w:themeColor="text1"/>
          <w:highlight w:val="none"/>
          <w14:textFill>
            <w14:solidFill>
              <w14:schemeClr w14:val="tx1"/>
            </w14:solidFill>
          </w14:textFill>
        </w:rPr>
      </w:pPr>
    </w:p>
    <w:p w14:paraId="0025356A">
      <w:pPr>
        <w:rPr>
          <w:rFonts w:hint="eastAsia" w:ascii="仿宋" w:hAnsi="仿宋" w:eastAsia="仿宋"/>
          <w:color w:val="000000" w:themeColor="text1"/>
          <w:highlight w:val="none"/>
          <w14:textFill>
            <w14:solidFill>
              <w14:schemeClr w14:val="tx1"/>
            </w14:solidFill>
          </w14:textFill>
        </w:rPr>
      </w:pPr>
    </w:p>
    <w:p w14:paraId="2E7ED7E2">
      <w:pPr>
        <w:pStyle w:val="19"/>
        <w:rPr>
          <w:rFonts w:hint="eastAsia" w:ascii="仿宋" w:hAnsi="仿宋" w:eastAsia="仿宋"/>
          <w:color w:val="000000" w:themeColor="text1"/>
          <w:highlight w:val="none"/>
          <w14:textFill>
            <w14:solidFill>
              <w14:schemeClr w14:val="tx1"/>
            </w14:solidFill>
          </w14:textFill>
        </w:rPr>
      </w:pPr>
    </w:p>
    <w:p w14:paraId="532CD1AB">
      <w:pPr>
        <w:pStyle w:val="20"/>
        <w:ind w:left="5250"/>
        <w:rPr>
          <w:rFonts w:hint="eastAsia" w:ascii="仿宋" w:hAnsi="仿宋" w:eastAsia="仿宋"/>
          <w:color w:val="000000" w:themeColor="text1"/>
          <w:highlight w:val="none"/>
          <w14:textFill>
            <w14:solidFill>
              <w14:schemeClr w14:val="tx1"/>
            </w14:solidFill>
          </w14:textFill>
        </w:rPr>
      </w:pPr>
    </w:p>
    <w:p w14:paraId="797469CE">
      <w:pPr>
        <w:rPr>
          <w:rFonts w:hint="eastAsia" w:ascii="仿宋" w:hAnsi="仿宋" w:eastAsia="仿宋"/>
          <w:color w:val="000000" w:themeColor="text1"/>
          <w:highlight w:val="none"/>
          <w14:textFill>
            <w14:solidFill>
              <w14:schemeClr w14:val="tx1"/>
            </w14:solidFill>
          </w14:textFill>
        </w:rPr>
      </w:pPr>
    </w:p>
    <w:p w14:paraId="020BF821">
      <w:pPr>
        <w:pStyle w:val="19"/>
        <w:rPr>
          <w:rFonts w:hint="eastAsia" w:ascii="仿宋" w:hAnsi="仿宋" w:eastAsia="仿宋"/>
          <w:color w:val="000000" w:themeColor="text1"/>
          <w:highlight w:val="none"/>
          <w14:textFill>
            <w14:solidFill>
              <w14:schemeClr w14:val="tx1"/>
            </w14:solidFill>
          </w14:textFill>
        </w:rPr>
      </w:pPr>
    </w:p>
    <w:p w14:paraId="203AB9DF">
      <w:pPr>
        <w:pStyle w:val="20"/>
        <w:ind w:left="5250"/>
        <w:rPr>
          <w:rFonts w:hint="eastAsia" w:ascii="仿宋" w:hAnsi="仿宋" w:eastAsia="仿宋"/>
          <w:color w:val="000000" w:themeColor="text1"/>
          <w:highlight w:val="none"/>
          <w14:textFill>
            <w14:solidFill>
              <w14:schemeClr w14:val="tx1"/>
            </w14:solidFill>
          </w14:textFill>
        </w:rPr>
      </w:pPr>
    </w:p>
    <w:p w14:paraId="07F9561E">
      <w:pPr>
        <w:rPr>
          <w:rFonts w:hint="eastAsia" w:ascii="仿宋" w:hAnsi="仿宋" w:eastAsia="仿宋"/>
          <w:color w:val="000000" w:themeColor="text1"/>
          <w:highlight w:val="none"/>
          <w14:textFill>
            <w14:solidFill>
              <w14:schemeClr w14:val="tx1"/>
            </w14:solidFill>
          </w14:textFill>
        </w:rPr>
      </w:pPr>
    </w:p>
    <w:p w14:paraId="03696690">
      <w:pPr>
        <w:pStyle w:val="19"/>
        <w:rPr>
          <w:rFonts w:hint="eastAsia" w:ascii="仿宋" w:hAnsi="仿宋" w:eastAsia="仿宋"/>
          <w:color w:val="000000" w:themeColor="text1"/>
          <w:highlight w:val="none"/>
          <w14:textFill>
            <w14:solidFill>
              <w14:schemeClr w14:val="tx1"/>
            </w14:solidFill>
          </w14:textFill>
        </w:rPr>
      </w:pPr>
    </w:p>
    <w:p w14:paraId="7D90557C">
      <w:pPr>
        <w:pStyle w:val="20"/>
        <w:ind w:left="5250"/>
        <w:rPr>
          <w:rFonts w:hint="eastAsia" w:ascii="仿宋" w:hAnsi="仿宋" w:eastAsia="仿宋"/>
          <w:color w:val="000000" w:themeColor="text1"/>
          <w:highlight w:val="none"/>
          <w14:textFill>
            <w14:solidFill>
              <w14:schemeClr w14:val="tx1"/>
            </w14:solidFill>
          </w14:textFill>
        </w:rPr>
      </w:pPr>
    </w:p>
    <w:p w14:paraId="252C7893">
      <w:pPr>
        <w:rPr>
          <w:rFonts w:hint="eastAsia" w:ascii="仿宋" w:hAnsi="仿宋" w:eastAsia="仿宋"/>
          <w:color w:val="000000" w:themeColor="text1"/>
          <w:highlight w:val="none"/>
          <w14:textFill>
            <w14:solidFill>
              <w14:schemeClr w14:val="tx1"/>
            </w14:solidFill>
          </w14:textFill>
        </w:rPr>
      </w:pPr>
    </w:p>
    <w:p w14:paraId="361A6310">
      <w:pPr>
        <w:widowControl/>
        <w:jc w:val="left"/>
        <w:rPr>
          <w:rFonts w:hint="eastAsia" w:ascii="仿宋" w:hAnsi="仿宋" w:eastAsia="仿宋" w:cs="仿宋"/>
          <w:bCs/>
          <w:color w:val="000000" w:themeColor="text1"/>
          <w:sz w:val="44"/>
          <w:szCs w:val="32"/>
          <w:highlight w:val="none"/>
          <w14:textFill>
            <w14:solidFill>
              <w14:schemeClr w14:val="tx1"/>
            </w14:solidFill>
          </w14:textFill>
        </w:rPr>
      </w:pPr>
      <w:bookmarkStart w:id="112" w:name="_Toc524682807"/>
      <w:r>
        <w:rPr>
          <w:rFonts w:ascii="仿宋" w:hAnsi="仿宋" w:eastAsia="仿宋" w:cs="仿宋"/>
          <w:bCs/>
          <w:color w:val="000000" w:themeColor="text1"/>
          <w:sz w:val="44"/>
          <w:szCs w:val="32"/>
          <w:highlight w:val="none"/>
          <w14:textFill>
            <w14:solidFill>
              <w14:schemeClr w14:val="tx1"/>
            </w14:solidFill>
          </w14:textFill>
        </w:rPr>
        <w:br w:type="page"/>
      </w:r>
    </w:p>
    <w:p w14:paraId="2D57377A">
      <w:pPr>
        <w:ind w:right="-41"/>
        <w:jc w:val="center"/>
        <w:rPr>
          <w:rFonts w:hint="eastAsia" w:ascii="仿宋" w:hAnsi="仿宋" w:eastAsia="仿宋" w:cs="仿宋"/>
          <w:bCs/>
          <w:color w:val="000000" w:themeColor="text1"/>
          <w:sz w:val="44"/>
          <w:szCs w:val="32"/>
          <w:highlight w:val="none"/>
          <w14:textFill>
            <w14:solidFill>
              <w14:schemeClr w14:val="tx1"/>
            </w14:solidFill>
          </w14:textFill>
        </w:rPr>
      </w:pPr>
      <w:r>
        <w:rPr>
          <w:rFonts w:hint="eastAsia" w:ascii="仿宋" w:hAnsi="仿宋" w:eastAsia="仿宋" w:cs="仿宋"/>
          <w:bCs/>
          <w:color w:val="000000" w:themeColor="text1"/>
          <w:sz w:val="44"/>
          <w:szCs w:val="32"/>
          <w:highlight w:val="none"/>
          <w14:textFill>
            <w14:solidFill>
              <w14:schemeClr w14:val="tx1"/>
            </w14:solidFill>
          </w14:textFill>
        </w:rPr>
        <w:t>投标承诺函</w:t>
      </w:r>
      <w:bookmarkEnd w:id="112"/>
    </w:p>
    <w:p w14:paraId="05F814EC">
      <w:pPr>
        <w:spacing w:line="560" w:lineRule="exact"/>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威海市天垣工程咨询管理有限公司</w:t>
      </w:r>
      <w:r>
        <w:rPr>
          <w:rFonts w:hint="eastAsia" w:ascii="仿宋" w:hAnsi="仿宋" w:eastAsia="仿宋" w:cs="仿宋"/>
          <w:color w:val="000000" w:themeColor="text1"/>
          <w:kern w:val="0"/>
          <w:sz w:val="28"/>
          <w:szCs w:val="28"/>
          <w:highlight w:val="none"/>
          <w14:textFill>
            <w14:solidFill>
              <w14:schemeClr w14:val="tx1"/>
            </w14:solidFill>
          </w14:textFill>
        </w:rPr>
        <w:t>：</w:t>
      </w:r>
    </w:p>
    <w:p w14:paraId="19474DCB">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我方根据编号为WHGQ(2026)XCTZTY20261001的招标文件的要求，经详细研究决定参加投标。</w:t>
      </w:r>
    </w:p>
    <w:p w14:paraId="5F803717">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1.我方接受本招标文件中关于电子招投标的各项规定，遵守《中华人民共和国电子签名法》关于电子签名的各项规定。我方愿意按照招标文件的规定和要求提供货物及服务，报价详见《投标（报价）一览表》。</w:t>
      </w:r>
    </w:p>
    <w:p w14:paraId="54CE5F18">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2.我方同意</w:t>
      </w:r>
      <w:r>
        <w:rPr>
          <w:rFonts w:hint="eastAsia" w:ascii="仿宋" w:hAnsi="仿宋" w:eastAsia="仿宋" w:cs="仿宋"/>
          <w:color w:val="000000" w:themeColor="text1"/>
          <w:sz w:val="28"/>
          <w:szCs w:val="28"/>
          <w:highlight w:val="none"/>
          <w14:textFill>
            <w14:solidFill>
              <w14:schemeClr w14:val="tx1"/>
            </w14:solidFill>
          </w14:textFill>
        </w:rPr>
        <w:t>开标之日起90天</w:t>
      </w:r>
      <w:r>
        <w:rPr>
          <w:rFonts w:hint="eastAsia" w:ascii="仿宋" w:hAnsi="仿宋" w:eastAsia="仿宋" w:cs="仿宋"/>
          <w:color w:val="000000" w:themeColor="text1"/>
          <w:kern w:val="0"/>
          <w:sz w:val="28"/>
          <w:szCs w:val="28"/>
          <w:highlight w:val="none"/>
          <w14:textFill>
            <w14:solidFill>
              <w14:schemeClr w14:val="tx1"/>
            </w14:solidFill>
          </w14:textFill>
        </w:rPr>
        <w:t>的投标有效期，严格遵守投标文件的各项承诺。在此期限届满之前，本投标文件始终对我方具有约束力，并随时接受中标。我方承诺在投标有效期内不修改、撤销投标文件。</w:t>
      </w:r>
    </w:p>
    <w:p w14:paraId="0C231196">
      <w:pPr>
        <w:spacing w:line="560" w:lineRule="exact"/>
        <w:ind w:firstLine="560" w:firstLineChars="200"/>
        <w:rPr>
          <w:rFonts w:hint="eastAsia" w:ascii="仿宋" w:hAnsi="仿宋" w:eastAsia="仿宋" w:cs="仿宋"/>
          <w:b/>
          <w:strike/>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3.我方愿意遵守本招标文件的规定和要求并提供招标文件中要求的所有资料，若投标文件中存在虚假资料的，则视为我方隐瞒真实情况、提供虚假资料，我方愿意接受主管部门做出的行政处罚。</w:t>
      </w:r>
    </w:p>
    <w:p w14:paraId="38665041">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ascii="仿宋" w:hAnsi="仿宋" w:eastAsia="仿宋" w:cs="仿宋"/>
          <w:color w:val="000000" w:themeColor="text1"/>
          <w:kern w:val="0"/>
          <w:sz w:val="28"/>
          <w:szCs w:val="28"/>
          <w:highlight w:val="none"/>
          <w14:textFill>
            <w14:solidFill>
              <w14:schemeClr w14:val="tx1"/>
            </w14:solidFill>
          </w14:textFill>
        </w:rPr>
        <w:t>4</w:t>
      </w:r>
      <w:r>
        <w:rPr>
          <w:rFonts w:hint="eastAsia" w:ascii="仿宋" w:hAnsi="仿宋" w:eastAsia="仿宋" w:cs="仿宋"/>
          <w:color w:val="000000" w:themeColor="text1"/>
          <w:kern w:val="0"/>
          <w:sz w:val="28"/>
          <w:szCs w:val="28"/>
          <w:highlight w:val="none"/>
          <w14:textFill>
            <w14:solidFill>
              <w14:schemeClr w14:val="tx1"/>
            </w14:solidFill>
          </w14:textFill>
        </w:rPr>
        <w:t>.如果我方中标：</w:t>
      </w:r>
    </w:p>
    <w:p w14:paraId="4821A042">
      <w:pPr>
        <w:spacing w:line="560" w:lineRule="exact"/>
        <w:ind w:firstLine="420" w:firstLineChars="15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（1）我方承诺在中标通知书发出后，在规定期限内与招标人签订合同；</w:t>
      </w:r>
    </w:p>
    <w:p w14:paraId="4D0DEB3A">
      <w:pPr>
        <w:spacing w:line="560" w:lineRule="exact"/>
        <w:ind w:firstLine="420" w:firstLineChars="15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（2）我方承诺在合同约定的期限内，按期、保质、保量完成项目任务；</w:t>
      </w:r>
    </w:p>
    <w:p w14:paraId="2A05F573">
      <w:pPr>
        <w:spacing w:line="560" w:lineRule="exact"/>
        <w:ind w:firstLine="420" w:firstLineChars="15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（3）我方承诺将按照招标文件的规定全额交纳代理服务费。</w:t>
      </w:r>
    </w:p>
    <w:p w14:paraId="41A60D67">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ascii="仿宋" w:hAnsi="仿宋" w:eastAsia="仿宋" w:cs="仿宋"/>
          <w:color w:val="000000" w:themeColor="text1"/>
          <w:kern w:val="0"/>
          <w:sz w:val="28"/>
          <w:szCs w:val="28"/>
          <w:highlight w:val="none"/>
          <w14:textFill>
            <w14:solidFill>
              <w14:schemeClr w14:val="tx1"/>
            </w14:solidFill>
          </w14:textFill>
        </w:rPr>
        <w:t>5.</w:t>
      </w:r>
      <w:r>
        <w:rPr>
          <w:rFonts w:hint="eastAsia" w:ascii="仿宋" w:hAnsi="仿宋" w:eastAsia="仿宋" w:cs="仿宋"/>
          <w:color w:val="000000" w:themeColor="text1"/>
          <w:kern w:val="0"/>
          <w:sz w:val="28"/>
          <w:szCs w:val="28"/>
          <w:highlight w:val="none"/>
          <w14:textFill>
            <w14:solidFill>
              <w14:schemeClr w14:val="tx1"/>
            </w14:solidFill>
          </w14:textFill>
        </w:rPr>
        <w:t>我方在此声明，所提交的投标文件及有关资料内容完整、真实和准确，如有弄虚作假，一旦中标将取消中标资格。</w:t>
      </w:r>
    </w:p>
    <w:p w14:paraId="1A5CECFB">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ascii="仿宋" w:hAnsi="仿宋" w:eastAsia="仿宋" w:cs="仿宋"/>
          <w:color w:val="000000" w:themeColor="text1"/>
          <w:kern w:val="0"/>
          <w:sz w:val="28"/>
          <w:szCs w:val="28"/>
          <w:highlight w:val="none"/>
          <w14:textFill>
            <w14:solidFill>
              <w14:schemeClr w14:val="tx1"/>
            </w14:solidFill>
          </w14:textFill>
        </w:rPr>
        <w:t>6</w:t>
      </w:r>
      <w:r>
        <w:rPr>
          <w:rFonts w:hint="eastAsia" w:ascii="仿宋" w:hAnsi="仿宋" w:eastAsia="仿宋" w:cs="仿宋"/>
          <w:color w:val="000000" w:themeColor="text1"/>
          <w:kern w:val="0"/>
          <w:sz w:val="28"/>
          <w:szCs w:val="28"/>
          <w:highlight w:val="none"/>
          <w14:textFill>
            <w14:solidFill>
              <w14:schemeClr w14:val="tx1"/>
            </w14:solidFill>
          </w14:textFill>
        </w:rPr>
        <w:t>.所有有关本投标的函电，请按下列地址联系：</w:t>
      </w:r>
    </w:p>
    <w:p w14:paraId="79FC1460">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单    位：                     邮政编码：</w:t>
      </w:r>
    </w:p>
    <w:p w14:paraId="56A693BF">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地    址：                     联 系 人：</w:t>
      </w:r>
    </w:p>
    <w:p w14:paraId="4F7EDD61">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电    话：                     传    真：</w:t>
      </w:r>
    </w:p>
    <w:p w14:paraId="50FFA7A8">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开户名称：</w:t>
      </w:r>
    </w:p>
    <w:p w14:paraId="7ACFB490">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开户银行：</w:t>
      </w:r>
    </w:p>
    <w:p w14:paraId="0D4F0508">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开户账号：</w:t>
      </w:r>
    </w:p>
    <w:p w14:paraId="2B80BC2E">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投标人（盖章）：</w:t>
      </w:r>
    </w:p>
    <w:p w14:paraId="04BFF400">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法定代表人或被授权人（签字或盖章）：</w:t>
      </w:r>
    </w:p>
    <w:p w14:paraId="53005BD2">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 xml:space="preserve">报价日期：××年××月××日 </w:t>
      </w:r>
    </w:p>
    <w:p w14:paraId="4FCF6D7E">
      <w:pPr>
        <w:spacing w:line="560" w:lineRule="exact"/>
        <w:ind w:firstLine="640"/>
        <w:rPr>
          <w:rFonts w:hint="eastAsia" w:ascii="仿宋" w:hAnsi="仿宋" w:eastAsia="仿宋" w:cs="仿宋"/>
          <w:color w:val="000000" w:themeColor="text1"/>
          <w:kern w:val="0"/>
          <w:sz w:val="28"/>
          <w:szCs w:val="28"/>
          <w:highlight w:val="none"/>
          <w14:textFill>
            <w14:solidFill>
              <w14:schemeClr w14:val="tx1"/>
            </w14:solidFill>
          </w14:textFill>
        </w:rPr>
      </w:pPr>
    </w:p>
    <w:p w14:paraId="63A84B52">
      <w:pPr>
        <w:spacing w:line="480" w:lineRule="exact"/>
        <w:ind w:firstLine="600" w:firstLineChars="200"/>
        <w:jc w:val="center"/>
        <w:rPr>
          <w:rFonts w:hint="eastAsia" w:ascii="仿宋" w:hAnsi="仿宋" w:eastAsia="仿宋" w:cs="仿宋"/>
          <w:bCs/>
          <w:color w:val="000000" w:themeColor="text1"/>
          <w:sz w:val="30"/>
          <w:szCs w:val="30"/>
          <w:highlight w:val="none"/>
          <w14:textFill>
            <w14:solidFill>
              <w14:schemeClr w14:val="tx1"/>
            </w14:solidFill>
          </w14:textFill>
        </w:rPr>
      </w:pPr>
      <w:r>
        <w:rPr>
          <w:rFonts w:ascii="仿宋" w:hAnsi="仿宋" w:eastAsia="仿宋" w:cs="仿宋"/>
          <w:bCs/>
          <w:color w:val="000000" w:themeColor="text1"/>
          <w:sz w:val="30"/>
          <w:szCs w:val="30"/>
          <w:highlight w:val="none"/>
          <w14:textFill>
            <w14:solidFill>
              <w14:schemeClr w14:val="tx1"/>
            </w14:solidFill>
          </w14:textFill>
        </w:rPr>
        <w:br w:type="page"/>
      </w:r>
      <w:bookmarkEnd w:id="111"/>
      <w:bookmarkStart w:id="113" w:name="_Toc523388132"/>
    </w:p>
    <w:p w14:paraId="4A5E6CBE">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r>
        <w:rPr>
          <w:rFonts w:hint="eastAsia" w:ascii="仿宋" w:hAnsi="仿宋" w:eastAsia="仿宋" w:cs="仿宋"/>
          <w:bCs/>
          <w:color w:val="000000" w:themeColor="text1"/>
          <w:kern w:val="2"/>
          <w:sz w:val="44"/>
          <w:szCs w:val="32"/>
          <w:highlight w:val="none"/>
          <w14:textFill>
            <w14:solidFill>
              <w14:schemeClr w14:val="tx1"/>
            </w14:solidFill>
          </w14:textFill>
        </w:rPr>
        <w:t>投标（报价）一览表</w:t>
      </w:r>
    </w:p>
    <w:p w14:paraId="237E9AB4">
      <w:pPr>
        <w:pStyle w:val="26"/>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招标编号：WHGQ(2026)XCTZTY20261001</w:t>
      </w:r>
    </w:p>
    <w:p w14:paraId="4B01B186">
      <w:pPr>
        <w:pStyle w:val="26"/>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项目名称：2026新能源铝应用创新发展会议委托服务</w:t>
      </w:r>
    </w:p>
    <w:tbl>
      <w:tblPr>
        <w:tblStyle w:val="52"/>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6909"/>
      </w:tblGrid>
      <w:tr w14:paraId="1F86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2" w:hRule="atLeast"/>
          <w:jc w:val="center"/>
        </w:trPr>
        <w:tc>
          <w:tcPr>
            <w:tcW w:w="2693" w:type="dxa"/>
            <w:vAlign w:val="center"/>
          </w:tcPr>
          <w:p w14:paraId="1B043C1F">
            <w:pPr>
              <w:spacing w:line="52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项目名称</w:t>
            </w:r>
          </w:p>
        </w:tc>
        <w:tc>
          <w:tcPr>
            <w:tcW w:w="6909" w:type="dxa"/>
            <w:vAlign w:val="center"/>
          </w:tcPr>
          <w:p w14:paraId="0C832DF5">
            <w:pPr>
              <w:spacing w:line="520" w:lineRule="exact"/>
              <w:jc w:val="center"/>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2026新能源铝应用创新发展会议委托服务</w:t>
            </w:r>
          </w:p>
        </w:tc>
      </w:tr>
      <w:tr w14:paraId="0057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4" w:hRule="atLeast"/>
          <w:jc w:val="center"/>
        </w:trPr>
        <w:tc>
          <w:tcPr>
            <w:tcW w:w="2693" w:type="dxa"/>
            <w:vAlign w:val="center"/>
          </w:tcPr>
          <w:p w14:paraId="10C3CED3">
            <w:pPr>
              <w:spacing w:line="52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总报价（元）</w:t>
            </w:r>
          </w:p>
        </w:tc>
        <w:tc>
          <w:tcPr>
            <w:tcW w:w="6909" w:type="dxa"/>
            <w:vAlign w:val="center"/>
          </w:tcPr>
          <w:p w14:paraId="42E2243B">
            <w:pPr>
              <w:widowControl/>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大写：</w:t>
            </w:r>
          </w:p>
          <w:p w14:paraId="7894D262">
            <w:pPr>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小写：</w:t>
            </w:r>
          </w:p>
        </w:tc>
      </w:tr>
      <w:tr w14:paraId="3F22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2" w:hRule="atLeast"/>
          <w:jc w:val="center"/>
        </w:trPr>
        <w:tc>
          <w:tcPr>
            <w:tcW w:w="2693" w:type="dxa"/>
            <w:vAlign w:val="center"/>
          </w:tcPr>
          <w:p w14:paraId="47A481C7">
            <w:pPr>
              <w:spacing w:line="52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服务期限</w:t>
            </w:r>
          </w:p>
        </w:tc>
        <w:tc>
          <w:tcPr>
            <w:tcW w:w="6909" w:type="dxa"/>
            <w:vAlign w:val="center"/>
          </w:tcPr>
          <w:p w14:paraId="0D137954">
            <w:pPr>
              <w:spacing w:line="520" w:lineRule="exact"/>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自合同签订之日起至2026年11月15日止。</w:t>
            </w:r>
          </w:p>
        </w:tc>
      </w:tr>
      <w:tr w14:paraId="1B21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2" w:hRule="atLeast"/>
          <w:jc w:val="center"/>
        </w:trPr>
        <w:tc>
          <w:tcPr>
            <w:tcW w:w="2693" w:type="dxa"/>
            <w:vAlign w:val="center"/>
          </w:tcPr>
          <w:p w14:paraId="2510BC72">
            <w:pPr>
              <w:spacing w:line="520" w:lineRule="exact"/>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kern w:val="0"/>
                <w:sz w:val="28"/>
                <w:szCs w:val="28"/>
                <w:highlight w:val="none"/>
              </w:rPr>
              <w:t>报价</w:t>
            </w:r>
            <w:r>
              <w:rPr>
                <w:rFonts w:ascii="仿宋" w:hAnsi="仿宋" w:eastAsia="仿宋" w:cs="仿宋"/>
                <w:b/>
                <w:bCs/>
                <w:color w:val="000000"/>
                <w:kern w:val="0"/>
                <w:sz w:val="28"/>
                <w:szCs w:val="28"/>
                <w:highlight w:val="none"/>
              </w:rPr>
              <w:t>声明</w:t>
            </w:r>
          </w:p>
        </w:tc>
        <w:tc>
          <w:tcPr>
            <w:tcW w:w="6909" w:type="dxa"/>
            <w:vAlign w:val="center"/>
          </w:tcPr>
          <w:p w14:paraId="0E1A1EEF">
            <w:pPr>
              <w:widowControl/>
              <w:spacing w:line="520" w:lineRule="exact"/>
              <w:jc w:val="center"/>
              <w:rPr>
                <w:rFonts w:hint="eastAsia" w:ascii="仿宋" w:hAnsi="仿宋" w:eastAsia="仿宋" w:cs="仿宋"/>
                <w:color w:val="000000"/>
                <w:sz w:val="28"/>
                <w:szCs w:val="28"/>
                <w:highlight w:val="none"/>
              </w:rPr>
            </w:pPr>
          </w:p>
        </w:tc>
      </w:tr>
    </w:tbl>
    <w:p w14:paraId="6CB2B53C">
      <w:pPr>
        <w:spacing w:line="520" w:lineRule="exact"/>
        <w:ind w:firstLine="4760" w:firstLineChars="1700"/>
        <w:rPr>
          <w:rFonts w:hint="eastAsia" w:ascii="仿宋" w:hAnsi="仿宋" w:eastAsia="仿宋" w:cs="仿宋"/>
          <w:color w:val="000000" w:themeColor="text1"/>
          <w:sz w:val="28"/>
          <w:highlight w:val="none"/>
          <w14:textFill>
            <w14:solidFill>
              <w14:schemeClr w14:val="tx1"/>
            </w14:solidFill>
          </w14:textFill>
        </w:rPr>
      </w:pPr>
    </w:p>
    <w:p w14:paraId="1EDFBF3A">
      <w:pPr>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bookmarkStart w:id="114" w:name="OLE_LINK1"/>
      <w:r>
        <w:rPr>
          <w:rFonts w:hint="eastAsia" w:ascii="仿宋" w:hAnsi="仿宋" w:eastAsia="仿宋" w:cs="仿宋"/>
          <w:color w:val="000000" w:themeColor="text1"/>
          <w:sz w:val="28"/>
          <w:szCs w:val="28"/>
          <w:highlight w:val="none"/>
          <w14:textFill>
            <w14:solidFill>
              <w14:schemeClr w14:val="tx1"/>
            </w14:solidFill>
          </w14:textFill>
        </w:rPr>
        <w:t>投标人(盖章):</w:t>
      </w:r>
    </w:p>
    <w:p w14:paraId="08B7D470">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法定代表人或委托代理人（签字或盖章）：</w:t>
      </w:r>
      <w:bookmarkEnd w:id="114"/>
    </w:p>
    <w:p w14:paraId="0F5D814A">
      <w:pPr>
        <w:widowControl/>
        <w:jc w:val="left"/>
        <w:rPr>
          <w:rFonts w:hint="eastAsia"/>
          <w:kern w:val="0"/>
          <w:sz w:val="24"/>
          <w:highlight w:val="none"/>
        </w:rPr>
      </w:pPr>
      <w:r>
        <w:rPr>
          <w:rFonts w:hint="eastAsia"/>
          <w:highlight w:val="none"/>
        </w:rPr>
        <w:br w:type="page"/>
      </w:r>
    </w:p>
    <w:p w14:paraId="1135BAFE">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r>
        <w:rPr>
          <w:rFonts w:hint="eastAsia" w:ascii="仿宋" w:hAnsi="仿宋" w:eastAsia="仿宋" w:cs="仿宋"/>
          <w:bCs/>
          <w:color w:val="000000" w:themeColor="text1"/>
          <w:kern w:val="2"/>
          <w:sz w:val="44"/>
          <w:szCs w:val="32"/>
          <w:highlight w:val="none"/>
          <w14:textFill>
            <w14:solidFill>
              <w14:schemeClr w14:val="tx1"/>
            </w14:solidFill>
          </w14:textFill>
        </w:rPr>
        <w:t>报价明细表</w:t>
      </w:r>
    </w:p>
    <w:p w14:paraId="76F2630D">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r>
        <w:rPr>
          <w:rFonts w:hint="eastAsia" w:ascii="仿宋" w:hAnsi="仿宋" w:eastAsia="仿宋" w:cs="仿宋"/>
          <w:bCs/>
          <w:color w:val="000000" w:themeColor="text1"/>
          <w:kern w:val="2"/>
          <w:sz w:val="44"/>
          <w:szCs w:val="32"/>
          <w:highlight w:val="none"/>
          <w14:textFill>
            <w14:solidFill>
              <w14:schemeClr w14:val="tx1"/>
            </w14:solidFill>
          </w14:textFill>
        </w:rPr>
        <w:t>（格式自拟）</w:t>
      </w:r>
    </w:p>
    <w:p w14:paraId="1FD29216">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p>
    <w:p w14:paraId="660CB816">
      <w:pPr>
        <w:widowControl/>
        <w:jc w:val="left"/>
        <w:rPr>
          <w:rFonts w:hint="eastAsia" w:ascii="仿宋" w:hAnsi="仿宋" w:eastAsia="仿宋" w:cs="仿宋"/>
          <w:bCs/>
          <w:color w:val="000000" w:themeColor="text1"/>
          <w:sz w:val="44"/>
          <w:szCs w:val="32"/>
          <w:highlight w:val="none"/>
          <w14:textFill>
            <w14:solidFill>
              <w14:schemeClr w14:val="tx1"/>
            </w14:solidFill>
          </w14:textFill>
        </w:rPr>
      </w:pPr>
      <w:bookmarkStart w:id="115" w:name="_Toc130651408"/>
      <w:bookmarkStart w:id="116" w:name="_Toc66864055"/>
      <w:r>
        <w:rPr>
          <w:rFonts w:hint="eastAsia" w:ascii="仿宋" w:hAnsi="仿宋" w:eastAsia="仿宋" w:cs="仿宋"/>
          <w:bCs/>
          <w:color w:val="000000" w:themeColor="text1"/>
          <w:sz w:val="44"/>
          <w:szCs w:val="32"/>
          <w:highlight w:val="none"/>
          <w14:textFill>
            <w14:solidFill>
              <w14:schemeClr w14:val="tx1"/>
            </w14:solidFill>
          </w14:textFill>
        </w:rPr>
        <w:br w:type="page"/>
      </w:r>
    </w:p>
    <w:p w14:paraId="07993C9E">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r>
        <w:rPr>
          <w:rFonts w:hint="eastAsia" w:ascii="仿宋" w:hAnsi="仿宋" w:eastAsia="仿宋" w:cs="仿宋"/>
          <w:bCs/>
          <w:color w:val="000000" w:themeColor="text1"/>
          <w:kern w:val="2"/>
          <w:sz w:val="44"/>
          <w:szCs w:val="32"/>
          <w:highlight w:val="none"/>
          <w14:textFill>
            <w14:solidFill>
              <w14:schemeClr w14:val="tx1"/>
            </w14:solidFill>
          </w14:textFill>
        </w:rPr>
        <w:t>投标人资格证明文件</w:t>
      </w:r>
      <w:bookmarkEnd w:id="113"/>
      <w:bookmarkEnd w:id="115"/>
      <w:bookmarkEnd w:id="116"/>
    </w:p>
    <w:p w14:paraId="1CB72DDA">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投标人有效的营业执照扫描件</w:t>
      </w:r>
    </w:p>
    <w:p w14:paraId="3A66BD5E">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127B8955">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28502E9D">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2719015F">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0556662B">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5E9A2C21">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5B9BC3C8">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01B2A8AD">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3DFDA03B">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45F8D7CB">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767B67DA">
      <w:pPr>
        <w:snapToGrid w:val="0"/>
        <w:spacing w:line="560" w:lineRule="exact"/>
        <w:jc w:val="center"/>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774BFF9E">
      <w:pPr>
        <w:rPr>
          <w:rFonts w:hint="eastAsia" w:ascii="仿宋" w:hAnsi="仿宋" w:eastAsia="仿宋"/>
          <w:color w:val="000000" w:themeColor="text1"/>
          <w:highlight w:val="none"/>
          <w14:textFill>
            <w14:solidFill>
              <w14:schemeClr w14:val="tx1"/>
            </w14:solidFill>
          </w14:textFill>
        </w:rPr>
      </w:pPr>
    </w:p>
    <w:p w14:paraId="399A401E">
      <w:pPr>
        <w:rPr>
          <w:rFonts w:hint="eastAsia" w:ascii="仿宋" w:hAnsi="仿宋" w:eastAsia="仿宋"/>
          <w:color w:val="000000" w:themeColor="text1"/>
          <w:highlight w:val="none"/>
          <w14:textFill>
            <w14:solidFill>
              <w14:schemeClr w14:val="tx1"/>
            </w14:solidFill>
          </w14:textFill>
        </w:rPr>
      </w:pPr>
    </w:p>
    <w:p w14:paraId="6D9A9224">
      <w:pPr>
        <w:rPr>
          <w:rFonts w:hint="eastAsia" w:ascii="仿宋" w:hAnsi="仿宋" w:eastAsia="仿宋"/>
          <w:color w:val="000000" w:themeColor="text1"/>
          <w:highlight w:val="none"/>
          <w14:textFill>
            <w14:solidFill>
              <w14:schemeClr w14:val="tx1"/>
            </w14:solidFill>
          </w14:textFill>
        </w:rPr>
      </w:pPr>
    </w:p>
    <w:p w14:paraId="5DE567B6">
      <w:pPr>
        <w:rPr>
          <w:rFonts w:hint="eastAsia" w:ascii="仿宋" w:hAnsi="仿宋" w:eastAsia="仿宋"/>
          <w:color w:val="000000" w:themeColor="text1"/>
          <w:highlight w:val="none"/>
          <w14:textFill>
            <w14:solidFill>
              <w14:schemeClr w14:val="tx1"/>
            </w14:solidFill>
          </w14:textFill>
        </w:rPr>
      </w:pPr>
    </w:p>
    <w:p w14:paraId="44C89C0A">
      <w:pPr>
        <w:rPr>
          <w:rFonts w:hint="eastAsia" w:ascii="仿宋" w:hAnsi="仿宋" w:eastAsia="仿宋"/>
          <w:color w:val="000000" w:themeColor="text1"/>
          <w:highlight w:val="none"/>
          <w14:textFill>
            <w14:solidFill>
              <w14:schemeClr w14:val="tx1"/>
            </w14:solidFill>
          </w14:textFill>
        </w:rPr>
      </w:pPr>
    </w:p>
    <w:p w14:paraId="5F170D30">
      <w:pPr>
        <w:rPr>
          <w:rFonts w:hint="eastAsia" w:ascii="仿宋" w:hAnsi="仿宋" w:eastAsia="仿宋"/>
          <w:color w:val="000000" w:themeColor="text1"/>
          <w:highlight w:val="none"/>
          <w14:textFill>
            <w14:solidFill>
              <w14:schemeClr w14:val="tx1"/>
            </w14:solidFill>
          </w14:textFill>
        </w:rPr>
      </w:pPr>
    </w:p>
    <w:p w14:paraId="1261D750">
      <w:pPr>
        <w:pStyle w:val="19"/>
        <w:rPr>
          <w:rFonts w:hint="eastAsia" w:ascii="仿宋" w:hAnsi="仿宋" w:eastAsia="仿宋"/>
          <w:color w:val="000000" w:themeColor="text1"/>
          <w:highlight w:val="none"/>
          <w14:textFill>
            <w14:solidFill>
              <w14:schemeClr w14:val="tx1"/>
            </w14:solidFill>
          </w14:textFill>
        </w:rPr>
      </w:pPr>
    </w:p>
    <w:p w14:paraId="4E8DC89E">
      <w:pPr>
        <w:rPr>
          <w:rFonts w:hint="eastAsia" w:ascii="仿宋" w:hAnsi="仿宋" w:eastAsia="仿宋"/>
          <w:color w:val="000000" w:themeColor="text1"/>
          <w:highlight w:val="none"/>
          <w14:textFill>
            <w14:solidFill>
              <w14:schemeClr w14:val="tx1"/>
            </w14:solidFill>
          </w14:textFill>
        </w:rPr>
      </w:pPr>
    </w:p>
    <w:p w14:paraId="305623DA">
      <w:pPr>
        <w:rPr>
          <w:rFonts w:hint="eastAsia" w:ascii="仿宋" w:hAnsi="仿宋" w:eastAsia="仿宋"/>
          <w:color w:val="000000" w:themeColor="text1"/>
          <w:highlight w:val="none"/>
          <w14:textFill>
            <w14:solidFill>
              <w14:schemeClr w14:val="tx1"/>
            </w14:solidFill>
          </w14:textFill>
        </w:rPr>
      </w:pPr>
    </w:p>
    <w:p w14:paraId="73AA1C7D">
      <w:pPr>
        <w:rPr>
          <w:rFonts w:hint="eastAsia" w:ascii="仿宋" w:hAnsi="仿宋" w:eastAsia="仿宋"/>
          <w:color w:val="000000" w:themeColor="text1"/>
          <w:highlight w:val="none"/>
          <w14:textFill>
            <w14:solidFill>
              <w14:schemeClr w14:val="tx1"/>
            </w14:solidFill>
          </w14:textFill>
        </w:rPr>
      </w:pPr>
    </w:p>
    <w:p w14:paraId="6013CD63">
      <w:pPr>
        <w:widowControl/>
        <w:jc w:val="left"/>
        <w:rPr>
          <w:rFonts w:hint="eastAsia" w:ascii="仿宋" w:hAnsi="仿宋" w:eastAsia="仿宋"/>
          <w:color w:val="000000" w:themeColor="text1"/>
          <w:kern w:val="0"/>
          <w:sz w:val="24"/>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br w:type="page"/>
      </w:r>
    </w:p>
    <w:p w14:paraId="72BB310B">
      <w:pPr>
        <w:rPr>
          <w:rFonts w:hint="eastAsia" w:ascii="仿宋" w:hAnsi="仿宋" w:eastAsia="仿宋"/>
          <w:highlight w:val="none"/>
        </w:rPr>
      </w:pPr>
    </w:p>
    <w:p w14:paraId="12556A49">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法定代表人身份证明</w:t>
      </w:r>
    </w:p>
    <w:p w14:paraId="71DB2C96">
      <w:pPr>
        <w:rPr>
          <w:rFonts w:hint="eastAsia" w:ascii="仿宋" w:hAnsi="仿宋" w:eastAsia="仿宋" w:cs="仿宋"/>
          <w:color w:val="000000" w:themeColor="text1"/>
          <w:highlight w:val="none"/>
          <w14:textFill>
            <w14:solidFill>
              <w14:schemeClr w14:val="tx1"/>
            </w14:solidFill>
          </w14:textFill>
        </w:rPr>
      </w:pPr>
    </w:p>
    <w:p w14:paraId="004A6DEF">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42680B9E">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单位性质：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2C92832B">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BBED786">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成立时间：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335EED6C">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经营期限：</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BC7157C">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姓名：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性别：</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职务：</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7F901A4C">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系</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（投标人名称）的法定代表人。</w:t>
      </w:r>
    </w:p>
    <w:p w14:paraId="564DD729">
      <w:pPr>
        <w:spacing w:before="157"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特此证明。</w:t>
      </w:r>
    </w:p>
    <w:p w14:paraId="03441BFC">
      <w:pPr>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（盖章）</w:t>
      </w:r>
    </w:p>
    <w:p w14:paraId="66F24F16">
      <w:pPr>
        <w:pStyle w:val="26"/>
        <w:spacing w:before="157" w:line="480" w:lineRule="exact"/>
        <w:ind w:firstLine="563"/>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78D0F634">
      <w:pPr>
        <w:pStyle w:val="26"/>
        <w:spacing w:line="480" w:lineRule="exact"/>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p>
    <w:p w14:paraId="0382195D">
      <w:pPr>
        <w:pStyle w:val="26"/>
        <w:ind w:firstLine="560" w:firstLineChars="200"/>
        <w:jc w:val="center"/>
        <w:rPr>
          <w:rFonts w:hint="eastAsia" w:ascii="仿宋" w:hAnsi="仿宋" w:eastAsia="仿宋" w:cs="仿宋"/>
          <w:color w:val="000000" w:themeColor="text1"/>
          <w:sz w:val="28"/>
          <w:szCs w:val="28"/>
          <w:highlight w:val="none"/>
          <w14:textFill>
            <w14:solidFill>
              <w14:schemeClr w14:val="tx1"/>
            </w14:solidFill>
          </w14:textFill>
        </w:rPr>
      </w:pPr>
    </w:p>
    <w:tbl>
      <w:tblPr>
        <w:tblStyle w:val="52"/>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7"/>
      </w:tblGrid>
      <w:tr w14:paraId="5A85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2" w:hRule="atLeast"/>
        </w:trPr>
        <w:tc>
          <w:tcPr>
            <w:tcW w:w="5827" w:type="dxa"/>
            <w:vAlign w:val="center"/>
          </w:tcPr>
          <w:p w14:paraId="3113AAA0">
            <w:pPr>
              <w:pStyle w:val="47"/>
              <w:spacing w:beforeAutospacing="0" w:afterAutospacing="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kern w:val="2"/>
                <w:sz w:val="28"/>
                <w:szCs w:val="28"/>
                <w:highlight w:val="none"/>
                <w14:textFill>
                  <w14:solidFill>
                    <w14:schemeClr w14:val="tx1"/>
                  </w14:solidFill>
                </w14:textFill>
              </w:rPr>
              <w:t>（法定代表人有效的身份证扫描件）</w:t>
            </w:r>
          </w:p>
        </w:tc>
      </w:tr>
    </w:tbl>
    <w:p w14:paraId="50476861">
      <w:pPr>
        <w:pStyle w:val="26"/>
        <w:ind w:firstLine="420" w:firstLineChars="200"/>
        <w:jc w:val="center"/>
        <w:rPr>
          <w:rFonts w:hint="eastAsia" w:ascii="仿宋" w:hAnsi="仿宋" w:eastAsia="仿宋" w:cs="仿宋"/>
          <w:color w:val="000000" w:themeColor="text1"/>
          <w:highlight w:val="none"/>
          <w14:textFill>
            <w14:solidFill>
              <w14:schemeClr w14:val="tx1"/>
            </w14:solidFill>
          </w14:textFill>
        </w:rPr>
      </w:pPr>
    </w:p>
    <w:p w14:paraId="5E7C2801">
      <w:pPr>
        <w:pStyle w:val="26"/>
        <w:ind w:firstLine="420" w:firstLineChars="200"/>
        <w:jc w:val="center"/>
        <w:rPr>
          <w:rFonts w:hint="eastAsia" w:ascii="仿宋" w:hAnsi="仿宋" w:eastAsia="仿宋" w:cs="仿宋"/>
          <w:color w:val="000000" w:themeColor="text1"/>
          <w:highlight w:val="none"/>
          <w14:textFill>
            <w14:solidFill>
              <w14:schemeClr w14:val="tx1"/>
            </w14:solidFill>
          </w14:textFill>
        </w:rPr>
      </w:pPr>
    </w:p>
    <w:p w14:paraId="5C17953D">
      <w:pPr>
        <w:pStyle w:val="26"/>
        <w:ind w:firstLine="420" w:firstLineChars="200"/>
        <w:jc w:val="center"/>
        <w:rPr>
          <w:rFonts w:hint="eastAsia" w:ascii="仿宋" w:hAnsi="仿宋" w:eastAsia="仿宋" w:cs="仿宋"/>
          <w:color w:val="000000" w:themeColor="text1"/>
          <w:highlight w:val="none"/>
          <w14:textFill>
            <w14:solidFill>
              <w14:schemeClr w14:val="tx1"/>
            </w14:solidFill>
          </w14:textFill>
        </w:rPr>
      </w:pPr>
    </w:p>
    <w:p w14:paraId="0FC52E10">
      <w:pPr>
        <w:pStyle w:val="26"/>
        <w:ind w:firstLine="420" w:firstLineChars="200"/>
        <w:jc w:val="center"/>
        <w:rPr>
          <w:rFonts w:hint="eastAsia" w:ascii="仿宋" w:hAnsi="仿宋" w:eastAsia="仿宋" w:cs="仿宋"/>
          <w:color w:val="000000" w:themeColor="text1"/>
          <w:highlight w:val="none"/>
          <w14:textFill>
            <w14:solidFill>
              <w14:schemeClr w14:val="tx1"/>
            </w14:solidFill>
          </w14:textFill>
        </w:rPr>
      </w:pPr>
    </w:p>
    <w:p w14:paraId="1A84DAAE">
      <w:pPr>
        <w:rPr>
          <w:rFonts w:hint="eastAsia" w:ascii="仿宋" w:hAnsi="仿宋" w:eastAsia="仿宋"/>
          <w:color w:val="000000" w:themeColor="text1"/>
          <w:highlight w:val="none"/>
          <w14:textFill>
            <w14:solidFill>
              <w14:schemeClr w14:val="tx1"/>
            </w14:solidFill>
          </w14:textFill>
        </w:rPr>
      </w:pPr>
    </w:p>
    <w:p w14:paraId="75C607E5">
      <w:pPr>
        <w:rPr>
          <w:rFonts w:hint="eastAsia" w:ascii="仿宋" w:hAnsi="仿宋" w:eastAsia="仿宋"/>
          <w:color w:val="000000" w:themeColor="text1"/>
          <w:highlight w:val="none"/>
          <w14:textFill>
            <w14:solidFill>
              <w14:schemeClr w14:val="tx1"/>
            </w14:solidFill>
          </w14:textFill>
        </w:rPr>
      </w:pPr>
    </w:p>
    <w:p w14:paraId="4929CF5B">
      <w:pPr>
        <w:rPr>
          <w:rFonts w:hint="eastAsia" w:ascii="仿宋" w:hAnsi="仿宋" w:eastAsia="仿宋"/>
          <w:color w:val="000000" w:themeColor="text1"/>
          <w:highlight w:val="none"/>
          <w14:textFill>
            <w14:solidFill>
              <w14:schemeClr w14:val="tx1"/>
            </w14:solidFill>
          </w14:textFill>
        </w:rPr>
      </w:pPr>
    </w:p>
    <w:p w14:paraId="6404B6F0">
      <w:pPr>
        <w:rPr>
          <w:rFonts w:hint="eastAsia" w:ascii="仿宋" w:hAnsi="仿宋" w:eastAsia="仿宋"/>
          <w:color w:val="000000" w:themeColor="text1"/>
          <w:highlight w:val="none"/>
          <w14:textFill>
            <w14:solidFill>
              <w14:schemeClr w14:val="tx1"/>
            </w14:solidFill>
          </w14:textFill>
        </w:rPr>
      </w:pPr>
    </w:p>
    <w:p w14:paraId="23EB1012">
      <w:pPr>
        <w:rPr>
          <w:rFonts w:hint="eastAsia" w:ascii="仿宋" w:hAnsi="仿宋" w:eastAsia="仿宋"/>
          <w:color w:val="000000" w:themeColor="text1"/>
          <w:highlight w:val="none"/>
          <w14:textFill>
            <w14:solidFill>
              <w14:schemeClr w14:val="tx1"/>
            </w14:solidFill>
          </w14:textFill>
        </w:rPr>
      </w:pPr>
    </w:p>
    <w:p w14:paraId="0BD45830">
      <w:pPr>
        <w:rPr>
          <w:rFonts w:hint="eastAsia" w:ascii="仿宋" w:hAnsi="仿宋" w:eastAsia="仿宋"/>
          <w:color w:val="000000" w:themeColor="text1"/>
          <w:highlight w:val="none"/>
          <w14:textFill>
            <w14:solidFill>
              <w14:schemeClr w14:val="tx1"/>
            </w14:solidFill>
          </w14:textFill>
        </w:rPr>
      </w:pPr>
    </w:p>
    <w:p w14:paraId="6C47CE26">
      <w:pPr>
        <w:rPr>
          <w:rFonts w:hint="eastAsia" w:ascii="仿宋" w:hAnsi="仿宋" w:eastAsia="仿宋"/>
          <w:color w:val="000000" w:themeColor="text1"/>
          <w:highlight w:val="none"/>
          <w14:textFill>
            <w14:solidFill>
              <w14:schemeClr w14:val="tx1"/>
            </w14:solidFill>
          </w14:textFill>
        </w:rPr>
      </w:pPr>
    </w:p>
    <w:p w14:paraId="19BC8829">
      <w:pPr>
        <w:rPr>
          <w:rFonts w:hint="eastAsia" w:ascii="仿宋" w:hAnsi="仿宋" w:eastAsia="仿宋"/>
          <w:color w:val="000000" w:themeColor="text1"/>
          <w:highlight w:val="none"/>
          <w14:textFill>
            <w14:solidFill>
              <w14:schemeClr w14:val="tx1"/>
            </w14:solidFill>
          </w14:textFill>
        </w:rPr>
      </w:pPr>
    </w:p>
    <w:p w14:paraId="70C04636">
      <w:pPr>
        <w:rPr>
          <w:rFonts w:hint="eastAsia" w:ascii="仿宋" w:hAnsi="仿宋" w:eastAsia="仿宋"/>
          <w:color w:val="000000" w:themeColor="text1"/>
          <w:highlight w:val="none"/>
          <w14:textFill>
            <w14:solidFill>
              <w14:schemeClr w14:val="tx1"/>
            </w14:solidFill>
          </w14:textFill>
        </w:rPr>
      </w:pPr>
    </w:p>
    <w:p w14:paraId="1B528419">
      <w:pPr>
        <w:widowControl/>
        <w:jc w:val="left"/>
        <w:rPr>
          <w:rFonts w:hint="eastAsia"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br w:type="page"/>
      </w:r>
    </w:p>
    <w:p w14:paraId="47A27DEF">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法定代表人授权委托书</w:t>
      </w:r>
    </w:p>
    <w:p w14:paraId="3FC62546">
      <w:pPr>
        <w:pStyle w:val="19"/>
        <w:rPr>
          <w:rFonts w:hint="eastAsia" w:ascii="仿宋" w:hAnsi="仿宋" w:eastAsia="仿宋"/>
          <w:color w:val="000000" w:themeColor="text1"/>
          <w:highlight w:val="none"/>
          <w14:textFill>
            <w14:solidFill>
              <w14:schemeClr w14:val="tx1"/>
            </w14:solidFill>
          </w14:textFill>
        </w:rPr>
      </w:pPr>
    </w:p>
    <w:p w14:paraId="2F90B40A">
      <w:pPr>
        <w:widowControl/>
        <w:adjustRightInd w:val="0"/>
        <w:spacing w:line="520" w:lineRule="exact"/>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本授权书声明：注册于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   （国家或地区的名称）  </w:t>
      </w:r>
      <w:r>
        <w:rPr>
          <w:rFonts w:hint="eastAsia" w:ascii="仿宋" w:hAnsi="仿宋" w:eastAsia="仿宋" w:cs="仿宋"/>
          <w:color w:val="000000" w:themeColor="text1"/>
          <w:sz w:val="28"/>
          <w:szCs w:val="28"/>
          <w:highlight w:val="none"/>
          <w14:textFill>
            <w14:solidFill>
              <w14:schemeClr w14:val="tx1"/>
            </w14:solidFill>
          </w14:textFill>
        </w:rPr>
        <w:t>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（公司名称）  </w:t>
      </w:r>
      <w:r>
        <w:rPr>
          <w:rFonts w:hint="eastAsia" w:ascii="仿宋" w:hAnsi="仿宋" w:eastAsia="仿宋" w:cs="仿宋"/>
          <w:color w:val="000000" w:themeColor="text1"/>
          <w:sz w:val="28"/>
          <w:szCs w:val="28"/>
          <w:highlight w:val="none"/>
          <w14:textFill>
            <w14:solidFill>
              <w14:schemeClr w14:val="tx1"/>
            </w14:solidFill>
          </w14:textFill>
        </w:rPr>
        <w:t>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（姓名、职务）  </w:t>
      </w:r>
      <w:r>
        <w:rPr>
          <w:rFonts w:hint="eastAsia" w:ascii="仿宋" w:hAnsi="仿宋" w:eastAsia="仿宋" w:cs="仿宋"/>
          <w:color w:val="000000" w:themeColor="text1"/>
          <w:sz w:val="28"/>
          <w:szCs w:val="28"/>
          <w:highlight w:val="none"/>
          <w14:textFill>
            <w14:solidFill>
              <w14:schemeClr w14:val="tx1"/>
            </w14:solidFill>
          </w14:textFill>
        </w:rPr>
        <w:t>，代表本公司授权</w:t>
      </w:r>
      <w:r>
        <w:rPr>
          <w:rFonts w:hint="eastAsia" w:ascii="仿宋" w:hAnsi="仿宋" w:eastAsia="仿宋" w:cs="仿宋"/>
          <w:color w:val="000000" w:themeColor="text1"/>
          <w:sz w:val="28"/>
          <w:szCs w:val="28"/>
          <w:highlight w:val="none"/>
          <w:u w:val="single"/>
          <w14:textFill>
            <w14:solidFill>
              <w14:schemeClr w14:val="tx1"/>
            </w14:solidFill>
          </w14:textFill>
        </w:rPr>
        <w:t xml:space="preserve">  （被授权人的姓名、职务）</w:t>
      </w:r>
      <w:r>
        <w:rPr>
          <w:rFonts w:hint="eastAsia" w:ascii="仿宋" w:hAnsi="仿宋" w:eastAsia="仿宋" w:cs="仿宋"/>
          <w:color w:val="000000" w:themeColor="text1"/>
          <w:sz w:val="28"/>
          <w:szCs w:val="28"/>
          <w:highlight w:val="none"/>
          <w14:textFill>
            <w14:solidFill>
              <w14:schemeClr w14:val="tx1"/>
            </w14:solidFill>
          </w14:textFill>
        </w:rPr>
        <w:t>为本公司的合法代理人，参加编号为</w:t>
      </w:r>
      <w:r>
        <w:rPr>
          <w:rFonts w:hint="eastAsia" w:ascii="仿宋" w:hAnsi="仿宋" w:eastAsia="仿宋" w:cs="仿宋"/>
          <w:color w:val="000000" w:themeColor="text1"/>
          <w:spacing w:val="8"/>
          <w:kern w:val="0"/>
          <w:sz w:val="28"/>
          <w:szCs w:val="28"/>
          <w:highlight w:val="none"/>
          <w:u w:val="single"/>
          <w14:textFill>
            <w14:solidFill>
              <w14:schemeClr w14:val="tx1"/>
            </w14:solidFill>
          </w14:textFill>
        </w:rPr>
        <w:t xml:space="preserve">  WHGQ(2026)XCTZTY20261001 </w:t>
      </w:r>
      <w:r>
        <w:rPr>
          <w:rFonts w:hint="eastAsia" w:ascii="仿宋" w:hAnsi="仿宋" w:eastAsia="仿宋" w:cs="仿宋"/>
          <w:color w:val="000000" w:themeColor="text1"/>
          <w:sz w:val="28"/>
          <w:szCs w:val="28"/>
          <w:highlight w:val="none"/>
          <w14:textFill>
            <w14:solidFill>
              <w14:schemeClr w14:val="tx1"/>
            </w14:solidFill>
          </w14:textFill>
        </w:rPr>
        <w:t>号的招标活动，以本公司名义处理一切与之有关的事宜。</w:t>
      </w:r>
    </w:p>
    <w:p w14:paraId="5D57B3A8">
      <w:pPr>
        <w:spacing w:line="52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如果本公司在此次招标活动中中标，被授权人有权代表本公司签署合同。</w:t>
      </w:r>
    </w:p>
    <w:p w14:paraId="08940D93">
      <w:pPr>
        <w:spacing w:before="157" w:line="48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本授权书于</w:t>
      </w:r>
      <w:r>
        <w:rPr>
          <w:rFonts w:hint="eastAsia" w:ascii="仿宋" w:hAnsi="仿宋" w:eastAsia="仿宋" w:cs="仿宋"/>
          <w:color w:val="000000" w:themeColor="text1"/>
          <w:kern w:val="0"/>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kern w:val="0"/>
          <w:sz w:val="28"/>
          <w:szCs w:val="28"/>
          <w:highlight w:val="none"/>
          <w14:textFill>
            <w14:solidFill>
              <w14:schemeClr w14:val="tx1"/>
            </w14:solidFill>
          </w14:textFill>
        </w:rPr>
        <w:t>年</w:t>
      </w:r>
      <w:r>
        <w:rPr>
          <w:rFonts w:hint="eastAsia" w:ascii="仿宋" w:hAnsi="仿宋" w:eastAsia="仿宋" w:cs="仿宋"/>
          <w:color w:val="000000" w:themeColor="text1"/>
          <w:kern w:val="0"/>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kern w:val="0"/>
          <w:sz w:val="28"/>
          <w:szCs w:val="28"/>
          <w:highlight w:val="none"/>
          <w14:textFill>
            <w14:solidFill>
              <w14:schemeClr w14:val="tx1"/>
            </w14:solidFill>
          </w14:textFill>
        </w:rPr>
        <w:t>月</w:t>
      </w:r>
      <w:r>
        <w:rPr>
          <w:rFonts w:hint="eastAsia" w:ascii="仿宋" w:hAnsi="仿宋" w:eastAsia="仿宋" w:cs="仿宋"/>
          <w:color w:val="000000" w:themeColor="text1"/>
          <w:kern w:val="0"/>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kern w:val="0"/>
          <w:sz w:val="28"/>
          <w:szCs w:val="28"/>
          <w:highlight w:val="none"/>
          <w14:textFill>
            <w14:solidFill>
              <w14:schemeClr w14:val="tx1"/>
            </w14:solidFill>
          </w14:textFill>
        </w:rPr>
        <w:t>日法定代表人签字或盖章并由单位盖章生效，特此声明。</w:t>
      </w:r>
    </w:p>
    <w:p w14:paraId="32D97634">
      <w:pPr>
        <w:spacing w:before="157" w:line="48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被授权人无转委托权。</w:t>
      </w:r>
    </w:p>
    <w:p w14:paraId="5B986C66">
      <w:pPr>
        <w:spacing w:before="157" w:line="480" w:lineRule="exact"/>
        <w:ind w:firstLine="560" w:firstLineChars="200"/>
        <w:jc w:val="left"/>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法定代表人签字或盖章：</w:t>
      </w:r>
    </w:p>
    <w:p w14:paraId="01837826">
      <w:pPr>
        <w:spacing w:before="157" w:line="480" w:lineRule="exact"/>
        <w:ind w:firstLine="560" w:firstLineChars="200"/>
        <w:jc w:val="left"/>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投标人（公 章）：</w:t>
      </w:r>
    </w:p>
    <w:p w14:paraId="2BA4FD48">
      <w:pPr>
        <w:rPr>
          <w:rFonts w:hint="eastAsia" w:ascii="仿宋" w:hAnsi="仿宋" w:eastAsia="仿宋" w:cs="仿宋"/>
          <w:color w:val="000000" w:themeColor="text1"/>
          <w:sz w:val="28"/>
          <w:szCs w:val="28"/>
          <w:highlight w:val="none"/>
          <w14:textFill>
            <w14:solidFill>
              <w14:schemeClr w14:val="tx1"/>
            </w14:solidFill>
          </w14:textFill>
        </w:rPr>
      </w:pPr>
    </w:p>
    <w:tbl>
      <w:tblPr>
        <w:tblStyle w:val="52"/>
        <w:tblpPr w:leftFromText="180" w:rightFromText="180" w:vertAnchor="text" w:horzAnchor="margin" w:tblpXSpec="center" w:tblpY="-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9"/>
      </w:tblGrid>
      <w:tr w14:paraId="4A159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4" w:hRule="atLeast"/>
        </w:trPr>
        <w:tc>
          <w:tcPr>
            <w:tcW w:w="6149" w:type="dxa"/>
            <w:vAlign w:val="center"/>
          </w:tcPr>
          <w:p w14:paraId="739584D4">
            <w:pPr>
              <w:widowControl/>
              <w:spacing w:beforeAutospacing="1" w:afterAutospacing="1" w:line="360" w:lineRule="auto"/>
              <w:jc w:val="center"/>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（被授权人有效的身份证扫描件）</w:t>
            </w:r>
          </w:p>
        </w:tc>
      </w:tr>
    </w:tbl>
    <w:p w14:paraId="3A57AA45">
      <w:pPr>
        <w:rPr>
          <w:rFonts w:hint="eastAsia" w:ascii="仿宋" w:hAnsi="仿宋" w:eastAsia="仿宋"/>
          <w:color w:val="000000" w:themeColor="text1"/>
          <w:highlight w:val="none"/>
          <w14:textFill>
            <w14:solidFill>
              <w14:schemeClr w14:val="tx1"/>
            </w14:solidFill>
          </w14:textFill>
        </w:rPr>
      </w:pPr>
    </w:p>
    <w:p w14:paraId="502BDC80">
      <w:pPr>
        <w:rPr>
          <w:rFonts w:hint="eastAsia" w:ascii="仿宋" w:hAnsi="仿宋" w:eastAsia="仿宋"/>
          <w:color w:val="000000" w:themeColor="text1"/>
          <w:highlight w:val="none"/>
          <w14:textFill>
            <w14:solidFill>
              <w14:schemeClr w14:val="tx1"/>
            </w14:solidFill>
          </w14:textFill>
        </w:rPr>
      </w:pPr>
    </w:p>
    <w:p w14:paraId="3DB7069F">
      <w:pPr>
        <w:rPr>
          <w:rFonts w:hint="eastAsia" w:ascii="仿宋" w:hAnsi="仿宋" w:eastAsia="仿宋"/>
          <w:color w:val="000000" w:themeColor="text1"/>
          <w:highlight w:val="none"/>
          <w14:textFill>
            <w14:solidFill>
              <w14:schemeClr w14:val="tx1"/>
            </w14:solidFill>
          </w14:textFill>
        </w:rPr>
      </w:pPr>
    </w:p>
    <w:p w14:paraId="3185DFB9">
      <w:pPr>
        <w:rPr>
          <w:rFonts w:hint="eastAsia" w:ascii="仿宋" w:hAnsi="仿宋" w:eastAsia="仿宋"/>
          <w:color w:val="000000" w:themeColor="text1"/>
          <w:highlight w:val="none"/>
          <w14:textFill>
            <w14:solidFill>
              <w14:schemeClr w14:val="tx1"/>
            </w14:solidFill>
          </w14:textFill>
        </w:rPr>
      </w:pPr>
    </w:p>
    <w:p w14:paraId="77E48D80">
      <w:pPr>
        <w:rPr>
          <w:rFonts w:hint="eastAsia" w:ascii="仿宋" w:hAnsi="仿宋" w:eastAsia="仿宋"/>
          <w:color w:val="000000" w:themeColor="text1"/>
          <w:highlight w:val="none"/>
          <w14:textFill>
            <w14:solidFill>
              <w14:schemeClr w14:val="tx1"/>
            </w14:solidFill>
          </w14:textFill>
        </w:rPr>
      </w:pPr>
    </w:p>
    <w:p w14:paraId="16156AC7">
      <w:pPr>
        <w:rPr>
          <w:rFonts w:hint="eastAsia" w:ascii="仿宋" w:hAnsi="仿宋" w:eastAsia="仿宋"/>
          <w:color w:val="000000" w:themeColor="text1"/>
          <w:highlight w:val="none"/>
          <w14:textFill>
            <w14:solidFill>
              <w14:schemeClr w14:val="tx1"/>
            </w14:solidFill>
          </w14:textFill>
        </w:rPr>
      </w:pPr>
    </w:p>
    <w:p w14:paraId="4EAE10C2">
      <w:pPr>
        <w:rPr>
          <w:rFonts w:hint="eastAsia" w:ascii="仿宋" w:hAnsi="仿宋" w:eastAsia="仿宋"/>
          <w:color w:val="000000" w:themeColor="text1"/>
          <w:highlight w:val="none"/>
          <w14:textFill>
            <w14:solidFill>
              <w14:schemeClr w14:val="tx1"/>
            </w14:solidFill>
          </w14:textFill>
        </w:rPr>
      </w:pPr>
    </w:p>
    <w:p w14:paraId="06C5D2B9">
      <w:pPr>
        <w:rPr>
          <w:rFonts w:hint="eastAsia" w:ascii="仿宋" w:hAnsi="仿宋" w:eastAsia="仿宋"/>
          <w:color w:val="000000" w:themeColor="text1"/>
          <w:highlight w:val="none"/>
          <w14:textFill>
            <w14:solidFill>
              <w14:schemeClr w14:val="tx1"/>
            </w14:solidFill>
          </w14:textFill>
        </w:rPr>
      </w:pPr>
    </w:p>
    <w:p w14:paraId="6E31BA6D">
      <w:pPr>
        <w:pStyle w:val="19"/>
        <w:rPr>
          <w:rFonts w:hint="eastAsia" w:ascii="仿宋" w:hAnsi="仿宋" w:eastAsia="仿宋"/>
          <w:color w:val="000000" w:themeColor="text1"/>
          <w:highlight w:val="none"/>
          <w14:textFill>
            <w14:solidFill>
              <w14:schemeClr w14:val="tx1"/>
            </w14:solidFill>
          </w14:textFill>
        </w:rPr>
      </w:pPr>
    </w:p>
    <w:p w14:paraId="04C9E2C9">
      <w:pPr>
        <w:rPr>
          <w:rFonts w:hint="eastAsia" w:ascii="仿宋" w:hAnsi="仿宋" w:eastAsia="仿宋"/>
          <w:color w:val="000000" w:themeColor="text1"/>
          <w:highlight w:val="none"/>
          <w14:textFill>
            <w14:solidFill>
              <w14:schemeClr w14:val="tx1"/>
            </w14:solidFill>
          </w14:textFill>
        </w:rPr>
      </w:pPr>
    </w:p>
    <w:p w14:paraId="500DDDCF">
      <w:pPr>
        <w:pStyle w:val="19"/>
        <w:rPr>
          <w:rFonts w:hint="eastAsia" w:ascii="仿宋" w:hAnsi="仿宋" w:eastAsia="仿宋"/>
          <w:color w:val="000000" w:themeColor="text1"/>
          <w:highlight w:val="none"/>
          <w14:textFill>
            <w14:solidFill>
              <w14:schemeClr w14:val="tx1"/>
            </w14:solidFill>
          </w14:textFill>
        </w:rPr>
      </w:pPr>
    </w:p>
    <w:p w14:paraId="3F032F28">
      <w:pPr>
        <w:pStyle w:val="20"/>
        <w:ind w:left="5250"/>
        <w:rPr>
          <w:rFonts w:hint="eastAsia" w:ascii="仿宋" w:hAnsi="仿宋" w:eastAsia="仿宋"/>
          <w:color w:val="000000" w:themeColor="text1"/>
          <w:highlight w:val="none"/>
          <w14:textFill>
            <w14:solidFill>
              <w14:schemeClr w14:val="tx1"/>
            </w14:solidFill>
          </w14:textFill>
        </w:rPr>
      </w:pPr>
    </w:p>
    <w:p w14:paraId="7834ED04">
      <w:pPr>
        <w:rPr>
          <w:rFonts w:hint="eastAsia" w:ascii="仿宋" w:hAnsi="仿宋" w:eastAsia="仿宋" w:cs="仿宋"/>
          <w:color w:val="000000" w:themeColor="text1"/>
          <w:highlight w:val="none"/>
          <w14:textFill>
            <w14:solidFill>
              <w14:schemeClr w14:val="tx1"/>
            </w14:solidFill>
          </w14:textFill>
        </w:rPr>
      </w:pPr>
    </w:p>
    <w:p w14:paraId="2175AA57">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注：若由法定代表人亲自签署投标文件并参与相关活动，则无需提供授权委托书；若为授权委托代理人，则需提供授权委托书。</w:t>
      </w:r>
    </w:p>
    <w:p w14:paraId="3A14970F">
      <w:pPr>
        <w:pStyle w:val="19"/>
        <w:rPr>
          <w:rFonts w:hint="eastAsia" w:ascii="仿宋" w:hAnsi="仿宋" w:eastAsia="仿宋" w:cs="仿宋"/>
          <w:color w:val="000000" w:themeColor="text1"/>
          <w:sz w:val="30"/>
          <w:szCs w:val="30"/>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br w:type="page"/>
      </w:r>
    </w:p>
    <w:p w14:paraId="42F3F0EB">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投标人信用承诺书</w:t>
      </w:r>
    </w:p>
    <w:p w14:paraId="236E3260">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为营造公平竞争、规范有序的市场环境，树立诚信守法经营形象。本单位郑重承诺：</w:t>
      </w:r>
    </w:p>
    <w:p w14:paraId="558F5FE5">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一、我方在此声明，本次招标投标活动中申报的所有资料都是真实、准确完整的，如发现提供虚假资料，或与事实不符而导致投标无效，甚至造成任何法律和经济责任，完全由我方负责。</w:t>
      </w:r>
    </w:p>
    <w:p w14:paraId="785EB7EB">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二、我方在本次投标活动中绝无资质挂靠、串标、围标情形，若经贵方查出，立即取消我方投标资格并承担相应的法律责任。</w:t>
      </w:r>
    </w:p>
    <w:p w14:paraId="64C2A981">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三、我方在以往的招标投标活动中，无重大违法、违规的不良记录；或虽有不良记录，但已超过处理期限。</w:t>
      </w:r>
    </w:p>
    <w:p w14:paraId="1AEDB2E0">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ascii="仿宋" w:hAnsi="仿宋" w:eastAsia="仿宋" w:cs="仿宋"/>
          <w:color w:val="000000" w:themeColor="text1"/>
          <w:kern w:val="0"/>
          <w:sz w:val="28"/>
          <w:szCs w:val="28"/>
          <w:highlight w:val="none"/>
          <w14:textFill>
            <w14:solidFill>
              <w14:schemeClr w14:val="tx1"/>
            </w14:solidFill>
          </w14:textFill>
        </w:rPr>
        <w:t>四、</w:t>
      </w:r>
      <w:r>
        <w:rPr>
          <w:rFonts w:hint="eastAsia" w:ascii="仿宋" w:hAnsi="仿宋" w:eastAsia="仿宋" w:cs="仿宋"/>
          <w:color w:val="000000" w:themeColor="text1"/>
          <w:kern w:val="0"/>
          <w:sz w:val="28"/>
          <w:szCs w:val="28"/>
          <w:highlight w:val="none"/>
          <w14:textFill>
            <w14:solidFill>
              <w14:schemeClr w14:val="tx1"/>
            </w14:solidFill>
          </w14:textFill>
        </w:rPr>
        <w:t>我单位、法定代表人、委托代理人承诺</w:t>
      </w:r>
      <w:r>
        <w:rPr>
          <w:rFonts w:ascii="仿宋" w:hAnsi="仿宋" w:eastAsia="仿宋" w:cs="仿宋"/>
          <w:color w:val="000000" w:themeColor="text1"/>
          <w:kern w:val="0"/>
          <w:sz w:val="28"/>
          <w:szCs w:val="28"/>
          <w:highlight w:val="none"/>
          <w14:textFill>
            <w14:solidFill>
              <w14:schemeClr w14:val="tx1"/>
            </w14:solidFill>
          </w14:textFill>
        </w:rPr>
        <w:t>近三年无行贿犯罪记录。如有不实，愿意承担一切后果</w:t>
      </w:r>
      <w:r>
        <w:rPr>
          <w:rFonts w:hint="eastAsia" w:ascii="仿宋" w:hAnsi="仿宋" w:eastAsia="仿宋" w:cs="仿宋"/>
          <w:color w:val="000000" w:themeColor="text1"/>
          <w:kern w:val="0"/>
          <w:sz w:val="28"/>
          <w:szCs w:val="28"/>
          <w:highlight w:val="none"/>
          <w14:textFill>
            <w14:solidFill>
              <w14:schemeClr w14:val="tx1"/>
            </w14:solidFill>
          </w14:textFill>
        </w:rPr>
        <w:t>。</w:t>
      </w:r>
    </w:p>
    <w:p w14:paraId="2BF3FC44">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五、我方一旦中标，将按规定及时与招标人签订合同，严格按照投标文件中所承诺的报价等内容组织实施。</w:t>
      </w:r>
    </w:p>
    <w:p w14:paraId="4A217BB8">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六、自觉接受社会各界的监督，依法接受有关行政机关的事中事后监管和执法检查，并如实提供有关情况和材料。</w:t>
      </w:r>
    </w:p>
    <w:p w14:paraId="01941279">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七、严格遵守国家法律、法规、规章和相关政策规定，积极参与社会信用体系建设，倡树以信笃行，以诚兴业的传统美德，争当信用市民，争创信用企业。</w:t>
      </w:r>
    </w:p>
    <w:p w14:paraId="28954A28">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八、本《信用承诺书》同意向社会公开。</w:t>
      </w:r>
    </w:p>
    <w:p w14:paraId="024A9BBB">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p>
    <w:p w14:paraId="03450095">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 xml:space="preserve"> 承诺单位：                          （盖章）</w:t>
      </w:r>
    </w:p>
    <w:p w14:paraId="09341356">
      <w:pPr>
        <w:spacing w:line="56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 xml:space="preserve">                                     年    月    日</w:t>
      </w:r>
    </w:p>
    <w:p w14:paraId="2DD689BE">
      <w:pPr>
        <w:snapToGrid w:val="0"/>
        <w:spacing w:line="360" w:lineRule="auto"/>
        <w:jc w:val="left"/>
        <w:rPr>
          <w:rFonts w:hint="eastAsia"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br w:type="page"/>
      </w:r>
    </w:p>
    <w:p w14:paraId="1A6EFAC6">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投标人参与投标的声明函</w:t>
      </w:r>
    </w:p>
    <w:p w14:paraId="2E974530">
      <w:pPr>
        <w:spacing w:line="520" w:lineRule="exact"/>
        <w:rPr>
          <w:rFonts w:hint="eastAsia" w:ascii="仿宋" w:hAnsi="仿宋" w:eastAsia="仿宋" w:cs="仿宋"/>
          <w:color w:val="000000" w:themeColor="text1"/>
          <w:kern w:val="0"/>
          <w:sz w:val="28"/>
          <w:szCs w:val="28"/>
          <w:highlight w:val="none"/>
          <w14:textFill>
            <w14:solidFill>
              <w14:schemeClr w14:val="tx1"/>
            </w14:solidFill>
          </w14:textFill>
        </w:rPr>
      </w:pPr>
    </w:p>
    <w:p w14:paraId="7C46124F">
      <w:pPr>
        <w:spacing w:line="520" w:lineRule="exact"/>
        <w:ind w:firstLine="560" w:firstLineChars="200"/>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本单位郑重承诺如下：</w:t>
      </w:r>
    </w:p>
    <w:p w14:paraId="273952AB">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（1）具有独立承担民事责任的能力；</w:t>
      </w:r>
    </w:p>
    <w:p w14:paraId="5D25283C">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w:t>
      </w:r>
      <w:r>
        <w:rPr>
          <w:rFonts w:ascii="仿宋" w:hAnsi="仿宋" w:eastAsia="仿宋" w:cs="仿宋"/>
          <w:color w:val="000000"/>
          <w:spacing w:val="8"/>
          <w:kern w:val="0"/>
          <w:sz w:val="28"/>
          <w:szCs w:val="28"/>
          <w:highlight w:val="none"/>
        </w:rPr>
        <w:t>2</w:t>
      </w:r>
      <w:r>
        <w:rPr>
          <w:rFonts w:hint="eastAsia" w:ascii="仿宋" w:hAnsi="仿宋" w:eastAsia="仿宋" w:cs="仿宋"/>
          <w:color w:val="000000"/>
          <w:spacing w:val="8"/>
          <w:kern w:val="0"/>
          <w:sz w:val="28"/>
          <w:szCs w:val="28"/>
          <w:highlight w:val="none"/>
        </w:rPr>
        <w:t>）参加本次招标活动前三年内，在经营活动中没有重大违法记录；</w:t>
      </w:r>
    </w:p>
    <w:p w14:paraId="758575E3">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（3）我单位、法定代表人、委托代理人未被最高法院列入失信被执行人；</w:t>
      </w:r>
    </w:p>
    <w:p w14:paraId="1C087B7B">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（4）我单位近一年在“信用中国”或“信用中国（山东）”无严重失信记录；</w:t>
      </w:r>
    </w:p>
    <w:p w14:paraId="0C75D476">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（5）我单位、法定代表人、委托代理人</w:t>
      </w:r>
      <w:r>
        <w:rPr>
          <w:rFonts w:ascii="仿宋" w:hAnsi="仿宋" w:eastAsia="仿宋" w:cs="仿宋"/>
          <w:color w:val="000000"/>
          <w:spacing w:val="8"/>
          <w:kern w:val="0"/>
          <w:sz w:val="28"/>
          <w:szCs w:val="28"/>
          <w:highlight w:val="none"/>
        </w:rPr>
        <w:t>近三年内无行贿犯罪行为记录；</w:t>
      </w:r>
    </w:p>
    <w:p w14:paraId="1F645DE1">
      <w:pPr>
        <w:widowControl/>
        <w:wordWrap w:val="0"/>
        <w:adjustRightInd w:val="0"/>
        <w:spacing w:line="520" w:lineRule="exact"/>
        <w:ind w:firstLine="592" w:firstLineChars="200"/>
        <w:jc w:val="left"/>
        <w:rPr>
          <w:rFonts w:hint="eastAsia" w:ascii="仿宋" w:hAnsi="仿宋" w:eastAsia="仿宋" w:cs="仿宋"/>
          <w:color w:val="000000"/>
          <w:spacing w:val="8"/>
          <w:kern w:val="0"/>
          <w:sz w:val="28"/>
          <w:szCs w:val="28"/>
          <w:highlight w:val="none"/>
        </w:rPr>
      </w:pPr>
      <w:r>
        <w:rPr>
          <w:rFonts w:hint="eastAsia" w:ascii="仿宋" w:hAnsi="仿宋" w:eastAsia="仿宋" w:cs="仿宋"/>
          <w:color w:val="000000"/>
          <w:spacing w:val="8"/>
          <w:kern w:val="0"/>
          <w:sz w:val="28"/>
          <w:szCs w:val="28"/>
          <w:highlight w:val="none"/>
        </w:rPr>
        <w:t>（6）我单位本次非联合体投标。</w:t>
      </w:r>
    </w:p>
    <w:p w14:paraId="68723E41">
      <w:pPr>
        <w:widowControl/>
        <w:wordWrap w:val="0"/>
        <w:adjustRightInd w:val="0"/>
        <w:spacing w:line="520" w:lineRule="exact"/>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如我单位中标，我单位承诺不分包或转包本项目。若我单位提供虚假承诺，我单位同意所提交的投标文件作无效处理，并愿意接受通报，按照有关法律法规规定接受处罚，由此造成的一切经济责任和法律责任由我单位自行承担。</w:t>
      </w:r>
    </w:p>
    <w:p w14:paraId="01CB2254">
      <w:pPr>
        <w:pStyle w:val="19"/>
        <w:rPr>
          <w:rFonts w:hint="eastAsia" w:ascii="仿宋" w:hAnsi="仿宋" w:eastAsia="仿宋"/>
          <w:highlight w:val="none"/>
        </w:rPr>
      </w:pPr>
    </w:p>
    <w:p w14:paraId="68F09467">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bookmarkStart w:id="117" w:name="_Hlk72505594"/>
    </w:p>
    <w:p w14:paraId="707A33D8">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1B23E30D">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投标人（盖章）</w:t>
      </w:r>
      <w:bookmarkEnd w:id="117"/>
      <w:r>
        <w:rPr>
          <w:rFonts w:hint="eastAsia" w:ascii="仿宋" w:hAnsi="仿宋" w:eastAsia="仿宋" w:cs="仿宋"/>
          <w:color w:val="000000" w:themeColor="text1"/>
          <w:sz w:val="28"/>
          <w:szCs w:val="28"/>
          <w:highlight w:val="none"/>
          <w14:textFill>
            <w14:solidFill>
              <w14:schemeClr w14:val="tx1"/>
            </w14:solidFill>
          </w14:textFill>
        </w:rPr>
        <w:t>：</w:t>
      </w:r>
    </w:p>
    <w:p w14:paraId="4ACA2DAF">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494762BF">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br w:type="page"/>
      </w:r>
    </w:p>
    <w:p w14:paraId="52A420DD">
      <w:pPr>
        <w:snapToGrid w:val="0"/>
        <w:spacing w:line="560" w:lineRule="exact"/>
        <w:jc w:val="center"/>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交纳投标保证金的证明材料（两者缺一不可）：（1）企业银行基本账户开户证明（如开户许可证或银行开户证明等）、（2）电汇凭证或电子汇款截图扫描件</w:t>
      </w:r>
    </w:p>
    <w:p w14:paraId="7D8D9234">
      <w:pPr>
        <w:snapToGrid w:val="0"/>
        <w:spacing w:line="560" w:lineRule="exact"/>
        <w:ind w:firstLine="482" w:firstLineChars="201"/>
        <w:jc w:val="center"/>
        <w:rPr>
          <w:rFonts w:hint="eastAsia" w:ascii="仿宋" w:hAnsi="仿宋" w:eastAsia="仿宋" w:cs="仿宋"/>
          <w:color w:val="000000" w:themeColor="text1"/>
          <w:kern w:val="0"/>
          <w:sz w:val="24"/>
          <w:highlight w:val="none"/>
          <w14:textFill>
            <w14:solidFill>
              <w14:schemeClr w14:val="tx1"/>
            </w14:solidFill>
          </w14:textFill>
        </w:rPr>
      </w:pPr>
    </w:p>
    <w:p w14:paraId="3B2EBF84">
      <w:pPr>
        <w:snapToGrid w:val="0"/>
        <w:spacing w:line="560" w:lineRule="exact"/>
        <w:ind w:firstLine="482" w:firstLineChars="201"/>
        <w:jc w:val="center"/>
        <w:rPr>
          <w:rFonts w:hint="eastAsia" w:ascii="仿宋" w:hAnsi="仿宋" w:eastAsia="仿宋" w:cs="仿宋"/>
          <w:color w:val="000000" w:themeColor="text1"/>
          <w:kern w:val="0"/>
          <w:sz w:val="24"/>
          <w:highlight w:val="none"/>
          <w14:textFill>
            <w14:solidFill>
              <w14:schemeClr w14:val="tx1"/>
            </w14:solidFill>
          </w14:textFill>
        </w:rPr>
      </w:pPr>
    </w:p>
    <w:p w14:paraId="0B75F0B7">
      <w:pPr>
        <w:snapToGrid w:val="0"/>
        <w:spacing w:line="560" w:lineRule="exact"/>
        <w:ind w:firstLine="482" w:firstLineChars="201"/>
        <w:jc w:val="center"/>
        <w:rPr>
          <w:rFonts w:hint="eastAsia" w:ascii="仿宋" w:hAnsi="仿宋" w:eastAsia="仿宋" w:cs="仿宋"/>
          <w:color w:val="000000" w:themeColor="text1"/>
          <w:sz w:val="24"/>
          <w:highlight w:val="none"/>
          <w14:textFill>
            <w14:solidFill>
              <w14:schemeClr w14:val="tx1"/>
            </w14:solidFill>
          </w14:textFill>
        </w:rPr>
      </w:pPr>
    </w:p>
    <w:p w14:paraId="46A05414">
      <w:pPr>
        <w:pStyle w:val="19"/>
        <w:rPr>
          <w:rFonts w:hint="eastAsia" w:ascii="仿宋" w:hAnsi="仿宋" w:eastAsia="仿宋"/>
          <w:highlight w:val="none"/>
        </w:rPr>
      </w:pPr>
    </w:p>
    <w:p w14:paraId="0FC65491">
      <w:pPr>
        <w:pStyle w:val="20"/>
        <w:ind w:left="5250"/>
        <w:rPr>
          <w:rFonts w:hint="eastAsia" w:ascii="仿宋" w:hAnsi="仿宋" w:eastAsia="仿宋"/>
          <w:highlight w:val="none"/>
        </w:rPr>
      </w:pPr>
    </w:p>
    <w:p w14:paraId="46A6F539">
      <w:pPr>
        <w:rPr>
          <w:rFonts w:hint="eastAsia" w:ascii="仿宋" w:hAnsi="仿宋" w:eastAsia="仿宋"/>
          <w:highlight w:val="none"/>
        </w:rPr>
      </w:pPr>
    </w:p>
    <w:p w14:paraId="0E1A6E8A">
      <w:pPr>
        <w:pStyle w:val="19"/>
        <w:rPr>
          <w:rFonts w:hint="eastAsia" w:ascii="仿宋" w:hAnsi="仿宋" w:eastAsia="仿宋"/>
          <w:highlight w:val="none"/>
        </w:rPr>
      </w:pPr>
    </w:p>
    <w:p w14:paraId="270F6E04">
      <w:pPr>
        <w:snapToGrid w:val="0"/>
        <w:spacing w:line="560" w:lineRule="exact"/>
        <w:ind w:firstLine="482" w:firstLineChars="201"/>
        <w:jc w:val="center"/>
        <w:rPr>
          <w:rFonts w:hint="eastAsia" w:ascii="仿宋" w:hAnsi="仿宋" w:eastAsia="仿宋" w:cs="仿宋"/>
          <w:color w:val="000000" w:themeColor="text1"/>
          <w:kern w:val="0"/>
          <w:sz w:val="24"/>
          <w:highlight w:val="none"/>
          <w14:textFill>
            <w14:solidFill>
              <w14:schemeClr w14:val="tx1"/>
            </w14:solidFill>
          </w14:textFill>
        </w:rPr>
      </w:pPr>
    </w:p>
    <w:p w14:paraId="15FC46AE">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0A302FAC">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75A17E45">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4F762463">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025EC59B">
      <w:pPr>
        <w:pStyle w:val="19"/>
        <w:rPr>
          <w:rFonts w:hint="eastAsia" w:ascii="仿宋" w:hAnsi="仿宋" w:eastAsia="仿宋"/>
          <w:color w:val="000000" w:themeColor="text1"/>
          <w:highlight w:val="none"/>
          <w14:textFill>
            <w14:solidFill>
              <w14:schemeClr w14:val="tx1"/>
            </w14:solidFill>
          </w14:textFill>
        </w:rPr>
      </w:pPr>
    </w:p>
    <w:p w14:paraId="08CF8468">
      <w:pPr>
        <w:pStyle w:val="19"/>
        <w:rPr>
          <w:rFonts w:hint="eastAsia" w:ascii="仿宋" w:hAnsi="仿宋" w:eastAsia="仿宋"/>
          <w:color w:val="000000" w:themeColor="text1"/>
          <w:highlight w:val="none"/>
          <w14:textFill>
            <w14:solidFill>
              <w14:schemeClr w14:val="tx1"/>
            </w14:solidFill>
          </w14:textFill>
        </w:rPr>
      </w:pPr>
    </w:p>
    <w:p w14:paraId="1C174CFF">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44F19A7C">
      <w:pPr>
        <w:widowControl/>
        <w:jc w:val="left"/>
        <w:rPr>
          <w:rFonts w:hint="eastAsia" w:ascii="仿宋" w:hAnsi="仿宋" w:eastAsia="仿宋"/>
          <w:color w:val="000000" w:themeColor="text1"/>
          <w:kern w:val="0"/>
          <w:sz w:val="24"/>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br w:type="page"/>
      </w:r>
    </w:p>
    <w:p w14:paraId="03C0590F">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投标人、法定代表人、委托代理人未被最高法院</w:t>
      </w:r>
      <w:r>
        <w:rPr>
          <w:rFonts w:ascii="仿宋" w:hAnsi="仿宋" w:eastAsia="仿宋" w:cs="仿宋"/>
          <w:color w:val="000000" w:themeColor="text1"/>
          <w:sz w:val="30"/>
          <w:szCs w:val="30"/>
          <w:highlight w:val="none"/>
          <w14:textFill>
            <w14:solidFill>
              <w14:schemeClr w14:val="tx1"/>
            </w14:solidFill>
          </w14:textFill>
        </w:rPr>
        <w:t>列入失信被执行人</w:t>
      </w:r>
    </w:p>
    <w:p w14:paraId="052553B1">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04086C78">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5235EFCA">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7A3CFB0F">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1078771F">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787E9FB9">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2CC276A4">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3B4E43ED">
      <w:pPr>
        <w:snapToGrid w:val="0"/>
        <w:spacing w:line="500" w:lineRule="exact"/>
        <w:ind w:firstLine="482" w:firstLineChars="201"/>
        <w:jc w:val="left"/>
        <w:rPr>
          <w:rFonts w:hint="eastAsia" w:ascii="仿宋" w:hAnsi="仿宋" w:eastAsia="仿宋" w:cs="仿宋"/>
          <w:sz w:val="24"/>
          <w:highlight w:val="none"/>
        </w:rPr>
      </w:pPr>
      <w:r>
        <w:rPr>
          <w:rFonts w:hint="eastAsia" w:ascii="仿宋" w:hAnsi="仿宋" w:eastAsia="仿宋" w:cs="仿宋"/>
          <w:color w:val="000000" w:themeColor="text1"/>
          <w:sz w:val="24"/>
          <w:highlight w:val="none"/>
          <w14:textFill>
            <w14:solidFill>
              <w14:schemeClr w14:val="tx1"/>
            </w14:solidFill>
          </w14:textFill>
        </w:rPr>
        <w:t>注：</w:t>
      </w:r>
      <w:r>
        <w:rPr>
          <w:rFonts w:hint="eastAsia" w:ascii="仿宋" w:hAnsi="仿宋" w:eastAsia="仿宋" w:cs="仿宋"/>
          <w:color w:val="000000"/>
          <w:kern w:val="0"/>
          <w:sz w:val="24"/>
          <w:highlight w:val="none"/>
        </w:rPr>
        <w:t>查询网址</w:t>
      </w:r>
      <w:r>
        <w:rPr>
          <w:rFonts w:ascii="仿宋" w:hAnsi="仿宋" w:eastAsia="仿宋" w:cs="仿宋"/>
          <w:color w:val="000000"/>
          <w:kern w:val="0"/>
          <w:sz w:val="24"/>
          <w:highlight w:val="none"/>
        </w:rPr>
        <w:t>:http://zxgk.court.gov.cn/shixin/，查询省份为全部；附通过网站查询信息记录网页截图，包含投标人</w:t>
      </w:r>
      <w:r>
        <w:rPr>
          <w:rFonts w:hint="eastAsia" w:ascii="仿宋" w:hAnsi="仿宋" w:eastAsia="仿宋" w:cs="仿宋"/>
          <w:color w:val="000000"/>
          <w:kern w:val="0"/>
          <w:sz w:val="24"/>
          <w:highlight w:val="none"/>
        </w:rPr>
        <w:t>、</w:t>
      </w:r>
      <w:r>
        <w:rPr>
          <w:rFonts w:ascii="仿宋" w:hAnsi="仿宋" w:eastAsia="仿宋" w:cs="仿宋"/>
          <w:color w:val="000000"/>
          <w:kern w:val="0"/>
          <w:sz w:val="24"/>
          <w:highlight w:val="none"/>
        </w:rPr>
        <w:t>法定代表人、委托代理人失信情况网页截图</w:t>
      </w:r>
      <w:r>
        <w:rPr>
          <w:rFonts w:hint="eastAsia" w:ascii="仿宋" w:hAnsi="仿宋" w:eastAsia="仿宋" w:cs="仿宋"/>
          <w:color w:val="000000"/>
          <w:kern w:val="0"/>
          <w:sz w:val="24"/>
          <w:highlight w:val="none"/>
        </w:rPr>
        <w:t>。</w:t>
      </w:r>
    </w:p>
    <w:p w14:paraId="4490A67A">
      <w:pPr>
        <w:snapToGrid w:val="0"/>
        <w:spacing w:line="560" w:lineRule="exact"/>
        <w:ind w:firstLine="482" w:firstLineChars="201"/>
        <w:jc w:val="left"/>
        <w:rPr>
          <w:rFonts w:hint="eastAsia" w:ascii="仿宋" w:hAnsi="仿宋" w:eastAsia="仿宋" w:cs="仿宋"/>
          <w:color w:val="000000" w:themeColor="text1"/>
          <w:sz w:val="24"/>
          <w:highlight w:val="none"/>
          <w14:textFill>
            <w14:solidFill>
              <w14:schemeClr w14:val="tx1"/>
            </w14:solidFill>
          </w14:textFill>
        </w:rPr>
      </w:pPr>
    </w:p>
    <w:p w14:paraId="7C4F65D1">
      <w:pPr>
        <w:pStyle w:val="19"/>
        <w:rPr>
          <w:rFonts w:hint="eastAsia" w:ascii="仿宋" w:hAnsi="仿宋" w:eastAsia="仿宋"/>
          <w:color w:val="000000" w:themeColor="text1"/>
          <w:highlight w:val="none"/>
          <w14:textFill>
            <w14:solidFill>
              <w14:schemeClr w14:val="tx1"/>
            </w14:solidFill>
          </w14:textFill>
        </w:rPr>
      </w:pPr>
    </w:p>
    <w:p w14:paraId="0D01F86B">
      <w:pPr>
        <w:pStyle w:val="20"/>
        <w:ind w:left="5250"/>
        <w:rPr>
          <w:rFonts w:hint="eastAsia" w:ascii="仿宋" w:hAnsi="仿宋" w:eastAsia="仿宋"/>
          <w:color w:val="000000" w:themeColor="text1"/>
          <w:highlight w:val="none"/>
          <w14:textFill>
            <w14:solidFill>
              <w14:schemeClr w14:val="tx1"/>
            </w14:solidFill>
          </w14:textFill>
        </w:rPr>
      </w:pPr>
    </w:p>
    <w:p w14:paraId="1FA3CD28">
      <w:pPr>
        <w:rPr>
          <w:rFonts w:hint="eastAsia" w:ascii="仿宋" w:hAnsi="仿宋" w:eastAsia="仿宋"/>
          <w:color w:val="000000" w:themeColor="text1"/>
          <w:highlight w:val="none"/>
          <w14:textFill>
            <w14:solidFill>
              <w14:schemeClr w14:val="tx1"/>
            </w14:solidFill>
          </w14:textFill>
        </w:rPr>
      </w:pPr>
    </w:p>
    <w:p w14:paraId="6A02386B">
      <w:pPr>
        <w:pStyle w:val="51"/>
        <w:ind w:firstLine="560"/>
        <w:rPr>
          <w:rFonts w:hint="eastAsia" w:ascii="仿宋" w:hAnsi="仿宋" w:eastAsia="仿宋" w:cs="仿宋"/>
          <w:color w:val="000000" w:themeColor="text1"/>
          <w:sz w:val="28"/>
          <w:szCs w:val="28"/>
          <w:highlight w:val="none"/>
          <w14:textFill>
            <w14:solidFill>
              <w14:schemeClr w14:val="tx1"/>
            </w14:solidFill>
          </w14:textFill>
        </w:rPr>
      </w:pPr>
    </w:p>
    <w:p w14:paraId="723B463F">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6702D5DF">
      <w:pPr>
        <w:pStyle w:val="19"/>
        <w:rPr>
          <w:rFonts w:hint="eastAsia" w:ascii="仿宋" w:hAnsi="仿宋" w:eastAsia="仿宋"/>
          <w:color w:val="000000" w:themeColor="text1"/>
          <w:highlight w:val="none"/>
          <w14:textFill>
            <w14:solidFill>
              <w14:schemeClr w14:val="tx1"/>
            </w14:solidFill>
          </w14:textFill>
        </w:rPr>
      </w:pPr>
    </w:p>
    <w:p w14:paraId="72D3B6EE">
      <w:pPr>
        <w:pStyle w:val="20"/>
        <w:ind w:left="5250"/>
        <w:rPr>
          <w:rFonts w:hint="eastAsia" w:ascii="仿宋" w:hAnsi="仿宋" w:eastAsia="仿宋"/>
          <w:color w:val="000000" w:themeColor="text1"/>
          <w:highlight w:val="none"/>
          <w14:textFill>
            <w14:solidFill>
              <w14:schemeClr w14:val="tx1"/>
            </w14:solidFill>
          </w14:textFill>
        </w:rPr>
      </w:pPr>
    </w:p>
    <w:p w14:paraId="3F1DD062">
      <w:pPr>
        <w:rPr>
          <w:rFonts w:hint="eastAsia" w:ascii="仿宋" w:hAnsi="仿宋" w:eastAsia="仿宋"/>
          <w:color w:val="000000" w:themeColor="text1"/>
          <w:highlight w:val="none"/>
          <w14:textFill>
            <w14:solidFill>
              <w14:schemeClr w14:val="tx1"/>
            </w14:solidFill>
          </w14:textFill>
        </w:rPr>
      </w:pPr>
    </w:p>
    <w:p w14:paraId="75D00642">
      <w:pPr>
        <w:pStyle w:val="19"/>
        <w:rPr>
          <w:rFonts w:hint="eastAsia" w:ascii="仿宋" w:hAnsi="仿宋" w:eastAsia="仿宋"/>
          <w:color w:val="000000" w:themeColor="text1"/>
          <w:highlight w:val="none"/>
          <w14:textFill>
            <w14:solidFill>
              <w14:schemeClr w14:val="tx1"/>
            </w14:solidFill>
          </w14:textFill>
        </w:rPr>
      </w:pPr>
    </w:p>
    <w:p w14:paraId="488CF6D4">
      <w:pPr>
        <w:pStyle w:val="20"/>
        <w:ind w:left="5250"/>
        <w:rPr>
          <w:rFonts w:hint="eastAsia" w:ascii="仿宋" w:hAnsi="仿宋" w:eastAsia="仿宋"/>
          <w:color w:val="000000" w:themeColor="text1"/>
          <w:highlight w:val="none"/>
          <w14:textFill>
            <w14:solidFill>
              <w14:schemeClr w14:val="tx1"/>
            </w14:solidFill>
          </w14:textFill>
        </w:rPr>
      </w:pPr>
    </w:p>
    <w:p w14:paraId="62E60FBC">
      <w:pPr>
        <w:widowControl/>
        <w:jc w:val="left"/>
        <w:rPr>
          <w:rFonts w:hint="eastAsia" w:ascii="仿宋" w:hAnsi="仿宋" w:eastAsia="仿宋" w:cs="仿宋"/>
          <w:color w:val="000000" w:themeColor="text1"/>
          <w:sz w:val="30"/>
          <w:szCs w:val="30"/>
          <w:highlight w:val="none"/>
          <w14:textFill>
            <w14:solidFill>
              <w14:schemeClr w14:val="tx1"/>
            </w14:solidFill>
          </w14:textFill>
        </w:rPr>
      </w:pPr>
      <w:bookmarkStart w:id="118" w:name="_Toc523388197"/>
      <w:r>
        <w:rPr>
          <w:rFonts w:ascii="仿宋" w:hAnsi="仿宋" w:eastAsia="仿宋" w:cs="仿宋"/>
          <w:color w:val="000000" w:themeColor="text1"/>
          <w:sz w:val="30"/>
          <w:szCs w:val="30"/>
          <w:highlight w:val="none"/>
          <w14:textFill>
            <w14:solidFill>
              <w14:schemeClr w14:val="tx1"/>
            </w14:solidFill>
          </w14:textFill>
        </w:rPr>
        <w:br w:type="page"/>
      </w:r>
    </w:p>
    <w:p w14:paraId="2EF68EA4">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投标人近一年在“信用中国”或“信用中国（山东）”无严重失信记录</w:t>
      </w:r>
    </w:p>
    <w:p w14:paraId="43CB0045">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5DD636F9">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7E07DB79">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0E7BBC2D">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3BEED0B5">
      <w:pPr>
        <w:pStyle w:val="19"/>
        <w:rPr>
          <w:rFonts w:hint="eastAsia" w:ascii="仿宋" w:hAnsi="仿宋" w:eastAsia="仿宋"/>
          <w:highlight w:val="none"/>
        </w:rPr>
      </w:pPr>
    </w:p>
    <w:p w14:paraId="53C978BC">
      <w:pPr>
        <w:snapToGrid w:val="0"/>
        <w:spacing w:line="560" w:lineRule="exact"/>
        <w:ind w:firstLine="482" w:firstLineChars="20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注：附通过信用中国（查询网址：</w:t>
      </w:r>
      <w:r>
        <w:rPr>
          <w:highlight w:val="none"/>
        </w:rPr>
        <w:fldChar w:fldCharType="begin"/>
      </w:r>
      <w:r>
        <w:rPr>
          <w:highlight w:val="none"/>
        </w:rPr>
        <w:instrText xml:space="preserve"> HYPERLINK "https://www.creditchina.gov.cn" </w:instrText>
      </w:r>
      <w:r>
        <w:rPr>
          <w:highlight w:val="none"/>
        </w:rPr>
        <w:fldChar w:fldCharType="separate"/>
      </w:r>
      <w:r>
        <w:rPr>
          <w:rStyle w:val="59"/>
          <w:rFonts w:hint="eastAsia" w:ascii="仿宋" w:hAnsi="仿宋" w:eastAsia="仿宋" w:cs="仿宋"/>
          <w:color w:val="000000" w:themeColor="text1"/>
          <w:sz w:val="24"/>
          <w:highlight w:val="none"/>
          <w14:textFill>
            <w14:solidFill>
              <w14:schemeClr w14:val="tx1"/>
            </w14:solidFill>
          </w14:textFill>
        </w:rPr>
        <w:t>https://www.creditchina.gov.cn</w:t>
      </w:r>
      <w:r>
        <w:rPr>
          <w:rStyle w:val="59"/>
          <w:rFonts w:hint="eastAsia" w:ascii="仿宋" w:hAnsi="仿宋" w:eastAsia="仿宋" w:cs="仿宋"/>
          <w:color w:val="000000" w:themeColor="text1"/>
          <w:sz w:val="24"/>
          <w:highlight w:val="none"/>
          <w14:textFill>
            <w14:solidFill>
              <w14:schemeClr w14:val="tx1"/>
            </w14:solidFill>
          </w14:textFill>
        </w:rPr>
        <w:fldChar w:fldCharType="end"/>
      </w:r>
      <w:r>
        <w:rPr>
          <w:rFonts w:hint="eastAsia" w:ascii="仿宋" w:hAnsi="仿宋" w:eastAsia="仿宋" w:cs="仿宋"/>
          <w:color w:val="000000" w:themeColor="text1"/>
          <w:sz w:val="24"/>
          <w:highlight w:val="none"/>
          <w14:textFill>
            <w14:solidFill>
              <w14:schemeClr w14:val="tx1"/>
            </w14:solidFill>
          </w14:textFill>
        </w:rPr>
        <w:t>）查询的信用报告或信用中国（山东）（查询网址：https://credit.shandong.gov.cn）查询的信用报告。</w:t>
      </w:r>
    </w:p>
    <w:p w14:paraId="73299AFC">
      <w:pPr>
        <w:pStyle w:val="19"/>
        <w:rPr>
          <w:rFonts w:hint="eastAsia" w:ascii="仿宋" w:hAnsi="仿宋" w:eastAsia="仿宋"/>
          <w:highlight w:val="none"/>
        </w:rPr>
      </w:pPr>
    </w:p>
    <w:p w14:paraId="1E2BBBD2">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0ED12DF3">
      <w:pPr>
        <w:pStyle w:val="19"/>
        <w:rPr>
          <w:rFonts w:hint="eastAsia" w:ascii="仿宋" w:hAnsi="仿宋" w:eastAsia="仿宋"/>
          <w:color w:val="000000" w:themeColor="text1"/>
          <w:highlight w:val="none"/>
          <w14:textFill>
            <w14:solidFill>
              <w14:schemeClr w14:val="tx1"/>
            </w14:solidFill>
          </w14:textFill>
        </w:rPr>
      </w:pPr>
    </w:p>
    <w:p w14:paraId="09DC81C5">
      <w:pPr>
        <w:pStyle w:val="20"/>
        <w:ind w:left="5250"/>
        <w:rPr>
          <w:rFonts w:hint="eastAsia" w:ascii="仿宋" w:hAnsi="仿宋" w:eastAsia="仿宋"/>
          <w:color w:val="000000" w:themeColor="text1"/>
          <w:highlight w:val="none"/>
          <w14:textFill>
            <w14:solidFill>
              <w14:schemeClr w14:val="tx1"/>
            </w14:solidFill>
          </w14:textFill>
        </w:rPr>
      </w:pPr>
    </w:p>
    <w:p w14:paraId="6B6B28C6">
      <w:pPr>
        <w:rPr>
          <w:rFonts w:hint="eastAsia" w:ascii="仿宋" w:hAnsi="仿宋" w:eastAsia="仿宋"/>
          <w:color w:val="000000" w:themeColor="text1"/>
          <w:highlight w:val="none"/>
          <w14:textFill>
            <w14:solidFill>
              <w14:schemeClr w14:val="tx1"/>
            </w14:solidFill>
          </w14:textFill>
        </w:rPr>
      </w:pPr>
    </w:p>
    <w:p w14:paraId="09081557">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1627632E">
      <w:pPr>
        <w:pStyle w:val="51"/>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00149483">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30920CEE">
      <w:pPr>
        <w:pStyle w:val="20"/>
        <w:ind w:left="5250"/>
        <w:rPr>
          <w:rFonts w:hint="eastAsia" w:ascii="仿宋" w:hAnsi="仿宋" w:eastAsia="仿宋"/>
          <w:highlight w:val="none"/>
        </w:rPr>
      </w:pPr>
    </w:p>
    <w:p w14:paraId="6E06C7CC">
      <w:pPr>
        <w:snapToGrid w:val="0"/>
        <w:spacing w:line="560" w:lineRule="exact"/>
        <w:ind w:firstLine="602" w:firstLineChars="201"/>
        <w:jc w:val="center"/>
        <w:rPr>
          <w:rFonts w:hint="eastAsia" w:ascii="仿宋" w:hAnsi="仿宋" w:eastAsia="仿宋" w:cs="仿宋"/>
          <w:color w:val="000000" w:themeColor="text1"/>
          <w:sz w:val="30"/>
          <w:szCs w:val="30"/>
          <w:highlight w:val="none"/>
          <w14:textFill>
            <w14:solidFill>
              <w14:schemeClr w14:val="tx1"/>
            </w14:solidFill>
          </w14:textFill>
        </w:rPr>
      </w:pPr>
    </w:p>
    <w:p w14:paraId="152BD393">
      <w:pPr>
        <w:pStyle w:val="19"/>
        <w:rPr>
          <w:rFonts w:hint="eastAsia" w:ascii="仿宋" w:hAnsi="仿宋" w:eastAsia="仿宋"/>
          <w:color w:val="000000" w:themeColor="text1"/>
          <w:highlight w:val="none"/>
          <w14:textFill>
            <w14:solidFill>
              <w14:schemeClr w14:val="tx1"/>
            </w14:solidFill>
          </w14:textFill>
        </w:rPr>
      </w:pPr>
    </w:p>
    <w:p w14:paraId="4D60689F">
      <w:pPr>
        <w:pStyle w:val="20"/>
        <w:ind w:left="5250"/>
        <w:rPr>
          <w:rFonts w:hint="eastAsia" w:ascii="仿宋" w:hAnsi="仿宋" w:eastAsia="仿宋"/>
          <w:color w:val="000000" w:themeColor="text1"/>
          <w:highlight w:val="none"/>
          <w14:textFill>
            <w14:solidFill>
              <w14:schemeClr w14:val="tx1"/>
            </w14:solidFill>
          </w14:textFill>
        </w:rPr>
      </w:pPr>
    </w:p>
    <w:p w14:paraId="069A7AC6">
      <w:pPr>
        <w:widowControl/>
        <w:jc w:val="left"/>
        <w:rPr>
          <w:rFonts w:hint="eastAsia"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br w:type="page"/>
      </w:r>
    </w:p>
    <w:p w14:paraId="6F64BDB1">
      <w:pPr>
        <w:snapToGrid w:val="0"/>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投标人认为需要提供的资质资格证明文件</w:t>
      </w:r>
    </w:p>
    <w:p w14:paraId="06CE1F3F">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2C9175C0">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635F13A0">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5180C8E6">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54A80F59">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4E61A378">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12C92024">
      <w:pPr>
        <w:snapToGrid w:val="0"/>
        <w:spacing w:line="560" w:lineRule="exact"/>
        <w:ind w:firstLine="562" w:firstLineChars="201"/>
        <w:rPr>
          <w:rFonts w:hint="eastAsia" w:ascii="仿宋" w:hAnsi="仿宋" w:eastAsia="仿宋" w:cs="仿宋"/>
          <w:color w:val="000000" w:themeColor="text1"/>
          <w:sz w:val="28"/>
          <w:szCs w:val="28"/>
          <w:highlight w:val="none"/>
          <w14:textFill>
            <w14:solidFill>
              <w14:schemeClr w14:val="tx1"/>
            </w14:solidFill>
          </w14:textFill>
        </w:rPr>
      </w:pPr>
    </w:p>
    <w:p w14:paraId="48E2CDFC">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40050C45">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1CB49719">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5715605D">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p>
    <w:p w14:paraId="6A1EB828">
      <w:pPr>
        <w:snapToGrid w:val="0"/>
        <w:spacing w:line="560" w:lineRule="exact"/>
        <w:ind w:firstLine="562" w:firstLineChars="201"/>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投标人（盖章）：</w:t>
      </w:r>
    </w:p>
    <w:p w14:paraId="378BD7B5">
      <w:pPr>
        <w:widowControl/>
        <w:jc w:val="center"/>
        <w:rPr>
          <w:rFonts w:hint="eastAsia" w:ascii="仿宋" w:hAnsi="仿宋" w:eastAsia="仿宋" w:cs="仿宋"/>
          <w:color w:val="000000" w:themeColor="text1"/>
          <w:highlight w:val="none"/>
          <w14:textFill>
            <w14:solidFill>
              <w14:schemeClr w14:val="tx1"/>
            </w14:solidFill>
          </w14:textFill>
        </w:rPr>
      </w:pPr>
    </w:p>
    <w:p w14:paraId="0ADF1A4B">
      <w:pPr>
        <w:pStyle w:val="33"/>
        <w:rPr>
          <w:rFonts w:hint="eastAsia" w:ascii="仿宋" w:hAnsi="仿宋" w:eastAsia="仿宋" w:cs="仿宋"/>
          <w:color w:val="000000" w:themeColor="text1"/>
          <w:highlight w:val="none"/>
          <w14:textFill>
            <w14:solidFill>
              <w14:schemeClr w14:val="tx1"/>
            </w14:solidFill>
          </w14:textFill>
        </w:rPr>
      </w:pPr>
    </w:p>
    <w:p w14:paraId="2C005310">
      <w:pPr>
        <w:rPr>
          <w:rFonts w:hint="eastAsia" w:ascii="仿宋" w:hAnsi="仿宋" w:eastAsia="仿宋" w:cs="仿宋"/>
          <w:color w:val="000000" w:themeColor="text1"/>
          <w:highlight w:val="none"/>
          <w14:textFill>
            <w14:solidFill>
              <w14:schemeClr w14:val="tx1"/>
            </w14:solidFill>
          </w14:textFill>
        </w:rPr>
      </w:pPr>
    </w:p>
    <w:p w14:paraId="237F5FE9">
      <w:pPr>
        <w:widowControl/>
        <w:jc w:val="center"/>
        <w:rPr>
          <w:rFonts w:hint="eastAsia" w:ascii="仿宋" w:hAnsi="仿宋" w:eastAsia="仿宋" w:cs="仿宋"/>
          <w:color w:val="000000" w:themeColor="text1"/>
          <w:highlight w:val="none"/>
          <w14:textFill>
            <w14:solidFill>
              <w14:schemeClr w14:val="tx1"/>
            </w14:solidFill>
          </w14:textFill>
        </w:rPr>
      </w:pPr>
    </w:p>
    <w:p w14:paraId="688F31FA">
      <w:pPr>
        <w:widowControl/>
        <w:jc w:val="center"/>
        <w:rPr>
          <w:rFonts w:hint="eastAsia" w:ascii="仿宋" w:hAnsi="仿宋" w:eastAsia="仿宋" w:cs="仿宋"/>
          <w:color w:val="000000" w:themeColor="text1"/>
          <w:highlight w:val="none"/>
          <w14:textFill>
            <w14:solidFill>
              <w14:schemeClr w14:val="tx1"/>
            </w14:solidFill>
          </w14:textFill>
        </w:rPr>
      </w:pPr>
    </w:p>
    <w:p w14:paraId="587D36D6">
      <w:pPr>
        <w:widowControl/>
        <w:jc w:val="center"/>
        <w:rPr>
          <w:rFonts w:hint="eastAsia" w:ascii="仿宋" w:hAnsi="仿宋" w:eastAsia="仿宋" w:cs="仿宋"/>
          <w:color w:val="000000" w:themeColor="text1"/>
          <w:highlight w:val="none"/>
          <w14:textFill>
            <w14:solidFill>
              <w14:schemeClr w14:val="tx1"/>
            </w14:solidFill>
          </w14:textFill>
        </w:rPr>
      </w:pPr>
    </w:p>
    <w:p w14:paraId="56AD829D">
      <w:pPr>
        <w:widowControl/>
        <w:jc w:val="center"/>
        <w:rPr>
          <w:rFonts w:hint="eastAsia" w:ascii="仿宋" w:hAnsi="仿宋" w:eastAsia="仿宋" w:cs="仿宋"/>
          <w:color w:val="000000" w:themeColor="text1"/>
          <w:highlight w:val="none"/>
          <w14:textFill>
            <w14:solidFill>
              <w14:schemeClr w14:val="tx1"/>
            </w14:solidFill>
          </w14:textFill>
        </w:rPr>
      </w:pPr>
    </w:p>
    <w:p w14:paraId="597896D4">
      <w:pPr>
        <w:widowControl/>
        <w:jc w:val="center"/>
        <w:rPr>
          <w:rFonts w:hint="eastAsia" w:ascii="仿宋" w:hAnsi="仿宋" w:eastAsia="仿宋" w:cs="仿宋"/>
          <w:color w:val="000000" w:themeColor="text1"/>
          <w:highlight w:val="none"/>
          <w14:textFill>
            <w14:solidFill>
              <w14:schemeClr w14:val="tx1"/>
            </w14:solidFill>
          </w14:textFill>
        </w:rPr>
      </w:pPr>
    </w:p>
    <w:p w14:paraId="023F1C09">
      <w:pPr>
        <w:widowControl/>
        <w:jc w:val="center"/>
        <w:rPr>
          <w:rFonts w:hint="eastAsia" w:ascii="仿宋" w:hAnsi="仿宋" w:eastAsia="仿宋" w:cs="仿宋"/>
          <w:color w:val="000000" w:themeColor="text1"/>
          <w:highlight w:val="none"/>
          <w14:textFill>
            <w14:solidFill>
              <w14:schemeClr w14:val="tx1"/>
            </w14:solidFill>
          </w14:textFill>
        </w:rPr>
      </w:pPr>
    </w:p>
    <w:p w14:paraId="4A2330A7">
      <w:pPr>
        <w:widowControl/>
        <w:jc w:val="center"/>
        <w:rPr>
          <w:rFonts w:hint="eastAsia" w:ascii="仿宋" w:hAnsi="仿宋" w:eastAsia="仿宋" w:cs="仿宋"/>
          <w:color w:val="000000" w:themeColor="text1"/>
          <w:highlight w:val="none"/>
          <w14:textFill>
            <w14:solidFill>
              <w14:schemeClr w14:val="tx1"/>
            </w14:solidFill>
          </w14:textFill>
        </w:rPr>
      </w:pPr>
    </w:p>
    <w:p w14:paraId="430E5707">
      <w:pPr>
        <w:widowControl/>
        <w:jc w:val="center"/>
        <w:rPr>
          <w:rFonts w:hint="eastAsia" w:ascii="仿宋" w:hAnsi="仿宋" w:eastAsia="仿宋" w:cs="仿宋"/>
          <w:color w:val="000000" w:themeColor="text1"/>
          <w:highlight w:val="none"/>
          <w14:textFill>
            <w14:solidFill>
              <w14:schemeClr w14:val="tx1"/>
            </w14:solidFill>
          </w14:textFill>
        </w:rPr>
      </w:pPr>
    </w:p>
    <w:p w14:paraId="182D88A7">
      <w:pPr>
        <w:widowControl/>
        <w:jc w:val="center"/>
        <w:rPr>
          <w:rFonts w:hint="eastAsia" w:ascii="仿宋" w:hAnsi="仿宋" w:eastAsia="仿宋" w:cs="仿宋"/>
          <w:color w:val="000000" w:themeColor="text1"/>
          <w:highlight w:val="none"/>
          <w14:textFill>
            <w14:solidFill>
              <w14:schemeClr w14:val="tx1"/>
            </w14:solidFill>
          </w14:textFill>
        </w:rPr>
      </w:pPr>
    </w:p>
    <w:p w14:paraId="25E031BB">
      <w:pPr>
        <w:widowControl/>
        <w:jc w:val="center"/>
        <w:rPr>
          <w:rFonts w:hint="eastAsia" w:ascii="仿宋" w:hAnsi="仿宋" w:eastAsia="仿宋" w:cs="仿宋"/>
          <w:color w:val="000000" w:themeColor="text1"/>
          <w:highlight w:val="none"/>
          <w14:textFill>
            <w14:solidFill>
              <w14:schemeClr w14:val="tx1"/>
            </w14:solidFill>
          </w14:textFill>
        </w:rPr>
      </w:pPr>
    </w:p>
    <w:p w14:paraId="24E09C37">
      <w:pPr>
        <w:widowControl/>
        <w:jc w:val="center"/>
        <w:rPr>
          <w:rFonts w:hint="eastAsia" w:ascii="仿宋" w:hAnsi="仿宋" w:eastAsia="仿宋" w:cs="仿宋"/>
          <w:color w:val="000000" w:themeColor="text1"/>
          <w:highlight w:val="none"/>
          <w14:textFill>
            <w14:solidFill>
              <w14:schemeClr w14:val="tx1"/>
            </w14:solidFill>
          </w14:textFill>
        </w:rPr>
      </w:pPr>
    </w:p>
    <w:p w14:paraId="57D5B62E">
      <w:pPr>
        <w:widowControl/>
        <w:jc w:val="center"/>
        <w:rPr>
          <w:rFonts w:hint="eastAsia" w:ascii="仿宋" w:hAnsi="仿宋" w:eastAsia="仿宋" w:cs="仿宋"/>
          <w:color w:val="000000" w:themeColor="text1"/>
          <w:highlight w:val="none"/>
          <w14:textFill>
            <w14:solidFill>
              <w14:schemeClr w14:val="tx1"/>
            </w14:solidFill>
          </w14:textFill>
        </w:rPr>
      </w:pPr>
    </w:p>
    <w:p w14:paraId="3CBAF880">
      <w:pPr>
        <w:widowControl/>
        <w:jc w:val="center"/>
        <w:rPr>
          <w:rFonts w:hint="eastAsia" w:ascii="仿宋" w:hAnsi="仿宋" w:eastAsia="仿宋" w:cs="仿宋"/>
          <w:color w:val="000000" w:themeColor="text1"/>
          <w:highlight w:val="none"/>
          <w14:textFill>
            <w14:solidFill>
              <w14:schemeClr w14:val="tx1"/>
            </w14:solidFill>
          </w14:textFill>
        </w:rPr>
      </w:pPr>
    </w:p>
    <w:p w14:paraId="6BDC0EA7">
      <w:pPr>
        <w:widowControl/>
        <w:jc w:val="center"/>
        <w:rPr>
          <w:rFonts w:hint="eastAsia" w:ascii="仿宋" w:hAnsi="仿宋" w:eastAsia="仿宋" w:cs="仿宋"/>
          <w:color w:val="000000" w:themeColor="text1"/>
          <w:highlight w:val="none"/>
          <w14:textFill>
            <w14:solidFill>
              <w14:schemeClr w14:val="tx1"/>
            </w14:solidFill>
          </w14:textFill>
        </w:rPr>
      </w:pPr>
    </w:p>
    <w:p w14:paraId="742B19CC">
      <w:pPr>
        <w:widowControl/>
        <w:jc w:val="center"/>
        <w:rPr>
          <w:rFonts w:hint="eastAsia" w:ascii="仿宋" w:hAnsi="仿宋" w:eastAsia="仿宋" w:cs="仿宋"/>
          <w:color w:val="000000" w:themeColor="text1"/>
          <w:highlight w:val="none"/>
          <w14:textFill>
            <w14:solidFill>
              <w14:schemeClr w14:val="tx1"/>
            </w14:solidFill>
          </w14:textFill>
        </w:rPr>
      </w:pPr>
    </w:p>
    <w:p w14:paraId="34898E23">
      <w:pPr>
        <w:widowControl/>
        <w:jc w:val="center"/>
        <w:rPr>
          <w:rFonts w:hint="eastAsia" w:ascii="仿宋" w:hAnsi="仿宋" w:eastAsia="仿宋" w:cs="仿宋"/>
          <w:color w:val="000000" w:themeColor="text1"/>
          <w:highlight w:val="none"/>
          <w14:textFill>
            <w14:solidFill>
              <w14:schemeClr w14:val="tx1"/>
            </w14:solidFill>
          </w14:textFill>
        </w:rPr>
      </w:pPr>
    </w:p>
    <w:p w14:paraId="1C1EA544">
      <w:pPr>
        <w:pStyle w:val="26"/>
        <w:jc w:val="center"/>
        <w:rPr>
          <w:rFonts w:hint="eastAsia" w:ascii="仿宋" w:hAnsi="仿宋" w:eastAsia="仿宋" w:cs="仿宋"/>
          <w:bCs/>
          <w:color w:val="000000" w:themeColor="text1"/>
          <w:kern w:val="2"/>
          <w:sz w:val="44"/>
          <w:szCs w:val="32"/>
          <w:highlight w:val="none"/>
          <w14:textFill>
            <w14:solidFill>
              <w14:schemeClr w14:val="tx1"/>
            </w14:solidFill>
          </w14:textFill>
        </w:rPr>
      </w:pPr>
      <w:r>
        <w:rPr>
          <w:rFonts w:hint="eastAsia" w:ascii="仿宋" w:hAnsi="仿宋" w:eastAsia="仿宋" w:cs="仿宋"/>
          <w:bCs/>
          <w:color w:val="000000" w:themeColor="text1"/>
          <w:kern w:val="2"/>
          <w:sz w:val="44"/>
          <w:szCs w:val="32"/>
          <w:highlight w:val="none"/>
          <w14:textFill>
            <w14:solidFill>
              <w14:schemeClr w14:val="tx1"/>
            </w14:solidFill>
          </w14:textFill>
        </w:rPr>
        <w:t>投标人基本情况表</w:t>
      </w:r>
      <w:bookmarkEnd w:id="118"/>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687"/>
        <w:gridCol w:w="1029"/>
        <w:gridCol w:w="674"/>
        <w:gridCol w:w="1252"/>
        <w:gridCol w:w="23"/>
        <w:gridCol w:w="2100"/>
        <w:gridCol w:w="2180"/>
      </w:tblGrid>
      <w:tr w14:paraId="0EEF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65" w:type="dxa"/>
            <w:gridSpan w:val="2"/>
            <w:vAlign w:val="center"/>
          </w:tcPr>
          <w:p w14:paraId="5EB6DF4B">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单位名称</w:t>
            </w:r>
          </w:p>
        </w:tc>
        <w:tc>
          <w:tcPr>
            <w:tcW w:w="2955" w:type="dxa"/>
            <w:gridSpan w:val="3"/>
            <w:vAlign w:val="center"/>
          </w:tcPr>
          <w:p w14:paraId="28A125ED">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123" w:type="dxa"/>
            <w:gridSpan w:val="2"/>
            <w:vAlign w:val="center"/>
          </w:tcPr>
          <w:p w14:paraId="4938BB3B">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p>
        </w:tc>
        <w:tc>
          <w:tcPr>
            <w:tcW w:w="2180" w:type="dxa"/>
            <w:vAlign w:val="center"/>
          </w:tcPr>
          <w:p w14:paraId="2073A0E0">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2E5A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65" w:type="dxa"/>
            <w:gridSpan w:val="2"/>
            <w:vAlign w:val="center"/>
          </w:tcPr>
          <w:p w14:paraId="125E60F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办公电话/传真</w:t>
            </w:r>
          </w:p>
        </w:tc>
        <w:tc>
          <w:tcPr>
            <w:tcW w:w="2955" w:type="dxa"/>
            <w:gridSpan w:val="3"/>
            <w:vAlign w:val="center"/>
          </w:tcPr>
          <w:p w14:paraId="49BA8E9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123" w:type="dxa"/>
            <w:gridSpan w:val="2"/>
            <w:vAlign w:val="center"/>
          </w:tcPr>
          <w:p w14:paraId="14FD0CCD">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联系人</w:t>
            </w:r>
          </w:p>
        </w:tc>
        <w:tc>
          <w:tcPr>
            <w:tcW w:w="2180" w:type="dxa"/>
            <w:vAlign w:val="center"/>
          </w:tcPr>
          <w:p w14:paraId="4AE0D50F">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46AA5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65" w:type="dxa"/>
            <w:gridSpan w:val="2"/>
            <w:vAlign w:val="center"/>
          </w:tcPr>
          <w:p w14:paraId="635F548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总经理</w:t>
            </w:r>
          </w:p>
        </w:tc>
        <w:tc>
          <w:tcPr>
            <w:tcW w:w="1703" w:type="dxa"/>
            <w:gridSpan w:val="2"/>
            <w:vAlign w:val="center"/>
          </w:tcPr>
          <w:p w14:paraId="5B3ACED4">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3375" w:type="dxa"/>
            <w:gridSpan w:val="3"/>
            <w:vAlign w:val="center"/>
          </w:tcPr>
          <w:p w14:paraId="7A1D8AA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固定办公面积（平米）</w:t>
            </w:r>
          </w:p>
        </w:tc>
        <w:tc>
          <w:tcPr>
            <w:tcW w:w="2180" w:type="dxa"/>
            <w:vAlign w:val="center"/>
          </w:tcPr>
          <w:p w14:paraId="5A5D419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30A3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restart"/>
            <w:vAlign w:val="center"/>
          </w:tcPr>
          <w:p w14:paraId="104EA6C2">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注册情况</w:t>
            </w:r>
          </w:p>
        </w:tc>
        <w:tc>
          <w:tcPr>
            <w:tcW w:w="2716" w:type="dxa"/>
            <w:gridSpan w:val="2"/>
            <w:vAlign w:val="center"/>
          </w:tcPr>
          <w:p w14:paraId="34600CC3">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工商注册号</w:t>
            </w:r>
          </w:p>
        </w:tc>
        <w:tc>
          <w:tcPr>
            <w:tcW w:w="6229" w:type="dxa"/>
            <w:gridSpan w:val="5"/>
            <w:vAlign w:val="center"/>
          </w:tcPr>
          <w:p w14:paraId="63D655BA">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F67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textDirection w:val="tbRlV"/>
            <w:vAlign w:val="center"/>
          </w:tcPr>
          <w:p w14:paraId="11222BE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716" w:type="dxa"/>
            <w:gridSpan w:val="2"/>
            <w:vAlign w:val="center"/>
          </w:tcPr>
          <w:p w14:paraId="66FB017A">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注册资本（万元）</w:t>
            </w:r>
          </w:p>
        </w:tc>
        <w:tc>
          <w:tcPr>
            <w:tcW w:w="6229" w:type="dxa"/>
            <w:gridSpan w:val="5"/>
            <w:vAlign w:val="center"/>
          </w:tcPr>
          <w:p w14:paraId="467486E0">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6D8A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textDirection w:val="tbRlV"/>
            <w:vAlign w:val="center"/>
          </w:tcPr>
          <w:p w14:paraId="341943CE">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716" w:type="dxa"/>
            <w:gridSpan w:val="2"/>
            <w:vAlign w:val="center"/>
          </w:tcPr>
          <w:p w14:paraId="484B0449">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w:t>
            </w:r>
          </w:p>
        </w:tc>
        <w:tc>
          <w:tcPr>
            <w:tcW w:w="1949" w:type="dxa"/>
            <w:gridSpan w:val="3"/>
            <w:vAlign w:val="center"/>
          </w:tcPr>
          <w:p w14:paraId="00F0452E">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100" w:type="dxa"/>
            <w:vAlign w:val="center"/>
          </w:tcPr>
          <w:p w14:paraId="1C9AB554">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单位类型</w:t>
            </w:r>
          </w:p>
        </w:tc>
        <w:tc>
          <w:tcPr>
            <w:tcW w:w="2180" w:type="dxa"/>
            <w:vAlign w:val="center"/>
          </w:tcPr>
          <w:p w14:paraId="762B132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36B4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textDirection w:val="tbRlV"/>
            <w:vAlign w:val="center"/>
          </w:tcPr>
          <w:p w14:paraId="03F406A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716" w:type="dxa"/>
            <w:gridSpan w:val="2"/>
            <w:vAlign w:val="center"/>
          </w:tcPr>
          <w:p w14:paraId="43AFD6C3">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成立时间</w:t>
            </w:r>
          </w:p>
        </w:tc>
        <w:tc>
          <w:tcPr>
            <w:tcW w:w="1949" w:type="dxa"/>
            <w:gridSpan w:val="3"/>
            <w:vAlign w:val="center"/>
          </w:tcPr>
          <w:p w14:paraId="4BCEC31E">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100" w:type="dxa"/>
            <w:vAlign w:val="center"/>
          </w:tcPr>
          <w:p w14:paraId="56202C4A">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营业期限</w:t>
            </w:r>
          </w:p>
        </w:tc>
        <w:tc>
          <w:tcPr>
            <w:tcW w:w="2180" w:type="dxa"/>
            <w:vAlign w:val="center"/>
          </w:tcPr>
          <w:p w14:paraId="2B4FFD4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0737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8" w:type="dxa"/>
            <w:vMerge w:val="continue"/>
            <w:textDirection w:val="tbRlV"/>
            <w:vAlign w:val="center"/>
          </w:tcPr>
          <w:p w14:paraId="472A68F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c>
          <w:tcPr>
            <w:tcW w:w="2716" w:type="dxa"/>
            <w:gridSpan w:val="2"/>
            <w:vAlign w:val="center"/>
          </w:tcPr>
          <w:p w14:paraId="4109A006">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经营范围</w:t>
            </w:r>
          </w:p>
        </w:tc>
        <w:tc>
          <w:tcPr>
            <w:tcW w:w="6229" w:type="dxa"/>
            <w:gridSpan w:val="5"/>
            <w:vAlign w:val="center"/>
          </w:tcPr>
          <w:p w14:paraId="294CED48">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25282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3294" w:type="dxa"/>
            <w:gridSpan w:val="3"/>
            <w:vAlign w:val="center"/>
          </w:tcPr>
          <w:p w14:paraId="7FFE5872">
            <w:pPr>
              <w:spacing w:line="36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投标人关联企业情况（包括但不限于与投标人法定代表人为同一人或者存在控股、管理关系的不同单位）</w:t>
            </w:r>
          </w:p>
        </w:tc>
        <w:tc>
          <w:tcPr>
            <w:tcW w:w="6229" w:type="dxa"/>
            <w:gridSpan w:val="5"/>
            <w:vAlign w:val="center"/>
          </w:tcPr>
          <w:p w14:paraId="5B93F796">
            <w:pPr>
              <w:spacing w:line="360" w:lineRule="auto"/>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1.与我单位法定代表人（负责人）为同一人的其他单位为：</w:t>
            </w:r>
          </w:p>
          <w:p w14:paraId="568E1E2A">
            <w:pPr>
              <w:spacing w:line="44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2.与我单位存在直接控股、管理关系的其他单位为：</w:t>
            </w:r>
          </w:p>
        </w:tc>
      </w:tr>
      <w:tr w14:paraId="2F02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jc w:val="center"/>
        </w:trPr>
        <w:tc>
          <w:tcPr>
            <w:tcW w:w="9523" w:type="dxa"/>
            <w:gridSpan w:val="8"/>
            <w:vAlign w:val="center"/>
          </w:tcPr>
          <w:p w14:paraId="10913DF7">
            <w:pPr>
              <w:spacing w:line="4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投标人情况简介</w:t>
            </w:r>
          </w:p>
        </w:tc>
      </w:tr>
      <w:tr w14:paraId="5200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2" w:hRule="atLeast"/>
          <w:jc w:val="center"/>
        </w:trPr>
        <w:tc>
          <w:tcPr>
            <w:tcW w:w="9523" w:type="dxa"/>
            <w:gridSpan w:val="8"/>
          </w:tcPr>
          <w:p w14:paraId="20009928">
            <w:pPr>
              <w:spacing w:line="440" w:lineRule="exact"/>
              <w:rPr>
                <w:rFonts w:hint="eastAsia" w:ascii="仿宋" w:hAnsi="仿宋" w:eastAsia="仿宋" w:cs="仿宋"/>
                <w:color w:val="000000" w:themeColor="text1"/>
                <w:sz w:val="28"/>
                <w:szCs w:val="28"/>
                <w:highlight w:val="none"/>
                <w14:textFill>
                  <w14:solidFill>
                    <w14:schemeClr w14:val="tx1"/>
                  </w14:solidFill>
                </w14:textFill>
              </w:rPr>
            </w:pPr>
          </w:p>
        </w:tc>
      </w:tr>
    </w:tbl>
    <w:p w14:paraId="715D3620">
      <w:pPr>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1FF26928">
      <w:pPr>
        <w:spacing w:line="520" w:lineRule="exact"/>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法定代表人或委托代理人（签字或盖章）：</w:t>
      </w:r>
    </w:p>
    <w:p w14:paraId="31B8DD01">
      <w:pPr>
        <w:wordWrap w:val="0"/>
        <w:snapToGrid w:val="0"/>
        <w:spacing w:line="360" w:lineRule="auto"/>
        <w:jc w:val="left"/>
        <w:rPr>
          <w:rFonts w:hint="eastAsia"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br w:type="page"/>
      </w:r>
    </w:p>
    <w:p w14:paraId="473003B2">
      <w:pPr>
        <w:pStyle w:val="26"/>
        <w:spacing w:line="480" w:lineRule="exact"/>
        <w:ind w:firstLine="640"/>
        <w:jc w:val="center"/>
        <w:rPr>
          <w:rFonts w:hint="eastAsia" w:ascii="仿宋" w:hAnsi="仿宋" w:eastAsia="仿宋" w:cs="Times New Roman"/>
          <w:color w:val="000000"/>
          <w:sz w:val="36"/>
          <w:szCs w:val="36"/>
          <w:highlight w:val="none"/>
        </w:rPr>
      </w:pPr>
      <w:bookmarkStart w:id="119" w:name="_Toc523388144"/>
      <w:r>
        <w:rPr>
          <w:rFonts w:hint="eastAsia" w:ascii="仿宋" w:hAnsi="仿宋" w:eastAsia="仿宋" w:cs="Times New Roman"/>
          <w:color w:val="000000"/>
          <w:sz w:val="36"/>
          <w:szCs w:val="36"/>
          <w:highlight w:val="none"/>
        </w:rPr>
        <w:t>类似业绩汇总表</w:t>
      </w:r>
    </w:p>
    <w:p w14:paraId="180A9D22">
      <w:pPr>
        <w:spacing w:line="440" w:lineRule="exact"/>
        <w:ind w:right="720"/>
        <w:jc w:val="right"/>
        <w:rPr>
          <w:rFonts w:hint="eastAsia" w:ascii="仿宋" w:hAnsi="仿宋" w:eastAsia="仿宋" w:cs="Times New Roman"/>
          <w:color w:val="000000"/>
          <w:sz w:val="24"/>
          <w:highlight w:val="none"/>
        </w:rPr>
      </w:pPr>
    </w:p>
    <w:tbl>
      <w:tblPr>
        <w:tblStyle w:val="52"/>
        <w:tblpPr w:leftFromText="180" w:rightFromText="180" w:vertAnchor="text" w:horzAnchor="margin" w:tblpXSpec="center" w:tblpY="3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5"/>
        <w:gridCol w:w="3239"/>
        <w:gridCol w:w="2243"/>
        <w:gridCol w:w="2491"/>
      </w:tblGrid>
      <w:tr w14:paraId="4BB8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vAlign w:val="center"/>
          </w:tcPr>
          <w:p w14:paraId="6A3AD02E">
            <w:pPr>
              <w:spacing w:line="440" w:lineRule="exact"/>
              <w:jc w:val="center"/>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序号</w:t>
            </w:r>
          </w:p>
        </w:tc>
        <w:tc>
          <w:tcPr>
            <w:tcW w:w="3239" w:type="dxa"/>
            <w:vAlign w:val="center"/>
          </w:tcPr>
          <w:p w14:paraId="6D5162B4">
            <w:pPr>
              <w:spacing w:line="440" w:lineRule="exact"/>
              <w:jc w:val="center"/>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项目名称</w:t>
            </w:r>
          </w:p>
        </w:tc>
        <w:tc>
          <w:tcPr>
            <w:tcW w:w="2243" w:type="dxa"/>
            <w:vAlign w:val="center"/>
          </w:tcPr>
          <w:p w14:paraId="6644861B">
            <w:pPr>
              <w:spacing w:line="440" w:lineRule="exact"/>
              <w:jc w:val="center"/>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合同签订日期</w:t>
            </w:r>
          </w:p>
        </w:tc>
        <w:tc>
          <w:tcPr>
            <w:tcW w:w="2491" w:type="dxa"/>
            <w:vAlign w:val="center"/>
          </w:tcPr>
          <w:p w14:paraId="4F8C12C5">
            <w:pPr>
              <w:spacing w:line="440" w:lineRule="exact"/>
              <w:jc w:val="center"/>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备注</w:t>
            </w:r>
          </w:p>
        </w:tc>
      </w:tr>
      <w:tr w14:paraId="0EC2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0EED9752">
            <w:pPr>
              <w:spacing w:line="460" w:lineRule="exact"/>
              <w:rPr>
                <w:rFonts w:hint="eastAsia" w:ascii="仿宋" w:hAnsi="仿宋" w:eastAsia="仿宋" w:cs="宋体"/>
                <w:color w:val="000000"/>
                <w:szCs w:val="21"/>
                <w:highlight w:val="none"/>
              </w:rPr>
            </w:pPr>
          </w:p>
        </w:tc>
        <w:tc>
          <w:tcPr>
            <w:tcW w:w="3239" w:type="dxa"/>
          </w:tcPr>
          <w:p w14:paraId="4BD2D8B7">
            <w:pPr>
              <w:spacing w:line="460" w:lineRule="exact"/>
              <w:rPr>
                <w:rFonts w:hint="eastAsia" w:ascii="仿宋" w:hAnsi="仿宋" w:eastAsia="仿宋" w:cs="宋体"/>
                <w:color w:val="000000"/>
                <w:szCs w:val="21"/>
                <w:highlight w:val="none"/>
              </w:rPr>
            </w:pPr>
          </w:p>
        </w:tc>
        <w:tc>
          <w:tcPr>
            <w:tcW w:w="2243" w:type="dxa"/>
          </w:tcPr>
          <w:p w14:paraId="72D0B999">
            <w:pPr>
              <w:spacing w:line="460" w:lineRule="exact"/>
              <w:rPr>
                <w:rFonts w:hint="eastAsia" w:ascii="仿宋" w:hAnsi="仿宋" w:eastAsia="仿宋" w:cs="宋体"/>
                <w:color w:val="000000"/>
                <w:szCs w:val="21"/>
                <w:highlight w:val="none"/>
              </w:rPr>
            </w:pPr>
          </w:p>
        </w:tc>
        <w:tc>
          <w:tcPr>
            <w:tcW w:w="2491" w:type="dxa"/>
          </w:tcPr>
          <w:p w14:paraId="0E167639">
            <w:pPr>
              <w:spacing w:line="460" w:lineRule="exact"/>
              <w:rPr>
                <w:rFonts w:hint="eastAsia" w:ascii="仿宋" w:hAnsi="仿宋" w:eastAsia="仿宋" w:cs="宋体"/>
                <w:color w:val="000000"/>
                <w:szCs w:val="21"/>
                <w:highlight w:val="none"/>
              </w:rPr>
            </w:pPr>
          </w:p>
        </w:tc>
      </w:tr>
      <w:tr w14:paraId="5410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49441749">
            <w:pPr>
              <w:spacing w:line="460" w:lineRule="exact"/>
              <w:rPr>
                <w:rFonts w:hint="eastAsia" w:ascii="仿宋" w:hAnsi="仿宋" w:eastAsia="仿宋" w:cs="宋体"/>
                <w:color w:val="000000"/>
                <w:szCs w:val="21"/>
                <w:highlight w:val="none"/>
              </w:rPr>
            </w:pPr>
          </w:p>
        </w:tc>
        <w:tc>
          <w:tcPr>
            <w:tcW w:w="3239" w:type="dxa"/>
          </w:tcPr>
          <w:p w14:paraId="543E3804">
            <w:pPr>
              <w:spacing w:line="460" w:lineRule="exact"/>
              <w:rPr>
                <w:rFonts w:hint="eastAsia" w:ascii="仿宋" w:hAnsi="仿宋" w:eastAsia="仿宋" w:cs="宋体"/>
                <w:color w:val="000000"/>
                <w:szCs w:val="21"/>
                <w:highlight w:val="none"/>
              </w:rPr>
            </w:pPr>
          </w:p>
        </w:tc>
        <w:tc>
          <w:tcPr>
            <w:tcW w:w="2243" w:type="dxa"/>
          </w:tcPr>
          <w:p w14:paraId="71F7CBE4">
            <w:pPr>
              <w:spacing w:line="460" w:lineRule="exact"/>
              <w:rPr>
                <w:rFonts w:hint="eastAsia" w:ascii="仿宋" w:hAnsi="仿宋" w:eastAsia="仿宋" w:cs="宋体"/>
                <w:color w:val="000000"/>
                <w:szCs w:val="21"/>
                <w:highlight w:val="none"/>
              </w:rPr>
            </w:pPr>
          </w:p>
        </w:tc>
        <w:tc>
          <w:tcPr>
            <w:tcW w:w="2491" w:type="dxa"/>
          </w:tcPr>
          <w:p w14:paraId="58A1D909">
            <w:pPr>
              <w:spacing w:line="460" w:lineRule="exact"/>
              <w:rPr>
                <w:rFonts w:hint="eastAsia" w:ascii="仿宋" w:hAnsi="仿宋" w:eastAsia="仿宋" w:cs="宋体"/>
                <w:color w:val="000000"/>
                <w:szCs w:val="21"/>
                <w:highlight w:val="none"/>
              </w:rPr>
            </w:pPr>
          </w:p>
        </w:tc>
      </w:tr>
      <w:tr w14:paraId="1147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06E002AA">
            <w:pPr>
              <w:spacing w:line="460" w:lineRule="exact"/>
              <w:rPr>
                <w:rFonts w:hint="eastAsia" w:ascii="仿宋" w:hAnsi="仿宋" w:eastAsia="仿宋" w:cs="宋体"/>
                <w:color w:val="000000"/>
                <w:szCs w:val="21"/>
                <w:highlight w:val="none"/>
              </w:rPr>
            </w:pPr>
          </w:p>
        </w:tc>
        <w:tc>
          <w:tcPr>
            <w:tcW w:w="3239" w:type="dxa"/>
          </w:tcPr>
          <w:p w14:paraId="5AD2F518">
            <w:pPr>
              <w:spacing w:line="460" w:lineRule="exact"/>
              <w:rPr>
                <w:rFonts w:hint="eastAsia" w:ascii="仿宋" w:hAnsi="仿宋" w:eastAsia="仿宋" w:cs="宋体"/>
                <w:color w:val="000000"/>
                <w:szCs w:val="21"/>
                <w:highlight w:val="none"/>
              </w:rPr>
            </w:pPr>
          </w:p>
        </w:tc>
        <w:tc>
          <w:tcPr>
            <w:tcW w:w="2243" w:type="dxa"/>
          </w:tcPr>
          <w:p w14:paraId="6A11828B">
            <w:pPr>
              <w:spacing w:line="460" w:lineRule="exact"/>
              <w:rPr>
                <w:rFonts w:hint="eastAsia" w:ascii="仿宋" w:hAnsi="仿宋" w:eastAsia="仿宋" w:cs="宋体"/>
                <w:color w:val="000000"/>
                <w:szCs w:val="21"/>
                <w:highlight w:val="none"/>
              </w:rPr>
            </w:pPr>
          </w:p>
        </w:tc>
        <w:tc>
          <w:tcPr>
            <w:tcW w:w="2491" w:type="dxa"/>
          </w:tcPr>
          <w:p w14:paraId="298C9549">
            <w:pPr>
              <w:spacing w:line="460" w:lineRule="exact"/>
              <w:rPr>
                <w:rFonts w:hint="eastAsia" w:ascii="仿宋" w:hAnsi="仿宋" w:eastAsia="仿宋" w:cs="宋体"/>
                <w:color w:val="000000"/>
                <w:szCs w:val="21"/>
                <w:highlight w:val="none"/>
              </w:rPr>
            </w:pPr>
          </w:p>
        </w:tc>
      </w:tr>
      <w:tr w14:paraId="525D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0D1A713F">
            <w:pPr>
              <w:spacing w:line="460" w:lineRule="exact"/>
              <w:rPr>
                <w:rFonts w:hint="eastAsia" w:ascii="仿宋" w:hAnsi="仿宋" w:eastAsia="仿宋" w:cs="宋体"/>
                <w:color w:val="000000"/>
                <w:szCs w:val="21"/>
                <w:highlight w:val="none"/>
              </w:rPr>
            </w:pPr>
          </w:p>
        </w:tc>
        <w:tc>
          <w:tcPr>
            <w:tcW w:w="3239" w:type="dxa"/>
          </w:tcPr>
          <w:p w14:paraId="4A7739AE">
            <w:pPr>
              <w:spacing w:line="460" w:lineRule="exact"/>
              <w:rPr>
                <w:rFonts w:hint="eastAsia" w:ascii="仿宋" w:hAnsi="仿宋" w:eastAsia="仿宋" w:cs="宋体"/>
                <w:color w:val="000000"/>
                <w:szCs w:val="21"/>
                <w:highlight w:val="none"/>
              </w:rPr>
            </w:pPr>
          </w:p>
        </w:tc>
        <w:tc>
          <w:tcPr>
            <w:tcW w:w="2243" w:type="dxa"/>
          </w:tcPr>
          <w:p w14:paraId="5AECA01A">
            <w:pPr>
              <w:spacing w:line="460" w:lineRule="exact"/>
              <w:rPr>
                <w:rFonts w:hint="eastAsia" w:ascii="仿宋" w:hAnsi="仿宋" w:eastAsia="仿宋" w:cs="宋体"/>
                <w:color w:val="000000"/>
                <w:szCs w:val="21"/>
                <w:highlight w:val="none"/>
              </w:rPr>
            </w:pPr>
          </w:p>
        </w:tc>
        <w:tc>
          <w:tcPr>
            <w:tcW w:w="2491" w:type="dxa"/>
          </w:tcPr>
          <w:p w14:paraId="62CFA0EC">
            <w:pPr>
              <w:spacing w:line="460" w:lineRule="exact"/>
              <w:rPr>
                <w:rFonts w:hint="eastAsia" w:ascii="仿宋" w:hAnsi="仿宋" w:eastAsia="仿宋" w:cs="宋体"/>
                <w:color w:val="000000"/>
                <w:szCs w:val="21"/>
                <w:highlight w:val="none"/>
              </w:rPr>
            </w:pPr>
          </w:p>
        </w:tc>
      </w:tr>
      <w:tr w14:paraId="54DD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6481F6B7">
            <w:pPr>
              <w:spacing w:line="460" w:lineRule="exact"/>
              <w:rPr>
                <w:rFonts w:hint="eastAsia" w:ascii="仿宋" w:hAnsi="仿宋" w:eastAsia="仿宋" w:cs="宋体"/>
                <w:color w:val="000000"/>
                <w:szCs w:val="21"/>
                <w:highlight w:val="none"/>
              </w:rPr>
            </w:pPr>
          </w:p>
        </w:tc>
        <w:tc>
          <w:tcPr>
            <w:tcW w:w="3239" w:type="dxa"/>
          </w:tcPr>
          <w:p w14:paraId="68E2BB78">
            <w:pPr>
              <w:spacing w:line="460" w:lineRule="exact"/>
              <w:rPr>
                <w:rFonts w:hint="eastAsia" w:ascii="仿宋" w:hAnsi="仿宋" w:eastAsia="仿宋" w:cs="宋体"/>
                <w:color w:val="000000"/>
                <w:szCs w:val="21"/>
                <w:highlight w:val="none"/>
              </w:rPr>
            </w:pPr>
          </w:p>
        </w:tc>
        <w:tc>
          <w:tcPr>
            <w:tcW w:w="2243" w:type="dxa"/>
          </w:tcPr>
          <w:p w14:paraId="5D3EE77F">
            <w:pPr>
              <w:spacing w:line="460" w:lineRule="exact"/>
              <w:rPr>
                <w:rFonts w:hint="eastAsia" w:ascii="仿宋" w:hAnsi="仿宋" w:eastAsia="仿宋" w:cs="宋体"/>
                <w:color w:val="000000"/>
                <w:szCs w:val="21"/>
                <w:highlight w:val="none"/>
              </w:rPr>
            </w:pPr>
          </w:p>
        </w:tc>
        <w:tc>
          <w:tcPr>
            <w:tcW w:w="2491" w:type="dxa"/>
          </w:tcPr>
          <w:p w14:paraId="35AD4FDC">
            <w:pPr>
              <w:spacing w:line="460" w:lineRule="exact"/>
              <w:rPr>
                <w:rFonts w:hint="eastAsia" w:ascii="仿宋" w:hAnsi="仿宋" w:eastAsia="仿宋" w:cs="宋体"/>
                <w:color w:val="000000"/>
                <w:szCs w:val="21"/>
                <w:highlight w:val="none"/>
              </w:rPr>
            </w:pPr>
          </w:p>
        </w:tc>
      </w:tr>
      <w:tr w14:paraId="033C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4D050F02">
            <w:pPr>
              <w:spacing w:line="460" w:lineRule="exact"/>
              <w:rPr>
                <w:rFonts w:hint="eastAsia" w:ascii="仿宋" w:hAnsi="仿宋" w:eastAsia="仿宋" w:cs="宋体"/>
                <w:color w:val="000000"/>
                <w:szCs w:val="21"/>
                <w:highlight w:val="none"/>
              </w:rPr>
            </w:pPr>
          </w:p>
        </w:tc>
        <w:tc>
          <w:tcPr>
            <w:tcW w:w="3239" w:type="dxa"/>
          </w:tcPr>
          <w:p w14:paraId="561DA3FB">
            <w:pPr>
              <w:spacing w:line="460" w:lineRule="exact"/>
              <w:rPr>
                <w:rFonts w:hint="eastAsia" w:ascii="仿宋" w:hAnsi="仿宋" w:eastAsia="仿宋" w:cs="宋体"/>
                <w:color w:val="000000"/>
                <w:szCs w:val="21"/>
                <w:highlight w:val="none"/>
              </w:rPr>
            </w:pPr>
          </w:p>
        </w:tc>
        <w:tc>
          <w:tcPr>
            <w:tcW w:w="2243" w:type="dxa"/>
          </w:tcPr>
          <w:p w14:paraId="4A28AF5F">
            <w:pPr>
              <w:spacing w:line="460" w:lineRule="exact"/>
              <w:rPr>
                <w:rFonts w:hint="eastAsia" w:ascii="仿宋" w:hAnsi="仿宋" w:eastAsia="仿宋" w:cs="宋体"/>
                <w:color w:val="000000"/>
                <w:szCs w:val="21"/>
                <w:highlight w:val="none"/>
              </w:rPr>
            </w:pPr>
          </w:p>
        </w:tc>
        <w:tc>
          <w:tcPr>
            <w:tcW w:w="2491" w:type="dxa"/>
          </w:tcPr>
          <w:p w14:paraId="4DAD0F9E">
            <w:pPr>
              <w:spacing w:line="460" w:lineRule="exact"/>
              <w:rPr>
                <w:rFonts w:hint="eastAsia" w:ascii="仿宋" w:hAnsi="仿宋" w:eastAsia="仿宋" w:cs="宋体"/>
                <w:color w:val="000000"/>
                <w:szCs w:val="21"/>
                <w:highlight w:val="none"/>
              </w:rPr>
            </w:pPr>
          </w:p>
        </w:tc>
      </w:tr>
      <w:tr w14:paraId="5A096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549DF03D">
            <w:pPr>
              <w:spacing w:line="460" w:lineRule="exact"/>
              <w:rPr>
                <w:rFonts w:hint="eastAsia" w:ascii="仿宋" w:hAnsi="仿宋" w:eastAsia="仿宋" w:cs="宋体"/>
                <w:color w:val="000000"/>
                <w:szCs w:val="21"/>
                <w:highlight w:val="none"/>
              </w:rPr>
            </w:pPr>
          </w:p>
        </w:tc>
        <w:tc>
          <w:tcPr>
            <w:tcW w:w="3239" w:type="dxa"/>
          </w:tcPr>
          <w:p w14:paraId="4A162CE1">
            <w:pPr>
              <w:spacing w:line="460" w:lineRule="exact"/>
              <w:rPr>
                <w:rFonts w:hint="eastAsia" w:ascii="仿宋" w:hAnsi="仿宋" w:eastAsia="仿宋" w:cs="宋体"/>
                <w:color w:val="000000"/>
                <w:szCs w:val="21"/>
                <w:highlight w:val="none"/>
              </w:rPr>
            </w:pPr>
          </w:p>
        </w:tc>
        <w:tc>
          <w:tcPr>
            <w:tcW w:w="2243" w:type="dxa"/>
          </w:tcPr>
          <w:p w14:paraId="4FC4809D">
            <w:pPr>
              <w:spacing w:line="460" w:lineRule="exact"/>
              <w:rPr>
                <w:rFonts w:hint="eastAsia" w:ascii="仿宋" w:hAnsi="仿宋" w:eastAsia="仿宋" w:cs="宋体"/>
                <w:color w:val="000000"/>
                <w:szCs w:val="21"/>
                <w:highlight w:val="none"/>
              </w:rPr>
            </w:pPr>
          </w:p>
        </w:tc>
        <w:tc>
          <w:tcPr>
            <w:tcW w:w="2491" w:type="dxa"/>
          </w:tcPr>
          <w:p w14:paraId="13846AFF">
            <w:pPr>
              <w:spacing w:line="460" w:lineRule="exact"/>
              <w:rPr>
                <w:rFonts w:hint="eastAsia" w:ascii="仿宋" w:hAnsi="仿宋" w:eastAsia="仿宋" w:cs="宋体"/>
                <w:color w:val="000000"/>
                <w:szCs w:val="21"/>
                <w:highlight w:val="none"/>
              </w:rPr>
            </w:pPr>
          </w:p>
        </w:tc>
      </w:tr>
      <w:tr w14:paraId="51FD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3690E5B1">
            <w:pPr>
              <w:spacing w:line="460" w:lineRule="exact"/>
              <w:rPr>
                <w:rFonts w:hint="eastAsia" w:ascii="仿宋" w:hAnsi="仿宋" w:eastAsia="仿宋" w:cs="宋体"/>
                <w:color w:val="000000"/>
                <w:szCs w:val="21"/>
                <w:highlight w:val="none"/>
              </w:rPr>
            </w:pPr>
          </w:p>
        </w:tc>
        <w:tc>
          <w:tcPr>
            <w:tcW w:w="3239" w:type="dxa"/>
          </w:tcPr>
          <w:p w14:paraId="6FC88034">
            <w:pPr>
              <w:spacing w:line="460" w:lineRule="exact"/>
              <w:rPr>
                <w:rFonts w:hint="eastAsia" w:ascii="仿宋" w:hAnsi="仿宋" w:eastAsia="仿宋" w:cs="宋体"/>
                <w:color w:val="000000"/>
                <w:szCs w:val="21"/>
                <w:highlight w:val="none"/>
              </w:rPr>
            </w:pPr>
          </w:p>
        </w:tc>
        <w:tc>
          <w:tcPr>
            <w:tcW w:w="2243" w:type="dxa"/>
          </w:tcPr>
          <w:p w14:paraId="79EB40F9">
            <w:pPr>
              <w:spacing w:line="460" w:lineRule="exact"/>
              <w:rPr>
                <w:rFonts w:hint="eastAsia" w:ascii="仿宋" w:hAnsi="仿宋" w:eastAsia="仿宋" w:cs="宋体"/>
                <w:color w:val="000000"/>
                <w:szCs w:val="21"/>
                <w:highlight w:val="none"/>
              </w:rPr>
            </w:pPr>
          </w:p>
        </w:tc>
        <w:tc>
          <w:tcPr>
            <w:tcW w:w="2491" w:type="dxa"/>
          </w:tcPr>
          <w:p w14:paraId="1DC9638E">
            <w:pPr>
              <w:spacing w:line="460" w:lineRule="exact"/>
              <w:rPr>
                <w:rFonts w:hint="eastAsia" w:ascii="仿宋" w:hAnsi="仿宋" w:eastAsia="仿宋" w:cs="宋体"/>
                <w:color w:val="000000"/>
                <w:szCs w:val="21"/>
                <w:highlight w:val="none"/>
              </w:rPr>
            </w:pPr>
          </w:p>
        </w:tc>
      </w:tr>
      <w:tr w14:paraId="1F0D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73181C5D">
            <w:pPr>
              <w:spacing w:line="460" w:lineRule="exact"/>
              <w:rPr>
                <w:rFonts w:hint="eastAsia" w:ascii="仿宋" w:hAnsi="仿宋" w:eastAsia="仿宋" w:cs="宋体"/>
                <w:color w:val="000000"/>
                <w:szCs w:val="21"/>
                <w:highlight w:val="none"/>
              </w:rPr>
            </w:pPr>
          </w:p>
        </w:tc>
        <w:tc>
          <w:tcPr>
            <w:tcW w:w="3239" w:type="dxa"/>
          </w:tcPr>
          <w:p w14:paraId="7F05220E">
            <w:pPr>
              <w:spacing w:line="460" w:lineRule="exact"/>
              <w:rPr>
                <w:rFonts w:hint="eastAsia" w:ascii="仿宋" w:hAnsi="仿宋" w:eastAsia="仿宋" w:cs="宋体"/>
                <w:color w:val="000000"/>
                <w:szCs w:val="21"/>
                <w:highlight w:val="none"/>
              </w:rPr>
            </w:pPr>
          </w:p>
        </w:tc>
        <w:tc>
          <w:tcPr>
            <w:tcW w:w="2243" w:type="dxa"/>
          </w:tcPr>
          <w:p w14:paraId="02F8601C">
            <w:pPr>
              <w:spacing w:line="460" w:lineRule="exact"/>
              <w:rPr>
                <w:rFonts w:hint="eastAsia" w:ascii="仿宋" w:hAnsi="仿宋" w:eastAsia="仿宋" w:cs="宋体"/>
                <w:color w:val="000000"/>
                <w:szCs w:val="21"/>
                <w:highlight w:val="none"/>
              </w:rPr>
            </w:pPr>
          </w:p>
        </w:tc>
        <w:tc>
          <w:tcPr>
            <w:tcW w:w="2491" w:type="dxa"/>
          </w:tcPr>
          <w:p w14:paraId="47D3AFD7">
            <w:pPr>
              <w:spacing w:line="460" w:lineRule="exact"/>
              <w:rPr>
                <w:rFonts w:hint="eastAsia" w:ascii="仿宋" w:hAnsi="仿宋" w:eastAsia="仿宋" w:cs="宋体"/>
                <w:color w:val="000000"/>
                <w:szCs w:val="21"/>
                <w:highlight w:val="none"/>
              </w:rPr>
            </w:pPr>
          </w:p>
        </w:tc>
      </w:tr>
      <w:tr w14:paraId="6203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67B49E26">
            <w:pPr>
              <w:spacing w:line="460" w:lineRule="exact"/>
              <w:rPr>
                <w:rFonts w:hint="eastAsia" w:ascii="仿宋" w:hAnsi="仿宋" w:eastAsia="仿宋" w:cs="宋体"/>
                <w:color w:val="000000"/>
                <w:szCs w:val="21"/>
                <w:highlight w:val="none"/>
              </w:rPr>
            </w:pPr>
          </w:p>
        </w:tc>
        <w:tc>
          <w:tcPr>
            <w:tcW w:w="3239" w:type="dxa"/>
          </w:tcPr>
          <w:p w14:paraId="1723F445">
            <w:pPr>
              <w:spacing w:line="460" w:lineRule="exact"/>
              <w:rPr>
                <w:rFonts w:hint="eastAsia" w:ascii="仿宋" w:hAnsi="仿宋" w:eastAsia="仿宋" w:cs="宋体"/>
                <w:color w:val="000000"/>
                <w:szCs w:val="21"/>
                <w:highlight w:val="none"/>
              </w:rPr>
            </w:pPr>
          </w:p>
        </w:tc>
        <w:tc>
          <w:tcPr>
            <w:tcW w:w="2243" w:type="dxa"/>
          </w:tcPr>
          <w:p w14:paraId="595EB416">
            <w:pPr>
              <w:spacing w:line="460" w:lineRule="exact"/>
              <w:rPr>
                <w:rFonts w:hint="eastAsia" w:ascii="仿宋" w:hAnsi="仿宋" w:eastAsia="仿宋" w:cs="宋体"/>
                <w:color w:val="000000"/>
                <w:szCs w:val="21"/>
                <w:highlight w:val="none"/>
              </w:rPr>
            </w:pPr>
          </w:p>
        </w:tc>
        <w:tc>
          <w:tcPr>
            <w:tcW w:w="2491" w:type="dxa"/>
          </w:tcPr>
          <w:p w14:paraId="3917D2EC">
            <w:pPr>
              <w:spacing w:line="460" w:lineRule="exact"/>
              <w:rPr>
                <w:rFonts w:hint="eastAsia" w:ascii="仿宋" w:hAnsi="仿宋" w:eastAsia="仿宋" w:cs="宋体"/>
                <w:color w:val="000000"/>
                <w:szCs w:val="21"/>
                <w:highlight w:val="none"/>
              </w:rPr>
            </w:pPr>
          </w:p>
        </w:tc>
      </w:tr>
      <w:tr w14:paraId="3004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3838FC7C">
            <w:pPr>
              <w:spacing w:line="460" w:lineRule="exact"/>
              <w:rPr>
                <w:rFonts w:hint="eastAsia" w:ascii="仿宋" w:hAnsi="仿宋" w:eastAsia="仿宋" w:cs="宋体"/>
                <w:color w:val="000000"/>
                <w:szCs w:val="21"/>
                <w:highlight w:val="none"/>
              </w:rPr>
            </w:pPr>
          </w:p>
        </w:tc>
        <w:tc>
          <w:tcPr>
            <w:tcW w:w="3239" w:type="dxa"/>
          </w:tcPr>
          <w:p w14:paraId="7D3AF6C3">
            <w:pPr>
              <w:spacing w:line="460" w:lineRule="exact"/>
              <w:rPr>
                <w:rFonts w:hint="eastAsia" w:ascii="仿宋" w:hAnsi="仿宋" w:eastAsia="仿宋" w:cs="宋体"/>
                <w:color w:val="000000"/>
                <w:szCs w:val="21"/>
                <w:highlight w:val="none"/>
              </w:rPr>
            </w:pPr>
          </w:p>
        </w:tc>
        <w:tc>
          <w:tcPr>
            <w:tcW w:w="2243" w:type="dxa"/>
          </w:tcPr>
          <w:p w14:paraId="5A198F40">
            <w:pPr>
              <w:spacing w:line="460" w:lineRule="exact"/>
              <w:rPr>
                <w:rFonts w:hint="eastAsia" w:ascii="仿宋" w:hAnsi="仿宋" w:eastAsia="仿宋" w:cs="宋体"/>
                <w:color w:val="000000"/>
                <w:szCs w:val="21"/>
                <w:highlight w:val="none"/>
              </w:rPr>
            </w:pPr>
          </w:p>
        </w:tc>
        <w:tc>
          <w:tcPr>
            <w:tcW w:w="2491" w:type="dxa"/>
          </w:tcPr>
          <w:p w14:paraId="140C1EC1">
            <w:pPr>
              <w:spacing w:line="460" w:lineRule="exact"/>
              <w:rPr>
                <w:rFonts w:hint="eastAsia" w:ascii="仿宋" w:hAnsi="仿宋" w:eastAsia="仿宋" w:cs="宋体"/>
                <w:color w:val="000000"/>
                <w:szCs w:val="21"/>
                <w:highlight w:val="none"/>
              </w:rPr>
            </w:pPr>
          </w:p>
        </w:tc>
      </w:tr>
      <w:tr w14:paraId="1E16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3BD2DD82">
            <w:pPr>
              <w:spacing w:line="460" w:lineRule="exact"/>
              <w:rPr>
                <w:rFonts w:hint="eastAsia" w:ascii="仿宋" w:hAnsi="仿宋" w:eastAsia="仿宋" w:cs="宋体"/>
                <w:color w:val="000000"/>
                <w:szCs w:val="21"/>
                <w:highlight w:val="none"/>
              </w:rPr>
            </w:pPr>
          </w:p>
        </w:tc>
        <w:tc>
          <w:tcPr>
            <w:tcW w:w="3239" w:type="dxa"/>
          </w:tcPr>
          <w:p w14:paraId="2388874A">
            <w:pPr>
              <w:spacing w:line="460" w:lineRule="exact"/>
              <w:rPr>
                <w:rFonts w:hint="eastAsia" w:ascii="仿宋" w:hAnsi="仿宋" w:eastAsia="仿宋" w:cs="宋体"/>
                <w:color w:val="000000"/>
                <w:szCs w:val="21"/>
                <w:highlight w:val="none"/>
              </w:rPr>
            </w:pPr>
          </w:p>
        </w:tc>
        <w:tc>
          <w:tcPr>
            <w:tcW w:w="2243" w:type="dxa"/>
          </w:tcPr>
          <w:p w14:paraId="47BAEB2A">
            <w:pPr>
              <w:spacing w:line="460" w:lineRule="exact"/>
              <w:rPr>
                <w:rFonts w:hint="eastAsia" w:ascii="仿宋" w:hAnsi="仿宋" w:eastAsia="仿宋" w:cs="宋体"/>
                <w:color w:val="000000"/>
                <w:szCs w:val="21"/>
                <w:highlight w:val="none"/>
              </w:rPr>
            </w:pPr>
          </w:p>
        </w:tc>
        <w:tc>
          <w:tcPr>
            <w:tcW w:w="2491" w:type="dxa"/>
          </w:tcPr>
          <w:p w14:paraId="6CB95C4A">
            <w:pPr>
              <w:spacing w:line="460" w:lineRule="exact"/>
              <w:rPr>
                <w:rFonts w:hint="eastAsia" w:ascii="仿宋" w:hAnsi="仿宋" w:eastAsia="仿宋" w:cs="宋体"/>
                <w:color w:val="000000"/>
                <w:szCs w:val="21"/>
                <w:highlight w:val="none"/>
              </w:rPr>
            </w:pPr>
          </w:p>
        </w:tc>
      </w:tr>
      <w:tr w14:paraId="5A3A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45" w:type="dxa"/>
          </w:tcPr>
          <w:p w14:paraId="5E095342">
            <w:pPr>
              <w:spacing w:line="460" w:lineRule="exact"/>
              <w:rPr>
                <w:rFonts w:hint="eastAsia" w:ascii="仿宋" w:hAnsi="仿宋" w:eastAsia="仿宋" w:cs="宋体"/>
                <w:color w:val="000000"/>
                <w:szCs w:val="21"/>
                <w:highlight w:val="none"/>
              </w:rPr>
            </w:pPr>
          </w:p>
        </w:tc>
        <w:tc>
          <w:tcPr>
            <w:tcW w:w="3239" w:type="dxa"/>
          </w:tcPr>
          <w:p w14:paraId="26CBF8D3">
            <w:pPr>
              <w:spacing w:line="460" w:lineRule="exact"/>
              <w:rPr>
                <w:rFonts w:hint="eastAsia" w:ascii="仿宋" w:hAnsi="仿宋" w:eastAsia="仿宋" w:cs="宋体"/>
                <w:color w:val="000000"/>
                <w:szCs w:val="21"/>
                <w:highlight w:val="none"/>
              </w:rPr>
            </w:pPr>
          </w:p>
        </w:tc>
        <w:tc>
          <w:tcPr>
            <w:tcW w:w="2243" w:type="dxa"/>
          </w:tcPr>
          <w:p w14:paraId="7A157510">
            <w:pPr>
              <w:spacing w:line="460" w:lineRule="exact"/>
              <w:rPr>
                <w:rFonts w:hint="eastAsia" w:ascii="仿宋" w:hAnsi="仿宋" w:eastAsia="仿宋" w:cs="宋体"/>
                <w:color w:val="000000"/>
                <w:szCs w:val="21"/>
                <w:highlight w:val="none"/>
              </w:rPr>
            </w:pPr>
          </w:p>
        </w:tc>
        <w:tc>
          <w:tcPr>
            <w:tcW w:w="2491" w:type="dxa"/>
          </w:tcPr>
          <w:p w14:paraId="37C6A1D2">
            <w:pPr>
              <w:spacing w:line="460" w:lineRule="exact"/>
              <w:rPr>
                <w:rFonts w:hint="eastAsia" w:ascii="仿宋" w:hAnsi="仿宋" w:eastAsia="仿宋" w:cs="宋体"/>
                <w:color w:val="000000"/>
                <w:szCs w:val="21"/>
                <w:highlight w:val="none"/>
              </w:rPr>
            </w:pPr>
          </w:p>
        </w:tc>
      </w:tr>
      <w:tr w14:paraId="6462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145" w:type="dxa"/>
          </w:tcPr>
          <w:p w14:paraId="1DDE0E84">
            <w:pPr>
              <w:spacing w:line="460" w:lineRule="exact"/>
              <w:rPr>
                <w:rFonts w:hint="eastAsia" w:ascii="仿宋" w:hAnsi="仿宋" w:eastAsia="仿宋" w:cs="宋体"/>
                <w:color w:val="000000"/>
                <w:szCs w:val="21"/>
                <w:highlight w:val="none"/>
              </w:rPr>
            </w:pPr>
          </w:p>
        </w:tc>
        <w:tc>
          <w:tcPr>
            <w:tcW w:w="3239" w:type="dxa"/>
          </w:tcPr>
          <w:p w14:paraId="6ADF99E5">
            <w:pPr>
              <w:spacing w:line="460" w:lineRule="exact"/>
              <w:rPr>
                <w:rFonts w:hint="eastAsia" w:ascii="仿宋" w:hAnsi="仿宋" w:eastAsia="仿宋" w:cs="宋体"/>
                <w:color w:val="000000"/>
                <w:szCs w:val="21"/>
                <w:highlight w:val="none"/>
              </w:rPr>
            </w:pPr>
          </w:p>
        </w:tc>
        <w:tc>
          <w:tcPr>
            <w:tcW w:w="2243" w:type="dxa"/>
          </w:tcPr>
          <w:p w14:paraId="1F1FCC05">
            <w:pPr>
              <w:spacing w:line="460" w:lineRule="exact"/>
              <w:rPr>
                <w:rFonts w:hint="eastAsia" w:ascii="仿宋" w:hAnsi="仿宋" w:eastAsia="仿宋" w:cs="宋体"/>
                <w:color w:val="000000"/>
                <w:szCs w:val="21"/>
                <w:highlight w:val="none"/>
              </w:rPr>
            </w:pPr>
          </w:p>
        </w:tc>
        <w:tc>
          <w:tcPr>
            <w:tcW w:w="2491" w:type="dxa"/>
          </w:tcPr>
          <w:p w14:paraId="10854989">
            <w:pPr>
              <w:spacing w:line="460" w:lineRule="exact"/>
              <w:rPr>
                <w:rFonts w:hint="eastAsia" w:ascii="仿宋" w:hAnsi="仿宋" w:eastAsia="仿宋" w:cs="宋体"/>
                <w:color w:val="000000"/>
                <w:szCs w:val="21"/>
                <w:highlight w:val="none"/>
              </w:rPr>
            </w:pPr>
          </w:p>
        </w:tc>
      </w:tr>
    </w:tbl>
    <w:p w14:paraId="3C563879">
      <w:pPr>
        <w:spacing w:line="440" w:lineRule="exact"/>
        <w:rPr>
          <w:rFonts w:hint="eastAsia" w:ascii="仿宋" w:hAnsi="仿宋" w:eastAsia="仿宋" w:cs="Times New Roman"/>
          <w:color w:val="000000"/>
          <w:sz w:val="24"/>
          <w:highlight w:val="none"/>
        </w:rPr>
      </w:pPr>
    </w:p>
    <w:p w14:paraId="52C144CF">
      <w:pPr>
        <w:spacing w:line="440" w:lineRule="exact"/>
        <w:ind w:firstLine="240" w:firstLineChars="100"/>
        <w:rPr>
          <w:rFonts w:hint="eastAsia" w:ascii="仿宋" w:hAnsi="仿宋" w:eastAsia="仿宋" w:cs="Times New Roman"/>
          <w:color w:val="000000"/>
          <w:sz w:val="24"/>
          <w:highlight w:val="none"/>
        </w:rPr>
      </w:pPr>
      <w:r>
        <w:rPr>
          <w:rFonts w:ascii="仿宋" w:hAnsi="仿宋" w:eastAsia="仿宋" w:cs="Times New Roman"/>
          <w:color w:val="000000"/>
          <w:sz w:val="24"/>
          <w:highlight w:val="none"/>
        </w:rPr>
        <w:t>注：</w:t>
      </w:r>
      <w:r>
        <w:rPr>
          <w:rFonts w:hint="eastAsia" w:ascii="仿宋" w:hAnsi="仿宋" w:eastAsia="仿宋" w:cs="Times New Roman"/>
          <w:color w:val="000000"/>
          <w:sz w:val="24"/>
          <w:highlight w:val="none"/>
        </w:rPr>
        <w:t>后附证明材料。</w:t>
      </w:r>
    </w:p>
    <w:p w14:paraId="5B79A4A5">
      <w:pPr>
        <w:rPr>
          <w:rFonts w:ascii="Times New Roman" w:hAnsi="Times New Roman" w:eastAsia="宋体" w:cs="Times New Roman"/>
          <w:szCs w:val="22"/>
          <w:highlight w:val="none"/>
        </w:rPr>
      </w:pPr>
    </w:p>
    <w:p w14:paraId="73B97916">
      <w:pPr>
        <w:spacing w:line="52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投标人（盖章）：</w:t>
      </w:r>
    </w:p>
    <w:p w14:paraId="2D674611">
      <w:pPr>
        <w:spacing w:line="520" w:lineRule="exact"/>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法定代表人或委托代理人（签字或盖章）：</w:t>
      </w:r>
    </w:p>
    <w:p w14:paraId="6DF7CFF7">
      <w:pPr>
        <w:wordWrap w:val="0"/>
        <w:snapToGrid w:val="0"/>
        <w:spacing w:line="360" w:lineRule="auto"/>
        <w:jc w:val="left"/>
        <w:rPr>
          <w:rFonts w:hint="eastAsia"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br w:type="page"/>
      </w:r>
    </w:p>
    <w:p w14:paraId="1C032F0E">
      <w:pPr>
        <w:pStyle w:val="2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Cs/>
          <w:color w:val="000000" w:themeColor="text1"/>
          <w:sz w:val="44"/>
          <w:szCs w:val="32"/>
          <w:highlight w:val="none"/>
          <w14:textFill>
            <w14:solidFill>
              <w14:schemeClr w14:val="tx1"/>
            </w14:solidFill>
          </w14:textFill>
        </w:rPr>
        <w:t>技术文件</w:t>
      </w:r>
    </w:p>
    <w:bookmarkEnd w:id="119"/>
    <w:p w14:paraId="4130EEB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0D420EDD">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按评分细则编制。</w:t>
      </w:r>
    </w:p>
    <w:p w14:paraId="3A40F2DA">
      <w:pPr>
        <w:pStyle w:val="19"/>
        <w:jc w:val="left"/>
        <w:rPr>
          <w:rFonts w:hint="eastAsia" w:ascii="仿宋" w:hAnsi="仿宋" w:eastAsia="仿宋" w:cs="仿宋"/>
          <w:bCs/>
          <w:color w:val="000000"/>
          <w:kern w:val="2"/>
          <w:sz w:val="36"/>
          <w:szCs w:val="36"/>
          <w:highlight w:val="none"/>
        </w:rPr>
      </w:pPr>
    </w:p>
    <w:p w14:paraId="68B1625F">
      <w:pPr>
        <w:pStyle w:val="19"/>
        <w:jc w:val="center"/>
        <w:rPr>
          <w:rFonts w:hint="eastAsia" w:ascii="仿宋" w:hAnsi="仿宋" w:eastAsia="仿宋" w:cs="仿宋"/>
          <w:bCs/>
          <w:color w:val="000000"/>
          <w:kern w:val="2"/>
          <w:sz w:val="36"/>
          <w:szCs w:val="36"/>
          <w:highlight w:val="none"/>
        </w:rPr>
      </w:pPr>
      <w:r>
        <w:rPr>
          <w:rFonts w:hint="eastAsia" w:ascii="仿宋" w:hAnsi="仿宋" w:eastAsia="仿宋" w:cs="仿宋"/>
          <w:bCs/>
          <w:color w:val="000000"/>
          <w:kern w:val="2"/>
          <w:sz w:val="36"/>
          <w:szCs w:val="36"/>
          <w:highlight w:val="none"/>
        </w:rPr>
        <w:br w:type="page"/>
      </w:r>
    </w:p>
    <w:p w14:paraId="7817B3CB">
      <w:pPr>
        <w:pStyle w:val="3"/>
        <w:numPr>
          <w:ilvl w:val="0"/>
          <w:numId w:val="2"/>
        </w:numPr>
        <w:jc w:val="center"/>
        <w:rPr>
          <w:rFonts w:hint="eastAsia" w:ascii="仿宋" w:hAnsi="仿宋" w:eastAsia="仿宋" w:cs="仿宋"/>
          <w:color w:val="000000" w:themeColor="text1"/>
          <w:highlight w:val="none"/>
          <w14:textFill>
            <w14:solidFill>
              <w14:schemeClr w14:val="tx1"/>
            </w14:solidFill>
          </w14:textFill>
        </w:rPr>
      </w:pPr>
      <w:bookmarkStart w:id="120" w:name="_Toc66864056"/>
      <w:bookmarkStart w:id="121" w:name="_Toc130891924"/>
      <w:r>
        <w:rPr>
          <w:rFonts w:hint="eastAsia" w:ascii="仿宋" w:hAnsi="仿宋" w:eastAsia="仿宋" w:cs="仿宋"/>
          <w:color w:val="000000" w:themeColor="text1"/>
          <w:highlight w:val="none"/>
          <w14:textFill>
            <w14:solidFill>
              <w14:schemeClr w14:val="tx1"/>
            </w14:solidFill>
          </w14:textFill>
        </w:rPr>
        <w:t xml:space="preserve"> 合同（范本）</w:t>
      </w:r>
      <w:bookmarkEnd w:id="120"/>
      <w:bookmarkEnd w:id="121"/>
    </w:p>
    <w:p w14:paraId="18D0719B">
      <w:pPr>
        <w:wordWrap w:val="0"/>
        <w:overflowPunct w:val="0"/>
        <w:spacing w:line="312" w:lineRule="auto"/>
        <w:ind w:firstLine="420"/>
        <w:jc w:val="righ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合同编号：</w:t>
      </w:r>
    </w:p>
    <w:p w14:paraId="2E861F55">
      <w:pPr>
        <w:keepNext w:val="0"/>
        <w:keepLines w:val="0"/>
        <w:pageBreakBefore w:val="0"/>
        <w:widowControl w:val="0"/>
        <w:kinsoku/>
        <w:wordWrap/>
        <w:overflowPunct w:val="0"/>
        <w:topLinePunct w:val="0"/>
        <w:autoSpaceDE/>
        <w:autoSpaceDN/>
        <w:bidi w:val="0"/>
        <w:adjustRightInd/>
        <w:snapToGrid/>
        <w:spacing w:line="312" w:lineRule="auto"/>
        <w:ind w:firstLine="0" w:firstLineChars="0"/>
        <w:jc w:val="center"/>
        <w:textAlignment w:val="auto"/>
        <w:rPr>
          <w:rFonts w:hint="default" w:ascii="Times New Roman" w:hAnsi="Times New Roman" w:eastAsia="方正小标宋简体" w:cs="Times New Roman"/>
          <w:b w:val="0"/>
          <w:bCs w:val="0"/>
          <w:sz w:val="28"/>
          <w:szCs w:val="28"/>
          <w:highlight w:val="none"/>
          <w:lang w:val="en-US" w:eastAsia="zh-CN"/>
        </w:rPr>
      </w:pPr>
    </w:p>
    <w:p w14:paraId="4BF3EAEA">
      <w:pPr>
        <w:keepNext w:val="0"/>
        <w:keepLines w:val="0"/>
        <w:pageBreakBefore w:val="0"/>
        <w:widowControl w:val="0"/>
        <w:kinsoku/>
        <w:wordWrap/>
        <w:overflowPunct w:val="0"/>
        <w:topLinePunct w:val="0"/>
        <w:autoSpaceDE/>
        <w:autoSpaceDN/>
        <w:bidi w:val="0"/>
        <w:adjustRightInd/>
        <w:snapToGrid/>
        <w:spacing w:line="560" w:lineRule="exact"/>
        <w:ind w:firstLine="0" w:firstLineChars="0"/>
        <w:jc w:val="center"/>
        <w:textAlignment w:val="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2026新能源铝应用创新发展会议</w:t>
      </w:r>
    </w:p>
    <w:p w14:paraId="2AE720A5">
      <w:pPr>
        <w:keepNext w:val="0"/>
        <w:keepLines w:val="0"/>
        <w:pageBreakBefore w:val="0"/>
        <w:widowControl w:val="0"/>
        <w:kinsoku/>
        <w:wordWrap/>
        <w:overflowPunct w:val="0"/>
        <w:topLinePunct w:val="0"/>
        <w:autoSpaceDE/>
        <w:autoSpaceDN/>
        <w:bidi w:val="0"/>
        <w:adjustRightInd/>
        <w:snapToGrid/>
        <w:spacing w:line="560" w:lineRule="exact"/>
        <w:ind w:firstLine="0" w:firstLineChars="0"/>
        <w:jc w:val="center"/>
        <w:textAlignment w:val="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委托</w:t>
      </w:r>
      <w:r>
        <w:rPr>
          <w:rFonts w:hint="eastAsia" w:ascii="仿宋" w:hAnsi="仿宋" w:eastAsia="仿宋" w:cs="仿宋"/>
          <w:b/>
          <w:bCs/>
          <w:sz w:val="30"/>
          <w:szCs w:val="30"/>
          <w:highlight w:val="none"/>
          <w:lang w:eastAsia="zh-CN"/>
        </w:rPr>
        <w:t>服务</w:t>
      </w:r>
      <w:r>
        <w:rPr>
          <w:rFonts w:hint="eastAsia" w:ascii="仿宋" w:hAnsi="仿宋" w:eastAsia="仿宋" w:cs="仿宋"/>
          <w:b/>
          <w:bCs/>
          <w:sz w:val="30"/>
          <w:szCs w:val="30"/>
          <w:highlight w:val="none"/>
        </w:rPr>
        <w:t>协议</w:t>
      </w:r>
    </w:p>
    <w:p w14:paraId="10D88773">
      <w:pPr>
        <w:spacing w:line="380" w:lineRule="exact"/>
        <w:ind w:firstLine="0" w:firstLineChars="0"/>
        <w:rPr>
          <w:rFonts w:hint="eastAsia" w:ascii="仿宋" w:hAnsi="仿宋" w:eastAsia="仿宋" w:cs="仿宋"/>
          <w:b/>
          <w:sz w:val="30"/>
          <w:szCs w:val="30"/>
          <w:highlight w:val="none"/>
        </w:rPr>
      </w:pPr>
    </w:p>
    <w:p w14:paraId="23621312">
      <w:pPr>
        <w:spacing w:line="380" w:lineRule="exact"/>
        <w:ind w:firstLine="0" w:firstLineChars="0"/>
        <w:rPr>
          <w:rFonts w:hint="eastAsia" w:ascii="仿宋" w:hAnsi="仿宋" w:eastAsia="仿宋" w:cs="仿宋"/>
          <w:b/>
          <w:sz w:val="28"/>
          <w:szCs w:val="28"/>
          <w:highlight w:val="none"/>
        </w:rPr>
      </w:pPr>
    </w:p>
    <w:p w14:paraId="1E2CD0D7">
      <w:pPr>
        <w:keepNext w:val="0"/>
        <w:keepLines w:val="0"/>
        <w:pageBreakBefore w:val="0"/>
        <w:widowControl w:val="0"/>
        <w:kinsoku/>
        <w:wordWrap/>
        <w:overflowPunct/>
        <w:topLinePunct w:val="0"/>
        <w:autoSpaceDE/>
        <w:autoSpaceDN/>
        <w:bidi w:val="0"/>
        <w:adjustRightInd/>
        <w:snapToGrid/>
        <w:spacing w:line="520" w:lineRule="atLeast"/>
        <w:ind w:firstLine="562" w:firstLineChars="200"/>
        <w:textAlignment w:val="auto"/>
        <w:rPr>
          <w:rFonts w:hint="eastAsia" w:ascii="仿宋" w:hAnsi="仿宋" w:eastAsia="仿宋" w:cs="仿宋"/>
          <w:b/>
          <w:sz w:val="28"/>
          <w:szCs w:val="28"/>
          <w:highlight w:val="none"/>
          <w:u w:val="single"/>
          <w:lang w:val="en-US" w:eastAsia="zh-CN"/>
        </w:rPr>
      </w:pPr>
      <w:r>
        <w:rPr>
          <w:rFonts w:hint="eastAsia" w:ascii="仿宋" w:hAnsi="仿宋" w:eastAsia="仿宋" w:cs="仿宋"/>
          <w:b/>
          <w:sz w:val="28"/>
          <w:szCs w:val="28"/>
          <w:highlight w:val="none"/>
        </w:rPr>
        <w:t>甲  方：</w:t>
      </w:r>
      <w:r>
        <w:rPr>
          <w:rFonts w:hint="eastAsia" w:ascii="仿宋" w:hAnsi="仿宋" w:eastAsia="仿宋" w:cs="仿宋"/>
          <w:b/>
          <w:sz w:val="28"/>
          <w:szCs w:val="28"/>
          <w:highlight w:val="none"/>
          <w:u w:val="single"/>
          <w:lang w:val="en-US" w:eastAsia="zh-CN"/>
        </w:rPr>
        <w:t xml:space="preserve">  威海市环翠区新创投资运营有限公司      </w:t>
      </w:r>
    </w:p>
    <w:p w14:paraId="406A1018">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val="en-US" w:eastAsia="zh-CN"/>
        </w:rPr>
        <w:t>威海市环翠区南竹岛小区E区9号</w:t>
      </w:r>
    </w:p>
    <w:p w14:paraId="2E9B4950">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统一社会信用代码：91371002MA3NYW8C58 </w:t>
      </w:r>
    </w:p>
    <w:p w14:paraId="15E3D84D">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联系人：丛日萍</w:t>
      </w:r>
    </w:p>
    <w:p w14:paraId="66B86E1D">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联系电话：0631-5325629 </w:t>
      </w:r>
    </w:p>
    <w:p w14:paraId="508BDD1E">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w:t>
      </w:r>
    </w:p>
    <w:p w14:paraId="0BF09103">
      <w:pPr>
        <w:keepNext w:val="0"/>
        <w:keepLines w:val="0"/>
        <w:pageBreakBefore w:val="0"/>
        <w:widowControl w:val="0"/>
        <w:kinsoku/>
        <w:wordWrap/>
        <w:overflowPunct/>
        <w:topLinePunct w:val="0"/>
        <w:autoSpaceDE/>
        <w:autoSpaceDN/>
        <w:bidi w:val="0"/>
        <w:adjustRightInd/>
        <w:snapToGrid/>
        <w:spacing w:line="520" w:lineRule="atLeast"/>
        <w:ind w:firstLine="562"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sz w:val="28"/>
          <w:szCs w:val="28"/>
          <w:highlight w:val="none"/>
        </w:rPr>
        <w:t>乙  方：</w:t>
      </w:r>
    </w:p>
    <w:p w14:paraId="1299B267">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p>
    <w:p w14:paraId="4CA8D78C">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统一社会信用代码：</w:t>
      </w:r>
    </w:p>
    <w:p w14:paraId="6F50238B">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联系人：</w:t>
      </w:r>
    </w:p>
    <w:p w14:paraId="1A688854">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lang w:val="en-US" w:eastAsia="zh-CN"/>
        </w:rPr>
        <w:t xml:space="preserve">  </w:t>
      </w:r>
    </w:p>
    <w:p w14:paraId="6DB3CA71">
      <w:pPr>
        <w:keepNext w:val="0"/>
        <w:keepLines w:val="0"/>
        <w:pageBreakBefore w:val="0"/>
        <w:widowControl w:val="0"/>
        <w:kinsoku/>
        <w:wordWrap/>
        <w:overflowPunct/>
        <w:topLinePunct w:val="0"/>
        <w:autoSpaceDE/>
        <w:autoSpaceDN/>
        <w:bidi w:val="0"/>
        <w:adjustRightInd/>
        <w:snapToGrid/>
        <w:spacing w:line="520" w:lineRule="atLeast"/>
        <w:textAlignment w:val="auto"/>
        <w:rPr>
          <w:rFonts w:hint="eastAsia" w:ascii="仿宋" w:hAnsi="仿宋" w:eastAsia="仿宋" w:cs="仿宋"/>
          <w:sz w:val="28"/>
          <w:szCs w:val="28"/>
          <w:highlight w:val="none"/>
        </w:rPr>
      </w:pPr>
    </w:p>
    <w:p w14:paraId="1ADC8A60">
      <w:pPr>
        <w:keepNext w:val="0"/>
        <w:keepLines w:val="0"/>
        <w:pageBreakBefore w:val="0"/>
        <w:widowControl w:val="0"/>
        <w:kinsoku/>
        <w:wordWrap/>
        <w:overflowPunct/>
        <w:topLinePunct w:val="0"/>
        <w:autoSpaceDE/>
        <w:autoSpaceDN/>
        <w:bidi w:val="0"/>
        <w:adjustRightInd/>
        <w:snapToGrid/>
        <w:spacing w:line="520" w:lineRule="atLeast"/>
        <w:ind w:firstLine="42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甲方委托乙方</w:t>
      </w:r>
      <w:r>
        <w:rPr>
          <w:rFonts w:hint="eastAsia" w:ascii="仿宋" w:hAnsi="仿宋" w:eastAsia="仿宋" w:cs="仿宋"/>
          <w:sz w:val="28"/>
          <w:szCs w:val="28"/>
          <w:highlight w:val="none"/>
          <w:lang w:val="en-US" w:eastAsia="zh-CN"/>
        </w:rPr>
        <w:t>承接</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2026新能源铝应用创新发展会议（暂定名）”一票制全过程会议服务</w:t>
      </w:r>
      <w:r>
        <w:rPr>
          <w:rFonts w:hint="eastAsia" w:ascii="仿宋" w:hAnsi="仿宋" w:eastAsia="仿宋" w:cs="仿宋"/>
          <w:sz w:val="28"/>
          <w:szCs w:val="28"/>
          <w:highlight w:val="none"/>
        </w:rPr>
        <w:t>，乙方</w:t>
      </w:r>
      <w:r>
        <w:rPr>
          <w:rFonts w:hint="eastAsia" w:ascii="仿宋" w:hAnsi="仿宋" w:eastAsia="仿宋" w:cs="仿宋"/>
          <w:sz w:val="28"/>
          <w:szCs w:val="28"/>
          <w:highlight w:val="none"/>
          <w:lang w:val="en-US" w:eastAsia="zh-CN"/>
        </w:rPr>
        <w:t>同意</w:t>
      </w:r>
      <w:r>
        <w:rPr>
          <w:rFonts w:hint="eastAsia" w:ascii="仿宋" w:hAnsi="仿宋" w:eastAsia="仿宋" w:cs="仿宋"/>
          <w:sz w:val="28"/>
          <w:szCs w:val="28"/>
          <w:highlight w:val="none"/>
        </w:rPr>
        <w:t>接受</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委托</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甲乙双方本着平等自愿、公平诚信原则，依据《中华人民共和国民法典》及相关法律法规，经友好协商，订立本协议，以资共同信守。</w:t>
      </w:r>
    </w:p>
    <w:p w14:paraId="11530376">
      <w:pPr>
        <w:keepNext w:val="0"/>
        <w:keepLines w:val="0"/>
        <w:pageBreakBefore w:val="0"/>
        <w:numPr>
          <w:ilvl w:val="0"/>
          <w:numId w:val="3"/>
        </w:numPr>
        <w:kinsoku/>
        <w:wordWrap/>
        <w:overflowPunct w:val="0"/>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项目基本情况</w:t>
      </w:r>
    </w:p>
    <w:p w14:paraId="32A506C0">
      <w:pPr>
        <w:keepNext w:val="0"/>
        <w:keepLines w:val="0"/>
        <w:pageBreakBefore w:val="0"/>
        <w:kinsoku/>
        <w:wordWrap/>
        <w:overflowPunct w:val="0"/>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1.1 </w:t>
      </w: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2026新能源铝应用创新发展会议</w:t>
      </w:r>
    </w:p>
    <w:p w14:paraId="6DDE32E0">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 </w:t>
      </w:r>
      <w:r>
        <w:rPr>
          <w:rFonts w:hint="eastAsia" w:ascii="仿宋" w:hAnsi="仿宋" w:eastAsia="仿宋" w:cs="仿宋"/>
          <w:sz w:val="28"/>
          <w:szCs w:val="28"/>
          <w:highlight w:val="none"/>
        </w:rPr>
        <w:t>项目</w:t>
      </w:r>
      <w:r>
        <w:rPr>
          <w:rFonts w:hint="eastAsia" w:ascii="仿宋" w:hAnsi="仿宋" w:eastAsia="仿宋" w:cs="仿宋"/>
          <w:sz w:val="28"/>
          <w:szCs w:val="28"/>
          <w:highlight w:val="none"/>
          <w:lang w:val="en-US" w:eastAsia="zh-CN"/>
        </w:rPr>
        <w:t>实施</w:t>
      </w:r>
      <w:r>
        <w:rPr>
          <w:rFonts w:hint="eastAsia" w:ascii="仿宋" w:hAnsi="仿宋" w:eastAsia="仿宋" w:cs="仿宋"/>
          <w:sz w:val="28"/>
          <w:szCs w:val="28"/>
          <w:highlight w:val="none"/>
        </w:rPr>
        <w:t>地点：</w:t>
      </w:r>
      <w:r>
        <w:rPr>
          <w:rFonts w:hint="eastAsia" w:ascii="仿宋" w:hAnsi="仿宋" w:eastAsia="仿宋" w:cs="仿宋"/>
          <w:sz w:val="28"/>
          <w:szCs w:val="28"/>
          <w:highlight w:val="none"/>
          <w:lang w:eastAsia="zh-CN"/>
        </w:rPr>
        <w:t>山东省</w:t>
      </w:r>
      <w:r>
        <w:rPr>
          <w:rFonts w:hint="eastAsia" w:ascii="仿宋" w:hAnsi="仿宋" w:eastAsia="仿宋" w:cs="仿宋"/>
          <w:sz w:val="28"/>
          <w:szCs w:val="28"/>
          <w:highlight w:val="none"/>
          <w:lang w:val="en-US" w:eastAsia="zh-CN"/>
        </w:rPr>
        <w:t>威海市环翠区，具体地点以甲方为准。</w:t>
      </w:r>
    </w:p>
    <w:p w14:paraId="5576D91C">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1.3 会议概况：会议拟于2026年10月29-30日举办，会议规模约150人，具体执行以经甲方书面确认的会议活动方案为准。</w:t>
      </w:r>
    </w:p>
    <w:p w14:paraId="6AB9115D">
      <w:pPr>
        <w:keepNext w:val="0"/>
        <w:keepLines w:val="0"/>
        <w:pageBreakBefore w:val="0"/>
        <w:kinsoku/>
        <w:wordWrap/>
        <w:overflowPunct w:val="0"/>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二、委托内容与委托期限</w:t>
      </w:r>
    </w:p>
    <w:p w14:paraId="0D2E63C3">
      <w:pPr>
        <w:keepNext w:val="0"/>
        <w:keepLines w:val="0"/>
        <w:pageBreakBefore w:val="0"/>
        <w:kinsoku/>
        <w:wordWrap/>
        <w:overflowPunct w:val="0"/>
        <w:topLinePunct w:val="0"/>
        <w:autoSpaceDE/>
        <w:autoSpaceDN/>
        <w:bidi w:val="0"/>
        <w:adjustRightInd/>
        <w:snapToGrid/>
        <w:spacing w:line="520" w:lineRule="atLeast"/>
        <w:ind w:left="0" w:leftChars="0" w:firstLine="0" w:firstLineChars="0"/>
        <w:jc w:val="both"/>
        <w:textAlignment w:val="auto"/>
        <w:rPr>
          <w:rFonts w:hint="eastAsia" w:ascii="仿宋" w:hAnsi="仿宋" w:eastAsia="仿宋" w:cs="仿宋"/>
          <w:b/>
          <w:sz w:val="28"/>
          <w:szCs w:val="28"/>
          <w:highlight w:val="none"/>
          <w:u w:val="none"/>
        </w:rPr>
      </w:pPr>
      <w:r>
        <w:rPr>
          <w:rFonts w:hint="eastAsia" w:ascii="仿宋" w:hAnsi="仿宋" w:eastAsia="仿宋" w:cs="仿宋"/>
          <w:b/>
          <w:sz w:val="28"/>
          <w:szCs w:val="28"/>
          <w:highlight w:val="none"/>
        </w:rPr>
        <w:tab/>
      </w:r>
      <w:r>
        <w:rPr>
          <w:rFonts w:hint="eastAsia" w:ascii="仿宋" w:hAnsi="仿宋" w:eastAsia="仿宋" w:cs="仿宋"/>
          <w:sz w:val="28"/>
          <w:szCs w:val="28"/>
          <w:highlight w:val="none"/>
          <w:u w:val="none"/>
        </w:rPr>
        <w:t>2.1</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委托</w:t>
      </w:r>
      <w:r>
        <w:rPr>
          <w:rFonts w:hint="eastAsia" w:ascii="仿宋" w:hAnsi="仿宋" w:eastAsia="仿宋" w:cs="仿宋"/>
          <w:sz w:val="28"/>
          <w:szCs w:val="28"/>
          <w:highlight w:val="none"/>
          <w:u w:val="none"/>
          <w:lang w:val="en-US" w:eastAsia="zh-CN"/>
        </w:rPr>
        <w:t>服务</w:t>
      </w:r>
      <w:r>
        <w:rPr>
          <w:rFonts w:hint="eastAsia" w:ascii="仿宋" w:hAnsi="仿宋" w:eastAsia="仿宋" w:cs="仿宋"/>
          <w:sz w:val="28"/>
          <w:szCs w:val="28"/>
          <w:highlight w:val="none"/>
          <w:u w:val="none"/>
        </w:rPr>
        <w:t>内容</w:t>
      </w:r>
    </w:p>
    <w:p w14:paraId="5A224F6B">
      <w:pPr>
        <w:keepNext w:val="0"/>
        <w:keepLines w:val="0"/>
        <w:pageBreakBefore w:val="0"/>
        <w:tabs>
          <w:tab w:val="left" w:pos="720"/>
        </w:tabs>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甲方委托乙方提供本会议一票制全过程会议服务，包含会议策划、嘉宾邀请、会务组织、现场执行、会议宣传等全流程工作，具体细则详见本协议3.1条款。本协议为一票制总价包干，除经甲方书面确认的增项外，甲方无需另行支付其他费用。</w:t>
      </w:r>
    </w:p>
    <w:p w14:paraId="0841DFDC">
      <w:pPr>
        <w:keepNext w:val="0"/>
        <w:keepLines w:val="0"/>
        <w:pageBreakBefore w:val="0"/>
        <w:tabs>
          <w:tab w:val="left" w:pos="720"/>
        </w:tabs>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2.2</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委托期限</w:t>
      </w:r>
    </w:p>
    <w:p w14:paraId="6FB57A3D">
      <w:pPr>
        <w:keepNext w:val="0"/>
        <w:keepLines w:val="0"/>
        <w:pageBreakBefore w:val="0"/>
        <w:tabs>
          <w:tab w:val="left" w:pos="720"/>
        </w:tabs>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本协议委托服务期限：</w:t>
      </w:r>
      <w:r>
        <w:rPr>
          <w:rFonts w:hint="eastAsia" w:ascii="仿宋" w:hAnsi="仿宋" w:eastAsia="仿宋" w:cs="仿宋"/>
          <w:color w:val="auto"/>
          <w:sz w:val="28"/>
          <w:szCs w:val="28"/>
          <w:highlight w:val="none"/>
          <w:lang w:val="en-US" w:eastAsia="zh-CN"/>
        </w:rPr>
        <w:t>自签订合同之日</w:t>
      </w:r>
      <w:r>
        <w:rPr>
          <w:rFonts w:hint="eastAsia" w:ascii="仿宋" w:hAnsi="仿宋" w:eastAsia="仿宋" w:cs="仿宋"/>
          <w:color w:val="auto"/>
          <w:sz w:val="28"/>
          <w:szCs w:val="28"/>
          <w:highlight w:val="none"/>
        </w:rPr>
        <w:t>起至2026年11月</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日止，含会议筹备、现场实施、会后资料移交</w:t>
      </w:r>
      <w:r>
        <w:rPr>
          <w:rFonts w:hint="eastAsia" w:ascii="仿宋" w:hAnsi="仿宋" w:eastAsia="仿宋" w:cs="仿宋"/>
          <w:color w:val="auto"/>
          <w:sz w:val="28"/>
          <w:szCs w:val="28"/>
          <w:highlight w:val="none"/>
          <w:lang w:val="en-US" w:eastAsia="zh-CN"/>
        </w:rPr>
        <w:t>等</w:t>
      </w:r>
      <w:r>
        <w:rPr>
          <w:rFonts w:hint="eastAsia" w:ascii="仿宋" w:hAnsi="仿宋" w:eastAsia="仿宋" w:cs="仿宋"/>
          <w:color w:val="auto"/>
          <w:sz w:val="28"/>
          <w:szCs w:val="28"/>
          <w:highlight w:val="none"/>
        </w:rPr>
        <w:t>。</w:t>
      </w:r>
    </w:p>
    <w:p w14:paraId="44CD0023">
      <w:pPr>
        <w:keepNext w:val="0"/>
        <w:keepLines w:val="0"/>
        <w:pageBreakBefore w:val="0"/>
        <w:tabs>
          <w:tab w:val="left" w:pos="720"/>
        </w:tabs>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sz w:val="28"/>
          <w:szCs w:val="28"/>
          <w:highlight w:val="none"/>
        </w:rPr>
      </w:pPr>
      <w:r>
        <w:rPr>
          <w:rFonts w:hint="eastAsia" w:ascii="仿宋" w:hAnsi="仿宋" w:eastAsia="仿宋" w:cs="仿宋"/>
          <w:b/>
          <w:bCs/>
          <w:sz w:val="28"/>
          <w:szCs w:val="28"/>
          <w:highlight w:val="none"/>
        </w:rPr>
        <w:t>三、双方工作内容与责任义务</w:t>
      </w:r>
    </w:p>
    <w:p w14:paraId="07BF88C4">
      <w:pPr>
        <w:keepNext w:val="0"/>
        <w:keepLines w:val="0"/>
        <w:pageBreakBefore w:val="0"/>
        <w:tabs>
          <w:tab w:val="left" w:pos="720"/>
        </w:tabs>
        <w:kinsoku/>
        <w:wordWrap/>
        <w:topLinePunct w:val="0"/>
        <w:autoSpaceDE/>
        <w:autoSpaceDN/>
        <w:bidi w:val="0"/>
        <w:adjustRightInd/>
        <w:snapToGrid/>
        <w:spacing w:line="520" w:lineRule="atLeast"/>
        <w:ind w:left="0" w:leftChars="0" w:firstLine="420" w:firstLineChars="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3.1乙方受托完成以下工作</w:t>
      </w:r>
    </w:p>
    <w:p w14:paraId="4FE81FD1">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（1）编制会议活动策划方案及项目筹备工作计划，提交甲方审核，经甲方书面确认后组织实施；</w:t>
      </w:r>
    </w:p>
    <w:p w14:paraId="7033AB35">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（2）按会议目标邀约行业领导、院士专家、重点产业链企业、科研院所、行业</w:t>
      </w:r>
      <w:r>
        <w:rPr>
          <w:rFonts w:hint="eastAsia" w:ascii="仿宋" w:hAnsi="仿宋" w:eastAsia="仿宋" w:cs="仿宋"/>
          <w:color w:val="auto"/>
          <w:sz w:val="28"/>
          <w:szCs w:val="28"/>
          <w:highlight w:val="none"/>
          <w:u w:val="none"/>
          <w:lang w:val="en-US" w:eastAsia="zh-CN"/>
        </w:rPr>
        <w:t>组织</w:t>
      </w:r>
      <w:r>
        <w:rPr>
          <w:rFonts w:hint="eastAsia" w:ascii="仿宋" w:hAnsi="仿宋" w:eastAsia="仿宋" w:cs="仿宋"/>
          <w:color w:val="auto"/>
          <w:sz w:val="28"/>
          <w:szCs w:val="28"/>
          <w:highlight w:val="none"/>
          <w:u w:val="none"/>
        </w:rPr>
        <w:t>、投融资机构等参会嘉宾代表，总参会规模约150人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不得少于100人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w:t>
      </w:r>
    </w:p>
    <w:p w14:paraId="1BE03C79">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（3）编制接待方案，统筹会议报到、嘉宾接待、会场保障、</w:t>
      </w:r>
      <w:r>
        <w:rPr>
          <w:rFonts w:hint="eastAsia" w:ascii="仿宋" w:hAnsi="仿宋" w:eastAsia="仿宋" w:cs="仿宋"/>
          <w:color w:val="auto"/>
          <w:sz w:val="28"/>
          <w:szCs w:val="28"/>
          <w:highlight w:val="none"/>
          <w:u w:val="none"/>
          <w:lang w:val="en-US" w:eastAsia="zh-CN"/>
        </w:rPr>
        <w:t>会后</w:t>
      </w:r>
      <w:r>
        <w:rPr>
          <w:rFonts w:hint="eastAsia" w:ascii="仿宋" w:hAnsi="仿宋" w:eastAsia="仿宋" w:cs="仿宋"/>
          <w:color w:val="auto"/>
          <w:sz w:val="28"/>
          <w:szCs w:val="28"/>
          <w:highlight w:val="none"/>
          <w:u w:val="none"/>
        </w:rPr>
        <w:t>企业观摩的组织与落地保障；</w:t>
      </w:r>
    </w:p>
    <w:p w14:paraId="15179504">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（4）负责会议主视觉设计及相关物料延展设计，所有策划文件、物料清单、设计稿、执行方案均须报送甲方审核，取得甲方书面认可后方可开展采购及制作；</w:t>
      </w:r>
    </w:p>
    <w:p w14:paraId="00182954">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（5）按照审定的筹备计划完成项目全流程组织与现场落地执行，保质保量完成全部服务工作；</w:t>
      </w:r>
    </w:p>
    <w:p w14:paraId="59AC02B6">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（6）完成会议宣传相关策划落地，配合甲方做好会议新闻、素材归集工作；</w:t>
      </w:r>
    </w:p>
    <w:p w14:paraId="521C4D68">
      <w:pPr>
        <w:keepNext w:val="0"/>
        <w:keepLines w:val="0"/>
        <w:pageBreakBefore w:val="0"/>
        <w:tabs>
          <w:tab w:val="left" w:pos="720"/>
        </w:tabs>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（7）会议结束后按甲方要求完成全部会议资料归档、素材及剩余物料移交工作。</w:t>
      </w:r>
    </w:p>
    <w:p w14:paraId="5628CFE2">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b w:val="0"/>
          <w:bCs/>
          <w:color w:val="auto"/>
          <w:sz w:val="28"/>
          <w:szCs w:val="28"/>
          <w:highlight w:val="none"/>
          <w:u w:val="none"/>
        </w:rPr>
        <w:t>3.2 甲方责任</w:t>
      </w:r>
    </w:p>
    <w:p w14:paraId="29665393">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b w:val="0"/>
          <w:bCs/>
          <w:color w:val="auto"/>
          <w:sz w:val="28"/>
          <w:szCs w:val="28"/>
          <w:highlight w:val="none"/>
          <w:u w:val="none"/>
        </w:rPr>
        <w:t>（1）确保本次会议活动形式、内容符合国家法律法规，履行相关报批报备手续，会议活动内容应与甲乙双方确认方案保持一致；</w:t>
      </w:r>
    </w:p>
    <w:p w14:paraId="24B1E826">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b w:val="0"/>
          <w:bCs/>
          <w:color w:val="auto"/>
          <w:sz w:val="28"/>
          <w:szCs w:val="28"/>
          <w:highlight w:val="none"/>
          <w:u w:val="none"/>
        </w:rPr>
        <w:t>（2）及时向乙方提供会议执行所需图文资料、产业介绍、企业素材等配套物料；</w:t>
      </w:r>
    </w:p>
    <w:p w14:paraId="7EC92148">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b w:val="0"/>
          <w:bCs/>
          <w:color w:val="auto"/>
          <w:sz w:val="28"/>
          <w:szCs w:val="28"/>
          <w:highlight w:val="none"/>
          <w:u w:val="none"/>
        </w:rPr>
        <w:t>（3）指定专人作为项目对接人，组建内部工作团队，做好内外部协同，配合乙方推进嘉宾对接、政府及本地企业协调等相关工作；</w:t>
      </w:r>
    </w:p>
    <w:p w14:paraId="51DE2FC3">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b w:val="0"/>
          <w:bCs/>
          <w:color w:val="auto"/>
          <w:sz w:val="28"/>
          <w:szCs w:val="28"/>
          <w:highlight w:val="none"/>
          <w:u w:val="none"/>
        </w:rPr>
        <w:t>（4）按本协议约定及时支付服务费用；</w:t>
      </w:r>
    </w:p>
    <w:p w14:paraId="01F61A4C">
      <w:pPr>
        <w:keepNext w:val="0"/>
        <w:keepLines w:val="0"/>
        <w:pageBreakBefore w:val="0"/>
        <w:widowControl/>
        <w:kinsoku/>
        <w:wordWrap/>
        <w:overflowPunct/>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b w:val="0"/>
          <w:bCs/>
          <w:color w:val="auto"/>
          <w:sz w:val="28"/>
          <w:szCs w:val="28"/>
          <w:highlight w:val="none"/>
          <w:u w:val="none"/>
        </w:rPr>
        <w:t>（5）对乙方服务全过程进行监督，有权对不符合约定的服务提出整改要求</w:t>
      </w:r>
      <w:r>
        <w:rPr>
          <w:rFonts w:hint="eastAsia" w:ascii="仿宋" w:hAnsi="仿宋" w:eastAsia="仿宋" w:cs="仿宋"/>
          <w:sz w:val="28"/>
          <w:szCs w:val="28"/>
          <w:highlight w:val="none"/>
        </w:rPr>
        <w:t>。</w:t>
      </w:r>
    </w:p>
    <w:p w14:paraId="4033D587">
      <w:pPr>
        <w:keepNext w:val="0"/>
        <w:keepLines w:val="0"/>
        <w:pageBreakBefore w:val="0"/>
        <w:tabs>
          <w:tab w:val="left" w:pos="720"/>
        </w:tabs>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sz w:val="28"/>
          <w:szCs w:val="28"/>
          <w:highlight w:val="none"/>
        </w:rPr>
      </w:pPr>
      <w:r>
        <w:rPr>
          <w:rFonts w:hint="eastAsia" w:ascii="仿宋" w:hAnsi="仿宋" w:eastAsia="仿宋" w:cs="仿宋"/>
          <w:b/>
          <w:sz w:val="28"/>
          <w:szCs w:val="28"/>
          <w:highlight w:val="none"/>
        </w:rPr>
        <w:t>四、甲方权利</w:t>
      </w:r>
      <w:r>
        <w:rPr>
          <w:rFonts w:hint="eastAsia" w:ascii="仿宋" w:hAnsi="仿宋" w:eastAsia="仿宋" w:cs="仿宋"/>
          <w:b/>
          <w:sz w:val="28"/>
          <w:szCs w:val="28"/>
          <w:highlight w:val="none"/>
          <w:lang w:val="en-US" w:eastAsia="zh-CN"/>
        </w:rPr>
        <w:t>与</w:t>
      </w:r>
      <w:r>
        <w:rPr>
          <w:rFonts w:hint="eastAsia" w:ascii="仿宋" w:hAnsi="仿宋" w:eastAsia="仿宋" w:cs="仿宋"/>
          <w:b/>
          <w:sz w:val="28"/>
          <w:szCs w:val="28"/>
          <w:highlight w:val="none"/>
        </w:rPr>
        <w:t>义务</w:t>
      </w:r>
    </w:p>
    <w:p w14:paraId="5803C4E3">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4.1 甲方拥有本次活动相关图形、名称、文字、设计、品牌及活动形式内容等全部物料资料使用权。</w:t>
      </w:r>
    </w:p>
    <w:p w14:paraId="60CB600A">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4.2 甲方有权对乙方服务全过程监督、检查，对不符合要求的服务内容有权要求乙方限期整改。</w:t>
      </w:r>
    </w:p>
    <w:p w14:paraId="0DB00D66">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4.3 甲方应当按照本协议约定按时足额向乙方支付服务费用。</w:t>
      </w:r>
    </w:p>
    <w:p w14:paraId="08281177">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4.4 若产生服务增项，乙方必须向甲方提交书面增项申请，经甲方审核确认并签署补充协议后方可实施；未经甲方书面确认的增项，甲方不予承担任何费用。</w:t>
      </w:r>
    </w:p>
    <w:p w14:paraId="0E06C487">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4.5 甲方有权提出合理修改意见，乙方应根据甲方合理要求调整会议手册、设计及各项执行方案。</w:t>
      </w:r>
    </w:p>
    <w:p w14:paraId="32A81CF2">
      <w:pPr>
        <w:keepNext w:val="0"/>
        <w:keepLines w:val="0"/>
        <w:pageBreakBefore w:val="0"/>
        <w:tabs>
          <w:tab w:val="left" w:pos="720"/>
        </w:tabs>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五、乙方权利与义务</w:t>
      </w:r>
    </w:p>
    <w:p w14:paraId="17B212C5">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5.1 乙方有权按照协议约定收取服务费用。</w:t>
      </w:r>
    </w:p>
    <w:p w14:paraId="35835510">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5.2 乙方组建专职项目执行团队，明确岗位职责，保障各项筹备及现场工作按时、保质完成。</w:t>
      </w:r>
    </w:p>
    <w:p w14:paraId="2EA0C1FC">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5.3 乙方定期向甲方汇报项目筹备进度，及时反馈执行中存在的问题，并提供可行解决方案。</w:t>
      </w:r>
    </w:p>
    <w:p w14:paraId="049FA2ED">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5.4 乙方对履职过程中知悉的甲方商业秘密、会议涉密信息、嘉宾个人信息承担保密义务，相关信息的处理仅限本次会议服务目的使用，涉及个人信息的应当依法进行脱敏处理，保密期限为永久</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未经甲方书面许可不得向第三方泄露，保密义务不因本协议终止而失效。</w:t>
      </w:r>
    </w:p>
    <w:p w14:paraId="6198AE44">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5.5 乙方应当以甲方项目利益为重，提供专业化会务服务，不得发表损害甲方权益的言论。</w:t>
      </w:r>
    </w:p>
    <w:p w14:paraId="78E701F8">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5.6 乙方为自身现场全部执行人员购买人身意外伤害保险；乙方工作人员在履行本协议期间发生人身伤害、财产损失，全部责任由乙方自行承担。</w:t>
      </w:r>
    </w:p>
    <w:p w14:paraId="4A88E6BB">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5.7 会议结束后按甲方要求移交会议全部档案资料、影像素材及剩余物料。</w:t>
      </w:r>
    </w:p>
    <w:p w14:paraId="05518ED7">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5.8乙方指定负责人姓名：</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，职务：</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，联系电话：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乙方指定负责人与甲方进行工作对接及确认。工作内容包括但不限于对接本项目进展情况等，指定负责人对外代表乙方，其关于本合同项下合作的承诺、确认等行为均视为其代表乙方的行为，乙方对此承担法律后果。如乙方负责人或联系方式发生变更应提前7日书面通知甲方，否则视为没有变更。</w:t>
      </w:r>
    </w:p>
    <w:p w14:paraId="6B7C13C9">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、免责条款</w:t>
      </w:r>
    </w:p>
    <w:p w14:paraId="74D77A45">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协议履行期间，因地震、战争、政府管控等不可抗力因素造成会议延迟、中止、取消，双方互不承担违约责任，可选择以下处理方式：</w:t>
      </w:r>
    </w:p>
    <w:p w14:paraId="3B45F9C8">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 xml:space="preserve">6.1 </w:t>
      </w:r>
      <w:r>
        <w:rPr>
          <w:rFonts w:hint="eastAsia" w:ascii="仿宋" w:hAnsi="仿宋" w:eastAsia="仿宋" w:cs="仿宋"/>
          <w:sz w:val="28"/>
          <w:szCs w:val="28"/>
          <w:highlight w:val="none"/>
          <w:u w:val="none"/>
        </w:rPr>
        <w:t>活动顺延：调整会议举办时间，本协议一票制服务总费用保持不变；</w:t>
      </w:r>
    </w:p>
    <w:p w14:paraId="1D0CFB2B">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u w:val="none"/>
          <w:lang w:val="en-US" w:eastAsia="zh-CN"/>
        </w:rPr>
        <w:t xml:space="preserve">6.2 </w:t>
      </w:r>
      <w:r>
        <w:rPr>
          <w:rFonts w:hint="eastAsia" w:ascii="仿宋" w:hAnsi="仿宋" w:eastAsia="仿宋" w:cs="仿宋"/>
          <w:sz w:val="28"/>
          <w:szCs w:val="28"/>
          <w:highlight w:val="none"/>
          <w:u w:val="none"/>
        </w:rPr>
        <w:t>活动取消：甲乙双方共同核算乙方已实际发生的合规费用，经双方确认后从总费用中予以扣除，剩余款项由乙方退还甲方。</w:t>
      </w:r>
    </w:p>
    <w:p w14:paraId="0442E547">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七、服务费用及支付方式</w:t>
      </w:r>
    </w:p>
    <w:p w14:paraId="0E0AD903">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7.1 </w:t>
      </w:r>
      <w:r>
        <w:rPr>
          <w:rFonts w:hint="eastAsia" w:ascii="仿宋" w:hAnsi="仿宋" w:eastAsia="仿宋" w:cs="仿宋"/>
          <w:color w:val="auto"/>
          <w:sz w:val="28"/>
          <w:szCs w:val="28"/>
          <w:highlight w:val="none"/>
          <w:u w:val="none"/>
        </w:rPr>
        <w:t>本项目为一票制总价包干服务，乙方全过程服务费总金额为人民币</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rPr>
        <w:t>元（大写：</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rPr>
        <w:t>万</w:t>
      </w:r>
      <w:r>
        <w:rPr>
          <w:rFonts w:hint="eastAsia" w:ascii="仿宋" w:hAnsi="仿宋" w:eastAsia="仿宋" w:cs="仿宋"/>
          <w:sz w:val="28"/>
          <w:szCs w:val="28"/>
          <w:highlight w:val="none"/>
          <w:u w:val="none"/>
        </w:rPr>
        <w:t>元整），含税，增值税征收率1%。该费用包含本协议约定乙方全部工作对应的人工、设计、嘉宾邀约、会务统筹、宣传、现场执行、物料等全部相关成本，除甲方书面确认的增项外，甲方不</w:t>
      </w:r>
      <w:r>
        <w:rPr>
          <w:rFonts w:hint="eastAsia" w:ascii="仿宋" w:hAnsi="仿宋" w:eastAsia="仿宋" w:cs="仿宋"/>
          <w:sz w:val="28"/>
          <w:szCs w:val="28"/>
          <w:highlight w:val="none"/>
          <w:u w:val="none"/>
          <w:lang w:val="en-US" w:eastAsia="zh-CN"/>
        </w:rPr>
        <w:t>再</w:t>
      </w:r>
      <w:r>
        <w:rPr>
          <w:rFonts w:hint="eastAsia" w:ascii="仿宋" w:hAnsi="仿宋" w:eastAsia="仿宋" w:cs="仿宋"/>
          <w:sz w:val="28"/>
          <w:szCs w:val="28"/>
          <w:highlight w:val="none"/>
          <w:u w:val="none"/>
        </w:rPr>
        <w:t>支付其他费用。</w:t>
      </w:r>
    </w:p>
    <w:p w14:paraId="3829601B">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7.2 款项支付节点：</w:t>
      </w:r>
    </w:p>
    <w:p w14:paraId="31034C62">
      <w:pPr>
        <w:keepNext w:val="0"/>
        <w:keepLines w:val="0"/>
        <w:pageBreakBefore w:val="0"/>
        <w:kinsoku/>
        <w:wordWrap/>
        <w:topLinePunct w:val="0"/>
        <w:autoSpaceDE/>
        <w:autoSpaceDN/>
        <w:bidi w:val="0"/>
        <w:adjustRightInd/>
        <w:snapToGrid/>
        <w:spacing w:line="520" w:lineRule="atLeast"/>
        <w:ind w:left="210" w:leftChars="100" w:firstLine="280" w:firstLineChars="1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（1）第一期：本协议生效后</w:t>
      </w:r>
      <w:r>
        <w:rPr>
          <w:rFonts w:hint="eastAsia" w:ascii="仿宋" w:hAnsi="仿宋" w:eastAsia="仿宋" w:cs="仿宋"/>
          <w:sz w:val="28"/>
          <w:szCs w:val="28"/>
          <w:highlight w:val="none"/>
          <w:u w:val="none"/>
          <w:lang w:val="en-US" w:eastAsia="zh-CN"/>
        </w:rPr>
        <w:t>5个工作日内</w:t>
      </w:r>
      <w:r>
        <w:rPr>
          <w:rFonts w:hint="eastAsia" w:ascii="仿宋" w:hAnsi="仿宋" w:eastAsia="仿宋" w:cs="仿宋"/>
          <w:sz w:val="28"/>
          <w:szCs w:val="28"/>
          <w:highlight w:val="none"/>
          <w:u w:val="none"/>
        </w:rPr>
        <w:t>，甲方向乙方支付合同总金额的80%，即人民币</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rPr>
        <w:t>元（大写：</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rPr>
        <w:t>万元整）；</w:t>
      </w:r>
    </w:p>
    <w:p w14:paraId="00F8FB45">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（2）第二期</w:t>
      </w:r>
      <w:r>
        <w:rPr>
          <w:rFonts w:hint="eastAsia" w:ascii="仿宋" w:hAnsi="仿宋" w:eastAsia="仿宋" w:cs="仿宋"/>
          <w:strike w:val="0"/>
          <w:sz w:val="28"/>
          <w:szCs w:val="28"/>
          <w:highlight w:val="none"/>
          <w:u w:val="none"/>
        </w:rPr>
        <w:t>（尾款）</w:t>
      </w:r>
      <w:r>
        <w:rPr>
          <w:rFonts w:hint="eastAsia" w:ascii="仿宋" w:hAnsi="仿宋" w:eastAsia="仿宋" w:cs="仿宋"/>
          <w:sz w:val="28"/>
          <w:szCs w:val="28"/>
          <w:highlight w:val="none"/>
          <w:u w:val="none"/>
        </w:rPr>
        <w:t>：会议结束后15个自然日内，甲乙双方核对全部服务完成情况，确认服务质量达标后，甲方向乙方支付合同总金额20%尾款，即人民币</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rPr>
        <w:t>元（大写：</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rPr>
        <w:t>万元整）。</w:t>
      </w:r>
    </w:p>
    <w:p w14:paraId="03C2C8F6">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color w:val="auto"/>
          <w:sz w:val="28"/>
          <w:szCs w:val="28"/>
          <w:highlight w:val="none"/>
          <w:u w:val="none"/>
        </w:rPr>
        <w:t>乙方应在甲方付款前开具</w:t>
      </w:r>
      <w:r>
        <w:rPr>
          <w:rFonts w:hint="eastAsia" w:ascii="仿宋" w:hAnsi="仿宋" w:eastAsia="仿宋" w:cs="仿宋"/>
          <w:color w:val="auto"/>
          <w:sz w:val="28"/>
          <w:szCs w:val="28"/>
          <w:highlight w:val="none"/>
          <w:u w:val="none"/>
          <w:lang w:val="en-US" w:eastAsia="zh-CN"/>
        </w:rPr>
        <w:t>符合甲方要求的</w:t>
      </w:r>
      <w:r>
        <w:rPr>
          <w:rFonts w:hint="eastAsia" w:ascii="仿宋" w:hAnsi="仿宋" w:eastAsia="仿宋" w:cs="仿宋"/>
          <w:color w:val="auto"/>
          <w:sz w:val="28"/>
          <w:szCs w:val="28"/>
          <w:highlight w:val="none"/>
          <w:u w:val="none"/>
        </w:rPr>
        <w:t>等额合规增值税</w:t>
      </w:r>
      <w:r>
        <w:rPr>
          <w:rFonts w:hint="eastAsia" w:ascii="仿宋" w:hAnsi="仿宋" w:eastAsia="仿宋" w:cs="仿宋"/>
          <w:sz w:val="28"/>
          <w:szCs w:val="28"/>
          <w:highlight w:val="none"/>
          <w:u w:val="none"/>
        </w:rPr>
        <w:t>发票并送达甲方，否则甲方有权顺延付款，且不承担逾期付款责任。</w:t>
      </w:r>
    </w:p>
    <w:p w14:paraId="4154D15A">
      <w:pPr>
        <w:keepNext w:val="0"/>
        <w:keepLines w:val="0"/>
        <w:pageBreakBefore w:val="0"/>
        <w:kinsoku/>
        <w:wordWrap/>
        <w:topLinePunct w:val="0"/>
        <w:autoSpaceDE/>
        <w:autoSpaceDN/>
        <w:bidi w:val="0"/>
        <w:adjustRightInd/>
        <w:snapToGrid/>
        <w:spacing w:line="520" w:lineRule="atLeast"/>
        <w:ind w:left="0" w:leftChars="0" w:firstLine="42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u w:val="none"/>
          <w:lang w:val="en-US" w:eastAsia="zh-CN"/>
        </w:rPr>
        <w:t>7</w:t>
      </w:r>
      <w:r>
        <w:rPr>
          <w:rFonts w:hint="eastAsia" w:ascii="仿宋" w:hAnsi="仿宋" w:eastAsia="仿宋" w:cs="仿宋"/>
          <w:sz w:val="28"/>
          <w:szCs w:val="28"/>
          <w:highlight w:val="none"/>
          <w:u w:val="none"/>
        </w:rPr>
        <w:t>.3乙方</w:t>
      </w:r>
      <w:r>
        <w:rPr>
          <w:rFonts w:hint="eastAsia" w:ascii="仿宋" w:hAnsi="仿宋" w:eastAsia="仿宋" w:cs="仿宋"/>
          <w:sz w:val="28"/>
          <w:szCs w:val="28"/>
          <w:highlight w:val="none"/>
        </w:rPr>
        <w:t>收款账户信息：</w:t>
      </w:r>
    </w:p>
    <w:p w14:paraId="6F588BA9">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账户名称：</w:t>
      </w:r>
    </w:p>
    <w:p w14:paraId="2CC25FDA">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银行账号：</w:t>
      </w:r>
    </w:p>
    <w:p w14:paraId="386E09DD">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p>
    <w:p w14:paraId="481DF12D">
      <w:pPr>
        <w:keepNext w:val="0"/>
        <w:keepLines w:val="0"/>
        <w:pageBreakBefore w:val="0"/>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八、</w:t>
      </w:r>
      <w:r>
        <w:rPr>
          <w:rFonts w:hint="eastAsia" w:ascii="仿宋" w:hAnsi="仿宋" w:eastAsia="仿宋" w:cs="仿宋"/>
          <w:b/>
          <w:sz w:val="28"/>
          <w:szCs w:val="28"/>
          <w:highlight w:val="none"/>
        </w:rPr>
        <w:t>违约责任</w:t>
      </w:r>
    </w:p>
    <w:p w14:paraId="190F4315">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8.1 因不可抗力造成损失，按本协议第六条执行，双方互不承担违约赔偿责任。</w:t>
      </w:r>
    </w:p>
    <w:p w14:paraId="3DCAB862">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8.2 甲乙双方均应当全面履行本协议约定，一方未及时、充分履行合同义务，构成违约；违约方应当赔偿守约方因此遭受的直接经济损失。</w:t>
      </w:r>
    </w:p>
    <w:p w14:paraId="793008E7">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rPr>
        <w:t>8.3 若因乙方原因，造成会议无法正常举办，或者实际执行严重偏离甲乙双方确认的策划方案，属于乙方重大违约</w:t>
      </w:r>
      <w:r>
        <w:rPr>
          <w:rFonts w:hint="eastAsia" w:ascii="仿宋" w:hAnsi="仿宋" w:eastAsia="仿宋" w:cs="仿宋"/>
          <w:sz w:val="28"/>
          <w:szCs w:val="28"/>
          <w:highlight w:val="none"/>
          <w:u w:val="none"/>
          <w:lang w:eastAsia="zh-CN"/>
        </w:rPr>
        <w:t>，</w:t>
      </w:r>
      <w:r>
        <w:rPr>
          <w:rFonts w:hint="eastAsia" w:ascii="仿宋" w:hAnsi="仿宋" w:eastAsia="仿宋" w:cs="仿宋"/>
          <w:strike w:val="0"/>
          <w:sz w:val="28"/>
          <w:szCs w:val="28"/>
          <w:highlight w:val="none"/>
          <w:u w:val="none"/>
          <w:lang w:val="en-US" w:eastAsia="zh-CN"/>
        </w:rPr>
        <w:t>甲方不再支付尾款</w:t>
      </w:r>
      <w:r>
        <w:rPr>
          <w:rFonts w:hint="eastAsia" w:ascii="仿宋" w:hAnsi="仿宋" w:eastAsia="仿宋" w:cs="仿宋"/>
          <w:sz w:val="28"/>
          <w:szCs w:val="28"/>
          <w:highlight w:val="none"/>
          <w:u w:val="none"/>
        </w:rPr>
        <w:t>。未结算款项甲方有权予以扣减；若款项已经支付，乙方应当向甲方退还对应服务费用，</w:t>
      </w:r>
      <w:r>
        <w:rPr>
          <w:rFonts w:hint="eastAsia" w:ascii="仿宋" w:hAnsi="仿宋" w:eastAsia="仿宋" w:cs="仿宋"/>
          <w:sz w:val="28"/>
          <w:szCs w:val="28"/>
          <w:highlight w:val="none"/>
          <w:u w:val="none"/>
          <w:lang w:val="en-US" w:eastAsia="zh-CN"/>
        </w:rPr>
        <w:t>违约金不足以弥补给甲方造成的损失的，乙方还应当</w:t>
      </w:r>
      <w:r>
        <w:rPr>
          <w:rFonts w:hint="eastAsia" w:ascii="仿宋" w:hAnsi="仿宋" w:eastAsia="仿宋" w:cs="仿宋"/>
          <w:sz w:val="28"/>
          <w:szCs w:val="28"/>
          <w:highlight w:val="none"/>
          <w:u w:val="none"/>
        </w:rPr>
        <w:t>赔偿甲方由此产生的全部损失</w:t>
      </w:r>
      <w:r>
        <w:rPr>
          <w:rFonts w:hint="eastAsia" w:ascii="仿宋" w:hAnsi="仿宋" w:eastAsia="仿宋" w:cs="仿宋"/>
          <w:sz w:val="28"/>
          <w:szCs w:val="28"/>
          <w:highlight w:val="none"/>
          <w:u w:val="none"/>
          <w:lang w:eastAsia="zh-CN"/>
        </w:rPr>
        <w:t>。</w:t>
      </w:r>
    </w:p>
    <w:p w14:paraId="669FBDA7">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rPr>
        <w:t>8.4 乙方负责现场施工、搭建等工作的安全管理，所有现场施工须遵守场地场馆安全规范，因乙方原因违反安全规范产生的全部损失、赔偿责任均由乙方承担。</w:t>
      </w:r>
      <w:r>
        <w:rPr>
          <w:rFonts w:hint="eastAsia" w:ascii="仿宋" w:hAnsi="仿宋" w:eastAsia="仿宋" w:cs="仿宋"/>
          <w:sz w:val="28"/>
          <w:szCs w:val="28"/>
          <w:highlight w:val="none"/>
          <w:u w:val="none"/>
          <w:lang w:val="en-US" w:eastAsia="zh-CN"/>
        </w:rPr>
        <w:t>若由此导致其他第三方向甲方索赔，乙方承担全部责任。</w:t>
      </w:r>
    </w:p>
    <w:p w14:paraId="5C5176FB">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8.5 守约方向违约方发出书面整改通知，违约方收到通知十日内仍未整改到位的，守约方可以书面通知单方解除本</w:t>
      </w:r>
      <w:bookmarkStart w:id="122" w:name="_GoBack"/>
      <w:bookmarkEnd w:id="122"/>
      <w:r>
        <w:rPr>
          <w:rFonts w:hint="eastAsia" w:ascii="仿宋" w:hAnsi="仿宋" w:eastAsia="仿宋" w:cs="仿宋"/>
          <w:sz w:val="28"/>
          <w:szCs w:val="28"/>
          <w:highlight w:val="none"/>
          <w:u w:val="none"/>
        </w:rPr>
        <w:t>协议；协议自解除通知送达之日生效。</w:t>
      </w:r>
    </w:p>
    <w:p w14:paraId="2B42BD10">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8.6 协议提前终止，不影响协议终止前双方已经产生的权利义务。</w:t>
      </w:r>
    </w:p>
    <w:p w14:paraId="2028054D">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8.7 应由乙方支付的违约金或相应费用，甲方有权直接从应付款项中予以扣除。</w:t>
      </w:r>
    </w:p>
    <w:p w14:paraId="1DE04A65">
      <w:pPr>
        <w:keepNext w:val="0"/>
        <w:keepLines w:val="0"/>
        <w:pageBreakBefore w:val="0"/>
        <w:widowControl/>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九、保密义务和知识产权</w:t>
      </w:r>
    </w:p>
    <w:p w14:paraId="7E8AE468">
      <w:pPr>
        <w:keepNext w:val="0"/>
        <w:keepLines w:val="0"/>
        <w:pageBreakBefore w:val="0"/>
        <w:kinsoku/>
        <w:wordWrap/>
        <w:overflowPunct w:val="0"/>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9.1 协议</w:t>
      </w:r>
      <w:r>
        <w:rPr>
          <w:rFonts w:hint="eastAsia" w:ascii="仿宋" w:hAnsi="仿宋" w:eastAsia="仿宋" w:cs="仿宋"/>
          <w:sz w:val="28"/>
          <w:szCs w:val="28"/>
          <w:highlight w:val="none"/>
          <w:lang w:val="en-US" w:eastAsia="zh-CN" w:bidi="ar"/>
        </w:rPr>
        <w:t>签署后</w:t>
      </w:r>
      <w:r>
        <w:rPr>
          <w:rFonts w:hint="eastAsia" w:ascii="仿宋" w:hAnsi="仿宋" w:eastAsia="仿宋" w:cs="仿宋"/>
          <w:sz w:val="28"/>
          <w:szCs w:val="28"/>
          <w:highlight w:val="none"/>
          <w:lang w:bidi="ar"/>
        </w:rPr>
        <w:t>，一方向另一方提供的参考资料知识产权归资料提供方所有；未经提供方书面许可，另一方不得复制、用于本项目之外其他用途，否则应当承担相应法律责任。</w:t>
      </w:r>
    </w:p>
    <w:p w14:paraId="5EB99B41">
      <w:pPr>
        <w:keepNext w:val="0"/>
        <w:keepLines w:val="0"/>
        <w:pageBreakBefore w:val="0"/>
        <w:kinsoku/>
        <w:wordWrap/>
        <w:overflowPunct w:val="0"/>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9.2 由乙方根据甲方要求制作、留存的会议物料文件，所有权归属甲方。乙方仅可为履行本协议之目的留存必要副本，未经甲方书面许可不得对外传播泄露或用于本项目之外的其他用途。乙方输出的策划方案、调研报告类文件知识产权归</w:t>
      </w:r>
      <w:r>
        <w:rPr>
          <w:rFonts w:hint="eastAsia" w:ascii="仿宋" w:hAnsi="仿宋" w:eastAsia="仿宋" w:cs="仿宋"/>
          <w:sz w:val="28"/>
          <w:szCs w:val="28"/>
          <w:highlight w:val="none"/>
          <w:lang w:val="en-US" w:eastAsia="zh-CN" w:bidi="ar"/>
        </w:rPr>
        <w:t>甲方</w:t>
      </w:r>
      <w:r>
        <w:rPr>
          <w:rFonts w:hint="eastAsia" w:ascii="仿宋" w:hAnsi="仿宋" w:eastAsia="仿宋" w:cs="仿宋"/>
          <w:sz w:val="28"/>
          <w:szCs w:val="28"/>
          <w:highlight w:val="none"/>
          <w:lang w:bidi="ar"/>
        </w:rPr>
        <w:t>所有，甲方仅可用于本次会议相关工作，不得擅自对外泄露传播。</w:t>
      </w:r>
    </w:p>
    <w:p w14:paraId="799CB2F9">
      <w:pPr>
        <w:keepNext w:val="0"/>
        <w:keepLines w:val="0"/>
        <w:pageBreakBefore w:val="0"/>
        <w:kinsoku/>
        <w:wordWrap/>
        <w:overflowPunct w:val="0"/>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9.3 甲乙双方对本协议文本、协议条款、项目相关商业信息负有保密义务，未经对方书面同意，不得向第三方披露。</w:t>
      </w:r>
    </w:p>
    <w:p w14:paraId="0DC3F271">
      <w:pPr>
        <w:keepNext w:val="0"/>
        <w:keepLines w:val="0"/>
        <w:pageBreakBefore w:val="0"/>
        <w:kinsoku/>
        <w:wordWrap/>
        <w:topLinePunct w:val="0"/>
        <w:autoSpaceDE/>
        <w:autoSpaceDN/>
        <w:bidi w:val="0"/>
        <w:adjustRightInd/>
        <w:snapToGrid/>
        <w:spacing w:line="520" w:lineRule="atLeast"/>
        <w:ind w:left="0" w:leftChars="0" w:firstLine="562" w:firstLineChars="200"/>
        <w:jc w:val="both"/>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十、其他约定</w:t>
      </w:r>
    </w:p>
    <w:p w14:paraId="28CF2947">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10.1 </w:t>
      </w:r>
      <w:r>
        <w:rPr>
          <w:rFonts w:hint="eastAsia" w:ascii="仿宋" w:hAnsi="仿宋" w:eastAsia="仿宋" w:cs="仿宋"/>
          <w:sz w:val="28"/>
          <w:szCs w:val="28"/>
          <w:highlight w:val="none"/>
          <w:u w:val="none"/>
          <w:lang w:val="en-US" w:eastAsia="zh-CN"/>
        </w:rPr>
        <w:t>双方一致确认</w:t>
      </w:r>
      <w:r>
        <w:rPr>
          <w:rFonts w:hint="eastAsia" w:ascii="仿宋" w:hAnsi="仿宋" w:eastAsia="仿宋" w:cs="仿宋"/>
          <w:sz w:val="28"/>
          <w:szCs w:val="28"/>
          <w:highlight w:val="none"/>
          <w:u w:val="none"/>
        </w:rPr>
        <w:t>本合同记载的地址为各方的送达地址，若送达地址及联系方式变更，变更方应于变更之日起三日内书面通知对方。任何一方或司法机关因本合同相关事宜发送的包括但不限于各种文件、通知、传票、法律文书等相关文书按合同记载地址邮寄，签收日期即视送达之日。如因提供的送达地址不准确、指定收件人拒绝签收、送达地址变更未及时书面通知对方等原因导致相关文书未能被受送达人实际接收的，邮件回执上注明的退回之日视为送达之日。</w:t>
      </w:r>
    </w:p>
    <w:p w14:paraId="0288F43B">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10.</w:t>
      </w:r>
      <w:r>
        <w:rPr>
          <w:rFonts w:hint="eastAsia" w:ascii="仿宋" w:hAnsi="仿宋" w:eastAsia="仿宋" w:cs="仿宋"/>
          <w:sz w:val="28"/>
          <w:szCs w:val="28"/>
          <w:highlight w:val="none"/>
          <w:u w:val="none"/>
          <w:lang w:val="en-US" w:eastAsia="zh-CN"/>
        </w:rPr>
        <w:t>2</w:t>
      </w:r>
      <w:r>
        <w:rPr>
          <w:rFonts w:hint="eastAsia" w:ascii="仿宋" w:hAnsi="仿宋" w:eastAsia="仿宋" w:cs="仿宋"/>
          <w:sz w:val="28"/>
          <w:szCs w:val="28"/>
          <w:highlight w:val="none"/>
          <w:u w:val="none"/>
        </w:rPr>
        <w:t xml:space="preserve"> 本协议自甲乙双方法定代表人或授权代表签字并加盖公章</w:t>
      </w:r>
      <w:r>
        <w:rPr>
          <w:rFonts w:hint="eastAsia" w:ascii="仿宋" w:hAnsi="仿宋" w:eastAsia="仿宋" w:cs="仿宋"/>
          <w:sz w:val="28"/>
          <w:szCs w:val="28"/>
          <w:highlight w:val="none"/>
          <w:u w:val="none"/>
          <w:lang w:val="en-US" w:eastAsia="zh-CN"/>
        </w:rPr>
        <w:t>/</w:t>
      </w:r>
      <w:r>
        <w:rPr>
          <w:rFonts w:hint="eastAsia" w:ascii="仿宋" w:hAnsi="仿宋" w:eastAsia="仿宋" w:cs="仿宋"/>
          <w:sz w:val="28"/>
          <w:szCs w:val="28"/>
          <w:highlight w:val="none"/>
          <w:u w:val="none"/>
        </w:rPr>
        <w:t>合同专用章之日生效。本协议一式肆份，甲乙双方各执贰份，具有同等法律效力。</w:t>
      </w:r>
    </w:p>
    <w:p w14:paraId="77410F38">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10.</w:t>
      </w:r>
      <w:r>
        <w:rPr>
          <w:rFonts w:hint="eastAsia" w:ascii="仿宋" w:hAnsi="仿宋" w:eastAsia="仿宋" w:cs="仿宋"/>
          <w:sz w:val="28"/>
          <w:szCs w:val="28"/>
          <w:highlight w:val="none"/>
          <w:u w:val="none"/>
          <w:lang w:val="en-US" w:eastAsia="zh-CN"/>
        </w:rPr>
        <w:t>3</w:t>
      </w:r>
      <w:r>
        <w:rPr>
          <w:rFonts w:hint="eastAsia" w:ascii="仿宋" w:hAnsi="仿宋" w:eastAsia="仿宋" w:cs="仿宋"/>
          <w:sz w:val="28"/>
          <w:szCs w:val="28"/>
          <w:highlight w:val="none"/>
          <w:u w:val="none"/>
        </w:rPr>
        <w:t xml:space="preserve"> 本协议未尽事宜，双方协商后签订书面补充协议，补充协议与本协议具有同等法律效力。</w:t>
      </w:r>
    </w:p>
    <w:p w14:paraId="3E62F935">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u w:val="none"/>
          <w:lang w:val="en-US" w:eastAsia="zh-CN"/>
        </w:rPr>
        <w:t>10.4 因本协议产生的或与本协议有关的任何争议，双方应协商解决；协商不成的，任何一方均有权向甲方所在地有管辖权的人民法院提起诉讼。</w:t>
      </w:r>
      <w:r>
        <w:rPr>
          <w:rFonts w:hint="eastAsia" w:ascii="仿宋" w:hAnsi="仿宋" w:eastAsia="仿宋" w:cs="仿宋"/>
          <w:sz w:val="28"/>
          <w:szCs w:val="28"/>
          <w:highlight w:val="none"/>
          <w:u w:val="none"/>
        </w:rPr>
        <w:t>为实现债权发生的包括但不限于诉讼费、律师费、保全费、保全保险费、交通费等一切费用均应由败诉方承担。</w:t>
      </w:r>
    </w:p>
    <w:p w14:paraId="57AB40C0">
      <w:pPr>
        <w:keepNext w:val="0"/>
        <w:keepLines w:val="0"/>
        <w:pageBreakBefore w:val="0"/>
        <w:kinsoku/>
        <w:wordWrap/>
        <w:topLinePunct w:val="0"/>
        <w:autoSpaceDE/>
        <w:autoSpaceDN/>
        <w:bidi w:val="0"/>
        <w:adjustRightInd/>
        <w:snapToGrid/>
        <w:spacing w:line="520" w:lineRule="atLeast"/>
        <w:ind w:left="0" w:leftChars="0"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（以下无正文）</w:t>
      </w:r>
    </w:p>
    <w:tbl>
      <w:tblPr>
        <w:tblStyle w:val="53"/>
        <w:tblpPr w:leftFromText="180" w:rightFromText="180" w:vertAnchor="text" w:horzAnchor="page" w:tblpX="1205" w:tblpY="13"/>
        <w:tblOverlap w:val="never"/>
        <w:tblW w:w="9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36"/>
        <w:gridCol w:w="2556"/>
        <w:gridCol w:w="2017"/>
        <w:gridCol w:w="2389"/>
      </w:tblGrid>
      <w:tr w14:paraId="6F164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136" w:type="dxa"/>
            <w:tcBorders>
              <w:tl2br w:val="nil"/>
              <w:tr2bl w:val="nil"/>
            </w:tcBorders>
            <w:vAlign w:val="center"/>
          </w:tcPr>
          <w:p w14:paraId="6A8ED4AC">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rPr>
              <w:t>甲方（盖章）：</w:t>
            </w:r>
          </w:p>
        </w:tc>
        <w:tc>
          <w:tcPr>
            <w:tcW w:w="2556" w:type="dxa"/>
            <w:tcBorders>
              <w:tl2br w:val="nil"/>
              <w:tr2bl w:val="nil"/>
            </w:tcBorders>
            <w:vAlign w:val="center"/>
          </w:tcPr>
          <w:p w14:paraId="6F1EB8B1">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c>
          <w:tcPr>
            <w:tcW w:w="2017" w:type="dxa"/>
            <w:tcBorders>
              <w:tl2br w:val="nil"/>
              <w:tr2bl w:val="nil"/>
            </w:tcBorders>
            <w:vAlign w:val="center"/>
          </w:tcPr>
          <w:p w14:paraId="32363601">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乙</w:t>
            </w:r>
            <w:r>
              <w:rPr>
                <w:rFonts w:hint="eastAsia" w:ascii="仿宋" w:hAnsi="仿宋" w:eastAsia="仿宋" w:cs="仿宋"/>
                <w:color w:val="auto"/>
                <w:sz w:val="28"/>
                <w:szCs w:val="28"/>
                <w:highlight w:val="none"/>
              </w:rPr>
              <w:t>方（盖章）：</w:t>
            </w:r>
          </w:p>
        </w:tc>
        <w:tc>
          <w:tcPr>
            <w:tcW w:w="2389" w:type="dxa"/>
            <w:tcBorders>
              <w:tl2br w:val="nil"/>
              <w:tr2bl w:val="nil"/>
            </w:tcBorders>
            <w:vAlign w:val="center"/>
          </w:tcPr>
          <w:p w14:paraId="3174DB72">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r>
      <w:tr w14:paraId="017B6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136" w:type="dxa"/>
            <w:tcBorders>
              <w:tl2br w:val="nil"/>
              <w:tr2bl w:val="nil"/>
            </w:tcBorders>
            <w:vAlign w:val="center"/>
          </w:tcPr>
          <w:p w14:paraId="53F0B0C0">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法定代表人：</w:t>
            </w:r>
          </w:p>
        </w:tc>
        <w:tc>
          <w:tcPr>
            <w:tcW w:w="2556" w:type="dxa"/>
            <w:tcBorders>
              <w:tl2br w:val="nil"/>
              <w:tr2bl w:val="nil"/>
            </w:tcBorders>
            <w:vAlign w:val="center"/>
          </w:tcPr>
          <w:p w14:paraId="6D7F2B61">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c>
          <w:tcPr>
            <w:tcW w:w="2017" w:type="dxa"/>
            <w:tcBorders>
              <w:tl2br w:val="nil"/>
              <w:tr2bl w:val="nil"/>
            </w:tcBorders>
            <w:vAlign w:val="center"/>
          </w:tcPr>
          <w:p w14:paraId="150A0FBA">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法定代表人：</w:t>
            </w:r>
          </w:p>
        </w:tc>
        <w:tc>
          <w:tcPr>
            <w:tcW w:w="2389" w:type="dxa"/>
            <w:tcBorders>
              <w:tl2br w:val="nil"/>
              <w:tr2bl w:val="nil"/>
            </w:tcBorders>
            <w:vAlign w:val="center"/>
          </w:tcPr>
          <w:p w14:paraId="57D1947A">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r>
      <w:tr w14:paraId="444C8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136" w:type="dxa"/>
            <w:tcBorders>
              <w:tl2br w:val="nil"/>
              <w:tr2bl w:val="nil"/>
            </w:tcBorders>
            <w:vAlign w:val="center"/>
          </w:tcPr>
          <w:p w14:paraId="6219192F">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经办人：</w:t>
            </w:r>
          </w:p>
        </w:tc>
        <w:tc>
          <w:tcPr>
            <w:tcW w:w="2556" w:type="dxa"/>
            <w:tcBorders>
              <w:tl2br w:val="nil"/>
              <w:tr2bl w:val="nil"/>
            </w:tcBorders>
            <w:vAlign w:val="center"/>
          </w:tcPr>
          <w:p w14:paraId="6035221D">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c>
          <w:tcPr>
            <w:tcW w:w="2017" w:type="dxa"/>
            <w:tcBorders>
              <w:tl2br w:val="nil"/>
              <w:tr2bl w:val="nil"/>
            </w:tcBorders>
            <w:vAlign w:val="center"/>
          </w:tcPr>
          <w:p w14:paraId="25C62E33">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经办人：</w:t>
            </w:r>
          </w:p>
        </w:tc>
        <w:tc>
          <w:tcPr>
            <w:tcW w:w="2389" w:type="dxa"/>
            <w:tcBorders>
              <w:tl2br w:val="nil"/>
              <w:tr2bl w:val="nil"/>
            </w:tcBorders>
            <w:vAlign w:val="center"/>
          </w:tcPr>
          <w:p w14:paraId="4AA41F8D">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r>
      <w:tr w14:paraId="094FB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136" w:type="dxa"/>
            <w:tcBorders>
              <w:tl2br w:val="nil"/>
              <w:tr2bl w:val="nil"/>
            </w:tcBorders>
            <w:vAlign w:val="center"/>
          </w:tcPr>
          <w:p w14:paraId="60F5E677">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联系方式：</w:t>
            </w:r>
          </w:p>
        </w:tc>
        <w:tc>
          <w:tcPr>
            <w:tcW w:w="2556" w:type="dxa"/>
            <w:tcBorders>
              <w:tl2br w:val="nil"/>
              <w:tr2bl w:val="nil"/>
            </w:tcBorders>
            <w:vAlign w:val="center"/>
          </w:tcPr>
          <w:p w14:paraId="4BC019ED">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c>
          <w:tcPr>
            <w:tcW w:w="2017" w:type="dxa"/>
            <w:tcBorders>
              <w:tl2br w:val="nil"/>
              <w:tr2bl w:val="nil"/>
            </w:tcBorders>
            <w:vAlign w:val="center"/>
          </w:tcPr>
          <w:p w14:paraId="36A6B88C">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联系方式：</w:t>
            </w:r>
          </w:p>
        </w:tc>
        <w:tc>
          <w:tcPr>
            <w:tcW w:w="2389" w:type="dxa"/>
            <w:tcBorders>
              <w:tl2br w:val="nil"/>
              <w:tr2bl w:val="nil"/>
            </w:tcBorders>
            <w:vAlign w:val="center"/>
          </w:tcPr>
          <w:p w14:paraId="5A8D3863">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r>
      <w:tr w14:paraId="4EB0E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136" w:type="dxa"/>
            <w:tcBorders>
              <w:tl2br w:val="nil"/>
              <w:tr2bl w:val="nil"/>
            </w:tcBorders>
            <w:vAlign w:val="center"/>
          </w:tcPr>
          <w:p w14:paraId="0CF60DE8">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签署日期：</w:t>
            </w:r>
          </w:p>
        </w:tc>
        <w:tc>
          <w:tcPr>
            <w:tcW w:w="2556" w:type="dxa"/>
            <w:tcBorders>
              <w:tl2br w:val="nil"/>
              <w:tr2bl w:val="nil"/>
            </w:tcBorders>
            <w:vAlign w:val="center"/>
          </w:tcPr>
          <w:p w14:paraId="04B1AE28">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c>
          <w:tcPr>
            <w:tcW w:w="2017" w:type="dxa"/>
            <w:tcBorders>
              <w:tl2br w:val="nil"/>
              <w:tr2bl w:val="nil"/>
            </w:tcBorders>
            <w:vAlign w:val="center"/>
          </w:tcPr>
          <w:p w14:paraId="29EBCE8F">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签署日期：</w:t>
            </w:r>
          </w:p>
        </w:tc>
        <w:tc>
          <w:tcPr>
            <w:tcW w:w="2389" w:type="dxa"/>
            <w:tcBorders>
              <w:tl2br w:val="nil"/>
              <w:tr2bl w:val="nil"/>
            </w:tcBorders>
            <w:vAlign w:val="center"/>
          </w:tcPr>
          <w:p w14:paraId="0E4B28A1">
            <w:pPr>
              <w:pStyle w:val="28"/>
              <w:keepNext w:val="0"/>
              <w:keepLines w:val="0"/>
              <w:pageBreakBefore w:val="0"/>
              <w:widowControl w:val="0"/>
              <w:kinsoku/>
              <w:wordWrap/>
              <w:overflowPunct/>
              <w:topLinePunct w:val="0"/>
              <w:autoSpaceDE/>
              <w:autoSpaceDN/>
              <w:bidi w:val="0"/>
              <w:adjustRightInd/>
              <w:snapToGrid/>
              <w:spacing w:after="0" w:line="520" w:lineRule="atLeast"/>
              <w:ind w:left="0" w:leftChars="0" w:firstLine="0" w:firstLineChars="0"/>
              <w:jc w:val="both"/>
              <w:textAlignment w:val="auto"/>
              <w:rPr>
                <w:rFonts w:hint="eastAsia" w:ascii="仿宋" w:hAnsi="仿宋" w:eastAsia="仿宋" w:cs="仿宋"/>
                <w:color w:val="auto"/>
                <w:sz w:val="28"/>
                <w:szCs w:val="28"/>
                <w:highlight w:val="none"/>
                <w:vertAlign w:val="baseline"/>
                <w:lang w:val="en-US" w:eastAsia="zh-CN"/>
              </w:rPr>
            </w:pPr>
          </w:p>
        </w:tc>
      </w:tr>
    </w:tbl>
    <w:p w14:paraId="4ECBA035">
      <w:pPr>
        <w:keepNext w:val="0"/>
        <w:keepLines w:val="0"/>
        <w:pageBreakBefore w:val="0"/>
        <w:numPr>
          <w:ilvl w:val="0"/>
          <w:numId w:val="0"/>
        </w:numPr>
        <w:kinsoku/>
        <w:wordWrap/>
        <w:topLinePunct w:val="0"/>
        <w:autoSpaceDE/>
        <w:autoSpaceDN/>
        <w:bidi w:val="0"/>
        <w:adjustRightInd/>
        <w:snapToGrid/>
        <w:spacing w:line="520" w:lineRule="atLeast"/>
        <w:textAlignment w:val="auto"/>
        <w:rPr>
          <w:rFonts w:hint="eastAsia" w:ascii="仿宋" w:hAnsi="仿宋" w:eastAsia="仿宋" w:cs="仿宋"/>
          <w:sz w:val="28"/>
          <w:szCs w:val="28"/>
          <w:highlight w:val="none"/>
        </w:rPr>
      </w:pPr>
    </w:p>
    <w:sectPr>
      <w:pgSz w:w="11906" w:h="16838"/>
      <w:pgMar w:top="1440" w:right="1080" w:bottom="1440" w:left="1080" w:header="851" w:footer="992" w:gutter="0"/>
      <w:cols w:space="72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楷体简体">
    <w:altName w:val="宋体"/>
    <w:panose1 w:val="00000000000000000000"/>
    <w:charset w:val="86"/>
    <w:family w:val="auto"/>
    <w:pitch w:val="default"/>
    <w:sig w:usb0="00000000" w:usb1="00000000" w:usb2="00000010" w:usb3="00000000" w:csb0="00040000" w:csb1="0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
    <w:altName w:val="Times New Roman"/>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A7765">
    <w:pPr>
      <w:tabs>
        <w:tab w:val="left" w:pos="3165"/>
        <w:tab w:val="center" w:pos="4876"/>
      </w:tabs>
      <w:jc w:val="left"/>
      <w:rPr>
        <w:rFonts w:hint="eastAsia" w:ascii="仿宋" w:hAnsi="仿宋" w:eastAsia="仿宋"/>
      </w:rPr>
    </w:pPr>
    <w:r>
      <w:rPr>
        <w:rFonts w:hint="eastAsia" w:ascii="仿宋" w:hAnsi="仿宋" w:eastAsia="仿宋"/>
      </w:rPr>
      <w:t>威海市天垣工程咨询管理有限公司</w:t>
    </w:r>
    <w:r>
      <w:rPr>
        <w:rFonts w:ascii="仿宋" w:hAnsi="仿宋" w:eastAsia="仿宋"/>
      </w:rPr>
      <w:ptab w:relativeTo="margin" w:alignment="center" w:leader="none"/>
    </w:r>
    <w:r>
      <w:rPr>
        <w:rFonts w:ascii="仿宋" w:hAnsi="仿宋" w:eastAsia="仿宋"/>
      </w:rPr>
      <w:fldChar w:fldCharType="begin"/>
    </w:r>
    <w:r>
      <w:rPr>
        <w:rFonts w:ascii="仿宋" w:hAnsi="仿宋" w:eastAsia="仿宋"/>
      </w:rPr>
      <w:instrText xml:space="preserve">PAGE   \* MERGEFORMAT</w:instrText>
    </w:r>
    <w:r>
      <w:rPr>
        <w:rFonts w:ascii="仿宋" w:hAnsi="仿宋" w:eastAsia="仿宋"/>
      </w:rPr>
      <w:fldChar w:fldCharType="separate"/>
    </w:r>
    <w:r>
      <w:rPr>
        <w:rFonts w:ascii="仿宋" w:hAnsi="仿宋" w:eastAsia="仿宋"/>
        <w:lang w:val="zh-CN"/>
      </w:rPr>
      <w:t>1</w:t>
    </w:r>
    <w:r>
      <w:rPr>
        <w:rFonts w:ascii="仿宋" w:hAnsi="仿宋" w:eastAsia="仿宋"/>
      </w:rPr>
      <w:fldChar w:fldCharType="end"/>
    </w:r>
    <w:r>
      <w:rPr>
        <w:rFonts w:ascii="仿宋" w:hAnsi="仿宋" w:eastAsia="仿宋"/>
      </w:rPr>
      <w:ptab w:relativeTo="margin" w:alignment="right" w:leader="none"/>
    </w:r>
    <w:r>
      <w:rPr>
        <w:rFonts w:hint="eastAsia" w:ascii="仿宋" w:hAnsi="仿宋" w:eastAsia="仿宋"/>
      </w:rPr>
      <w:t>0631-5893538</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87B09">
    <w:pPr>
      <w:pStyle w:val="32"/>
      <w:jc w:val="right"/>
      <w:rPr>
        <w:rFonts w:hint="eastAsia" w:ascii="仿宋" w:hAnsi="仿宋" w:eastAsia="仿宋"/>
      </w:rPr>
    </w:pPr>
    <w:r>
      <w:rPr>
        <w:rFonts w:hint="eastAsia" w:ascii="仿宋" w:hAnsi="仿宋" w:eastAsia="仿宋"/>
      </w:rPr>
      <w:t>2026新能源铝应用创新发展会议委托服务招标文件</w:t>
    </w:r>
  </w:p>
  <w:p w14:paraId="7B84BB4B">
    <w:pPr>
      <w:spacing w:after="120" w:afterLines="50" w:line="360" w:lineRule="auto"/>
      <w:jc w:val="right"/>
      <w:rPr>
        <w:rFonts w:hint="eastAsia" w:ascii="仿宋" w:hAnsi="仿宋" w:eastAsia="仿宋"/>
        <w:color w:val="808080"/>
        <w:sz w:val="13"/>
        <w:szCs w:val="13"/>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7D80">
    <w:pPr>
      <w:pStyle w:val="32"/>
      <w:rPr>
        <w:rFonts w:hint="eastAsia"/>
      </w:rPr>
    </w:pPr>
  </w:p>
  <w:p w14:paraId="11153D1E">
    <w:pP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5778A">
    <w:pPr>
      <w:pStyle w:val="32"/>
      <w:jc w:val="right"/>
      <w:rPr>
        <w:rFonts w:hint="eastAsia"/>
      </w:rPr>
    </w:pPr>
    <w:r>
      <w:rPr>
        <w:rFonts w:hint="eastAsia"/>
      </w:rPr>
      <w:t>环翠区“碧湾智岛·美丽环翠”EOD项目项目招标文件</w:t>
    </w:r>
  </w:p>
  <w:p w14:paraId="6F279CE8">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3ABCDC"/>
    <w:multiLevelType w:val="singleLevel"/>
    <w:tmpl w:val="933ABCDC"/>
    <w:lvl w:ilvl="0" w:tentative="0">
      <w:start w:val="6"/>
      <w:numFmt w:val="chineseCounting"/>
      <w:suff w:val="space"/>
      <w:lvlText w:val="第%1章"/>
      <w:lvlJc w:val="left"/>
      <w:rPr>
        <w:rFonts w:hint="eastAsia"/>
      </w:rPr>
    </w:lvl>
  </w:abstractNum>
  <w:abstractNum w:abstractNumId="1">
    <w:nsid w:val="F5E36A64"/>
    <w:multiLevelType w:val="singleLevel"/>
    <w:tmpl w:val="F5E36A64"/>
    <w:lvl w:ilvl="0" w:tentative="0">
      <w:start w:val="1"/>
      <w:numFmt w:val="chineseCounting"/>
      <w:suff w:val="nothing"/>
      <w:lvlText w:val="%1、"/>
      <w:lvlJc w:val="left"/>
      <w:rPr>
        <w:rFonts w:hint="eastAsia"/>
      </w:rPr>
    </w:lvl>
  </w:abstractNum>
  <w:abstractNum w:abstractNumId="2">
    <w:nsid w:val="7F09497D"/>
    <w:multiLevelType w:val="multilevel"/>
    <w:tmpl w:val="7F09497D"/>
    <w:lvl w:ilvl="0" w:tentative="0">
      <w:start w:val="1"/>
      <w:numFmt w:val="japaneseCounting"/>
      <w:lvlText w:val="第%1章"/>
      <w:lvlJc w:val="left"/>
      <w:pPr>
        <w:ind w:left="1440" w:hanging="1440"/>
      </w:pPr>
      <w:rPr>
        <w:rFonts w:hint="eastAsia" w:ascii="宋体" w:hAnsi="宋体" w:eastAsia="宋体"/>
        <w:b/>
        <w:sz w:val="40"/>
      </w:rPr>
    </w:lvl>
    <w:lvl w:ilvl="1" w:tentative="0">
      <w:start w:val="1"/>
      <w:numFmt w:val="lowerLetter"/>
      <w:pStyle w:val="38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7"/>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iNjA5YTc4M2FlNGRmMGJmNjk0MDNlNWIzZjQwMjgifQ=="/>
  </w:docVars>
  <w:rsids>
    <w:rsidRoot w:val="00EF492A"/>
    <w:rsid w:val="000002BA"/>
    <w:rsid w:val="00000511"/>
    <w:rsid w:val="00000A67"/>
    <w:rsid w:val="00000EA7"/>
    <w:rsid w:val="00000F14"/>
    <w:rsid w:val="00000FFE"/>
    <w:rsid w:val="000024A8"/>
    <w:rsid w:val="00002CCB"/>
    <w:rsid w:val="00003E1B"/>
    <w:rsid w:val="00004586"/>
    <w:rsid w:val="000045DD"/>
    <w:rsid w:val="00004EFA"/>
    <w:rsid w:val="000057DC"/>
    <w:rsid w:val="00005A04"/>
    <w:rsid w:val="00007AE7"/>
    <w:rsid w:val="00011721"/>
    <w:rsid w:val="00011FBC"/>
    <w:rsid w:val="000120E9"/>
    <w:rsid w:val="000125FB"/>
    <w:rsid w:val="00014002"/>
    <w:rsid w:val="000148AA"/>
    <w:rsid w:val="00014AEE"/>
    <w:rsid w:val="00015902"/>
    <w:rsid w:val="0001607F"/>
    <w:rsid w:val="00017364"/>
    <w:rsid w:val="000173EA"/>
    <w:rsid w:val="00017CF8"/>
    <w:rsid w:val="00020221"/>
    <w:rsid w:val="0002027C"/>
    <w:rsid w:val="00020400"/>
    <w:rsid w:val="00020431"/>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3AD"/>
    <w:rsid w:val="0003586F"/>
    <w:rsid w:val="0003766E"/>
    <w:rsid w:val="00037B0C"/>
    <w:rsid w:val="000409D0"/>
    <w:rsid w:val="00040A2E"/>
    <w:rsid w:val="00041068"/>
    <w:rsid w:val="0004135A"/>
    <w:rsid w:val="0004191D"/>
    <w:rsid w:val="00041C8B"/>
    <w:rsid w:val="00041D07"/>
    <w:rsid w:val="000425A1"/>
    <w:rsid w:val="0004293F"/>
    <w:rsid w:val="00043604"/>
    <w:rsid w:val="000443D7"/>
    <w:rsid w:val="0004489D"/>
    <w:rsid w:val="00044B1F"/>
    <w:rsid w:val="00047A8A"/>
    <w:rsid w:val="00047BB8"/>
    <w:rsid w:val="00051160"/>
    <w:rsid w:val="00051A58"/>
    <w:rsid w:val="00052415"/>
    <w:rsid w:val="0005297E"/>
    <w:rsid w:val="00052B78"/>
    <w:rsid w:val="00052EDC"/>
    <w:rsid w:val="0005326C"/>
    <w:rsid w:val="000534D4"/>
    <w:rsid w:val="00053F87"/>
    <w:rsid w:val="00054096"/>
    <w:rsid w:val="00054243"/>
    <w:rsid w:val="00054605"/>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585C"/>
    <w:rsid w:val="00066330"/>
    <w:rsid w:val="00066985"/>
    <w:rsid w:val="00067ABA"/>
    <w:rsid w:val="00070BE8"/>
    <w:rsid w:val="000710EA"/>
    <w:rsid w:val="000720DE"/>
    <w:rsid w:val="00072257"/>
    <w:rsid w:val="000725B5"/>
    <w:rsid w:val="000746EB"/>
    <w:rsid w:val="00077B7B"/>
    <w:rsid w:val="00077C67"/>
    <w:rsid w:val="00080C12"/>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5D4"/>
    <w:rsid w:val="000A4D68"/>
    <w:rsid w:val="000A5000"/>
    <w:rsid w:val="000A518E"/>
    <w:rsid w:val="000A6632"/>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5355"/>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435A"/>
    <w:rsid w:val="000F54F7"/>
    <w:rsid w:val="000F5834"/>
    <w:rsid w:val="000F7231"/>
    <w:rsid w:val="000F7810"/>
    <w:rsid w:val="001001A2"/>
    <w:rsid w:val="001018A2"/>
    <w:rsid w:val="00101ED9"/>
    <w:rsid w:val="00102107"/>
    <w:rsid w:val="00102396"/>
    <w:rsid w:val="00102DCB"/>
    <w:rsid w:val="001054EF"/>
    <w:rsid w:val="001055B5"/>
    <w:rsid w:val="00106D70"/>
    <w:rsid w:val="00106DE0"/>
    <w:rsid w:val="00107FB0"/>
    <w:rsid w:val="001108A2"/>
    <w:rsid w:val="00110D0E"/>
    <w:rsid w:val="00111B0F"/>
    <w:rsid w:val="00111D50"/>
    <w:rsid w:val="00112845"/>
    <w:rsid w:val="0011307A"/>
    <w:rsid w:val="001133BC"/>
    <w:rsid w:val="00113822"/>
    <w:rsid w:val="00113F3A"/>
    <w:rsid w:val="00115310"/>
    <w:rsid w:val="00115CB6"/>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7FF"/>
    <w:rsid w:val="00142B56"/>
    <w:rsid w:val="00142C9C"/>
    <w:rsid w:val="00142D2E"/>
    <w:rsid w:val="001430F7"/>
    <w:rsid w:val="00143636"/>
    <w:rsid w:val="0014431E"/>
    <w:rsid w:val="00144538"/>
    <w:rsid w:val="001448BF"/>
    <w:rsid w:val="0014507C"/>
    <w:rsid w:val="001469D6"/>
    <w:rsid w:val="00146C9D"/>
    <w:rsid w:val="0014707A"/>
    <w:rsid w:val="001476D0"/>
    <w:rsid w:val="00152B94"/>
    <w:rsid w:val="00153012"/>
    <w:rsid w:val="001533FD"/>
    <w:rsid w:val="00153AD0"/>
    <w:rsid w:val="001543C8"/>
    <w:rsid w:val="001544BD"/>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2CF3"/>
    <w:rsid w:val="00173101"/>
    <w:rsid w:val="00175374"/>
    <w:rsid w:val="00176705"/>
    <w:rsid w:val="0017766C"/>
    <w:rsid w:val="00177729"/>
    <w:rsid w:val="00177ED7"/>
    <w:rsid w:val="00180335"/>
    <w:rsid w:val="00180B3C"/>
    <w:rsid w:val="001810D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148"/>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4EB2"/>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1C12"/>
    <w:rsid w:val="001C2080"/>
    <w:rsid w:val="001C21B2"/>
    <w:rsid w:val="001C2E0C"/>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1D29"/>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1F7B6E"/>
    <w:rsid w:val="002009DB"/>
    <w:rsid w:val="00201DFF"/>
    <w:rsid w:val="002021C4"/>
    <w:rsid w:val="002027BC"/>
    <w:rsid w:val="002027CC"/>
    <w:rsid w:val="002047FE"/>
    <w:rsid w:val="002066D4"/>
    <w:rsid w:val="00206EC9"/>
    <w:rsid w:val="00207281"/>
    <w:rsid w:val="002106CD"/>
    <w:rsid w:val="00210A96"/>
    <w:rsid w:val="00210BBF"/>
    <w:rsid w:val="00210EE0"/>
    <w:rsid w:val="00211036"/>
    <w:rsid w:val="002118EC"/>
    <w:rsid w:val="002120B4"/>
    <w:rsid w:val="002129BA"/>
    <w:rsid w:val="0021329F"/>
    <w:rsid w:val="00215D55"/>
    <w:rsid w:val="00216454"/>
    <w:rsid w:val="0021736B"/>
    <w:rsid w:val="002175DB"/>
    <w:rsid w:val="002178E5"/>
    <w:rsid w:val="00220356"/>
    <w:rsid w:val="00220817"/>
    <w:rsid w:val="002220A1"/>
    <w:rsid w:val="002236B2"/>
    <w:rsid w:val="002261EE"/>
    <w:rsid w:val="00226EFD"/>
    <w:rsid w:val="0022726A"/>
    <w:rsid w:val="00227C28"/>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47DAC"/>
    <w:rsid w:val="002501EB"/>
    <w:rsid w:val="00250649"/>
    <w:rsid w:val="0025069B"/>
    <w:rsid w:val="00250BEA"/>
    <w:rsid w:val="00251662"/>
    <w:rsid w:val="002518E8"/>
    <w:rsid w:val="00253838"/>
    <w:rsid w:val="00253B25"/>
    <w:rsid w:val="00253DF1"/>
    <w:rsid w:val="00253E3F"/>
    <w:rsid w:val="0025400E"/>
    <w:rsid w:val="002552FA"/>
    <w:rsid w:val="0025558D"/>
    <w:rsid w:val="00255590"/>
    <w:rsid w:val="00255F94"/>
    <w:rsid w:val="002568E4"/>
    <w:rsid w:val="0025695E"/>
    <w:rsid w:val="002573BC"/>
    <w:rsid w:val="0025740B"/>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86F"/>
    <w:rsid w:val="00265EF3"/>
    <w:rsid w:val="00266AF5"/>
    <w:rsid w:val="00266FFF"/>
    <w:rsid w:val="00267405"/>
    <w:rsid w:val="002677B9"/>
    <w:rsid w:val="00270A53"/>
    <w:rsid w:val="00270C1A"/>
    <w:rsid w:val="00271ECB"/>
    <w:rsid w:val="002727D6"/>
    <w:rsid w:val="00272A77"/>
    <w:rsid w:val="00273183"/>
    <w:rsid w:val="0027345D"/>
    <w:rsid w:val="00273E63"/>
    <w:rsid w:val="00274280"/>
    <w:rsid w:val="00274E7A"/>
    <w:rsid w:val="002754AB"/>
    <w:rsid w:val="00275962"/>
    <w:rsid w:val="00275C31"/>
    <w:rsid w:val="002762CB"/>
    <w:rsid w:val="00276558"/>
    <w:rsid w:val="0028108E"/>
    <w:rsid w:val="0028116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8B5"/>
    <w:rsid w:val="002A6EB0"/>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41E1"/>
    <w:rsid w:val="002C5F5A"/>
    <w:rsid w:val="002C64B5"/>
    <w:rsid w:val="002C6C66"/>
    <w:rsid w:val="002C6DF1"/>
    <w:rsid w:val="002C73F1"/>
    <w:rsid w:val="002D0AFD"/>
    <w:rsid w:val="002D11C8"/>
    <w:rsid w:val="002D1DFD"/>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792"/>
    <w:rsid w:val="002F69CF"/>
    <w:rsid w:val="002F6E1F"/>
    <w:rsid w:val="002F764B"/>
    <w:rsid w:val="002F7B17"/>
    <w:rsid w:val="00300042"/>
    <w:rsid w:val="003001D4"/>
    <w:rsid w:val="003003BE"/>
    <w:rsid w:val="0030129B"/>
    <w:rsid w:val="003014F1"/>
    <w:rsid w:val="0030172C"/>
    <w:rsid w:val="003019F5"/>
    <w:rsid w:val="00301E58"/>
    <w:rsid w:val="00301F2D"/>
    <w:rsid w:val="00301FD6"/>
    <w:rsid w:val="003021BE"/>
    <w:rsid w:val="0030282D"/>
    <w:rsid w:val="003029FA"/>
    <w:rsid w:val="00302B5B"/>
    <w:rsid w:val="0030422B"/>
    <w:rsid w:val="00304AD3"/>
    <w:rsid w:val="00305AAE"/>
    <w:rsid w:val="00305DAA"/>
    <w:rsid w:val="00306D0E"/>
    <w:rsid w:val="00307063"/>
    <w:rsid w:val="00307EDF"/>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499E"/>
    <w:rsid w:val="00315685"/>
    <w:rsid w:val="00316C99"/>
    <w:rsid w:val="00317886"/>
    <w:rsid w:val="00317DA0"/>
    <w:rsid w:val="003208C6"/>
    <w:rsid w:val="003229E8"/>
    <w:rsid w:val="00322AA3"/>
    <w:rsid w:val="00322C79"/>
    <w:rsid w:val="00322FF0"/>
    <w:rsid w:val="003235DD"/>
    <w:rsid w:val="00323C00"/>
    <w:rsid w:val="00323C71"/>
    <w:rsid w:val="00323E98"/>
    <w:rsid w:val="00323EF7"/>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3BA9"/>
    <w:rsid w:val="00365BF4"/>
    <w:rsid w:val="0036605F"/>
    <w:rsid w:val="00366A85"/>
    <w:rsid w:val="00366EA5"/>
    <w:rsid w:val="00367DF2"/>
    <w:rsid w:val="0037048E"/>
    <w:rsid w:val="003708AB"/>
    <w:rsid w:val="00370D56"/>
    <w:rsid w:val="00371468"/>
    <w:rsid w:val="0037184E"/>
    <w:rsid w:val="003719E5"/>
    <w:rsid w:val="00371A55"/>
    <w:rsid w:val="00372624"/>
    <w:rsid w:val="003730E8"/>
    <w:rsid w:val="00373514"/>
    <w:rsid w:val="00374738"/>
    <w:rsid w:val="003762D7"/>
    <w:rsid w:val="00376572"/>
    <w:rsid w:val="00376C48"/>
    <w:rsid w:val="0037743E"/>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4E1"/>
    <w:rsid w:val="003A4695"/>
    <w:rsid w:val="003A4FA9"/>
    <w:rsid w:val="003A503E"/>
    <w:rsid w:val="003A52AF"/>
    <w:rsid w:val="003A5BD5"/>
    <w:rsid w:val="003A618E"/>
    <w:rsid w:val="003A6FAD"/>
    <w:rsid w:val="003A7770"/>
    <w:rsid w:val="003B0855"/>
    <w:rsid w:val="003B0BE3"/>
    <w:rsid w:val="003B1583"/>
    <w:rsid w:val="003B15EF"/>
    <w:rsid w:val="003B1D7C"/>
    <w:rsid w:val="003B1D9C"/>
    <w:rsid w:val="003B2058"/>
    <w:rsid w:val="003B2637"/>
    <w:rsid w:val="003B2B0E"/>
    <w:rsid w:val="003B2D00"/>
    <w:rsid w:val="003B3292"/>
    <w:rsid w:val="003B36F0"/>
    <w:rsid w:val="003B3EBC"/>
    <w:rsid w:val="003B42CD"/>
    <w:rsid w:val="003B43B0"/>
    <w:rsid w:val="003B4FA2"/>
    <w:rsid w:val="003B53B9"/>
    <w:rsid w:val="003B53EA"/>
    <w:rsid w:val="003B5E09"/>
    <w:rsid w:val="003B79C9"/>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07E"/>
    <w:rsid w:val="003C7CD8"/>
    <w:rsid w:val="003C7CFD"/>
    <w:rsid w:val="003D02CF"/>
    <w:rsid w:val="003D10A9"/>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6ECA"/>
    <w:rsid w:val="003D7D37"/>
    <w:rsid w:val="003E032F"/>
    <w:rsid w:val="003E0903"/>
    <w:rsid w:val="003E0FA1"/>
    <w:rsid w:val="003E1934"/>
    <w:rsid w:val="003E1B02"/>
    <w:rsid w:val="003E2F64"/>
    <w:rsid w:val="003E4032"/>
    <w:rsid w:val="003E4658"/>
    <w:rsid w:val="003E46CC"/>
    <w:rsid w:val="003E554F"/>
    <w:rsid w:val="003E6070"/>
    <w:rsid w:val="003E71CB"/>
    <w:rsid w:val="003F0566"/>
    <w:rsid w:val="003F0DDA"/>
    <w:rsid w:val="003F0E23"/>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EE6"/>
    <w:rsid w:val="003F7FA7"/>
    <w:rsid w:val="004006CD"/>
    <w:rsid w:val="004016E1"/>
    <w:rsid w:val="00402AA7"/>
    <w:rsid w:val="00402BBE"/>
    <w:rsid w:val="00403C14"/>
    <w:rsid w:val="0040424B"/>
    <w:rsid w:val="00404B55"/>
    <w:rsid w:val="004050B8"/>
    <w:rsid w:val="00406016"/>
    <w:rsid w:val="004064C8"/>
    <w:rsid w:val="0040673A"/>
    <w:rsid w:val="00406ACC"/>
    <w:rsid w:val="0040769E"/>
    <w:rsid w:val="00410503"/>
    <w:rsid w:val="004114A5"/>
    <w:rsid w:val="00413844"/>
    <w:rsid w:val="00414817"/>
    <w:rsid w:val="00415CE7"/>
    <w:rsid w:val="00416297"/>
    <w:rsid w:val="0041641A"/>
    <w:rsid w:val="00416560"/>
    <w:rsid w:val="0041666C"/>
    <w:rsid w:val="0041731B"/>
    <w:rsid w:val="00417856"/>
    <w:rsid w:val="00417DA8"/>
    <w:rsid w:val="004203ED"/>
    <w:rsid w:val="00420681"/>
    <w:rsid w:val="00420E2B"/>
    <w:rsid w:val="00421061"/>
    <w:rsid w:val="004212FC"/>
    <w:rsid w:val="0042169F"/>
    <w:rsid w:val="00421C5F"/>
    <w:rsid w:val="00421CF7"/>
    <w:rsid w:val="0042201F"/>
    <w:rsid w:val="00422591"/>
    <w:rsid w:val="00422CFD"/>
    <w:rsid w:val="00423D20"/>
    <w:rsid w:val="00424212"/>
    <w:rsid w:val="004245B1"/>
    <w:rsid w:val="00424932"/>
    <w:rsid w:val="0042573C"/>
    <w:rsid w:val="004301B4"/>
    <w:rsid w:val="004304D7"/>
    <w:rsid w:val="004306B0"/>
    <w:rsid w:val="00430795"/>
    <w:rsid w:val="0043081F"/>
    <w:rsid w:val="00430EBA"/>
    <w:rsid w:val="00431353"/>
    <w:rsid w:val="004313CA"/>
    <w:rsid w:val="0043284F"/>
    <w:rsid w:val="00432D53"/>
    <w:rsid w:val="004358A0"/>
    <w:rsid w:val="00435F87"/>
    <w:rsid w:val="00435FBD"/>
    <w:rsid w:val="0043631B"/>
    <w:rsid w:val="0043632A"/>
    <w:rsid w:val="00436937"/>
    <w:rsid w:val="00436EAC"/>
    <w:rsid w:val="004406B3"/>
    <w:rsid w:val="004407A3"/>
    <w:rsid w:val="004434DB"/>
    <w:rsid w:val="0044424E"/>
    <w:rsid w:val="0044525C"/>
    <w:rsid w:val="00445296"/>
    <w:rsid w:val="004456E4"/>
    <w:rsid w:val="0044679B"/>
    <w:rsid w:val="00446BD2"/>
    <w:rsid w:val="00447155"/>
    <w:rsid w:val="00450B50"/>
    <w:rsid w:val="00451AB6"/>
    <w:rsid w:val="00452479"/>
    <w:rsid w:val="004544F5"/>
    <w:rsid w:val="00455221"/>
    <w:rsid w:val="004554FF"/>
    <w:rsid w:val="00456E3F"/>
    <w:rsid w:val="00457893"/>
    <w:rsid w:val="00460811"/>
    <w:rsid w:val="00460983"/>
    <w:rsid w:val="004610E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6B1"/>
    <w:rsid w:val="00471AAE"/>
    <w:rsid w:val="00473A88"/>
    <w:rsid w:val="00473D90"/>
    <w:rsid w:val="00474CD5"/>
    <w:rsid w:val="00474E4F"/>
    <w:rsid w:val="00475369"/>
    <w:rsid w:val="00475A1E"/>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54D"/>
    <w:rsid w:val="00490B2F"/>
    <w:rsid w:val="00491A27"/>
    <w:rsid w:val="00492A2D"/>
    <w:rsid w:val="004933CE"/>
    <w:rsid w:val="00493663"/>
    <w:rsid w:val="004936C4"/>
    <w:rsid w:val="00494F27"/>
    <w:rsid w:val="0049531A"/>
    <w:rsid w:val="0049569C"/>
    <w:rsid w:val="00495CA2"/>
    <w:rsid w:val="00495D97"/>
    <w:rsid w:val="004965D6"/>
    <w:rsid w:val="004967C0"/>
    <w:rsid w:val="00496B3C"/>
    <w:rsid w:val="004974A9"/>
    <w:rsid w:val="004978E1"/>
    <w:rsid w:val="00497E5D"/>
    <w:rsid w:val="004A060F"/>
    <w:rsid w:val="004A09D5"/>
    <w:rsid w:val="004A3A01"/>
    <w:rsid w:val="004A4C8E"/>
    <w:rsid w:val="004A623D"/>
    <w:rsid w:val="004A65F9"/>
    <w:rsid w:val="004A6CA3"/>
    <w:rsid w:val="004A717F"/>
    <w:rsid w:val="004A7182"/>
    <w:rsid w:val="004A72D8"/>
    <w:rsid w:val="004B052B"/>
    <w:rsid w:val="004B0534"/>
    <w:rsid w:val="004B0A30"/>
    <w:rsid w:val="004B0CF1"/>
    <w:rsid w:val="004B0FBF"/>
    <w:rsid w:val="004B14C3"/>
    <w:rsid w:val="004B30B6"/>
    <w:rsid w:val="004B361E"/>
    <w:rsid w:val="004B3749"/>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925"/>
    <w:rsid w:val="004D7AC8"/>
    <w:rsid w:val="004E0362"/>
    <w:rsid w:val="004E0BAC"/>
    <w:rsid w:val="004E101B"/>
    <w:rsid w:val="004E105A"/>
    <w:rsid w:val="004E1528"/>
    <w:rsid w:val="004E1657"/>
    <w:rsid w:val="004E19A4"/>
    <w:rsid w:val="004E1C50"/>
    <w:rsid w:val="004E274B"/>
    <w:rsid w:val="004E2BCD"/>
    <w:rsid w:val="004E2E17"/>
    <w:rsid w:val="004E3156"/>
    <w:rsid w:val="004E43E4"/>
    <w:rsid w:val="004E49A7"/>
    <w:rsid w:val="004E521C"/>
    <w:rsid w:val="004E5E18"/>
    <w:rsid w:val="004E6312"/>
    <w:rsid w:val="004E70F4"/>
    <w:rsid w:val="004E7C7D"/>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D9F"/>
    <w:rsid w:val="00510F19"/>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034"/>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54BD"/>
    <w:rsid w:val="0055580A"/>
    <w:rsid w:val="005560FC"/>
    <w:rsid w:val="005570C3"/>
    <w:rsid w:val="005572D2"/>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101A"/>
    <w:rsid w:val="00571104"/>
    <w:rsid w:val="005711E3"/>
    <w:rsid w:val="00571493"/>
    <w:rsid w:val="00572C2E"/>
    <w:rsid w:val="00572E09"/>
    <w:rsid w:val="0057368E"/>
    <w:rsid w:val="005740A3"/>
    <w:rsid w:val="00574511"/>
    <w:rsid w:val="0057521C"/>
    <w:rsid w:val="00575F49"/>
    <w:rsid w:val="005769A5"/>
    <w:rsid w:val="00577BCC"/>
    <w:rsid w:val="00581EE6"/>
    <w:rsid w:val="0058258B"/>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1D77"/>
    <w:rsid w:val="005929C3"/>
    <w:rsid w:val="00592EA0"/>
    <w:rsid w:val="00594386"/>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2ACE"/>
    <w:rsid w:val="005C3077"/>
    <w:rsid w:val="005C388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273"/>
    <w:rsid w:val="005D070F"/>
    <w:rsid w:val="005D0AAE"/>
    <w:rsid w:val="005D0F2A"/>
    <w:rsid w:val="005D156C"/>
    <w:rsid w:val="005D191A"/>
    <w:rsid w:val="005D2600"/>
    <w:rsid w:val="005D26F6"/>
    <w:rsid w:val="005D2DF7"/>
    <w:rsid w:val="005D37B5"/>
    <w:rsid w:val="005D44C7"/>
    <w:rsid w:val="005D452F"/>
    <w:rsid w:val="005D4749"/>
    <w:rsid w:val="005D4FB8"/>
    <w:rsid w:val="005D5713"/>
    <w:rsid w:val="005D588A"/>
    <w:rsid w:val="005D60A9"/>
    <w:rsid w:val="005D6BBA"/>
    <w:rsid w:val="005D6C55"/>
    <w:rsid w:val="005D7397"/>
    <w:rsid w:val="005D7416"/>
    <w:rsid w:val="005D7D2B"/>
    <w:rsid w:val="005D7F5C"/>
    <w:rsid w:val="005D7FBA"/>
    <w:rsid w:val="005E0C2D"/>
    <w:rsid w:val="005E126D"/>
    <w:rsid w:val="005E19F0"/>
    <w:rsid w:val="005E2B21"/>
    <w:rsid w:val="005E2C53"/>
    <w:rsid w:val="005E2C8F"/>
    <w:rsid w:val="005E33A3"/>
    <w:rsid w:val="005E43ED"/>
    <w:rsid w:val="005E5201"/>
    <w:rsid w:val="005E543E"/>
    <w:rsid w:val="005E554D"/>
    <w:rsid w:val="005E681F"/>
    <w:rsid w:val="005E69A2"/>
    <w:rsid w:val="005E7451"/>
    <w:rsid w:val="005E7581"/>
    <w:rsid w:val="005E7E9B"/>
    <w:rsid w:val="005F0C72"/>
    <w:rsid w:val="005F1F25"/>
    <w:rsid w:val="005F26F4"/>
    <w:rsid w:val="005F2A80"/>
    <w:rsid w:val="005F2A8D"/>
    <w:rsid w:val="005F2BBE"/>
    <w:rsid w:val="005F3637"/>
    <w:rsid w:val="005F3AA6"/>
    <w:rsid w:val="005F3E31"/>
    <w:rsid w:val="005F414B"/>
    <w:rsid w:val="005F5300"/>
    <w:rsid w:val="005F538F"/>
    <w:rsid w:val="005F5E76"/>
    <w:rsid w:val="005F62E1"/>
    <w:rsid w:val="005F7E42"/>
    <w:rsid w:val="00600C74"/>
    <w:rsid w:val="00601CF7"/>
    <w:rsid w:val="0060204F"/>
    <w:rsid w:val="00602349"/>
    <w:rsid w:val="00602AC3"/>
    <w:rsid w:val="006034E2"/>
    <w:rsid w:val="00603620"/>
    <w:rsid w:val="00603B50"/>
    <w:rsid w:val="006040C7"/>
    <w:rsid w:val="00607B45"/>
    <w:rsid w:val="00607C44"/>
    <w:rsid w:val="0061171B"/>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B92"/>
    <w:rsid w:val="006302DE"/>
    <w:rsid w:val="00630745"/>
    <w:rsid w:val="006329B4"/>
    <w:rsid w:val="00633603"/>
    <w:rsid w:val="00633852"/>
    <w:rsid w:val="00635F49"/>
    <w:rsid w:val="0063639D"/>
    <w:rsid w:val="0063648E"/>
    <w:rsid w:val="00636781"/>
    <w:rsid w:val="00637012"/>
    <w:rsid w:val="006373A6"/>
    <w:rsid w:val="00637978"/>
    <w:rsid w:val="00637A1F"/>
    <w:rsid w:val="00637D87"/>
    <w:rsid w:val="0064083A"/>
    <w:rsid w:val="00643035"/>
    <w:rsid w:val="00644785"/>
    <w:rsid w:val="006454CA"/>
    <w:rsid w:val="0064568A"/>
    <w:rsid w:val="00645775"/>
    <w:rsid w:val="00646387"/>
    <w:rsid w:val="006466FA"/>
    <w:rsid w:val="006468C6"/>
    <w:rsid w:val="00646CAB"/>
    <w:rsid w:val="0065070E"/>
    <w:rsid w:val="00651DAE"/>
    <w:rsid w:val="0065206D"/>
    <w:rsid w:val="00653E43"/>
    <w:rsid w:val="00654131"/>
    <w:rsid w:val="006555CB"/>
    <w:rsid w:val="00655D4F"/>
    <w:rsid w:val="00657C75"/>
    <w:rsid w:val="00657D80"/>
    <w:rsid w:val="00660663"/>
    <w:rsid w:val="00660F0F"/>
    <w:rsid w:val="00660FF1"/>
    <w:rsid w:val="00661796"/>
    <w:rsid w:val="00662D59"/>
    <w:rsid w:val="00663287"/>
    <w:rsid w:val="006638BE"/>
    <w:rsid w:val="00663C7A"/>
    <w:rsid w:val="00664288"/>
    <w:rsid w:val="0066476F"/>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4128"/>
    <w:rsid w:val="006B54C4"/>
    <w:rsid w:val="006B5DB4"/>
    <w:rsid w:val="006B6553"/>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D7373"/>
    <w:rsid w:val="006E124A"/>
    <w:rsid w:val="006E1423"/>
    <w:rsid w:val="006E14AB"/>
    <w:rsid w:val="006E24D9"/>
    <w:rsid w:val="006E2656"/>
    <w:rsid w:val="006E27F9"/>
    <w:rsid w:val="006E2E53"/>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1214"/>
    <w:rsid w:val="007026FC"/>
    <w:rsid w:val="00702B18"/>
    <w:rsid w:val="00702F51"/>
    <w:rsid w:val="00703AB2"/>
    <w:rsid w:val="0070412E"/>
    <w:rsid w:val="00704151"/>
    <w:rsid w:val="00705F1C"/>
    <w:rsid w:val="007069A2"/>
    <w:rsid w:val="007069EA"/>
    <w:rsid w:val="00706D44"/>
    <w:rsid w:val="007073D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179CC"/>
    <w:rsid w:val="0072018F"/>
    <w:rsid w:val="00720390"/>
    <w:rsid w:val="00720CBB"/>
    <w:rsid w:val="00721708"/>
    <w:rsid w:val="00721B9E"/>
    <w:rsid w:val="00722098"/>
    <w:rsid w:val="007223F3"/>
    <w:rsid w:val="007226B0"/>
    <w:rsid w:val="007231FC"/>
    <w:rsid w:val="00723498"/>
    <w:rsid w:val="00723ACF"/>
    <w:rsid w:val="00723C54"/>
    <w:rsid w:val="007244D9"/>
    <w:rsid w:val="00726DB1"/>
    <w:rsid w:val="007271BC"/>
    <w:rsid w:val="007276AC"/>
    <w:rsid w:val="007301ED"/>
    <w:rsid w:val="007307AF"/>
    <w:rsid w:val="00730D1E"/>
    <w:rsid w:val="00732D53"/>
    <w:rsid w:val="00733F31"/>
    <w:rsid w:val="0073405B"/>
    <w:rsid w:val="00734E9E"/>
    <w:rsid w:val="00734EC2"/>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7162"/>
    <w:rsid w:val="0074726C"/>
    <w:rsid w:val="00747A22"/>
    <w:rsid w:val="00747A40"/>
    <w:rsid w:val="0075067F"/>
    <w:rsid w:val="007508C4"/>
    <w:rsid w:val="00750EF7"/>
    <w:rsid w:val="007515D3"/>
    <w:rsid w:val="0075181D"/>
    <w:rsid w:val="00751E34"/>
    <w:rsid w:val="00753249"/>
    <w:rsid w:val="00753DB5"/>
    <w:rsid w:val="007543AC"/>
    <w:rsid w:val="00754DC8"/>
    <w:rsid w:val="00755403"/>
    <w:rsid w:val="007556DA"/>
    <w:rsid w:val="007560AC"/>
    <w:rsid w:val="007562BC"/>
    <w:rsid w:val="00756AB8"/>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20B5"/>
    <w:rsid w:val="00772356"/>
    <w:rsid w:val="00773208"/>
    <w:rsid w:val="0077542B"/>
    <w:rsid w:val="00776C54"/>
    <w:rsid w:val="00777923"/>
    <w:rsid w:val="00780054"/>
    <w:rsid w:val="0078138C"/>
    <w:rsid w:val="00781D7A"/>
    <w:rsid w:val="00782138"/>
    <w:rsid w:val="0078349E"/>
    <w:rsid w:val="00784836"/>
    <w:rsid w:val="00784BB7"/>
    <w:rsid w:val="00785DE0"/>
    <w:rsid w:val="00787941"/>
    <w:rsid w:val="00790653"/>
    <w:rsid w:val="00790E27"/>
    <w:rsid w:val="00791B49"/>
    <w:rsid w:val="00792724"/>
    <w:rsid w:val="00793CB2"/>
    <w:rsid w:val="00793CD2"/>
    <w:rsid w:val="0079409A"/>
    <w:rsid w:val="00795CC9"/>
    <w:rsid w:val="00796789"/>
    <w:rsid w:val="007A02B0"/>
    <w:rsid w:val="007A0E38"/>
    <w:rsid w:val="007A0EEF"/>
    <w:rsid w:val="007A11A8"/>
    <w:rsid w:val="007A1528"/>
    <w:rsid w:val="007A174E"/>
    <w:rsid w:val="007A1947"/>
    <w:rsid w:val="007A2E76"/>
    <w:rsid w:val="007A3508"/>
    <w:rsid w:val="007A36B1"/>
    <w:rsid w:val="007A3973"/>
    <w:rsid w:val="007A3C94"/>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39"/>
    <w:rsid w:val="007C6340"/>
    <w:rsid w:val="007C717D"/>
    <w:rsid w:val="007C74FA"/>
    <w:rsid w:val="007C7D3A"/>
    <w:rsid w:val="007C7D49"/>
    <w:rsid w:val="007D0181"/>
    <w:rsid w:val="007D0431"/>
    <w:rsid w:val="007D145A"/>
    <w:rsid w:val="007D149D"/>
    <w:rsid w:val="007D182B"/>
    <w:rsid w:val="007D4BC3"/>
    <w:rsid w:val="007D50A4"/>
    <w:rsid w:val="007D534F"/>
    <w:rsid w:val="007D5C3A"/>
    <w:rsid w:val="007D6958"/>
    <w:rsid w:val="007D6E9B"/>
    <w:rsid w:val="007D7A95"/>
    <w:rsid w:val="007D7CF1"/>
    <w:rsid w:val="007E0CF6"/>
    <w:rsid w:val="007E15C1"/>
    <w:rsid w:val="007E2DD2"/>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5966"/>
    <w:rsid w:val="007F6D3F"/>
    <w:rsid w:val="007F6F7D"/>
    <w:rsid w:val="007F7BDB"/>
    <w:rsid w:val="00800090"/>
    <w:rsid w:val="00800595"/>
    <w:rsid w:val="00800C0E"/>
    <w:rsid w:val="00801ECF"/>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AC4"/>
    <w:rsid w:val="00823ED7"/>
    <w:rsid w:val="008261DD"/>
    <w:rsid w:val="0082716D"/>
    <w:rsid w:val="008274A3"/>
    <w:rsid w:val="00831E53"/>
    <w:rsid w:val="00832508"/>
    <w:rsid w:val="0083263C"/>
    <w:rsid w:val="00832E15"/>
    <w:rsid w:val="008338E6"/>
    <w:rsid w:val="00834231"/>
    <w:rsid w:val="008346FC"/>
    <w:rsid w:val="008349ED"/>
    <w:rsid w:val="00834E99"/>
    <w:rsid w:val="008358EB"/>
    <w:rsid w:val="008360F2"/>
    <w:rsid w:val="0083666B"/>
    <w:rsid w:val="00836678"/>
    <w:rsid w:val="00836736"/>
    <w:rsid w:val="00836EDA"/>
    <w:rsid w:val="00836FC1"/>
    <w:rsid w:val="008372ED"/>
    <w:rsid w:val="008375DA"/>
    <w:rsid w:val="00837EC4"/>
    <w:rsid w:val="0084037F"/>
    <w:rsid w:val="00840A41"/>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77D"/>
    <w:rsid w:val="00847F03"/>
    <w:rsid w:val="00847FC5"/>
    <w:rsid w:val="008502D6"/>
    <w:rsid w:val="0085078D"/>
    <w:rsid w:val="00852403"/>
    <w:rsid w:val="008531AB"/>
    <w:rsid w:val="008532E9"/>
    <w:rsid w:val="00853386"/>
    <w:rsid w:val="00853CD8"/>
    <w:rsid w:val="00856CE1"/>
    <w:rsid w:val="00857463"/>
    <w:rsid w:val="0085758F"/>
    <w:rsid w:val="008577B1"/>
    <w:rsid w:val="00857DCB"/>
    <w:rsid w:val="00860B04"/>
    <w:rsid w:val="00860D31"/>
    <w:rsid w:val="00861260"/>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77E63"/>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78D"/>
    <w:rsid w:val="008946CB"/>
    <w:rsid w:val="00894959"/>
    <w:rsid w:val="0089495D"/>
    <w:rsid w:val="00895839"/>
    <w:rsid w:val="00895CE9"/>
    <w:rsid w:val="00895DF4"/>
    <w:rsid w:val="00896086"/>
    <w:rsid w:val="00896AFA"/>
    <w:rsid w:val="00896CAE"/>
    <w:rsid w:val="00896D45"/>
    <w:rsid w:val="00896F5D"/>
    <w:rsid w:val="0089724B"/>
    <w:rsid w:val="008973CD"/>
    <w:rsid w:val="008A15A2"/>
    <w:rsid w:val="008A19C8"/>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A7C14"/>
    <w:rsid w:val="008B0B36"/>
    <w:rsid w:val="008B18C3"/>
    <w:rsid w:val="008B2201"/>
    <w:rsid w:val="008B2596"/>
    <w:rsid w:val="008B27C4"/>
    <w:rsid w:val="008B3DD9"/>
    <w:rsid w:val="008B4F08"/>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3D6"/>
    <w:rsid w:val="008E5C30"/>
    <w:rsid w:val="008E6578"/>
    <w:rsid w:val="008E68D4"/>
    <w:rsid w:val="008E6C7F"/>
    <w:rsid w:val="008E6E16"/>
    <w:rsid w:val="008F0937"/>
    <w:rsid w:val="008F19D1"/>
    <w:rsid w:val="008F2DF2"/>
    <w:rsid w:val="008F3A98"/>
    <w:rsid w:val="008F3FF9"/>
    <w:rsid w:val="008F4A81"/>
    <w:rsid w:val="008F4C48"/>
    <w:rsid w:val="008F4F66"/>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580D"/>
    <w:rsid w:val="009071AD"/>
    <w:rsid w:val="00907482"/>
    <w:rsid w:val="009079F2"/>
    <w:rsid w:val="00911DF7"/>
    <w:rsid w:val="00912745"/>
    <w:rsid w:val="009128FA"/>
    <w:rsid w:val="009132B2"/>
    <w:rsid w:val="009134C8"/>
    <w:rsid w:val="009145B3"/>
    <w:rsid w:val="009150ED"/>
    <w:rsid w:val="00916C52"/>
    <w:rsid w:val="00917129"/>
    <w:rsid w:val="00917149"/>
    <w:rsid w:val="00917440"/>
    <w:rsid w:val="0092140E"/>
    <w:rsid w:val="00921EAA"/>
    <w:rsid w:val="009221D7"/>
    <w:rsid w:val="00922537"/>
    <w:rsid w:val="009233B4"/>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51645"/>
    <w:rsid w:val="00952308"/>
    <w:rsid w:val="0095302A"/>
    <w:rsid w:val="009536B7"/>
    <w:rsid w:val="00953D4B"/>
    <w:rsid w:val="00954942"/>
    <w:rsid w:val="009552BF"/>
    <w:rsid w:val="009561BC"/>
    <w:rsid w:val="00956A10"/>
    <w:rsid w:val="009579DF"/>
    <w:rsid w:val="009603FF"/>
    <w:rsid w:val="00960409"/>
    <w:rsid w:val="009604AD"/>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53E"/>
    <w:rsid w:val="009748E2"/>
    <w:rsid w:val="00974963"/>
    <w:rsid w:val="00974C27"/>
    <w:rsid w:val="00974E54"/>
    <w:rsid w:val="0097649E"/>
    <w:rsid w:val="00981650"/>
    <w:rsid w:val="00981F3E"/>
    <w:rsid w:val="009829BE"/>
    <w:rsid w:val="009836FE"/>
    <w:rsid w:val="00983D6F"/>
    <w:rsid w:val="0098417B"/>
    <w:rsid w:val="0098428B"/>
    <w:rsid w:val="0098445C"/>
    <w:rsid w:val="0098470E"/>
    <w:rsid w:val="00984CD0"/>
    <w:rsid w:val="00986284"/>
    <w:rsid w:val="00986502"/>
    <w:rsid w:val="009866F1"/>
    <w:rsid w:val="00986927"/>
    <w:rsid w:val="00986C7F"/>
    <w:rsid w:val="009879D1"/>
    <w:rsid w:val="00987A3F"/>
    <w:rsid w:val="00987AD5"/>
    <w:rsid w:val="00987C6B"/>
    <w:rsid w:val="00987C70"/>
    <w:rsid w:val="0099062D"/>
    <w:rsid w:val="009916C7"/>
    <w:rsid w:val="00991AF7"/>
    <w:rsid w:val="00992052"/>
    <w:rsid w:val="00993701"/>
    <w:rsid w:val="00994077"/>
    <w:rsid w:val="009946B2"/>
    <w:rsid w:val="009948C2"/>
    <w:rsid w:val="00996186"/>
    <w:rsid w:val="009A05DD"/>
    <w:rsid w:val="009A0B75"/>
    <w:rsid w:val="009A1D0B"/>
    <w:rsid w:val="009A2123"/>
    <w:rsid w:val="009A2DB0"/>
    <w:rsid w:val="009A3183"/>
    <w:rsid w:val="009A36A7"/>
    <w:rsid w:val="009A3D68"/>
    <w:rsid w:val="009A4117"/>
    <w:rsid w:val="009A4241"/>
    <w:rsid w:val="009A4D4F"/>
    <w:rsid w:val="009A5888"/>
    <w:rsid w:val="009A62FD"/>
    <w:rsid w:val="009A6481"/>
    <w:rsid w:val="009A6A91"/>
    <w:rsid w:val="009A7488"/>
    <w:rsid w:val="009A7F43"/>
    <w:rsid w:val="009B04F8"/>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0B5"/>
    <w:rsid w:val="009C612E"/>
    <w:rsid w:val="009C6B49"/>
    <w:rsid w:val="009C71DC"/>
    <w:rsid w:val="009C72F6"/>
    <w:rsid w:val="009C7BFA"/>
    <w:rsid w:val="009C7D37"/>
    <w:rsid w:val="009D061F"/>
    <w:rsid w:val="009D0848"/>
    <w:rsid w:val="009D2620"/>
    <w:rsid w:val="009D3D59"/>
    <w:rsid w:val="009D4668"/>
    <w:rsid w:val="009D4F2E"/>
    <w:rsid w:val="009D5054"/>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0C23"/>
    <w:rsid w:val="009F112F"/>
    <w:rsid w:val="009F215E"/>
    <w:rsid w:val="009F21F9"/>
    <w:rsid w:val="009F285C"/>
    <w:rsid w:val="009F2E25"/>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2F"/>
    <w:rsid w:val="00A17697"/>
    <w:rsid w:val="00A21895"/>
    <w:rsid w:val="00A24082"/>
    <w:rsid w:val="00A2580B"/>
    <w:rsid w:val="00A25EC2"/>
    <w:rsid w:val="00A25F8C"/>
    <w:rsid w:val="00A2698B"/>
    <w:rsid w:val="00A26CA0"/>
    <w:rsid w:val="00A272E7"/>
    <w:rsid w:val="00A2751B"/>
    <w:rsid w:val="00A27651"/>
    <w:rsid w:val="00A277DF"/>
    <w:rsid w:val="00A27829"/>
    <w:rsid w:val="00A318E5"/>
    <w:rsid w:val="00A34279"/>
    <w:rsid w:val="00A34404"/>
    <w:rsid w:val="00A34A23"/>
    <w:rsid w:val="00A3511B"/>
    <w:rsid w:val="00A352B0"/>
    <w:rsid w:val="00A35DFA"/>
    <w:rsid w:val="00A36188"/>
    <w:rsid w:val="00A36291"/>
    <w:rsid w:val="00A371AB"/>
    <w:rsid w:val="00A372ED"/>
    <w:rsid w:val="00A37BD0"/>
    <w:rsid w:val="00A37D2A"/>
    <w:rsid w:val="00A410F5"/>
    <w:rsid w:val="00A4120F"/>
    <w:rsid w:val="00A41AE7"/>
    <w:rsid w:val="00A42101"/>
    <w:rsid w:val="00A438C5"/>
    <w:rsid w:val="00A43BD6"/>
    <w:rsid w:val="00A44335"/>
    <w:rsid w:val="00A44DE4"/>
    <w:rsid w:val="00A44E87"/>
    <w:rsid w:val="00A45B52"/>
    <w:rsid w:val="00A467FE"/>
    <w:rsid w:val="00A47205"/>
    <w:rsid w:val="00A472DE"/>
    <w:rsid w:val="00A477C5"/>
    <w:rsid w:val="00A47CAB"/>
    <w:rsid w:val="00A51500"/>
    <w:rsid w:val="00A520F5"/>
    <w:rsid w:val="00A52405"/>
    <w:rsid w:val="00A526A9"/>
    <w:rsid w:val="00A52939"/>
    <w:rsid w:val="00A52F0D"/>
    <w:rsid w:val="00A53364"/>
    <w:rsid w:val="00A533DA"/>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6944"/>
    <w:rsid w:val="00A67532"/>
    <w:rsid w:val="00A67C71"/>
    <w:rsid w:val="00A67F22"/>
    <w:rsid w:val="00A7059B"/>
    <w:rsid w:val="00A71578"/>
    <w:rsid w:val="00A72221"/>
    <w:rsid w:val="00A723F0"/>
    <w:rsid w:val="00A724D2"/>
    <w:rsid w:val="00A7280E"/>
    <w:rsid w:val="00A731BF"/>
    <w:rsid w:val="00A731F0"/>
    <w:rsid w:val="00A73E24"/>
    <w:rsid w:val="00A7531A"/>
    <w:rsid w:val="00A7554A"/>
    <w:rsid w:val="00A76445"/>
    <w:rsid w:val="00A76470"/>
    <w:rsid w:val="00A77894"/>
    <w:rsid w:val="00A77902"/>
    <w:rsid w:val="00A77D0E"/>
    <w:rsid w:val="00A8033E"/>
    <w:rsid w:val="00A8258D"/>
    <w:rsid w:val="00A8271C"/>
    <w:rsid w:val="00A82CD7"/>
    <w:rsid w:val="00A82F71"/>
    <w:rsid w:val="00A836D0"/>
    <w:rsid w:val="00A8382B"/>
    <w:rsid w:val="00A83C79"/>
    <w:rsid w:val="00A8469D"/>
    <w:rsid w:val="00A8513C"/>
    <w:rsid w:val="00A8538E"/>
    <w:rsid w:val="00A86C6C"/>
    <w:rsid w:val="00A86EFD"/>
    <w:rsid w:val="00A87921"/>
    <w:rsid w:val="00A87CF4"/>
    <w:rsid w:val="00A90B55"/>
    <w:rsid w:val="00A90F2F"/>
    <w:rsid w:val="00A91321"/>
    <w:rsid w:val="00A9169E"/>
    <w:rsid w:val="00A91AB4"/>
    <w:rsid w:val="00A91C5F"/>
    <w:rsid w:val="00A92510"/>
    <w:rsid w:val="00A92AB5"/>
    <w:rsid w:val="00A9344D"/>
    <w:rsid w:val="00A93F07"/>
    <w:rsid w:val="00A93FC7"/>
    <w:rsid w:val="00A941C7"/>
    <w:rsid w:val="00A944F9"/>
    <w:rsid w:val="00A9495E"/>
    <w:rsid w:val="00A95CE1"/>
    <w:rsid w:val="00A962E6"/>
    <w:rsid w:val="00A969A4"/>
    <w:rsid w:val="00A97C46"/>
    <w:rsid w:val="00A97CA7"/>
    <w:rsid w:val="00AA0D9D"/>
    <w:rsid w:val="00AA1259"/>
    <w:rsid w:val="00AA1A7B"/>
    <w:rsid w:val="00AA1E3C"/>
    <w:rsid w:val="00AA22CF"/>
    <w:rsid w:val="00AA286E"/>
    <w:rsid w:val="00AA2CBA"/>
    <w:rsid w:val="00AA34F0"/>
    <w:rsid w:val="00AA3DA6"/>
    <w:rsid w:val="00AA42BE"/>
    <w:rsid w:val="00AA43A9"/>
    <w:rsid w:val="00AA462C"/>
    <w:rsid w:val="00AA546A"/>
    <w:rsid w:val="00AA5A06"/>
    <w:rsid w:val="00AA6FBC"/>
    <w:rsid w:val="00AA7056"/>
    <w:rsid w:val="00AA72E7"/>
    <w:rsid w:val="00AA7780"/>
    <w:rsid w:val="00AA77DA"/>
    <w:rsid w:val="00AB0260"/>
    <w:rsid w:val="00AB0B76"/>
    <w:rsid w:val="00AB10F7"/>
    <w:rsid w:val="00AB31CE"/>
    <w:rsid w:val="00AB3C73"/>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B57"/>
    <w:rsid w:val="00AC0FF0"/>
    <w:rsid w:val="00AC1588"/>
    <w:rsid w:val="00AC2CFC"/>
    <w:rsid w:val="00AC35CA"/>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0AD"/>
    <w:rsid w:val="00AE3767"/>
    <w:rsid w:val="00AE4F9E"/>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6B46"/>
    <w:rsid w:val="00AF783B"/>
    <w:rsid w:val="00AF79AF"/>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3C"/>
    <w:rsid w:val="00B1272D"/>
    <w:rsid w:val="00B12ED9"/>
    <w:rsid w:val="00B13719"/>
    <w:rsid w:val="00B138E8"/>
    <w:rsid w:val="00B13AFE"/>
    <w:rsid w:val="00B143E1"/>
    <w:rsid w:val="00B14CB0"/>
    <w:rsid w:val="00B15E69"/>
    <w:rsid w:val="00B160B5"/>
    <w:rsid w:val="00B16335"/>
    <w:rsid w:val="00B16B42"/>
    <w:rsid w:val="00B17C60"/>
    <w:rsid w:val="00B20362"/>
    <w:rsid w:val="00B20CAD"/>
    <w:rsid w:val="00B21D91"/>
    <w:rsid w:val="00B22432"/>
    <w:rsid w:val="00B25A1B"/>
    <w:rsid w:val="00B25A45"/>
    <w:rsid w:val="00B25CB3"/>
    <w:rsid w:val="00B27138"/>
    <w:rsid w:val="00B27232"/>
    <w:rsid w:val="00B278B4"/>
    <w:rsid w:val="00B30D7C"/>
    <w:rsid w:val="00B30FC4"/>
    <w:rsid w:val="00B311FF"/>
    <w:rsid w:val="00B31E10"/>
    <w:rsid w:val="00B32200"/>
    <w:rsid w:val="00B32BF6"/>
    <w:rsid w:val="00B3397F"/>
    <w:rsid w:val="00B34251"/>
    <w:rsid w:val="00B34340"/>
    <w:rsid w:val="00B35607"/>
    <w:rsid w:val="00B35FB9"/>
    <w:rsid w:val="00B361F6"/>
    <w:rsid w:val="00B368D6"/>
    <w:rsid w:val="00B368F0"/>
    <w:rsid w:val="00B36C0D"/>
    <w:rsid w:val="00B3702C"/>
    <w:rsid w:val="00B40AC2"/>
    <w:rsid w:val="00B4119F"/>
    <w:rsid w:val="00B41550"/>
    <w:rsid w:val="00B41DF8"/>
    <w:rsid w:val="00B4241B"/>
    <w:rsid w:val="00B42565"/>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647"/>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4E5"/>
    <w:rsid w:val="00B921DB"/>
    <w:rsid w:val="00B9260F"/>
    <w:rsid w:val="00B93914"/>
    <w:rsid w:val="00B9400B"/>
    <w:rsid w:val="00B953CD"/>
    <w:rsid w:val="00B95C39"/>
    <w:rsid w:val="00B96237"/>
    <w:rsid w:val="00B962EC"/>
    <w:rsid w:val="00B96465"/>
    <w:rsid w:val="00B96529"/>
    <w:rsid w:val="00B96A5C"/>
    <w:rsid w:val="00B9746A"/>
    <w:rsid w:val="00BA0529"/>
    <w:rsid w:val="00BA0E4E"/>
    <w:rsid w:val="00BA1468"/>
    <w:rsid w:val="00BA1495"/>
    <w:rsid w:val="00BA1FED"/>
    <w:rsid w:val="00BA2508"/>
    <w:rsid w:val="00BA26B4"/>
    <w:rsid w:val="00BA4982"/>
    <w:rsid w:val="00BA513F"/>
    <w:rsid w:val="00BA540E"/>
    <w:rsid w:val="00BA5894"/>
    <w:rsid w:val="00BA5AFF"/>
    <w:rsid w:val="00BA5B90"/>
    <w:rsid w:val="00BA6327"/>
    <w:rsid w:val="00BA7B80"/>
    <w:rsid w:val="00BB15DE"/>
    <w:rsid w:val="00BB1ABB"/>
    <w:rsid w:val="00BB211E"/>
    <w:rsid w:val="00BB2149"/>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408"/>
    <w:rsid w:val="00BD26F6"/>
    <w:rsid w:val="00BD3006"/>
    <w:rsid w:val="00BD60CE"/>
    <w:rsid w:val="00BD66E0"/>
    <w:rsid w:val="00BD7E38"/>
    <w:rsid w:val="00BE0435"/>
    <w:rsid w:val="00BE0874"/>
    <w:rsid w:val="00BE133A"/>
    <w:rsid w:val="00BE152D"/>
    <w:rsid w:val="00BE17D7"/>
    <w:rsid w:val="00BE1895"/>
    <w:rsid w:val="00BE273E"/>
    <w:rsid w:val="00BE2A05"/>
    <w:rsid w:val="00BE3A1E"/>
    <w:rsid w:val="00BE3F12"/>
    <w:rsid w:val="00BE401C"/>
    <w:rsid w:val="00BE4161"/>
    <w:rsid w:val="00BE455B"/>
    <w:rsid w:val="00BE51BC"/>
    <w:rsid w:val="00BE5660"/>
    <w:rsid w:val="00BE5764"/>
    <w:rsid w:val="00BE5FAE"/>
    <w:rsid w:val="00BE60CD"/>
    <w:rsid w:val="00BE6A5F"/>
    <w:rsid w:val="00BE6A87"/>
    <w:rsid w:val="00BE7374"/>
    <w:rsid w:val="00BE75A2"/>
    <w:rsid w:val="00BE79FF"/>
    <w:rsid w:val="00BE7E32"/>
    <w:rsid w:val="00BF0557"/>
    <w:rsid w:val="00BF059C"/>
    <w:rsid w:val="00BF0BB5"/>
    <w:rsid w:val="00BF1013"/>
    <w:rsid w:val="00BF246D"/>
    <w:rsid w:val="00BF2A3B"/>
    <w:rsid w:val="00BF2B27"/>
    <w:rsid w:val="00BF2B9A"/>
    <w:rsid w:val="00BF3AD2"/>
    <w:rsid w:val="00BF40C9"/>
    <w:rsid w:val="00BF42B1"/>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7B"/>
    <w:rsid w:val="00C10699"/>
    <w:rsid w:val="00C11D11"/>
    <w:rsid w:val="00C11FF6"/>
    <w:rsid w:val="00C1237C"/>
    <w:rsid w:val="00C13BA4"/>
    <w:rsid w:val="00C14304"/>
    <w:rsid w:val="00C14366"/>
    <w:rsid w:val="00C14A19"/>
    <w:rsid w:val="00C15342"/>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64EC"/>
    <w:rsid w:val="00C27049"/>
    <w:rsid w:val="00C27257"/>
    <w:rsid w:val="00C278B5"/>
    <w:rsid w:val="00C27CDD"/>
    <w:rsid w:val="00C3028A"/>
    <w:rsid w:val="00C30911"/>
    <w:rsid w:val="00C312AA"/>
    <w:rsid w:val="00C31351"/>
    <w:rsid w:val="00C324C6"/>
    <w:rsid w:val="00C32670"/>
    <w:rsid w:val="00C32813"/>
    <w:rsid w:val="00C32DDD"/>
    <w:rsid w:val="00C34263"/>
    <w:rsid w:val="00C352EB"/>
    <w:rsid w:val="00C35747"/>
    <w:rsid w:val="00C35C3D"/>
    <w:rsid w:val="00C3694D"/>
    <w:rsid w:val="00C36A21"/>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6DCB"/>
    <w:rsid w:val="00C57E06"/>
    <w:rsid w:val="00C60B08"/>
    <w:rsid w:val="00C613B4"/>
    <w:rsid w:val="00C626AE"/>
    <w:rsid w:val="00C62A4B"/>
    <w:rsid w:val="00C62BD7"/>
    <w:rsid w:val="00C63971"/>
    <w:rsid w:val="00C63A4C"/>
    <w:rsid w:val="00C64191"/>
    <w:rsid w:val="00C64478"/>
    <w:rsid w:val="00C65DAB"/>
    <w:rsid w:val="00C65ECD"/>
    <w:rsid w:val="00C6678F"/>
    <w:rsid w:val="00C675F9"/>
    <w:rsid w:val="00C70532"/>
    <w:rsid w:val="00C70B7E"/>
    <w:rsid w:val="00C721D7"/>
    <w:rsid w:val="00C72422"/>
    <w:rsid w:val="00C72F39"/>
    <w:rsid w:val="00C73677"/>
    <w:rsid w:val="00C73FAD"/>
    <w:rsid w:val="00C7444D"/>
    <w:rsid w:val="00C7459D"/>
    <w:rsid w:val="00C75E1A"/>
    <w:rsid w:val="00C76DE5"/>
    <w:rsid w:val="00C77E94"/>
    <w:rsid w:val="00C807C3"/>
    <w:rsid w:val="00C80D35"/>
    <w:rsid w:val="00C80F12"/>
    <w:rsid w:val="00C81CDF"/>
    <w:rsid w:val="00C82562"/>
    <w:rsid w:val="00C8344F"/>
    <w:rsid w:val="00C837B9"/>
    <w:rsid w:val="00C837DC"/>
    <w:rsid w:val="00C841C4"/>
    <w:rsid w:val="00C841DB"/>
    <w:rsid w:val="00C852AD"/>
    <w:rsid w:val="00C85925"/>
    <w:rsid w:val="00C85DF2"/>
    <w:rsid w:val="00C8648C"/>
    <w:rsid w:val="00C86E1C"/>
    <w:rsid w:val="00C87A16"/>
    <w:rsid w:val="00C87D14"/>
    <w:rsid w:val="00C87DBB"/>
    <w:rsid w:val="00C907B8"/>
    <w:rsid w:val="00C90F48"/>
    <w:rsid w:val="00C916A2"/>
    <w:rsid w:val="00C918CA"/>
    <w:rsid w:val="00C939A1"/>
    <w:rsid w:val="00C93F76"/>
    <w:rsid w:val="00C9448D"/>
    <w:rsid w:val="00C95B1E"/>
    <w:rsid w:val="00C96CFE"/>
    <w:rsid w:val="00C96DEF"/>
    <w:rsid w:val="00C9712A"/>
    <w:rsid w:val="00C9757B"/>
    <w:rsid w:val="00C97745"/>
    <w:rsid w:val="00CA1383"/>
    <w:rsid w:val="00CA1385"/>
    <w:rsid w:val="00CA1B54"/>
    <w:rsid w:val="00CA1CD3"/>
    <w:rsid w:val="00CA2B7B"/>
    <w:rsid w:val="00CA2FB6"/>
    <w:rsid w:val="00CA2FB8"/>
    <w:rsid w:val="00CA307E"/>
    <w:rsid w:val="00CA33C3"/>
    <w:rsid w:val="00CA3823"/>
    <w:rsid w:val="00CA3841"/>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0C38"/>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B8A"/>
    <w:rsid w:val="00CD4FAC"/>
    <w:rsid w:val="00CD5CFB"/>
    <w:rsid w:val="00CD5EB3"/>
    <w:rsid w:val="00CD7B08"/>
    <w:rsid w:val="00CD7CCD"/>
    <w:rsid w:val="00CE00A7"/>
    <w:rsid w:val="00CE1D1D"/>
    <w:rsid w:val="00CE263D"/>
    <w:rsid w:val="00CE2C88"/>
    <w:rsid w:val="00CE3109"/>
    <w:rsid w:val="00CE35EE"/>
    <w:rsid w:val="00CE39F1"/>
    <w:rsid w:val="00CE438B"/>
    <w:rsid w:val="00CE4DFF"/>
    <w:rsid w:val="00CE4F82"/>
    <w:rsid w:val="00CE5362"/>
    <w:rsid w:val="00CE6D3B"/>
    <w:rsid w:val="00CF0004"/>
    <w:rsid w:val="00CF0BD6"/>
    <w:rsid w:val="00CF162E"/>
    <w:rsid w:val="00CF1C14"/>
    <w:rsid w:val="00CF26E5"/>
    <w:rsid w:val="00CF2725"/>
    <w:rsid w:val="00CF2761"/>
    <w:rsid w:val="00CF2CA2"/>
    <w:rsid w:val="00CF3525"/>
    <w:rsid w:val="00CF3739"/>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507"/>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1BC"/>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4FB8"/>
    <w:rsid w:val="00D25206"/>
    <w:rsid w:val="00D25F82"/>
    <w:rsid w:val="00D26E98"/>
    <w:rsid w:val="00D27637"/>
    <w:rsid w:val="00D27F9C"/>
    <w:rsid w:val="00D30393"/>
    <w:rsid w:val="00D31393"/>
    <w:rsid w:val="00D31595"/>
    <w:rsid w:val="00D3217C"/>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672"/>
    <w:rsid w:val="00D60E5B"/>
    <w:rsid w:val="00D6150B"/>
    <w:rsid w:val="00D621B5"/>
    <w:rsid w:val="00D63376"/>
    <w:rsid w:val="00D63A01"/>
    <w:rsid w:val="00D6406A"/>
    <w:rsid w:val="00D64717"/>
    <w:rsid w:val="00D671B2"/>
    <w:rsid w:val="00D6766A"/>
    <w:rsid w:val="00D706E0"/>
    <w:rsid w:val="00D71559"/>
    <w:rsid w:val="00D71B70"/>
    <w:rsid w:val="00D7270A"/>
    <w:rsid w:val="00D73924"/>
    <w:rsid w:val="00D73A2F"/>
    <w:rsid w:val="00D740CA"/>
    <w:rsid w:val="00D7468B"/>
    <w:rsid w:val="00D74749"/>
    <w:rsid w:val="00D75429"/>
    <w:rsid w:val="00D75B78"/>
    <w:rsid w:val="00D75FA8"/>
    <w:rsid w:val="00D779E0"/>
    <w:rsid w:val="00D77C6F"/>
    <w:rsid w:val="00D8064F"/>
    <w:rsid w:val="00D809AD"/>
    <w:rsid w:val="00D80D71"/>
    <w:rsid w:val="00D813D0"/>
    <w:rsid w:val="00D82442"/>
    <w:rsid w:val="00D82586"/>
    <w:rsid w:val="00D834CD"/>
    <w:rsid w:val="00D83643"/>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0B9"/>
    <w:rsid w:val="00DB0D8F"/>
    <w:rsid w:val="00DB11BA"/>
    <w:rsid w:val="00DB13AD"/>
    <w:rsid w:val="00DB3027"/>
    <w:rsid w:val="00DB31D1"/>
    <w:rsid w:val="00DB35C8"/>
    <w:rsid w:val="00DB3752"/>
    <w:rsid w:val="00DB3C30"/>
    <w:rsid w:val="00DB3FCE"/>
    <w:rsid w:val="00DB4421"/>
    <w:rsid w:val="00DB5A6C"/>
    <w:rsid w:val="00DB6BFE"/>
    <w:rsid w:val="00DC050B"/>
    <w:rsid w:val="00DC0553"/>
    <w:rsid w:val="00DC16F6"/>
    <w:rsid w:val="00DC19B2"/>
    <w:rsid w:val="00DC1FE4"/>
    <w:rsid w:val="00DC2081"/>
    <w:rsid w:val="00DC3110"/>
    <w:rsid w:val="00DC3246"/>
    <w:rsid w:val="00DC33C6"/>
    <w:rsid w:val="00DC48EC"/>
    <w:rsid w:val="00DC4B8D"/>
    <w:rsid w:val="00DC4C0F"/>
    <w:rsid w:val="00DC514A"/>
    <w:rsid w:val="00DC517D"/>
    <w:rsid w:val="00DC6282"/>
    <w:rsid w:val="00DC706E"/>
    <w:rsid w:val="00DC7286"/>
    <w:rsid w:val="00DD0963"/>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7800"/>
    <w:rsid w:val="00DE7F28"/>
    <w:rsid w:val="00DF02F6"/>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285C"/>
    <w:rsid w:val="00E22F04"/>
    <w:rsid w:val="00E2346B"/>
    <w:rsid w:val="00E23E20"/>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7E7"/>
    <w:rsid w:val="00E4196C"/>
    <w:rsid w:val="00E41DAC"/>
    <w:rsid w:val="00E423F4"/>
    <w:rsid w:val="00E4376D"/>
    <w:rsid w:val="00E443EF"/>
    <w:rsid w:val="00E44DC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602B"/>
    <w:rsid w:val="00E87A8B"/>
    <w:rsid w:val="00E87C26"/>
    <w:rsid w:val="00E90181"/>
    <w:rsid w:val="00E919E3"/>
    <w:rsid w:val="00E92B26"/>
    <w:rsid w:val="00E93298"/>
    <w:rsid w:val="00E944CE"/>
    <w:rsid w:val="00E944E7"/>
    <w:rsid w:val="00E94BF0"/>
    <w:rsid w:val="00E95031"/>
    <w:rsid w:val="00E979DC"/>
    <w:rsid w:val="00E97AD8"/>
    <w:rsid w:val="00E97C9E"/>
    <w:rsid w:val="00EA005B"/>
    <w:rsid w:val="00EA031C"/>
    <w:rsid w:val="00EA0331"/>
    <w:rsid w:val="00EA0730"/>
    <w:rsid w:val="00EA23EE"/>
    <w:rsid w:val="00EA3115"/>
    <w:rsid w:val="00EA31BA"/>
    <w:rsid w:val="00EA3F37"/>
    <w:rsid w:val="00EA4CA5"/>
    <w:rsid w:val="00EA4F28"/>
    <w:rsid w:val="00EA5171"/>
    <w:rsid w:val="00EA544D"/>
    <w:rsid w:val="00EA61EB"/>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3734"/>
    <w:rsid w:val="00ED454C"/>
    <w:rsid w:val="00ED49D4"/>
    <w:rsid w:val="00ED6355"/>
    <w:rsid w:val="00EE0DBF"/>
    <w:rsid w:val="00EE0FAB"/>
    <w:rsid w:val="00EE1E90"/>
    <w:rsid w:val="00EE1F08"/>
    <w:rsid w:val="00EE25CD"/>
    <w:rsid w:val="00EE274B"/>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EF7997"/>
    <w:rsid w:val="00F00BEC"/>
    <w:rsid w:val="00F00C80"/>
    <w:rsid w:val="00F0166C"/>
    <w:rsid w:val="00F01A2A"/>
    <w:rsid w:val="00F0273F"/>
    <w:rsid w:val="00F02E70"/>
    <w:rsid w:val="00F03827"/>
    <w:rsid w:val="00F03FC6"/>
    <w:rsid w:val="00F0400E"/>
    <w:rsid w:val="00F045E0"/>
    <w:rsid w:val="00F06AC7"/>
    <w:rsid w:val="00F07567"/>
    <w:rsid w:val="00F078DC"/>
    <w:rsid w:val="00F07C18"/>
    <w:rsid w:val="00F07F39"/>
    <w:rsid w:val="00F10F4B"/>
    <w:rsid w:val="00F10FF4"/>
    <w:rsid w:val="00F11C70"/>
    <w:rsid w:val="00F11F66"/>
    <w:rsid w:val="00F124A7"/>
    <w:rsid w:val="00F12E86"/>
    <w:rsid w:val="00F13C43"/>
    <w:rsid w:val="00F13F01"/>
    <w:rsid w:val="00F14BB2"/>
    <w:rsid w:val="00F15330"/>
    <w:rsid w:val="00F156E6"/>
    <w:rsid w:val="00F15DED"/>
    <w:rsid w:val="00F164B0"/>
    <w:rsid w:val="00F16569"/>
    <w:rsid w:val="00F16B9C"/>
    <w:rsid w:val="00F171EE"/>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5FEB"/>
    <w:rsid w:val="00F57109"/>
    <w:rsid w:val="00F57604"/>
    <w:rsid w:val="00F57629"/>
    <w:rsid w:val="00F607ED"/>
    <w:rsid w:val="00F60E63"/>
    <w:rsid w:val="00F61729"/>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1C9E"/>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1AA"/>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B7C"/>
    <w:rsid w:val="00FA4AA9"/>
    <w:rsid w:val="00FA64FA"/>
    <w:rsid w:val="00FA70D6"/>
    <w:rsid w:val="00FB04B1"/>
    <w:rsid w:val="00FB0796"/>
    <w:rsid w:val="00FB0E5E"/>
    <w:rsid w:val="00FB15BE"/>
    <w:rsid w:val="00FB1B18"/>
    <w:rsid w:val="00FB1C0D"/>
    <w:rsid w:val="00FB1F97"/>
    <w:rsid w:val="00FB26A7"/>
    <w:rsid w:val="00FB2E85"/>
    <w:rsid w:val="00FB2EFA"/>
    <w:rsid w:val="00FB3BDA"/>
    <w:rsid w:val="00FB3C3D"/>
    <w:rsid w:val="00FB4048"/>
    <w:rsid w:val="00FB433C"/>
    <w:rsid w:val="00FB4E8C"/>
    <w:rsid w:val="00FB608F"/>
    <w:rsid w:val="00FB609D"/>
    <w:rsid w:val="00FB672C"/>
    <w:rsid w:val="00FB769A"/>
    <w:rsid w:val="00FB793E"/>
    <w:rsid w:val="00FC01D2"/>
    <w:rsid w:val="00FC170E"/>
    <w:rsid w:val="00FC1A9C"/>
    <w:rsid w:val="00FC3AB1"/>
    <w:rsid w:val="00FC3B6D"/>
    <w:rsid w:val="00FC3C4F"/>
    <w:rsid w:val="00FC57A2"/>
    <w:rsid w:val="00FC586A"/>
    <w:rsid w:val="00FC5986"/>
    <w:rsid w:val="00FC6291"/>
    <w:rsid w:val="00FC6421"/>
    <w:rsid w:val="00FC69DD"/>
    <w:rsid w:val="00FC6B8A"/>
    <w:rsid w:val="00FC71BC"/>
    <w:rsid w:val="00FD1A55"/>
    <w:rsid w:val="00FD20EE"/>
    <w:rsid w:val="00FD2E52"/>
    <w:rsid w:val="00FD35D3"/>
    <w:rsid w:val="00FD5ABE"/>
    <w:rsid w:val="00FD658D"/>
    <w:rsid w:val="00FD6793"/>
    <w:rsid w:val="00FD71AC"/>
    <w:rsid w:val="00FE148B"/>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B270C1"/>
    <w:rsid w:val="04FE7F15"/>
    <w:rsid w:val="05AF02CF"/>
    <w:rsid w:val="05B475CC"/>
    <w:rsid w:val="05C515F4"/>
    <w:rsid w:val="060C2D53"/>
    <w:rsid w:val="061340E1"/>
    <w:rsid w:val="062D4F46"/>
    <w:rsid w:val="06A25842"/>
    <w:rsid w:val="06AF5670"/>
    <w:rsid w:val="06E76218"/>
    <w:rsid w:val="073D0B74"/>
    <w:rsid w:val="0768045D"/>
    <w:rsid w:val="079A5979"/>
    <w:rsid w:val="07A50A58"/>
    <w:rsid w:val="07B80611"/>
    <w:rsid w:val="084762C4"/>
    <w:rsid w:val="085631C9"/>
    <w:rsid w:val="088257A5"/>
    <w:rsid w:val="08F1113D"/>
    <w:rsid w:val="08F11A25"/>
    <w:rsid w:val="08FE2AB1"/>
    <w:rsid w:val="093E0880"/>
    <w:rsid w:val="0970461D"/>
    <w:rsid w:val="097F4AD0"/>
    <w:rsid w:val="09A0026F"/>
    <w:rsid w:val="09C0632E"/>
    <w:rsid w:val="09F66B63"/>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D7E4BC3"/>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0F845FF"/>
    <w:rsid w:val="11397FF2"/>
    <w:rsid w:val="114A39B7"/>
    <w:rsid w:val="1167581E"/>
    <w:rsid w:val="116E2B13"/>
    <w:rsid w:val="11CF045F"/>
    <w:rsid w:val="1254505F"/>
    <w:rsid w:val="12776333"/>
    <w:rsid w:val="1280341C"/>
    <w:rsid w:val="133B4C77"/>
    <w:rsid w:val="136D5594"/>
    <w:rsid w:val="13734411"/>
    <w:rsid w:val="13CA2479"/>
    <w:rsid w:val="147E3368"/>
    <w:rsid w:val="14E804E7"/>
    <w:rsid w:val="151F2C18"/>
    <w:rsid w:val="15D53161"/>
    <w:rsid w:val="15F45A89"/>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44815"/>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573CED"/>
    <w:rsid w:val="2A9E7061"/>
    <w:rsid w:val="2AD8323E"/>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247BB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2F6DCF"/>
    <w:rsid w:val="44382ADF"/>
    <w:rsid w:val="444A6D77"/>
    <w:rsid w:val="44534092"/>
    <w:rsid w:val="44894759"/>
    <w:rsid w:val="44EA2EF1"/>
    <w:rsid w:val="451C0B79"/>
    <w:rsid w:val="455A784A"/>
    <w:rsid w:val="45C269A9"/>
    <w:rsid w:val="45D47A85"/>
    <w:rsid w:val="45F51841"/>
    <w:rsid w:val="4634361B"/>
    <w:rsid w:val="46BF6084"/>
    <w:rsid w:val="47340CF7"/>
    <w:rsid w:val="478532F6"/>
    <w:rsid w:val="47EC272B"/>
    <w:rsid w:val="48695B00"/>
    <w:rsid w:val="488E737E"/>
    <w:rsid w:val="49E40AA8"/>
    <w:rsid w:val="4A226926"/>
    <w:rsid w:val="4A42444F"/>
    <w:rsid w:val="4A7C7F8F"/>
    <w:rsid w:val="4A9C3992"/>
    <w:rsid w:val="4AE235D1"/>
    <w:rsid w:val="4AF94389"/>
    <w:rsid w:val="4B15206C"/>
    <w:rsid w:val="4BA16A96"/>
    <w:rsid w:val="4BCD3D4C"/>
    <w:rsid w:val="4C5A55C7"/>
    <w:rsid w:val="4C8668CB"/>
    <w:rsid w:val="4D4B2F88"/>
    <w:rsid w:val="4D7367E0"/>
    <w:rsid w:val="4DB62832"/>
    <w:rsid w:val="4DCB6A8C"/>
    <w:rsid w:val="4E5370E8"/>
    <w:rsid w:val="4E577EB0"/>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1B34883"/>
    <w:rsid w:val="51D57A6A"/>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46763"/>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644DC"/>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0B32EB"/>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6B40A1"/>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0C96594"/>
    <w:rsid w:val="712D5257"/>
    <w:rsid w:val="713F2A2B"/>
    <w:rsid w:val="71524DCB"/>
    <w:rsid w:val="71A37B39"/>
    <w:rsid w:val="71FE52CE"/>
    <w:rsid w:val="72190AC4"/>
    <w:rsid w:val="721A3B8E"/>
    <w:rsid w:val="7241371E"/>
    <w:rsid w:val="72927AE7"/>
    <w:rsid w:val="72A82F95"/>
    <w:rsid w:val="72B02137"/>
    <w:rsid w:val="73907D5F"/>
    <w:rsid w:val="73EF2BAE"/>
    <w:rsid w:val="74EF0E42"/>
    <w:rsid w:val="750F518A"/>
    <w:rsid w:val="752D5280"/>
    <w:rsid w:val="761261C6"/>
    <w:rsid w:val="762D1373"/>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 w:val="ADFFD781"/>
    <w:rsid w:val="DEEE651C"/>
    <w:rsid w:val="EFBF869B"/>
    <w:rsid w:val="FFF644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3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91"/>
    <w:qFormat/>
    <w:uiPriority w:val="0"/>
    <w:pPr>
      <w:keepNext/>
      <w:keepLines/>
      <w:spacing w:before="260" w:after="260" w:line="416" w:lineRule="auto"/>
      <w:outlineLvl w:val="1"/>
    </w:pPr>
    <w:rPr>
      <w:rFonts w:eastAsia="仿宋" w:asciiTheme="majorHAnsi" w:hAnsiTheme="majorHAnsi" w:cstheme="majorBidi"/>
      <w:b/>
      <w:bCs/>
      <w:sz w:val="28"/>
      <w:szCs w:val="32"/>
    </w:rPr>
  </w:style>
  <w:style w:type="paragraph" w:styleId="5">
    <w:name w:val="heading 3"/>
    <w:basedOn w:val="1"/>
    <w:next w:val="1"/>
    <w:link w:val="165"/>
    <w:qFormat/>
    <w:uiPriority w:val="0"/>
    <w:pPr>
      <w:keepNext/>
      <w:keepLines/>
      <w:spacing w:before="260" w:after="260" w:line="416" w:lineRule="auto"/>
      <w:outlineLvl w:val="2"/>
    </w:pPr>
    <w:rPr>
      <w:b/>
      <w:bCs/>
      <w:sz w:val="32"/>
      <w:szCs w:val="32"/>
    </w:rPr>
  </w:style>
  <w:style w:type="paragraph" w:styleId="6">
    <w:name w:val="heading 4"/>
    <w:basedOn w:val="1"/>
    <w:next w:val="1"/>
    <w:link w:val="338"/>
    <w:qFormat/>
    <w:uiPriority w:val="0"/>
    <w:pPr>
      <w:keepNext/>
      <w:spacing w:line="440" w:lineRule="exact"/>
      <w:jc w:val="center"/>
      <w:outlineLvl w:val="3"/>
    </w:pPr>
    <w:rPr>
      <w:rFonts w:ascii="仿宋_GB2312" w:eastAsia="仿宋_GB2312"/>
      <w:sz w:val="28"/>
      <w:szCs w:val="28"/>
    </w:rPr>
  </w:style>
  <w:style w:type="paragraph" w:styleId="7">
    <w:name w:val="heading 5"/>
    <w:basedOn w:val="1"/>
    <w:next w:val="1"/>
    <w:link w:val="389"/>
    <w:qFormat/>
    <w:uiPriority w:val="0"/>
    <w:pPr>
      <w:keepNext/>
      <w:keepLines/>
      <w:spacing w:before="280" w:after="290" w:line="372" w:lineRule="auto"/>
      <w:outlineLvl w:val="4"/>
    </w:pPr>
    <w:rPr>
      <w:b/>
      <w:bCs/>
      <w:sz w:val="28"/>
      <w:szCs w:val="28"/>
    </w:rPr>
  </w:style>
  <w:style w:type="paragraph" w:styleId="8">
    <w:name w:val="heading 6"/>
    <w:basedOn w:val="1"/>
    <w:next w:val="1"/>
    <w:link w:val="112"/>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39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287"/>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18"/>
    <w:qFormat/>
    <w:uiPriority w:val="99"/>
    <w:pPr>
      <w:ind w:firstLine="830" w:firstLineChars="352"/>
    </w:pPr>
    <w:rPr>
      <w:rFonts w:ascii="仿宋_GB2312" w:eastAsia="仿宋_GB2312"/>
      <w:kern w:val="0"/>
      <w:sz w:val="32"/>
      <w:szCs w:val="32"/>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39"/>
    <w:pPr>
      <w:ind w:left="1260"/>
      <w:jc w:val="left"/>
    </w:pPr>
    <w:rPr>
      <w:sz w:val="18"/>
      <w:szCs w:val="18"/>
    </w:rPr>
  </w:style>
  <w:style w:type="paragraph" w:styleId="14">
    <w:name w:val="Normal Indent"/>
    <w:basedOn w:val="1"/>
    <w:link w:val="146"/>
    <w:qFormat/>
    <w:uiPriority w:val="99"/>
    <w:pPr>
      <w:ind w:firstLine="420"/>
    </w:pPr>
    <w:rPr>
      <w:szCs w:val="21"/>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365"/>
    <w:qFormat/>
    <w:uiPriority w:val="99"/>
    <w:pPr>
      <w:shd w:val="clear" w:color="auto" w:fill="000080"/>
    </w:pPr>
  </w:style>
  <w:style w:type="paragraph" w:styleId="17">
    <w:name w:val="annotation text"/>
    <w:basedOn w:val="1"/>
    <w:link w:val="322"/>
    <w:qFormat/>
    <w:uiPriority w:val="0"/>
    <w:pPr>
      <w:jc w:val="left"/>
    </w:pPr>
  </w:style>
  <w:style w:type="paragraph" w:styleId="18">
    <w:name w:val="Body Text 3"/>
    <w:basedOn w:val="1"/>
    <w:link w:val="64"/>
    <w:qFormat/>
    <w:uiPriority w:val="99"/>
    <w:pPr>
      <w:spacing w:after="120"/>
    </w:pPr>
    <w:rPr>
      <w:sz w:val="16"/>
      <w:szCs w:val="16"/>
    </w:rPr>
  </w:style>
  <w:style w:type="paragraph" w:styleId="19">
    <w:name w:val="Body Text"/>
    <w:next w:val="20"/>
    <w:link w:val="480"/>
    <w:qFormat/>
    <w:uiPriority w:val="99"/>
    <w:pPr>
      <w:widowControl w:val="0"/>
      <w:spacing w:after="120"/>
      <w:jc w:val="both"/>
    </w:pPr>
    <w:rPr>
      <w:rFonts w:asciiTheme="minorHAnsi" w:hAnsiTheme="minorHAnsi" w:eastAsiaTheme="minorEastAsia" w:cstheme="minorBidi"/>
      <w:sz w:val="24"/>
      <w:szCs w:val="24"/>
      <w:lang w:val="en-US" w:eastAsia="zh-CN" w:bidi="ar-SA"/>
    </w:rPr>
  </w:style>
  <w:style w:type="paragraph" w:styleId="20">
    <w:name w:val="Date"/>
    <w:next w:val="1"/>
    <w:link w:val="145"/>
    <w:qFormat/>
    <w:uiPriority w:val="99"/>
    <w:pPr>
      <w:widowControl w:val="0"/>
      <w:ind w:left="100" w:leftChars="2500"/>
      <w:jc w:val="both"/>
    </w:pPr>
    <w:rPr>
      <w:rFonts w:ascii="宋体" w:hAnsi="Courier New" w:eastAsiaTheme="minorEastAsia" w:cstheme="minorBidi"/>
      <w:sz w:val="21"/>
      <w:szCs w:val="21"/>
      <w:lang w:val="en-US" w:eastAsia="zh-CN" w:bidi="ar-SA"/>
    </w:rPr>
  </w:style>
  <w:style w:type="paragraph" w:styleId="21">
    <w:name w:val="List 2"/>
    <w:basedOn w:val="1"/>
    <w:qFormat/>
    <w:uiPriority w:val="0"/>
    <w:pPr>
      <w:ind w:left="100" w:leftChars="200" w:hanging="200" w:hangingChars="200"/>
    </w:pPr>
  </w:style>
  <w:style w:type="paragraph" w:styleId="22">
    <w:name w:val="Block Text"/>
    <w:basedOn w:val="1"/>
    <w:link w:val="193"/>
    <w:qFormat/>
    <w:uiPriority w:val="0"/>
    <w:pPr>
      <w:autoSpaceDE w:val="0"/>
      <w:autoSpaceDN w:val="0"/>
      <w:adjustRightInd w:val="0"/>
      <w:spacing w:line="500" w:lineRule="exact"/>
      <w:ind w:left="391" w:right="246"/>
    </w:pPr>
    <w:rPr>
      <w:rFonts w:ascii="仿宋_GB2312" w:eastAsia="仿宋_GB2312"/>
      <w:kern w:val="0"/>
      <w:sz w:val="24"/>
    </w:rPr>
  </w:style>
  <w:style w:type="paragraph" w:styleId="23">
    <w:name w:val="index 4"/>
    <w:basedOn w:val="1"/>
    <w:next w:val="1"/>
    <w:qFormat/>
    <w:uiPriority w:val="0"/>
    <w:pPr>
      <w:ind w:left="600" w:leftChars="600"/>
    </w:pPr>
  </w:style>
  <w:style w:type="paragraph" w:styleId="24">
    <w:name w:val="toc 5"/>
    <w:basedOn w:val="1"/>
    <w:next w:val="1"/>
    <w:qFormat/>
    <w:uiPriority w:val="39"/>
    <w:pPr>
      <w:ind w:left="1680" w:leftChars="800"/>
    </w:pPr>
  </w:style>
  <w:style w:type="paragraph" w:styleId="25">
    <w:name w:val="toc 3"/>
    <w:basedOn w:val="1"/>
    <w:next w:val="1"/>
    <w:qFormat/>
    <w:uiPriority w:val="39"/>
    <w:pPr>
      <w:widowControl/>
      <w:spacing w:after="100" w:line="276" w:lineRule="auto"/>
      <w:ind w:left="440"/>
      <w:jc w:val="left"/>
    </w:pPr>
    <w:rPr>
      <w:rFonts w:ascii="Calibri" w:hAnsi="Calibri"/>
      <w:kern w:val="0"/>
      <w:sz w:val="22"/>
      <w:szCs w:val="22"/>
    </w:rPr>
  </w:style>
  <w:style w:type="paragraph" w:styleId="26">
    <w:name w:val="Plain Text"/>
    <w:basedOn w:val="1"/>
    <w:link w:val="442"/>
    <w:qFormat/>
    <w:uiPriority w:val="0"/>
    <w:rPr>
      <w:rFonts w:ascii="宋体" w:hAnsi="Courier New"/>
      <w:kern w:val="0"/>
      <w:szCs w:val="21"/>
    </w:rPr>
  </w:style>
  <w:style w:type="paragraph" w:styleId="27">
    <w:name w:val="toc 8"/>
    <w:basedOn w:val="1"/>
    <w:next w:val="1"/>
    <w:qFormat/>
    <w:uiPriority w:val="39"/>
    <w:pPr>
      <w:ind w:left="1470"/>
      <w:jc w:val="left"/>
    </w:pPr>
    <w:rPr>
      <w:sz w:val="18"/>
      <w:szCs w:val="18"/>
    </w:rPr>
  </w:style>
  <w:style w:type="paragraph" w:styleId="28">
    <w:name w:val="Body Text Indent 2"/>
    <w:basedOn w:val="1"/>
    <w:link w:val="259"/>
    <w:qFormat/>
    <w:uiPriority w:val="99"/>
    <w:pPr>
      <w:spacing w:after="120" w:line="480" w:lineRule="auto"/>
      <w:ind w:left="420" w:leftChars="200"/>
    </w:pPr>
    <w:rPr>
      <w:kern w:val="0"/>
      <w:sz w:val="24"/>
    </w:rPr>
  </w:style>
  <w:style w:type="paragraph" w:styleId="29">
    <w:name w:val="Balloon Text"/>
    <w:basedOn w:val="1"/>
    <w:link w:val="266"/>
    <w:qFormat/>
    <w:uiPriority w:val="99"/>
    <w:rPr>
      <w:sz w:val="18"/>
      <w:szCs w:val="18"/>
    </w:rPr>
  </w:style>
  <w:style w:type="paragraph" w:styleId="30">
    <w:name w:val="footer"/>
    <w:basedOn w:val="1"/>
    <w:link w:val="144"/>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spacing w:line="360" w:lineRule="auto"/>
      <w:ind w:firstLine="200" w:firstLineChars="200"/>
    </w:pPr>
    <w:rPr>
      <w:rFonts w:ascii="Arial" w:hAnsi="Arial" w:cs="Arial"/>
      <w:sz w:val="24"/>
    </w:rPr>
  </w:style>
  <w:style w:type="paragraph" w:styleId="32">
    <w:name w:val="header"/>
    <w:basedOn w:val="1"/>
    <w:link w:val="122"/>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right" w:leader="dot" w:pos="8834"/>
      </w:tabs>
      <w:spacing w:before="120" w:after="120"/>
      <w:jc w:val="left"/>
    </w:pPr>
    <w:rPr>
      <w:b/>
      <w:bCs/>
      <w:caps/>
      <w:sz w:val="28"/>
      <w:szCs w:val="28"/>
    </w:rPr>
  </w:style>
  <w:style w:type="paragraph" w:styleId="34">
    <w:name w:val="toc 4"/>
    <w:basedOn w:val="1"/>
    <w:next w:val="1"/>
    <w:qFormat/>
    <w:uiPriority w:val="39"/>
    <w:pPr>
      <w:ind w:left="630"/>
      <w:jc w:val="left"/>
    </w:pPr>
    <w:rPr>
      <w:sz w:val="18"/>
      <w:szCs w:val="18"/>
    </w:rPr>
  </w:style>
  <w:style w:type="paragraph" w:styleId="35">
    <w:name w:val="Subtitle"/>
    <w:basedOn w:val="1"/>
    <w:next w:val="1"/>
    <w:link w:val="216"/>
    <w:qFormat/>
    <w:uiPriority w:val="11"/>
    <w:pPr>
      <w:spacing w:before="240" w:after="60" w:line="312" w:lineRule="auto"/>
      <w:jc w:val="center"/>
      <w:outlineLvl w:val="1"/>
    </w:pPr>
    <w:rPr>
      <w:rFonts w:ascii="Cambria" w:hAnsi="Cambria" w:eastAsia="方正楷体简体"/>
      <w:kern w:val="28"/>
      <w:sz w:val="32"/>
      <w:szCs w:val="32"/>
    </w:rPr>
  </w:style>
  <w:style w:type="paragraph" w:styleId="36">
    <w:name w:val="List"/>
    <w:basedOn w:val="1"/>
    <w:qFormat/>
    <w:uiPriority w:val="0"/>
    <w:pPr>
      <w:ind w:left="200" w:hanging="200" w:hangingChars="200"/>
    </w:pPr>
  </w:style>
  <w:style w:type="paragraph" w:styleId="37">
    <w:name w:val="footnote text"/>
    <w:basedOn w:val="1"/>
    <w:link w:val="367"/>
    <w:qFormat/>
    <w:uiPriority w:val="0"/>
    <w:rPr>
      <w:rFonts w:ascii="Calibri" w:hAnsi="Calibri"/>
      <w:szCs w:val="22"/>
    </w:rPr>
  </w:style>
  <w:style w:type="paragraph" w:styleId="38">
    <w:name w:val="toc 6"/>
    <w:basedOn w:val="1"/>
    <w:next w:val="1"/>
    <w:qFormat/>
    <w:uiPriority w:val="39"/>
    <w:pPr>
      <w:ind w:left="1050"/>
      <w:jc w:val="left"/>
    </w:pPr>
    <w:rPr>
      <w:sz w:val="18"/>
      <w:szCs w:val="18"/>
    </w:rPr>
  </w:style>
  <w:style w:type="paragraph" w:styleId="39">
    <w:name w:val="Body Text Indent 3"/>
    <w:basedOn w:val="1"/>
    <w:link w:val="133"/>
    <w:qFormat/>
    <w:uiPriority w:val="99"/>
    <w:pPr>
      <w:spacing w:after="120"/>
      <w:ind w:left="420" w:leftChars="200"/>
    </w:pPr>
    <w:rPr>
      <w:kern w:val="0"/>
      <w:sz w:val="16"/>
      <w:szCs w:val="16"/>
    </w:rPr>
  </w:style>
  <w:style w:type="paragraph" w:styleId="40">
    <w:name w:val="table of figures"/>
    <w:basedOn w:val="1"/>
    <w:next w:val="1"/>
    <w:qFormat/>
    <w:uiPriority w:val="0"/>
    <w:pPr>
      <w:ind w:left="200" w:leftChars="200" w:hanging="200" w:hangingChars="200"/>
    </w:pPr>
  </w:style>
  <w:style w:type="paragraph" w:styleId="41">
    <w:name w:val="toc 2"/>
    <w:basedOn w:val="1"/>
    <w:next w:val="1"/>
    <w:qFormat/>
    <w:uiPriority w:val="39"/>
    <w:pPr>
      <w:ind w:left="420" w:leftChars="200"/>
    </w:pPr>
    <w:rPr>
      <w:szCs w:val="21"/>
    </w:rPr>
  </w:style>
  <w:style w:type="paragraph" w:styleId="42">
    <w:name w:val="toc 9"/>
    <w:basedOn w:val="1"/>
    <w:next w:val="1"/>
    <w:qFormat/>
    <w:uiPriority w:val="39"/>
    <w:pPr>
      <w:ind w:left="1680"/>
      <w:jc w:val="left"/>
    </w:pPr>
    <w:rPr>
      <w:sz w:val="18"/>
      <w:szCs w:val="18"/>
    </w:rPr>
  </w:style>
  <w:style w:type="paragraph" w:styleId="43">
    <w:name w:val="Body Text 2"/>
    <w:basedOn w:val="1"/>
    <w:link w:val="461"/>
    <w:qFormat/>
    <w:uiPriority w:val="0"/>
    <w:pPr>
      <w:jc w:val="center"/>
    </w:pPr>
    <w:rPr>
      <w:rFonts w:ascii="Calibri" w:hAnsi="Calibri"/>
      <w:sz w:val="24"/>
      <w:szCs w:val="22"/>
    </w:rPr>
  </w:style>
  <w:style w:type="paragraph" w:styleId="44">
    <w:name w:val="List 4"/>
    <w:basedOn w:val="1"/>
    <w:qFormat/>
    <w:uiPriority w:val="0"/>
    <w:pPr>
      <w:ind w:left="100" w:leftChars="600" w:hanging="200" w:hangingChars="200"/>
    </w:pPr>
  </w:style>
  <w:style w:type="paragraph" w:styleId="45">
    <w:name w:val="List Continue 2"/>
    <w:basedOn w:val="1"/>
    <w:qFormat/>
    <w:uiPriority w:val="0"/>
    <w:pPr>
      <w:spacing w:after="120"/>
      <w:ind w:left="840" w:leftChars="400"/>
    </w:pPr>
  </w:style>
  <w:style w:type="paragraph" w:styleId="46">
    <w:name w:val="HTML Preformatted"/>
    <w:basedOn w:val="1"/>
    <w:link w:val="4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47">
    <w:name w:val="Normal (Web)"/>
    <w:link w:val="499"/>
    <w:qFormat/>
    <w:uiPriority w:val="0"/>
    <w:pPr>
      <w:spacing w:before="100" w:beforeAutospacing="1" w:after="100" w:afterAutospacing="1"/>
    </w:pPr>
    <w:rPr>
      <w:rFonts w:ascii="宋体" w:hAnsi="宋体" w:cs="宋体" w:eastAsiaTheme="minorEastAsia"/>
      <w:sz w:val="24"/>
      <w:szCs w:val="24"/>
      <w:lang w:val="en-US" w:eastAsia="zh-CN" w:bidi="ar-SA"/>
    </w:rPr>
  </w:style>
  <w:style w:type="paragraph" w:styleId="48">
    <w:name w:val="Title"/>
    <w:basedOn w:val="1"/>
    <w:next w:val="1"/>
    <w:link w:val="66"/>
    <w:qFormat/>
    <w:uiPriority w:val="10"/>
    <w:pPr>
      <w:spacing w:before="240" w:after="60"/>
      <w:jc w:val="center"/>
      <w:outlineLvl w:val="0"/>
    </w:pPr>
    <w:rPr>
      <w:rFonts w:ascii="Cambria" w:hAnsi="Cambria" w:eastAsia="方正小标宋简体"/>
      <w:b/>
      <w:bCs/>
      <w:sz w:val="32"/>
      <w:szCs w:val="32"/>
    </w:rPr>
  </w:style>
  <w:style w:type="paragraph" w:styleId="49">
    <w:name w:val="annotation subject"/>
    <w:basedOn w:val="17"/>
    <w:next w:val="17"/>
    <w:link w:val="460"/>
    <w:qFormat/>
    <w:uiPriority w:val="99"/>
    <w:rPr>
      <w:b/>
      <w:bCs/>
      <w:szCs w:val="21"/>
    </w:rPr>
  </w:style>
  <w:style w:type="paragraph" w:styleId="50">
    <w:name w:val="Body Text First Indent"/>
    <w:basedOn w:val="19"/>
    <w:link w:val="157"/>
    <w:qFormat/>
    <w:uiPriority w:val="99"/>
    <w:pPr>
      <w:spacing w:line="560" w:lineRule="exact"/>
      <w:ind w:firstLine="420" w:firstLineChars="100"/>
    </w:pPr>
    <w:rPr>
      <w:kern w:val="2"/>
      <w:sz w:val="21"/>
      <w:szCs w:val="22"/>
    </w:rPr>
  </w:style>
  <w:style w:type="paragraph" w:styleId="51">
    <w:name w:val="Body Text First Indent 2"/>
    <w:basedOn w:val="2"/>
    <w:next w:val="1"/>
    <w:link w:val="221"/>
    <w:qFormat/>
    <w:uiPriority w:val="0"/>
    <w:pPr>
      <w:spacing w:after="120"/>
      <w:ind w:left="420" w:leftChars="200" w:firstLine="420" w:firstLineChars="200"/>
    </w:pPr>
    <w:rPr>
      <w:rFonts w:ascii="Calibri" w:hAnsi="Calibri"/>
      <w:kern w:val="2"/>
      <w:sz w:val="21"/>
      <w:szCs w:val="24"/>
    </w:rPr>
  </w:style>
  <w:style w:type="table" w:styleId="53">
    <w:name w:val="Table Grid"/>
    <w:basedOn w:val="5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22"/>
    <w:rPr>
      <w:b/>
      <w:bCs/>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rPr>
      <w:i/>
    </w:rPr>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styleId="61">
    <w:name w:val="footnote reference"/>
    <w:qFormat/>
    <w:uiPriority w:val="0"/>
    <w:rPr>
      <w:vertAlign w:val="superscript"/>
    </w:rPr>
  </w:style>
  <w:style w:type="character" w:customStyle="1" w:styleId="62">
    <w:name w:val="Char Char16"/>
    <w:qFormat/>
    <w:uiPriority w:val="0"/>
    <w:rPr>
      <w:rFonts w:eastAsia="宋体"/>
      <w:b/>
      <w:bCs/>
      <w:kern w:val="44"/>
      <w:sz w:val="44"/>
      <w:szCs w:val="44"/>
      <w:lang w:val="en-US" w:eastAsia="zh-CN" w:bidi="ar-SA"/>
    </w:rPr>
  </w:style>
  <w:style w:type="character" w:customStyle="1" w:styleId="63">
    <w:name w:val="标题 7 字符"/>
    <w:link w:val="9"/>
    <w:qFormat/>
    <w:uiPriority w:val="0"/>
    <w:rPr>
      <w:b/>
      <w:bCs/>
      <w:sz w:val="24"/>
      <w:szCs w:val="24"/>
    </w:rPr>
  </w:style>
  <w:style w:type="character" w:customStyle="1" w:styleId="64">
    <w:name w:val="正文文本 3 字符"/>
    <w:link w:val="18"/>
    <w:qFormat/>
    <w:uiPriority w:val="99"/>
    <w:rPr>
      <w:kern w:val="2"/>
      <w:sz w:val="16"/>
      <w:szCs w:val="16"/>
    </w:rPr>
  </w:style>
  <w:style w:type="character" w:customStyle="1" w:styleId="65">
    <w:name w:val="书籍标题2"/>
    <w:qFormat/>
    <w:uiPriority w:val="0"/>
    <w:rPr>
      <w:b/>
      <w:bCs/>
      <w:smallCaps/>
      <w:spacing w:val="5"/>
    </w:rPr>
  </w:style>
  <w:style w:type="character" w:customStyle="1" w:styleId="66">
    <w:name w:val="标题 字符"/>
    <w:link w:val="48"/>
    <w:qFormat/>
    <w:uiPriority w:val="10"/>
    <w:rPr>
      <w:rFonts w:ascii="Cambria" w:hAnsi="Cambria" w:eastAsia="方正小标宋简体"/>
      <w:b/>
      <w:bCs/>
      <w:kern w:val="2"/>
      <w:sz w:val="32"/>
      <w:szCs w:val="32"/>
    </w:rPr>
  </w:style>
  <w:style w:type="character" w:customStyle="1" w:styleId="67">
    <w:name w:val="Char Char17"/>
    <w:qFormat/>
    <w:uiPriority w:val="0"/>
    <w:rPr>
      <w:rFonts w:ascii="Cambria" w:hAnsi="Cambria" w:eastAsia="宋体" w:cs="Times New Roman"/>
      <w:b/>
      <w:bCs/>
      <w:kern w:val="2"/>
      <w:sz w:val="32"/>
      <w:szCs w:val="32"/>
    </w:rPr>
  </w:style>
  <w:style w:type="character" w:customStyle="1" w:styleId="68">
    <w:name w:val="Char Char151"/>
    <w:qFormat/>
    <w:uiPriority w:val="0"/>
    <w:rPr>
      <w:rFonts w:ascii="Arial" w:hAnsi="Arial" w:eastAsia="黑体"/>
      <w:b/>
      <w:bCs/>
      <w:kern w:val="2"/>
      <w:sz w:val="32"/>
      <w:szCs w:val="32"/>
      <w:lang w:val="en-US" w:eastAsia="zh-CN" w:bidi="ar-SA"/>
    </w:rPr>
  </w:style>
  <w:style w:type="paragraph" w:customStyle="1" w:styleId="69">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70">
    <w:name w:val="页眉 Char"/>
    <w:qFormat/>
    <w:uiPriority w:val="0"/>
    <w:rPr>
      <w:rFonts w:eastAsia="宋体"/>
      <w:kern w:val="2"/>
      <w:sz w:val="18"/>
      <w:szCs w:val="18"/>
      <w:lang w:val="en-US" w:eastAsia="zh-CN" w:bidi="ar-SA"/>
    </w:rPr>
  </w:style>
  <w:style w:type="paragraph" w:customStyle="1" w:styleId="71">
    <w:name w:val="_Style 62"/>
    <w:next w:val="1"/>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customStyle="1" w:styleId="72">
    <w:name w:val="明显强调1"/>
    <w:qFormat/>
    <w:uiPriority w:val="0"/>
    <w:rPr>
      <w:rFonts w:cs="Times New Roman"/>
      <w:b/>
      <w:i/>
      <w:color w:val="4F81BD"/>
    </w:rPr>
  </w:style>
  <w:style w:type="paragraph" w:customStyle="1" w:styleId="73">
    <w:name w:val="Char Char Char1 Char Char Char Char Char Char Char1"/>
    <w:basedOn w:val="1"/>
    <w:qFormat/>
    <w:uiPriority w:val="0"/>
    <w:rPr>
      <w:sz w:val="28"/>
      <w:szCs w:val="28"/>
    </w:rPr>
  </w:style>
  <w:style w:type="paragraph" w:customStyle="1" w:styleId="74">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75">
    <w:name w:val="修订1"/>
    <w:qFormat/>
    <w:uiPriority w:val="0"/>
    <w:rPr>
      <w:rFonts w:asciiTheme="minorHAnsi" w:hAnsiTheme="minorHAnsi" w:eastAsiaTheme="minorEastAsia" w:cstheme="minorBidi"/>
      <w:kern w:val="2"/>
      <w:sz w:val="21"/>
      <w:szCs w:val="21"/>
      <w:lang w:val="en-US" w:eastAsia="zh-CN" w:bidi="ar-SA"/>
    </w:rPr>
  </w:style>
  <w:style w:type="paragraph" w:customStyle="1" w:styleId="76">
    <w:name w:val="0"/>
    <w:basedOn w:val="1"/>
    <w:qFormat/>
    <w:uiPriority w:val="0"/>
    <w:pPr>
      <w:widowControl/>
      <w:snapToGrid w:val="0"/>
      <w:spacing w:line="365" w:lineRule="atLeast"/>
      <w:ind w:left="1"/>
      <w:textAlignment w:val="bottom"/>
    </w:pPr>
    <w:rPr>
      <w:kern w:val="0"/>
      <w:sz w:val="20"/>
      <w:szCs w:val="20"/>
    </w:rPr>
  </w:style>
  <w:style w:type="paragraph" w:customStyle="1" w:styleId="77">
    <w:name w:val="批注主题1"/>
    <w:basedOn w:val="17"/>
    <w:next w:val="17"/>
    <w:qFormat/>
    <w:uiPriority w:val="0"/>
    <w:rPr>
      <w:rFonts w:ascii="宋体" w:hAnsi="Calibri"/>
      <w:b/>
      <w:bCs/>
      <w:kern w:val="0"/>
      <w:sz w:val="28"/>
      <w:szCs w:val="20"/>
    </w:rPr>
  </w:style>
  <w:style w:type="character" w:customStyle="1" w:styleId="78">
    <w:name w:val="标题 2李洪 Char"/>
    <w:qFormat/>
    <w:uiPriority w:val="0"/>
    <w:rPr>
      <w:rFonts w:hint="eastAsia" w:ascii="宋体" w:hAnsi="宋体" w:eastAsia="宋体"/>
      <w:kern w:val="2"/>
      <w:sz w:val="21"/>
      <w:szCs w:val="24"/>
      <w:lang w:val="en-US" w:eastAsia="zh-CN" w:bidi="ar-SA"/>
    </w:rPr>
  </w:style>
  <w:style w:type="character" w:customStyle="1" w:styleId="79">
    <w:name w:val="不明显强调1"/>
    <w:qFormat/>
    <w:uiPriority w:val="0"/>
    <w:rPr>
      <w:i/>
      <w:iCs/>
      <w:color w:val="808080"/>
    </w:rPr>
  </w:style>
  <w:style w:type="paragraph" w:customStyle="1" w:styleId="80">
    <w:name w:val="正文要点"/>
    <w:basedOn w:val="1"/>
    <w:next w:val="81"/>
    <w:link w:val="472"/>
    <w:qFormat/>
    <w:uiPriority w:val="0"/>
    <w:pPr>
      <w:tabs>
        <w:tab w:val="left" w:pos="420"/>
      </w:tabs>
      <w:spacing w:line="360" w:lineRule="auto"/>
      <w:ind w:left="840" w:hanging="420"/>
    </w:pPr>
    <w:rPr>
      <w:szCs w:val="21"/>
    </w:rPr>
  </w:style>
  <w:style w:type="paragraph" w:customStyle="1" w:styleId="81">
    <w:name w:val="正文要点内容"/>
    <w:basedOn w:val="80"/>
    <w:link w:val="346"/>
    <w:qFormat/>
    <w:uiPriority w:val="0"/>
    <w:pPr>
      <w:tabs>
        <w:tab w:val="left" w:pos="840"/>
        <w:tab w:val="clear" w:pos="420"/>
      </w:tabs>
      <w:ind w:left="400" w:leftChars="400" w:firstLine="200" w:firstLineChars="200"/>
    </w:pPr>
  </w:style>
  <w:style w:type="paragraph" w:customStyle="1" w:styleId="8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83">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84">
    <w:name w:val="Char Char1 Char Char Char Char1"/>
    <w:basedOn w:val="16"/>
    <w:qFormat/>
    <w:uiPriority w:val="0"/>
    <w:rPr>
      <w:rFonts w:ascii="宋体" w:hAnsi="Calibri"/>
      <w:kern w:val="0"/>
    </w:rPr>
  </w:style>
  <w:style w:type="character" w:customStyle="1" w:styleId="85">
    <w:name w:val="标题 6 Char"/>
    <w:qFormat/>
    <w:uiPriority w:val="99"/>
    <w:rPr>
      <w:rFonts w:ascii="Arial" w:hAnsi="Arial" w:eastAsia="黑体"/>
      <w:b/>
      <w:bCs/>
      <w:sz w:val="24"/>
      <w:szCs w:val="24"/>
      <w:lang w:val="en-US" w:eastAsia="zh-CN" w:bidi="ar-SA"/>
    </w:rPr>
  </w:style>
  <w:style w:type="paragraph" w:customStyle="1" w:styleId="86">
    <w:name w:val="Char Char1 Char Char Char Char Char Char2"/>
    <w:basedOn w:val="16"/>
    <w:qFormat/>
    <w:uiPriority w:val="0"/>
    <w:rPr>
      <w:rFonts w:ascii="Calibri" w:hAnsi="Calibri"/>
      <w:szCs w:val="22"/>
    </w:rPr>
  </w:style>
  <w:style w:type="paragraph" w:customStyle="1" w:styleId="87">
    <w:name w:val="Blockquote"/>
    <w:basedOn w:val="1"/>
    <w:link w:val="238"/>
    <w:qFormat/>
    <w:uiPriority w:val="99"/>
    <w:pPr>
      <w:autoSpaceDE w:val="0"/>
      <w:autoSpaceDN w:val="0"/>
      <w:adjustRightInd w:val="0"/>
      <w:spacing w:before="100" w:after="100"/>
      <w:ind w:left="360" w:right="360"/>
      <w:jc w:val="left"/>
    </w:pPr>
    <w:rPr>
      <w:kern w:val="0"/>
      <w:sz w:val="24"/>
      <w:szCs w:val="20"/>
    </w:rPr>
  </w:style>
  <w:style w:type="paragraph" w:customStyle="1" w:styleId="88">
    <w:name w:val="无间隔1"/>
    <w:link w:val="244"/>
    <w:qFormat/>
    <w:uiPriority w:val="0"/>
    <w:rPr>
      <w:rFonts w:cs="Calibri" w:asciiTheme="minorHAnsi" w:hAnsiTheme="minorHAnsi" w:eastAsiaTheme="minorEastAsia"/>
      <w:kern w:val="2"/>
      <w:sz w:val="22"/>
      <w:szCs w:val="22"/>
      <w:lang w:val="en-US" w:eastAsia="zh-CN" w:bidi="ar-SA"/>
    </w:rPr>
  </w:style>
  <w:style w:type="character" w:customStyle="1" w:styleId="89">
    <w:name w:val="Plain Text Char"/>
    <w:qFormat/>
    <w:locked/>
    <w:uiPriority w:val="0"/>
    <w:rPr>
      <w:rFonts w:ascii="宋体" w:hAnsi="Courier New" w:cs="宋体"/>
      <w:sz w:val="21"/>
      <w:szCs w:val="21"/>
    </w:rPr>
  </w:style>
  <w:style w:type="character" w:customStyle="1" w:styleId="90">
    <w:name w:val="批注主题 Char2"/>
    <w:qFormat/>
    <w:uiPriority w:val="99"/>
    <w:rPr>
      <w:rFonts w:ascii="Times New Roman" w:hAnsi="Times New Roman" w:eastAsia="宋体" w:cs="Times New Roman"/>
      <w:b/>
      <w:bCs/>
      <w:kern w:val="2"/>
      <w:sz w:val="21"/>
      <w:szCs w:val="24"/>
    </w:rPr>
  </w:style>
  <w:style w:type="character" w:customStyle="1" w:styleId="91">
    <w:name w:val="页眉 Char2"/>
    <w:semiHidden/>
    <w:qFormat/>
    <w:uiPriority w:val="99"/>
    <w:rPr>
      <w:rFonts w:ascii="Times New Roman" w:hAnsi="Times New Roman" w:eastAsia="宋体" w:cs="Times New Roman"/>
      <w:sz w:val="18"/>
      <w:szCs w:val="18"/>
    </w:rPr>
  </w:style>
  <w:style w:type="paragraph" w:customStyle="1" w:styleId="92">
    <w:name w:val="文档结构图2"/>
    <w:basedOn w:val="1"/>
    <w:qFormat/>
    <w:uiPriority w:val="0"/>
    <w:pPr>
      <w:shd w:val="clear" w:color="auto" w:fill="000080"/>
    </w:pPr>
    <w:rPr>
      <w:kern w:val="0"/>
      <w:sz w:val="20"/>
      <w:shd w:val="clear" w:color="auto" w:fill="000080"/>
    </w:rPr>
  </w:style>
  <w:style w:type="character" w:customStyle="1" w:styleId="93">
    <w:name w:val="正文文本缩进 3 Char"/>
    <w:qFormat/>
    <w:locked/>
    <w:uiPriority w:val="0"/>
    <w:rPr>
      <w:rFonts w:eastAsia="宋体"/>
      <w:sz w:val="16"/>
      <w:szCs w:val="16"/>
    </w:rPr>
  </w:style>
  <w:style w:type="character" w:customStyle="1" w:styleId="94">
    <w:name w:val="脚注文本 Char"/>
    <w:qFormat/>
    <w:locked/>
    <w:uiPriority w:val="99"/>
    <w:rPr>
      <w:rFonts w:eastAsia="宋体"/>
    </w:rPr>
  </w:style>
  <w:style w:type="character" w:customStyle="1" w:styleId="95">
    <w:name w:val="批注框文本 Char1"/>
    <w:qFormat/>
    <w:uiPriority w:val="0"/>
    <w:rPr>
      <w:kern w:val="2"/>
      <w:sz w:val="18"/>
    </w:rPr>
  </w:style>
  <w:style w:type="character" w:customStyle="1" w:styleId="96">
    <w:name w:val="t-in"/>
    <w:qFormat/>
    <w:uiPriority w:val="0"/>
    <w:rPr>
      <w:u w:val="none"/>
    </w:rPr>
  </w:style>
  <w:style w:type="character" w:customStyle="1" w:styleId="97">
    <w:name w:val="明显强调211"/>
    <w:qFormat/>
    <w:uiPriority w:val="0"/>
    <w:rPr>
      <w:b/>
      <w:i/>
      <w:color w:val="4F81BD"/>
    </w:rPr>
  </w:style>
  <w:style w:type="character" w:customStyle="1" w:styleId="98">
    <w:name w:val="Body Text Indent 3 Char"/>
    <w:qFormat/>
    <w:locked/>
    <w:uiPriority w:val="0"/>
    <w:rPr>
      <w:rFonts w:ascii="Times New Roman" w:hAnsi="Times New Roman" w:cs="Times New Roman"/>
      <w:sz w:val="16"/>
      <w:szCs w:val="16"/>
    </w:rPr>
  </w:style>
  <w:style w:type="character" w:customStyle="1" w:styleId="99">
    <w:name w:val="正文文本 3 Char1"/>
    <w:semiHidden/>
    <w:qFormat/>
    <w:uiPriority w:val="99"/>
    <w:rPr>
      <w:rFonts w:ascii="Times New Roman" w:hAnsi="Times New Roman" w:eastAsia="宋体" w:cs="Times New Roman"/>
      <w:sz w:val="16"/>
      <w:szCs w:val="16"/>
    </w:rPr>
  </w:style>
  <w:style w:type="paragraph" w:customStyle="1" w:styleId="100">
    <w:name w:val="索引 411"/>
    <w:basedOn w:val="1"/>
    <w:next w:val="1"/>
    <w:qFormat/>
    <w:uiPriority w:val="0"/>
    <w:pPr>
      <w:ind w:left="600" w:leftChars="600"/>
    </w:pPr>
  </w:style>
  <w:style w:type="paragraph" w:customStyle="1" w:styleId="101">
    <w:name w:val="Char Char Char Char Char Char"/>
    <w:basedOn w:val="1"/>
    <w:qFormat/>
    <w:uiPriority w:val="0"/>
    <w:pPr>
      <w:ind w:firstLine="200" w:firstLineChars="200"/>
    </w:pPr>
    <w:rPr>
      <w:rFonts w:ascii="Tahoma" w:hAnsi="Tahoma"/>
      <w:sz w:val="24"/>
      <w:szCs w:val="20"/>
    </w:rPr>
  </w:style>
  <w:style w:type="character" w:customStyle="1" w:styleId="102">
    <w:name w:val="明显参考21"/>
    <w:qFormat/>
    <w:uiPriority w:val="0"/>
    <w:rPr>
      <w:b/>
      <w:bCs/>
      <w:smallCaps/>
      <w:color w:val="C0504D"/>
      <w:spacing w:val="5"/>
      <w:u w:val="single"/>
    </w:rPr>
  </w:style>
  <w:style w:type="paragraph" w:customStyle="1" w:styleId="10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character" w:customStyle="1" w:styleId="104">
    <w:name w:val="标题 1 字符"/>
    <w:qFormat/>
    <w:uiPriority w:val="0"/>
    <w:rPr>
      <w:b/>
      <w:kern w:val="44"/>
      <w:sz w:val="44"/>
    </w:rPr>
  </w:style>
  <w:style w:type="paragraph" w:customStyle="1" w:styleId="10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character" w:customStyle="1" w:styleId="106">
    <w:name w:val="Char Char181"/>
    <w:qFormat/>
    <w:uiPriority w:val="0"/>
    <w:rPr>
      <w:b/>
      <w:bCs/>
      <w:kern w:val="44"/>
      <w:sz w:val="44"/>
      <w:szCs w:val="44"/>
    </w:rPr>
  </w:style>
  <w:style w:type="character" w:customStyle="1" w:styleId="107">
    <w:name w:val="Char Char12"/>
    <w:semiHidden/>
    <w:qFormat/>
    <w:locked/>
    <w:uiPriority w:val="0"/>
    <w:rPr>
      <w:rFonts w:ascii="Courier New" w:hAnsi="Courier New" w:eastAsia="宋体"/>
      <w:kern w:val="2"/>
      <w:sz w:val="21"/>
      <w:lang w:val="en-US" w:eastAsia="zh-CN" w:bidi="ar-SA"/>
    </w:rPr>
  </w:style>
  <w:style w:type="paragraph" w:customStyle="1" w:styleId="108">
    <w:name w:val="正文文本 31"/>
    <w:basedOn w:val="1"/>
    <w:qFormat/>
    <w:uiPriority w:val="0"/>
    <w:pPr>
      <w:spacing w:after="120"/>
    </w:pPr>
    <w:rPr>
      <w:sz w:val="16"/>
      <w:szCs w:val="16"/>
    </w:rPr>
  </w:style>
  <w:style w:type="character" w:customStyle="1" w:styleId="109">
    <w:name w:val="明显强调2"/>
    <w:qFormat/>
    <w:uiPriority w:val="99"/>
    <w:rPr>
      <w:b/>
      <w:bCs/>
      <w:i/>
      <w:iCs/>
      <w:color w:val="4F81BD"/>
    </w:rPr>
  </w:style>
  <w:style w:type="character" w:customStyle="1" w:styleId="110">
    <w:name w:val="Char Char23"/>
    <w:qFormat/>
    <w:locked/>
    <w:uiPriority w:val="0"/>
    <w:rPr>
      <w:rFonts w:eastAsia="宋体"/>
      <w:b/>
      <w:bCs/>
      <w:sz w:val="28"/>
      <w:szCs w:val="32"/>
      <w:lang w:val="en-US" w:eastAsia="zh-CN" w:bidi="ar-SA"/>
    </w:rPr>
  </w:style>
  <w:style w:type="paragraph" w:customStyle="1" w:styleId="111">
    <w:name w:val="列表段落1"/>
    <w:basedOn w:val="1"/>
    <w:qFormat/>
    <w:uiPriority w:val="0"/>
    <w:pPr>
      <w:ind w:firstLine="420" w:firstLineChars="200"/>
    </w:pPr>
    <w:rPr>
      <w:rFonts w:ascii="Calibri" w:hAnsi="Calibri"/>
      <w:szCs w:val="22"/>
    </w:rPr>
  </w:style>
  <w:style w:type="character" w:customStyle="1" w:styleId="112">
    <w:name w:val="标题 6 字符"/>
    <w:link w:val="8"/>
    <w:qFormat/>
    <w:uiPriority w:val="0"/>
    <w:rPr>
      <w:rFonts w:ascii="Arial" w:hAnsi="Arial" w:eastAsia="黑体"/>
      <w:b/>
      <w:bCs/>
      <w:sz w:val="24"/>
      <w:szCs w:val="24"/>
    </w:rPr>
  </w:style>
  <w:style w:type="character" w:customStyle="1" w:styleId="113">
    <w:name w:val="标题 2 Char Char Char Char Char Char Char Char Char Char Char Char Char Char Char Char Char Char Char Char Char"/>
    <w:qFormat/>
    <w:uiPriority w:val="0"/>
  </w:style>
  <w:style w:type="paragraph" w:customStyle="1" w:styleId="114">
    <w:name w:val="font6"/>
    <w:basedOn w:val="1"/>
    <w:qFormat/>
    <w:uiPriority w:val="0"/>
    <w:pPr>
      <w:widowControl/>
      <w:spacing w:before="100" w:beforeAutospacing="1" w:after="100" w:afterAutospacing="1"/>
      <w:jc w:val="left"/>
    </w:pPr>
    <w:rPr>
      <w:kern w:val="0"/>
      <w:szCs w:val="21"/>
    </w:rPr>
  </w:style>
  <w:style w:type="character" w:customStyle="1" w:styleId="115">
    <w:name w:val="正文缩进 Char1"/>
    <w:qFormat/>
    <w:uiPriority w:val="0"/>
    <w:rPr>
      <w:kern w:val="2"/>
      <w:sz w:val="21"/>
      <w:szCs w:val="21"/>
    </w:rPr>
  </w:style>
  <w:style w:type="paragraph" w:customStyle="1" w:styleId="116">
    <w:name w:val="Char Char Char1 Char Char Char Char Char Char Char"/>
    <w:basedOn w:val="1"/>
    <w:qFormat/>
    <w:uiPriority w:val="0"/>
    <w:rPr>
      <w:sz w:val="28"/>
      <w:szCs w:val="28"/>
    </w:rPr>
  </w:style>
  <w:style w:type="character" w:customStyle="1" w:styleId="117">
    <w:name w:val="标题 Char"/>
    <w:qFormat/>
    <w:locked/>
    <w:uiPriority w:val="99"/>
    <w:rPr>
      <w:rFonts w:ascii="Arial" w:hAnsi="Arial" w:eastAsia="宋体"/>
      <w:b/>
      <w:sz w:val="32"/>
    </w:rPr>
  </w:style>
  <w:style w:type="character" w:customStyle="1" w:styleId="118">
    <w:name w:val="正文文本缩进 字符"/>
    <w:link w:val="2"/>
    <w:qFormat/>
    <w:uiPriority w:val="99"/>
    <w:rPr>
      <w:rFonts w:ascii="仿宋_GB2312" w:eastAsia="仿宋_GB2312"/>
      <w:sz w:val="32"/>
      <w:szCs w:val="32"/>
    </w:rPr>
  </w:style>
  <w:style w:type="character" w:customStyle="1" w:styleId="119">
    <w:name w:val="正文文本 2 Char1"/>
    <w:qFormat/>
    <w:uiPriority w:val="0"/>
    <w:rPr>
      <w:rFonts w:ascii="Times New Roman" w:hAnsi="Times New Roman" w:eastAsia="宋体" w:cs="Times New Roman"/>
      <w:szCs w:val="24"/>
    </w:rPr>
  </w:style>
  <w:style w:type="paragraph" w:customStyle="1" w:styleId="120">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character" w:customStyle="1" w:styleId="121">
    <w:name w:val="纯文本 字符2"/>
    <w:qFormat/>
    <w:locked/>
    <w:uiPriority w:val="0"/>
    <w:rPr>
      <w:rFonts w:ascii="宋体" w:hAnsi="Courier New" w:eastAsia="宋体" w:cs="Times New Roman"/>
      <w:kern w:val="0"/>
      <w:szCs w:val="21"/>
    </w:rPr>
  </w:style>
  <w:style w:type="character" w:customStyle="1" w:styleId="122">
    <w:name w:val="页眉 字符"/>
    <w:link w:val="32"/>
    <w:qFormat/>
    <w:uiPriority w:val="99"/>
    <w:rPr>
      <w:kern w:val="2"/>
      <w:sz w:val="18"/>
      <w:szCs w:val="18"/>
    </w:rPr>
  </w:style>
  <w:style w:type="paragraph" w:customStyle="1" w:styleId="123">
    <w:name w:val="Char"/>
    <w:basedOn w:val="1"/>
    <w:qFormat/>
    <w:uiPriority w:val="0"/>
    <w:rPr>
      <w:szCs w:val="21"/>
    </w:rPr>
  </w:style>
  <w:style w:type="character" w:customStyle="1" w:styleId="124">
    <w:name w:val="批注主题 Char1"/>
    <w:qFormat/>
    <w:uiPriority w:val="0"/>
    <w:rPr>
      <w:b/>
      <w:bCs/>
      <w:kern w:val="2"/>
      <w:sz w:val="21"/>
      <w:szCs w:val="22"/>
    </w:rPr>
  </w:style>
  <w:style w:type="character" w:customStyle="1" w:styleId="125">
    <w:name w:val="副标题 Char2"/>
    <w:qFormat/>
    <w:uiPriority w:val="11"/>
    <w:rPr>
      <w:rFonts w:ascii="Cambria" w:hAnsi="Cambria" w:eastAsia="宋体" w:cs="Times New Roman"/>
      <w:b/>
      <w:bCs/>
      <w:kern w:val="28"/>
      <w:sz w:val="32"/>
      <w:szCs w:val="32"/>
    </w:rPr>
  </w:style>
  <w:style w:type="paragraph" w:customStyle="1" w:styleId="12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27">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character" w:customStyle="1" w:styleId="128">
    <w:name w:val="Footer Char"/>
    <w:qFormat/>
    <w:locked/>
    <w:uiPriority w:val="0"/>
    <w:rPr>
      <w:rFonts w:ascii="Times New Roman" w:hAnsi="Times New Roman" w:cs="Times New Roman"/>
      <w:sz w:val="18"/>
      <w:szCs w:val="18"/>
    </w:rPr>
  </w:style>
  <w:style w:type="paragraph" w:customStyle="1" w:styleId="129">
    <w:name w:val="正文文本 311"/>
    <w:basedOn w:val="1"/>
    <w:qFormat/>
    <w:uiPriority w:val="0"/>
    <w:pPr>
      <w:spacing w:after="120"/>
    </w:pPr>
    <w:rPr>
      <w:sz w:val="16"/>
      <w:szCs w:val="16"/>
    </w:rPr>
  </w:style>
  <w:style w:type="paragraph" w:customStyle="1" w:styleId="130">
    <w:name w:val="标题4"/>
    <w:basedOn w:val="131"/>
    <w:next w:val="23"/>
    <w:link w:val="231"/>
    <w:qFormat/>
    <w:uiPriority w:val="99"/>
    <w:pPr>
      <w:spacing w:line="413" w:lineRule="auto"/>
    </w:pPr>
  </w:style>
  <w:style w:type="paragraph" w:customStyle="1" w:styleId="131">
    <w:name w:val="xl39"/>
    <w:link w:val="288"/>
    <w:qFormat/>
    <w:uiPriority w:val="0"/>
    <w:pPr>
      <w:spacing w:before="100" w:beforeAutospacing="1" w:after="100" w:afterAutospacing="1"/>
    </w:pPr>
    <w:rPr>
      <w:rFonts w:asciiTheme="minorHAnsi" w:hAnsiTheme="minorHAnsi" w:eastAsiaTheme="minorEastAsia" w:cstheme="minorBidi"/>
      <w:lang w:val="en-US" w:eastAsia="zh-CN" w:bidi="ar-SA"/>
    </w:rPr>
  </w:style>
  <w:style w:type="character" w:customStyle="1" w:styleId="132">
    <w:name w:val="Char Char7"/>
    <w:qFormat/>
    <w:uiPriority w:val="0"/>
    <w:rPr>
      <w:rFonts w:ascii="Arial" w:hAnsi="Arial" w:eastAsia="黑体"/>
      <w:b/>
      <w:bCs/>
      <w:kern w:val="2"/>
      <w:sz w:val="32"/>
      <w:szCs w:val="32"/>
      <w:lang w:val="en-US" w:eastAsia="zh-CN" w:bidi="ar-SA"/>
    </w:rPr>
  </w:style>
  <w:style w:type="character" w:customStyle="1" w:styleId="133">
    <w:name w:val="正文文本缩进 3 字符"/>
    <w:link w:val="39"/>
    <w:qFormat/>
    <w:uiPriority w:val="99"/>
    <w:rPr>
      <w:sz w:val="16"/>
      <w:szCs w:val="16"/>
    </w:rPr>
  </w:style>
  <w:style w:type="paragraph" w:customStyle="1" w:styleId="134">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character" w:customStyle="1" w:styleId="135">
    <w:name w:val="文档结构图 Char2"/>
    <w:qFormat/>
    <w:uiPriority w:val="0"/>
    <w:rPr>
      <w:rFonts w:eastAsia="宋体"/>
      <w:szCs w:val="24"/>
      <w:shd w:val="clear" w:color="auto" w:fill="000080"/>
    </w:rPr>
  </w:style>
  <w:style w:type="paragraph" w:customStyle="1" w:styleId="136">
    <w:name w:val="Char Char 字元 字元 字元 Char Char Char Char"/>
    <w:basedOn w:val="1"/>
    <w:qFormat/>
    <w:uiPriority w:val="0"/>
    <w:pPr>
      <w:adjustRightInd w:val="0"/>
      <w:spacing w:line="360" w:lineRule="auto"/>
    </w:pPr>
    <w:rPr>
      <w:szCs w:val="20"/>
    </w:rPr>
  </w:style>
  <w:style w:type="character" w:customStyle="1" w:styleId="137">
    <w:name w:val="font71"/>
    <w:qFormat/>
    <w:uiPriority w:val="0"/>
    <w:rPr>
      <w:rFonts w:hint="default" w:ascii="Times New Roman" w:hAnsi="Times New Roman" w:cs="Times New Roman"/>
      <w:color w:val="000000"/>
      <w:sz w:val="22"/>
      <w:szCs w:val="22"/>
      <w:u w:val="none"/>
    </w:rPr>
  </w:style>
  <w:style w:type="paragraph" w:customStyle="1" w:styleId="138">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39">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0">
    <w:name w:val="TOC 标题11"/>
    <w:basedOn w:val="3"/>
    <w:next w:val="1"/>
    <w:qFormat/>
    <w:uiPriority w:val="0"/>
    <w:pPr>
      <w:spacing w:line="576" w:lineRule="auto"/>
      <w:jc w:val="center"/>
      <w:outlineLvl w:val="9"/>
    </w:pPr>
    <w:rPr>
      <w:rFonts w:ascii="Calibri" w:hAnsi="Calibri"/>
    </w:rPr>
  </w:style>
  <w:style w:type="character" w:customStyle="1" w:styleId="141">
    <w:name w:val="批注主题 Char"/>
    <w:qFormat/>
    <w:locked/>
    <w:uiPriority w:val="99"/>
    <w:rPr>
      <w:rFonts w:eastAsia="宋体"/>
      <w:b/>
      <w:bCs/>
      <w:sz w:val="24"/>
      <w:szCs w:val="24"/>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4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character" w:customStyle="1" w:styleId="144">
    <w:name w:val="页脚 字符"/>
    <w:link w:val="30"/>
    <w:qFormat/>
    <w:uiPriority w:val="99"/>
    <w:rPr>
      <w:kern w:val="2"/>
      <w:sz w:val="18"/>
      <w:szCs w:val="18"/>
    </w:rPr>
  </w:style>
  <w:style w:type="character" w:customStyle="1" w:styleId="145">
    <w:name w:val="日期 字符"/>
    <w:link w:val="20"/>
    <w:qFormat/>
    <w:uiPriority w:val="99"/>
    <w:rPr>
      <w:rFonts w:ascii="宋体" w:hAnsi="Courier New"/>
      <w:sz w:val="21"/>
      <w:szCs w:val="21"/>
    </w:rPr>
  </w:style>
  <w:style w:type="character" w:customStyle="1" w:styleId="146">
    <w:name w:val="正文缩进 字符1"/>
    <w:link w:val="14"/>
    <w:qFormat/>
    <w:uiPriority w:val="0"/>
    <w:rPr>
      <w:kern w:val="2"/>
      <w:sz w:val="21"/>
      <w:szCs w:val="21"/>
    </w:rPr>
  </w:style>
  <w:style w:type="character" w:customStyle="1" w:styleId="147">
    <w:name w:val="HTML 预设格式 Char"/>
    <w:qFormat/>
    <w:uiPriority w:val="0"/>
    <w:rPr>
      <w:rFonts w:ascii="Arial" w:hAnsi="Arial"/>
      <w:szCs w:val="24"/>
    </w:rPr>
  </w:style>
  <w:style w:type="paragraph" w:customStyle="1" w:styleId="148">
    <w:name w:val="Char11"/>
    <w:basedOn w:val="1"/>
    <w:qFormat/>
    <w:uiPriority w:val="0"/>
    <w:pPr>
      <w:tabs>
        <w:tab w:val="left" w:pos="360"/>
      </w:tabs>
    </w:pPr>
    <w:rPr>
      <w:sz w:val="24"/>
    </w:rPr>
  </w:style>
  <w:style w:type="character" w:customStyle="1" w:styleId="149">
    <w:name w:val="纯文本 Char"/>
    <w:qFormat/>
    <w:locked/>
    <w:uiPriority w:val="0"/>
    <w:rPr>
      <w:rFonts w:ascii="Courier New" w:hAnsi="Courier New" w:eastAsia="宋体"/>
    </w:rPr>
  </w:style>
  <w:style w:type="paragraph" w:customStyle="1" w:styleId="150">
    <w:name w:val="Normal_21"/>
    <w:qFormat/>
    <w:uiPriority w:val="0"/>
    <w:pPr>
      <w:spacing w:before="120" w:after="240"/>
      <w:jc w:val="both"/>
    </w:pPr>
    <w:rPr>
      <w:rFonts w:asciiTheme="minorHAnsi" w:hAnsiTheme="minorHAnsi" w:eastAsiaTheme="minorEastAsia" w:cstheme="minorBidi"/>
      <w:kern w:val="2"/>
      <w:sz w:val="22"/>
      <w:szCs w:val="22"/>
      <w:lang w:val="en-US" w:eastAsia="en-US" w:bidi="ar-SA"/>
    </w:rPr>
  </w:style>
  <w:style w:type="paragraph" w:customStyle="1" w:styleId="151">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character" w:customStyle="1" w:styleId="152">
    <w:name w:val="书籍标题1"/>
    <w:qFormat/>
    <w:uiPriority w:val="99"/>
    <w:rPr>
      <w:b/>
      <w:bCs/>
      <w:smallCaps/>
      <w:spacing w:val="5"/>
    </w:rPr>
  </w:style>
  <w:style w:type="character" w:customStyle="1" w:styleId="153">
    <w:name w:val="标题 4 Char"/>
    <w:qFormat/>
    <w:uiPriority w:val="0"/>
    <w:rPr>
      <w:rFonts w:ascii="Arial" w:hAnsi="Arial" w:eastAsia="黑体"/>
      <w:b/>
      <w:bCs/>
      <w:kern w:val="2"/>
      <w:sz w:val="28"/>
      <w:szCs w:val="28"/>
      <w:lang w:val="en-US" w:eastAsia="zh-CN" w:bidi="ar-SA"/>
    </w:rPr>
  </w:style>
  <w:style w:type="paragraph" w:customStyle="1" w:styleId="154">
    <w:name w:val="引用11"/>
    <w:basedOn w:val="1"/>
    <w:next w:val="1"/>
    <w:qFormat/>
    <w:uiPriority w:val="0"/>
    <w:rPr>
      <w:rFonts w:ascii="Calibri" w:hAnsi="Calibri"/>
      <w:i/>
      <w:color w:val="000000"/>
      <w:kern w:val="0"/>
      <w:sz w:val="22"/>
      <w:szCs w:val="20"/>
    </w:rPr>
  </w:style>
  <w:style w:type="character" w:customStyle="1" w:styleId="155">
    <w:name w:val="正文文本缩进 Char"/>
    <w:qFormat/>
    <w:locked/>
    <w:uiPriority w:val="99"/>
    <w:rPr>
      <w:rFonts w:eastAsia="宋体"/>
      <w:szCs w:val="24"/>
    </w:rPr>
  </w:style>
  <w:style w:type="paragraph" w:customStyle="1" w:styleId="156">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57">
    <w:name w:val="正文文本首行缩进 字符"/>
    <w:link w:val="50"/>
    <w:qFormat/>
    <w:uiPriority w:val="99"/>
    <w:rPr>
      <w:kern w:val="2"/>
      <w:sz w:val="21"/>
      <w:szCs w:val="22"/>
    </w:rPr>
  </w:style>
  <w:style w:type="character" w:customStyle="1" w:styleId="158">
    <w:name w:val="批注框文本 Char2"/>
    <w:semiHidden/>
    <w:qFormat/>
    <w:uiPriority w:val="99"/>
    <w:rPr>
      <w:sz w:val="18"/>
      <w:szCs w:val="18"/>
    </w:rPr>
  </w:style>
  <w:style w:type="character" w:customStyle="1" w:styleId="159">
    <w:name w:val="font21"/>
    <w:qFormat/>
    <w:uiPriority w:val="0"/>
    <w:rPr>
      <w:rFonts w:hint="eastAsia" w:ascii="宋体" w:hAnsi="宋体" w:eastAsia="宋体" w:cs="宋体"/>
      <w:color w:val="000000"/>
      <w:sz w:val="20"/>
      <w:szCs w:val="20"/>
      <w:u w:val="none"/>
    </w:rPr>
  </w:style>
  <w:style w:type="character" w:customStyle="1" w:styleId="160">
    <w:name w:val="正文缩进 字符"/>
    <w:qFormat/>
    <w:uiPriority w:val="0"/>
    <w:rPr>
      <w:kern w:val="2"/>
      <w:sz w:val="21"/>
      <w:szCs w:val="21"/>
    </w:rPr>
  </w:style>
  <w:style w:type="character" w:customStyle="1" w:styleId="161">
    <w:name w:val="文档结构图 Char Char"/>
    <w:qFormat/>
    <w:uiPriority w:val="0"/>
    <w:rPr>
      <w:szCs w:val="24"/>
      <w:shd w:val="clear" w:color="auto" w:fill="000080"/>
      <w:lang w:bidi="ar-SA"/>
    </w:rPr>
  </w:style>
  <w:style w:type="paragraph" w:customStyle="1" w:styleId="162">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6"/>
      <w:szCs w:val="16"/>
    </w:rPr>
  </w:style>
  <w:style w:type="character" w:customStyle="1" w:styleId="163">
    <w:name w:val="无间隔 字符"/>
    <w:link w:val="164"/>
    <w:qFormat/>
    <w:uiPriority w:val="99"/>
    <w:rPr>
      <w:rFonts w:cs="Calibri"/>
      <w:sz w:val="22"/>
      <w:szCs w:val="22"/>
      <w:lang w:val="en-US" w:eastAsia="zh-CN" w:bidi="ar-SA"/>
    </w:rPr>
  </w:style>
  <w:style w:type="paragraph" w:styleId="164">
    <w:name w:val="No Spacing"/>
    <w:link w:val="163"/>
    <w:qFormat/>
    <w:uiPriority w:val="99"/>
    <w:rPr>
      <w:rFonts w:cs="Calibri" w:asciiTheme="minorHAnsi" w:hAnsiTheme="minorHAnsi" w:eastAsiaTheme="minorEastAsia"/>
      <w:kern w:val="2"/>
      <w:sz w:val="22"/>
      <w:szCs w:val="22"/>
      <w:lang w:val="en-US" w:eastAsia="zh-CN" w:bidi="ar-SA"/>
    </w:rPr>
  </w:style>
  <w:style w:type="character" w:customStyle="1" w:styleId="165">
    <w:name w:val="标题 3 字符"/>
    <w:link w:val="5"/>
    <w:qFormat/>
    <w:uiPriority w:val="0"/>
    <w:rPr>
      <w:b/>
      <w:bCs/>
      <w:kern w:val="2"/>
      <w:sz w:val="32"/>
      <w:szCs w:val="32"/>
    </w:rPr>
  </w:style>
  <w:style w:type="paragraph" w:customStyle="1" w:styleId="166">
    <w:name w:val="技术规范书正文"/>
    <w:qFormat/>
    <w:uiPriority w:val="0"/>
    <w:pPr>
      <w:widowControl w:val="0"/>
      <w:snapToGrid w:val="0"/>
      <w:spacing w:line="360" w:lineRule="auto"/>
    </w:pPr>
    <w:rPr>
      <w:rFonts w:asciiTheme="minorHAnsi" w:hAnsiTheme="minorHAnsi" w:eastAsiaTheme="minorEastAsia" w:cstheme="minorBidi"/>
      <w:kern w:val="2"/>
      <w:sz w:val="24"/>
      <w:szCs w:val="22"/>
      <w:lang w:val="en-US" w:eastAsia="zh-CN" w:bidi="ar-SA"/>
    </w:rPr>
  </w:style>
  <w:style w:type="character" w:customStyle="1" w:styleId="167">
    <w:name w:val="Char Char29"/>
    <w:qFormat/>
    <w:uiPriority w:val="0"/>
    <w:rPr>
      <w:rFonts w:eastAsia="宋体"/>
      <w:b/>
      <w:bCs/>
      <w:kern w:val="2"/>
      <w:sz w:val="32"/>
      <w:szCs w:val="32"/>
      <w:lang w:val="en-US" w:eastAsia="zh-CN" w:bidi="ar-SA"/>
    </w:rPr>
  </w:style>
  <w:style w:type="paragraph" w:customStyle="1" w:styleId="16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character" w:customStyle="1" w:styleId="169">
    <w:name w:val="Char Char30"/>
    <w:qFormat/>
    <w:uiPriority w:val="0"/>
    <w:rPr>
      <w:rFonts w:ascii="Arial" w:hAnsi="Arial" w:eastAsia="黑体"/>
      <w:b/>
      <w:bCs/>
      <w:kern w:val="2"/>
      <w:sz w:val="32"/>
      <w:szCs w:val="32"/>
      <w:lang w:val="en-US" w:eastAsia="zh-CN" w:bidi="ar-SA"/>
    </w:rPr>
  </w:style>
  <w:style w:type="paragraph" w:customStyle="1" w:styleId="170">
    <w:name w:val="图注"/>
    <w:basedOn w:val="15"/>
    <w:qFormat/>
    <w:uiPriority w:val="0"/>
    <w:pPr>
      <w:jc w:val="center"/>
    </w:pPr>
    <w:rPr>
      <w:rFonts w:ascii="Times New Roman" w:hAnsi="Times New Roman" w:eastAsia="宋体"/>
      <w:spacing w:val="20"/>
      <w:sz w:val="21"/>
    </w:rPr>
  </w:style>
  <w:style w:type="paragraph" w:customStyle="1" w:styleId="171">
    <w:name w:val="列出段落2"/>
    <w:basedOn w:val="1"/>
    <w:qFormat/>
    <w:uiPriority w:val="34"/>
    <w:pPr>
      <w:ind w:firstLine="420" w:firstLineChars="200"/>
    </w:pPr>
    <w:rPr>
      <w:rFonts w:ascii="Calibri" w:hAnsi="Calibri"/>
      <w:szCs w:val="22"/>
    </w:rPr>
  </w:style>
  <w:style w:type="paragraph" w:customStyle="1" w:styleId="172">
    <w:name w:val="Char81"/>
    <w:basedOn w:val="16"/>
    <w:qFormat/>
    <w:uiPriority w:val="0"/>
    <w:rPr>
      <w:rFonts w:ascii="Calibri" w:hAnsi="Calibri"/>
    </w:rPr>
  </w:style>
  <w:style w:type="character" w:customStyle="1" w:styleId="173">
    <w:name w:val="fontstyle01"/>
    <w:qFormat/>
    <w:uiPriority w:val="0"/>
    <w:rPr>
      <w:rFonts w:ascii="宋体" w:eastAsia="宋体"/>
      <w:color w:val="000000"/>
      <w:sz w:val="24"/>
      <w:szCs w:val="24"/>
    </w:rPr>
  </w:style>
  <w:style w:type="paragraph" w:customStyle="1" w:styleId="174">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character" w:customStyle="1" w:styleId="175">
    <w:name w:val="批注框文本 Char"/>
    <w:qFormat/>
    <w:locked/>
    <w:uiPriority w:val="99"/>
    <w:rPr>
      <w:rFonts w:eastAsia="宋体"/>
      <w:sz w:val="18"/>
      <w:szCs w:val="18"/>
    </w:rPr>
  </w:style>
  <w:style w:type="character" w:customStyle="1" w:styleId="176">
    <w:name w:val="页脚 Char"/>
    <w:qFormat/>
    <w:uiPriority w:val="99"/>
    <w:rPr>
      <w:kern w:val="2"/>
      <w:sz w:val="18"/>
      <w:szCs w:val="18"/>
    </w:rPr>
  </w:style>
  <w:style w:type="character" w:customStyle="1" w:styleId="177">
    <w:name w:val="Char Char"/>
    <w:qFormat/>
    <w:uiPriority w:val="0"/>
    <w:rPr>
      <w:rFonts w:ascii="Arial" w:hAnsi="Arial" w:eastAsia="黑体"/>
      <w:b/>
      <w:bCs/>
      <w:kern w:val="2"/>
      <w:sz w:val="32"/>
      <w:szCs w:val="32"/>
      <w:lang w:val="en-US" w:eastAsia="zh-CN" w:bidi="ar-SA"/>
    </w:rPr>
  </w:style>
  <w:style w:type="paragraph" w:customStyle="1" w:styleId="178">
    <w:name w:val="Char Char1 Char Char Char Char"/>
    <w:basedOn w:val="16"/>
    <w:qFormat/>
    <w:uiPriority w:val="0"/>
    <w:rPr>
      <w:rFonts w:ascii="Calibri" w:hAnsi="Calibri"/>
    </w:rPr>
  </w:style>
  <w:style w:type="paragraph" w:customStyle="1" w:styleId="179">
    <w:name w:val="样式4"/>
    <w:basedOn w:val="5"/>
    <w:qFormat/>
    <w:uiPriority w:val="0"/>
    <w:pPr>
      <w:spacing w:line="415" w:lineRule="auto"/>
    </w:pPr>
    <w:rPr>
      <w:rFonts w:eastAsia="Arial"/>
    </w:rPr>
  </w:style>
  <w:style w:type="paragraph" w:customStyle="1" w:styleId="180">
    <w:name w:val="普通(网站)111"/>
    <w:basedOn w:val="1"/>
    <w:qFormat/>
    <w:uiPriority w:val="0"/>
    <w:pPr>
      <w:widowControl/>
      <w:spacing w:before="100" w:beforeAutospacing="1" w:after="100" w:afterAutospacing="1"/>
      <w:jc w:val="left"/>
    </w:pPr>
    <w:rPr>
      <w:rFonts w:ascii="宋体" w:hAnsi="宋体"/>
      <w:kern w:val="0"/>
      <w:sz w:val="24"/>
    </w:rPr>
  </w:style>
  <w:style w:type="paragraph" w:customStyle="1" w:styleId="18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character" w:customStyle="1" w:styleId="182">
    <w:name w:val="批注框文本 Char3"/>
    <w:semiHidden/>
    <w:qFormat/>
    <w:uiPriority w:val="99"/>
    <w:rPr>
      <w:rFonts w:ascii="Times New Roman" w:hAnsi="Times New Roman" w:eastAsia="宋体" w:cs="Times New Roman"/>
      <w:sz w:val="18"/>
      <w:szCs w:val="18"/>
    </w:rPr>
  </w:style>
  <w:style w:type="paragraph" w:customStyle="1" w:styleId="183">
    <w:name w:val="_Style 33"/>
    <w:basedOn w:val="16"/>
    <w:qFormat/>
    <w:uiPriority w:val="0"/>
    <w:rPr>
      <w:rFonts w:ascii="Calibri" w:hAnsi="Calibri"/>
      <w:szCs w:val="22"/>
    </w:rPr>
  </w:style>
  <w:style w:type="paragraph" w:customStyle="1" w:styleId="184">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character" w:customStyle="1" w:styleId="185">
    <w:name w:val="Char Char Char1"/>
    <w:qFormat/>
    <w:locked/>
    <w:uiPriority w:val="0"/>
    <w:rPr>
      <w:rFonts w:eastAsia="宋体"/>
      <w:b/>
      <w:bCs/>
      <w:kern w:val="44"/>
      <w:sz w:val="44"/>
      <w:szCs w:val="44"/>
      <w:lang w:val="en-US" w:eastAsia="zh-CN" w:bidi="ar-SA"/>
    </w:rPr>
  </w:style>
  <w:style w:type="paragraph" w:customStyle="1" w:styleId="186">
    <w:name w:val="reader-word-layer reader-word-s1-2"/>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引用1"/>
    <w:basedOn w:val="1"/>
    <w:next w:val="1"/>
    <w:link w:val="286"/>
    <w:qFormat/>
    <w:uiPriority w:val="0"/>
    <w:rPr>
      <w:i/>
      <w:color w:val="000000"/>
      <w:kern w:val="0"/>
      <w:sz w:val="22"/>
      <w:szCs w:val="20"/>
    </w:rPr>
  </w:style>
  <w:style w:type="paragraph" w:customStyle="1" w:styleId="188">
    <w:name w:val="xl81"/>
    <w:basedOn w:val="1"/>
    <w:qFormat/>
    <w:uiPriority w:val="0"/>
    <w:pPr>
      <w:widowControl/>
      <w:spacing w:before="100" w:beforeAutospacing="1" w:after="100" w:afterAutospacing="1"/>
      <w:jc w:val="left"/>
    </w:pPr>
    <w:rPr>
      <w:rFonts w:ascii="宋体" w:hAnsi="宋体" w:cs="宋体"/>
      <w:kern w:val="0"/>
      <w:szCs w:val="21"/>
    </w:rPr>
  </w:style>
  <w:style w:type="character" w:customStyle="1" w:styleId="189">
    <w:name w:val="apple-style-span"/>
    <w:qFormat/>
    <w:uiPriority w:val="0"/>
  </w:style>
  <w:style w:type="paragraph" w:customStyle="1" w:styleId="190">
    <w:name w:val="Char2"/>
    <w:basedOn w:val="16"/>
    <w:qFormat/>
    <w:uiPriority w:val="0"/>
    <w:pPr>
      <w:widowControl/>
    </w:pPr>
    <w:rPr>
      <w:rFonts w:ascii="Tahoma" w:hAnsi="Tahoma" w:cs="Tahoma"/>
      <w:kern w:val="0"/>
      <w:sz w:val="18"/>
    </w:rPr>
  </w:style>
  <w:style w:type="character" w:customStyle="1" w:styleId="191">
    <w:name w:val="Char Char291"/>
    <w:qFormat/>
    <w:uiPriority w:val="0"/>
    <w:rPr>
      <w:rFonts w:eastAsia="宋体"/>
      <w:b/>
      <w:bCs/>
      <w:kern w:val="2"/>
      <w:sz w:val="32"/>
      <w:szCs w:val="32"/>
      <w:lang w:val="en-US" w:eastAsia="zh-CN" w:bidi="ar-SA"/>
    </w:rPr>
  </w:style>
  <w:style w:type="paragraph" w:customStyle="1" w:styleId="192">
    <w:name w:val="普通(网站)11"/>
    <w:basedOn w:val="1"/>
    <w:qFormat/>
    <w:uiPriority w:val="0"/>
    <w:pPr>
      <w:widowControl/>
      <w:spacing w:before="100" w:beforeAutospacing="1" w:after="100" w:afterAutospacing="1"/>
      <w:jc w:val="left"/>
    </w:pPr>
    <w:rPr>
      <w:rFonts w:ascii="宋体" w:hAnsi="宋体"/>
      <w:kern w:val="0"/>
      <w:sz w:val="24"/>
    </w:rPr>
  </w:style>
  <w:style w:type="character" w:customStyle="1" w:styleId="193">
    <w:name w:val="文本块 字符"/>
    <w:link w:val="22"/>
    <w:qFormat/>
    <w:uiPriority w:val="0"/>
    <w:rPr>
      <w:rFonts w:ascii="仿宋_GB2312" w:eastAsia="仿宋_GB2312" w:cs="仿宋_GB2312"/>
      <w:sz w:val="24"/>
      <w:szCs w:val="24"/>
    </w:rPr>
  </w:style>
  <w:style w:type="character" w:customStyle="1" w:styleId="194">
    <w:name w:val="Body Text Indent 2 Char"/>
    <w:qFormat/>
    <w:locked/>
    <w:uiPriority w:val="0"/>
    <w:rPr>
      <w:rFonts w:ascii="Times New Roman" w:hAnsi="Times New Roman" w:cs="Times New Roman"/>
      <w:sz w:val="24"/>
      <w:szCs w:val="24"/>
    </w:rPr>
  </w:style>
  <w:style w:type="character" w:customStyle="1" w:styleId="195">
    <w:name w:val="Date Char"/>
    <w:qFormat/>
    <w:locked/>
    <w:uiPriority w:val="0"/>
    <w:rPr>
      <w:rFonts w:ascii="宋体" w:hAnsi="Courier New" w:cs="宋体"/>
      <w:sz w:val="21"/>
      <w:szCs w:val="21"/>
    </w:rPr>
  </w:style>
  <w:style w:type="character" w:customStyle="1" w:styleId="196">
    <w:name w:val="Char Char311"/>
    <w:qFormat/>
    <w:locked/>
    <w:uiPriority w:val="0"/>
    <w:rPr>
      <w:rFonts w:ascii="Arial" w:hAnsi="Arial" w:eastAsia="黑体"/>
      <w:b/>
      <w:bCs/>
      <w:kern w:val="2"/>
      <w:sz w:val="32"/>
      <w:szCs w:val="32"/>
      <w:lang w:val="en-US" w:eastAsia="zh-CN" w:bidi="ar-SA"/>
    </w:rPr>
  </w:style>
  <w:style w:type="paragraph" w:customStyle="1" w:styleId="197">
    <w:name w:val="二级标题"/>
    <w:basedOn w:val="166"/>
    <w:qFormat/>
    <w:uiPriority w:val="0"/>
    <w:pPr>
      <w:spacing w:beforeLines="50"/>
    </w:pPr>
    <w:rPr>
      <w:b/>
      <w:sz w:val="28"/>
    </w:rPr>
  </w:style>
  <w:style w:type="paragraph" w:customStyle="1" w:styleId="198">
    <w:name w:val="Char Char Char1 Char Char Char Char Char Char Char2"/>
    <w:basedOn w:val="1"/>
    <w:qFormat/>
    <w:uiPriority w:val="0"/>
    <w:rPr>
      <w:sz w:val="28"/>
      <w:szCs w:val="28"/>
    </w:rPr>
  </w:style>
  <w:style w:type="paragraph" w:customStyle="1" w:styleId="199">
    <w:name w:val="Char Char11"/>
    <w:basedOn w:val="16"/>
    <w:qFormat/>
    <w:uiPriority w:val="0"/>
    <w:rPr>
      <w:rFonts w:ascii="宋体" w:hAnsi="Calibri"/>
      <w:kern w:val="0"/>
      <w:szCs w:val="18"/>
    </w:rPr>
  </w:style>
  <w:style w:type="character" w:customStyle="1" w:styleId="200">
    <w:name w:val="Char Char25"/>
    <w:qFormat/>
    <w:uiPriority w:val="0"/>
    <w:rPr>
      <w:rFonts w:ascii="Times New Roman" w:hAnsi="Times New Roman" w:eastAsia="宋体" w:cs="Times New Roman"/>
      <w:b/>
      <w:bCs/>
      <w:kern w:val="0"/>
      <w:sz w:val="28"/>
      <w:szCs w:val="32"/>
    </w:rPr>
  </w:style>
  <w:style w:type="paragraph" w:customStyle="1" w:styleId="201">
    <w:name w:val="无间隔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2">
    <w:name w:val="font9"/>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203">
    <w:name w:val="Default Char"/>
    <w:link w:val="204"/>
    <w:qFormat/>
    <w:locked/>
    <w:uiPriority w:val="0"/>
    <w:rPr>
      <w:rFonts w:ascii="......." w:eastAsia="......."/>
      <w:color w:val="000000"/>
      <w:sz w:val="24"/>
      <w:szCs w:val="24"/>
      <w:lang w:val="en-US" w:eastAsia="zh-CN" w:bidi="ar-SA"/>
    </w:rPr>
  </w:style>
  <w:style w:type="paragraph" w:customStyle="1" w:styleId="204">
    <w:name w:val="Default"/>
    <w:next w:val="205"/>
    <w:link w:val="203"/>
    <w:qFormat/>
    <w:uiPriority w:val="0"/>
    <w:pPr>
      <w:widowControl w:val="0"/>
      <w:autoSpaceDE w:val="0"/>
      <w:autoSpaceDN w:val="0"/>
      <w:adjustRightInd w:val="0"/>
    </w:pPr>
    <w:rPr>
      <w:rFonts w:ascii="......." w:eastAsia="......." w:hAnsiTheme="minorHAnsi" w:cstheme="minorBidi"/>
      <w:color w:val="000000"/>
      <w:kern w:val="2"/>
      <w:sz w:val="24"/>
      <w:szCs w:val="24"/>
      <w:lang w:val="en-US" w:eastAsia="zh-CN" w:bidi="ar-SA"/>
    </w:rPr>
  </w:style>
  <w:style w:type="paragraph" w:customStyle="1" w:styleId="205">
    <w:name w:val="大标题"/>
    <w:basedOn w:val="48"/>
    <w:next w:val="51"/>
    <w:qFormat/>
    <w:uiPriority w:val="0"/>
    <w:pPr>
      <w:tabs>
        <w:tab w:val="left" w:pos="795"/>
        <w:tab w:val="center" w:pos="4156"/>
      </w:tabs>
      <w:spacing w:line="360" w:lineRule="auto"/>
      <w:ind w:firstLine="200" w:firstLineChars="200"/>
    </w:pPr>
    <w:rPr>
      <w:rFonts w:ascii="宋体" w:hAnsi="宋体" w:eastAsia="宋体"/>
      <w:bCs w:val="0"/>
      <w:kern w:val="0"/>
      <w:szCs w:val="20"/>
    </w:rPr>
  </w:style>
  <w:style w:type="paragraph" w:customStyle="1" w:styleId="206">
    <w:name w:val="_Style 61"/>
    <w:next w:val="1"/>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20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08">
    <w:name w:val="文档结构图11"/>
    <w:basedOn w:val="1"/>
    <w:qFormat/>
    <w:uiPriority w:val="0"/>
    <w:pPr>
      <w:shd w:val="clear" w:color="auto" w:fill="000080"/>
    </w:pPr>
    <w:rPr>
      <w:kern w:val="0"/>
      <w:sz w:val="20"/>
      <w:shd w:val="clear" w:color="auto" w:fill="000080"/>
    </w:rPr>
  </w:style>
  <w:style w:type="paragraph" w:customStyle="1" w:styleId="209">
    <w:name w:val="font10"/>
    <w:basedOn w:val="1"/>
    <w:qFormat/>
    <w:uiPriority w:val="0"/>
    <w:pPr>
      <w:widowControl/>
      <w:spacing w:before="100" w:beforeAutospacing="1" w:after="100" w:afterAutospacing="1"/>
      <w:jc w:val="left"/>
    </w:pPr>
    <w:rPr>
      <w:rFonts w:hint="eastAsia" w:ascii="宋体" w:hAnsi="宋体"/>
      <w:b/>
      <w:bCs/>
      <w:kern w:val="0"/>
      <w:sz w:val="28"/>
      <w:szCs w:val="28"/>
    </w:rPr>
  </w:style>
  <w:style w:type="character" w:customStyle="1" w:styleId="210">
    <w:name w:val="文档结构图 Char1"/>
    <w:qFormat/>
    <w:uiPriority w:val="0"/>
    <w:rPr>
      <w:rFonts w:ascii="宋体"/>
      <w:kern w:val="2"/>
      <w:sz w:val="18"/>
    </w:rPr>
  </w:style>
  <w:style w:type="paragraph" w:customStyle="1" w:styleId="211">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styleId="212">
    <w:name w:val="Intense Quote"/>
    <w:basedOn w:val="1"/>
    <w:next w:val="1"/>
    <w:link w:val="318"/>
    <w:qFormat/>
    <w:uiPriority w:val="0"/>
    <w:pPr>
      <w:pBdr>
        <w:bottom w:val="single" w:color="4F81BD" w:sz="4" w:space="4"/>
      </w:pBdr>
      <w:spacing w:before="200" w:after="280"/>
      <w:ind w:left="936" w:right="936"/>
    </w:pPr>
    <w:rPr>
      <w:rFonts w:ascii="Calibri" w:hAnsi="Calibri"/>
      <w:b/>
      <w:i/>
      <w:color w:val="4F81BD"/>
      <w:sz w:val="22"/>
      <w:szCs w:val="22"/>
    </w:rPr>
  </w:style>
  <w:style w:type="paragraph" w:customStyle="1" w:styleId="213">
    <w:name w:val="_Style 429"/>
    <w:basedOn w:val="1"/>
    <w:next w:val="214"/>
    <w:qFormat/>
    <w:uiPriority w:val="99"/>
    <w:pPr>
      <w:ind w:firstLine="420" w:firstLineChars="200"/>
    </w:pPr>
    <w:rPr>
      <w:rFonts w:ascii="Calibri" w:hAnsi="Calibri"/>
      <w:szCs w:val="22"/>
    </w:rPr>
  </w:style>
  <w:style w:type="paragraph" w:styleId="214">
    <w:name w:val="List Paragraph"/>
    <w:basedOn w:val="1"/>
    <w:link w:val="434"/>
    <w:qFormat/>
    <w:uiPriority w:val="34"/>
    <w:pPr>
      <w:ind w:firstLine="420" w:firstLineChars="200"/>
    </w:pPr>
    <w:rPr>
      <w:szCs w:val="21"/>
    </w:rPr>
  </w:style>
  <w:style w:type="character" w:customStyle="1" w:styleId="215">
    <w:name w:val="已访问的超链接1"/>
    <w:qFormat/>
    <w:uiPriority w:val="0"/>
    <w:rPr>
      <w:color w:val="800080"/>
      <w:u w:val="single"/>
    </w:rPr>
  </w:style>
  <w:style w:type="character" w:customStyle="1" w:styleId="216">
    <w:name w:val="副标题 字符"/>
    <w:link w:val="35"/>
    <w:qFormat/>
    <w:uiPriority w:val="11"/>
    <w:rPr>
      <w:rFonts w:ascii="Cambria" w:hAnsi="Cambria" w:eastAsia="方正楷体简体"/>
      <w:kern w:val="28"/>
      <w:sz w:val="32"/>
      <w:szCs w:val="32"/>
    </w:rPr>
  </w:style>
  <w:style w:type="paragraph" w:customStyle="1" w:styleId="217">
    <w:name w:val="TOC 标题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218">
    <w:name w:val="批注文字 Char1"/>
    <w:qFormat/>
    <w:uiPriority w:val="0"/>
    <w:rPr>
      <w:kern w:val="2"/>
      <w:sz w:val="21"/>
      <w:szCs w:val="24"/>
    </w:rPr>
  </w:style>
  <w:style w:type="paragraph" w:customStyle="1" w:styleId="219">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220">
    <w:name w:val="表格文字"/>
    <w:basedOn w:val="1"/>
    <w:qFormat/>
    <w:uiPriority w:val="0"/>
    <w:pPr>
      <w:adjustRightInd w:val="0"/>
      <w:spacing w:line="420" w:lineRule="atLeast"/>
      <w:jc w:val="left"/>
      <w:textAlignment w:val="baseline"/>
    </w:pPr>
    <w:rPr>
      <w:kern w:val="0"/>
      <w:szCs w:val="20"/>
    </w:rPr>
  </w:style>
  <w:style w:type="character" w:customStyle="1" w:styleId="221">
    <w:name w:val="正文文本首行缩进 2 字符"/>
    <w:link w:val="51"/>
    <w:qFormat/>
    <w:uiPriority w:val="0"/>
    <w:rPr>
      <w:rFonts w:ascii="Calibri" w:hAnsi="Calibri" w:eastAsia="仿宋_GB2312"/>
      <w:kern w:val="2"/>
      <w:sz w:val="21"/>
      <w:szCs w:val="24"/>
    </w:rPr>
  </w:style>
  <w:style w:type="paragraph" w:customStyle="1" w:styleId="222">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223">
    <w:name w:val="Char Char13"/>
    <w:basedOn w:val="16"/>
    <w:qFormat/>
    <w:uiPriority w:val="0"/>
    <w:rPr>
      <w:rFonts w:ascii="Calibri" w:hAnsi="Calibri"/>
      <w:szCs w:val="22"/>
    </w:rPr>
  </w:style>
  <w:style w:type="character" w:customStyle="1" w:styleId="224">
    <w:name w:val="Char Char71"/>
    <w:qFormat/>
    <w:uiPriority w:val="0"/>
    <w:rPr>
      <w:rFonts w:ascii="Arial" w:hAnsi="Arial" w:eastAsia="黑体"/>
      <w:b/>
      <w:bCs/>
      <w:kern w:val="2"/>
      <w:sz w:val="32"/>
      <w:szCs w:val="32"/>
      <w:lang w:val="en-US" w:eastAsia="zh-CN" w:bidi="ar-SA"/>
    </w:rPr>
  </w:style>
  <w:style w:type="character" w:customStyle="1" w:styleId="225">
    <w:name w:val="标题 5 Char"/>
    <w:qFormat/>
    <w:uiPriority w:val="99"/>
    <w:rPr>
      <w:rFonts w:eastAsia="宋体"/>
      <w:b/>
      <w:kern w:val="2"/>
      <w:sz w:val="28"/>
      <w:lang w:val="en-US" w:eastAsia="zh-CN" w:bidi="ar-SA"/>
    </w:rPr>
  </w:style>
  <w:style w:type="paragraph" w:customStyle="1" w:styleId="22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27">
    <w:name w:val="Char Char1 Char Char Char Char Char Char1"/>
    <w:basedOn w:val="16"/>
    <w:qFormat/>
    <w:uiPriority w:val="0"/>
    <w:rPr>
      <w:rFonts w:ascii="宋体" w:hAnsi="Calibri"/>
      <w:kern w:val="0"/>
      <w:szCs w:val="18"/>
    </w:rPr>
  </w:style>
  <w:style w:type="paragraph" w:customStyle="1" w:styleId="228">
    <w:name w:val="15"/>
    <w:basedOn w:val="1"/>
    <w:qFormat/>
    <w:uiPriority w:val="0"/>
    <w:pPr>
      <w:widowControl/>
      <w:snapToGrid w:val="0"/>
      <w:spacing w:before="100" w:beforeAutospacing="1" w:after="100" w:afterAutospacing="1"/>
    </w:pPr>
    <w:rPr>
      <w:kern w:val="0"/>
      <w:sz w:val="20"/>
      <w:szCs w:val="20"/>
    </w:rPr>
  </w:style>
  <w:style w:type="paragraph" w:customStyle="1" w:styleId="229">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character" w:customStyle="1" w:styleId="230">
    <w:name w:val="Char Char Char Char Char Char1"/>
    <w:qFormat/>
    <w:uiPriority w:val="0"/>
    <w:rPr>
      <w:rFonts w:ascii="Cambria" w:hAnsi="Cambria"/>
      <w:b/>
      <w:bCs/>
      <w:kern w:val="2"/>
      <w:sz w:val="32"/>
      <w:szCs w:val="32"/>
      <w:lang w:bidi="ar-SA"/>
    </w:rPr>
  </w:style>
  <w:style w:type="character" w:customStyle="1" w:styleId="231">
    <w:name w:val="标题4 Char Char"/>
    <w:link w:val="130"/>
    <w:qFormat/>
    <w:locked/>
    <w:uiPriority w:val="99"/>
    <w:rPr>
      <w:rFonts w:ascii="Arial" w:hAnsi="Arial"/>
      <w:b/>
      <w:sz w:val="32"/>
    </w:rPr>
  </w:style>
  <w:style w:type="paragraph" w:customStyle="1" w:styleId="232">
    <w:name w:val="_Style 63"/>
    <w:next w:val="1"/>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customStyle="1" w:styleId="233">
    <w:name w:val="明显引用 Char"/>
    <w:qFormat/>
    <w:locked/>
    <w:uiPriority w:val="99"/>
    <w:rPr>
      <w:b/>
      <w:i/>
      <w:color w:val="4F81BD"/>
      <w:sz w:val="22"/>
    </w:rPr>
  </w:style>
  <w:style w:type="paragraph" w:customStyle="1" w:styleId="234">
    <w:name w:val="文本块11"/>
    <w:basedOn w:val="1"/>
    <w:next w:val="1"/>
    <w:qFormat/>
    <w:uiPriority w:val="0"/>
    <w:rPr>
      <w:i/>
      <w:iCs/>
      <w:color w:val="000000"/>
      <w:szCs w:val="22"/>
    </w:rPr>
  </w:style>
  <w:style w:type="paragraph" w:customStyle="1" w:styleId="235">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character" w:customStyle="1" w:styleId="236">
    <w:name w:val="引用 Char1"/>
    <w:qFormat/>
    <w:uiPriority w:val="0"/>
    <w:rPr>
      <w:rFonts w:ascii="Times New Roman" w:hAnsi="Times New Roman" w:eastAsia="宋体" w:cs="Times New Roman"/>
      <w:i/>
      <w:iCs/>
      <w:color w:val="000000"/>
      <w:szCs w:val="24"/>
    </w:rPr>
  </w:style>
  <w:style w:type="paragraph" w:customStyle="1" w:styleId="237">
    <w:name w:val="xl35"/>
    <w:basedOn w:val="1"/>
    <w:qFormat/>
    <w:uiPriority w:val="0"/>
    <w:pPr>
      <w:widowControl/>
      <w:spacing w:before="100" w:beforeAutospacing="1" w:after="100" w:afterAutospacing="1"/>
      <w:jc w:val="left"/>
    </w:pPr>
    <w:rPr>
      <w:b/>
      <w:bCs/>
      <w:kern w:val="0"/>
      <w:sz w:val="24"/>
    </w:rPr>
  </w:style>
  <w:style w:type="character" w:customStyle="1" w:styleId="238">
    <w:name w:val="Blockquote Char Char"/>
    <w:link w:val="87"/>
    <w:qFormat/>
    <w:locked/>
    <w:uiPriority w:val="99"/>
    <w:rPr>
      <w:sz w:val="24"/>
    </w:rPr>
  </w:style>
  <w:style w:type="character" w:customStyle="1" w:styleId="239">
    <w:name w:val="标题 1 字符1"/>
    <w:link w:val="3"/>
    <w:qFormat/>
    <w:uiPriority w:val="0"/>
    <w:rPr>
      <w:b/>
      <w:bCs/>
      <w:kern w:val="44"/>
      <w:sz w:val="44"/>
      <w:szCs w:val="44"/>
    </w:rPr>
  </w:style>
  <w:style w:type="character" w:customStyle="1" w:styleId="240">
    <w:name w:val="样式2 字符"/>
    <w:link w:val="241"/>
    <w:qFormat/>
    <w:uiPriority w:val="0"/>
    <w:rPr>
      <w:rFonts w:ascii="楷体_GB2312" w:hAnsi="Arial" w:eastAsia="仿宋_GB2312"/>
      <w:kern w:val="2"/>
      <w:sz w:val="28"/>
      <w:szCs w:val="28"/>
    </w:rPr>
  </w:style>
  <w:style w:type="paragraph" w:customStyle="1" w:styleId="241">
    <w:name w:val="样式2"/>
    <w:basedOn w:val="1"/>
    <w:link w:val="240"/>
    <w:qFormat/>
    <w:uiPriority w:val="0"/>
    <w:pPr>
      <w:spacing w:line="560" w:lineRule="exact"/>
      <w:ind w:firstLine="561" w:firstLineChars="200"/>
    </w:pPr>
    <w:rPr>
      <w:rFonts w:ascii="楷体_GB2312" w:hAnsi="Arial" w:eastAsia="仿宋_GB2312"/>
      <w:sz w:val="28"/>
      <w:szCs w:val="28"/>
    </w:rPr>
  </w:style>
  <w:style w:type="character" w:customStyle="1" w:styleId="242">
    <w:name w:val="正文文本 2 Char"/>
    <w:qFormat/>
    <w:uiPriority w:val="99"/>
    <w:rPr>
      <w:sz w:val="24"/>
    </w:rPr>
  </w:style>
  <w:style w:type="character" w:customStyle="1" w:styleId="243">
    <w:name w:val="批注框文本 Char Char Char Char"/>
    <w:qFormat/>
    <w:uiPriority w:val="0"/>
    <w:rPr>
      <w:rFonts w:ascii="宋体"/>
      <w:sz w:val="18"/>
      <w:szCs w:val="18"/>
      <w:lang w:bidi="ar-SA"/>
    </w:rPr>
  </w:style>
  <w:style w:type="character" w:customStyle="1" w:styleId="244">
    <w:name w:val="无间隔 Char"/>
    <w:link w:val="88"/>
    <w:qFormat/>
    <w:locked/>
    <w:uiPriority w:val="0"/>
    <w:rPr>
      <w:rFonts w:cs="Calibri"/>
      <w:sz w:val="22"/>
      <w:szCs w:val="22"/>
      <w:lang w:val="en-US" w:eastAsia="zh-CN" w:bidi="ar-SA"/>
    </w:rPr>
  </w:style>
  <w:style w:type="character" w:customStyle="1" w:styleId="245">
    <w:name w:val="font81"/>
    <w:qFormat/>
    <w:uiPriority w:val="0"/>
    <w:rPr>
      <w:rFonts w:hint="default" w:ascii="Times New Roman" w:hAnsi="Times New Roman" w:cs="Times New Roman"/>
      <w:color w:val="000000"/>
      <w:sz w:val="20"/>
      <w:szCs w:val="20"/>
      <w:u w:val="none"/>
    </w:rPr>
  </w:style>
  <w:style w:type="paragraph" w:customStyle="1" w:styleId="246">
    <w:name w:val="表格"/>
    <w:basedOn w:val="1"/>
    <w:qFormat/>
    <w:uiPriority w:val="0"/>
    <w:pPr>
      <w:jc w:val="center"/>
      <w:textAlignment w:val="center"/>
    </w:pPr>
    <w:rPr>
      <w:rFonts w:ascii="华文细黑" w:hAnsi="华文细黑"/>
      <w:kern w:val="0"/>
      <w:szCs w:val="20"/>
    </w:rPr>
  </w:style>
  <w:style w:type="character" w:customStyle="1" w:styleId="247">
    <w:name w:val="书籍标题12"/>
    <w:qFormat/>
    <w:uiPriority w:val="0"/>
    <w:rPr>
      <w:b/>
      <w:bCs/>
      <w:smallCaps/>
      <w:spacing w:val="5"/>
    </w:rPr>
  </w:style>
  <w:style w:type="character" w:customStyle="1" w:styleId="248">
    <w:name w:val="Title Char"/>
    <w:qFormat/>
    <w:locked/>
    <w:uiPriority w:val="0"/>
    <w:rPr>
      <w:rFonts w:ascii="Cambria" w:hAnsi="Cambria" w:eastAsia="方正小标宋简体" w:cs="Cambria"/>
      <w:b/>
      <w:bCs/>
      <w:kern w:val="2"/>
      <w:sz w:val="32"/>
      <w:szCs w:val="32"/>
    </w:rPr>
  </w:style>
  <w:style w:type="paragraph" w:customStyle="1" w:styleId="249">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250">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251">
    <w:name w:val="Heading 3 Char"/>
    <w:qFormat/>
    <w:locked/>
    <w:uiPriority w:val="0"/>
    <w:rPr>
      <w:rFonts w:eastAsia="宋体"/>
      <w:b/>
      <w:bCs/>
      <w:kern w:val="2"/>
      <w:sz w:val="32"/>
      <w:szCs w:val="32"/>
      <w:lang w:val="en-US" w:eastAsia="zh-CN" w:bidi="ar-SA"/>
    </w:rPr>
  </w:style>
  <w:style w:type="character" w:customStyle="1" w:styleId="252">
    <w:name w:val="正文文本缩进 Char1"/>
    <w:semiHidden/>
    <w:qFormat/>
    <w:uiPriority w:val="99"/>
    <w:rPr>
      <w:rFonts w:ascii="Times New Roman" w:hAnsi="Times New Roman" w:eastAsia="宋体" w:cs="Times New Roman"/>
      <w:szCs w:val="24"/>
    </w:rPr>
  </w:style>
  <w:style w:type="paragraph" w:customStyle="1" w:styleId="253">
    <w:name w:val="font12"/>
    <w:basedOn w:val="1"/>
    <w:qFormat/>
    <w:uiPriority w:val="0"/>
    <w:pPr>
      <w:widowControl/>
      <w:spacing w:before="100" w:beforeAutospacing="1" w:after="100" w:afterAutospacing="1"/>
      <w:jc w:val="left"/>
    </w:pPr>
    <w:rPr>
      <w:rFonts w:hint="eastAsia" w:ascii="宋体" w:hAnsi="宋体"/>
      <w:b/>
      <w:bCs/>
      <w:kern w:val="0"/>
      <w:sz w:val="20"/>
      <w:szCs w:val="20"/>
    </w:rPr>
  </w:style>
  <w:style w:type="paragraph" w:styleId="254">
    <w:name w:val="Quote"/>
    <w:basedOn w:val="1"/>
    <w:next w:val="1"/>
    <w:link w:val="459"/>
    <w:qFormat/>
    <w:uiPriority w:val="0"/>
    <w:rPr>
      <w:rFonts w:ascii="Calibri" w:hAnsi="Calibri"/>
      <w:i/>
      <w:color w:val="000000"/>
      <w:sz w:val="22"/>
      <w:szCs w:val="22"/>
    </w:rPr>
  </w:style>
  <w:style w:type="character" w:customStyle="1" w:styleId="255">
    <w:name w:val="不明显参考12"/>
    <w:qFormat/>
    <w:uiPriority w:val="0"/>
    <w:rPr>
      <w:smallCaps/>
      <w:color w:val="C0504D"/>
      <w:u w:val="single"/>
    </w:rPr>
  </w:style>
  <w:style w:type="character" w:customStyle="1" w:styleId="256">
    <w:name w:val="font91"/>
    <w:qFormat/>
    <w:uiPriority w:val="0"/>
    <w:rPr>
      <w:rFonts w:hint="eastAsia" w:ascii="宋体" w:hAnsi="宋体" w:eastAsia="宋体" w:cs="宋体"/>
      <w:color w:val="000000"/>
      <w:sz w:val="22"/>
      <w:szCs w:val="22"/>
      <w:u w:val="none"/>
    </w:rPr>
  </w:style>
  <w:style w:type="character" w:customStyle="1" w:styleId="257">
    <w:name w:val="Heading 2 Char"/>
    <w:qFormat/>
    <w:locked/>
    <w:uiPriority w:val="0"/>
    <w:rPr>
      <w:rFonts w:ascii="Arial" w:hAnsi="Arial" w:eastAsia="黑体"/>
      <w:b/>
      <w:bCs/>
      <w:kern w:val="2"/>
      <w:sz w:val="32"/>
      <w:szCs w:val="32"/>
      <w:lang w:val="en-US" w:eastAsia="zh-CN" w:bidi="ar-SA"/>
    </w:rPr>
  </w:style>
  <w:style w:type="paragraph" w:customStyle="1" w:styleId="258">
    <w:name w:val="Table Paragraph"/>
    <w:basedOn w:val="1"/>
    <w:qFormat/>
    <w:uiPriority w:val="1"/>
    <w:pPr>
      <w:autoSpaceDE w:val="0"/>
      <w:autoSpaceDN w:val="0"/>
      <w:adjustRightInd w:val="0"/>
      <w:jc w:val="left"/>
    </w:pPr>
    <w:rPr>
      <w:rFonts w:ascii="Arial Unicode MS" w:eastAsia="Arial Unicode MS" w:cs="Arial Unicode MS"/>
      <w:kern w:val="0"/>
      <w:sz w:val="24"/>
    </w:rPr>
  </w:style>
  <w:style w:type="character" w:customStyle="1" w:styleId="259">
    <w:name w:val="正文文本缩进 2 字符"/>
    <w:link w:val="28"/>
    <w:qFormat/>
    <w:uiPriority w:val="99"/>
    <w:rPr>
      <w:sz w:val="24"/>
      <w:szCs w:val="24"/>
    </w:rPr>
  </w:style>
  <w:style w:type="character" w:customStyle="1" w:styleId="260">
    <w:name w:val="正文首行缩进 2 Char"/>
    <w:qFormat/>
    <w:uiPriority w:val="0"/>
    <w:rPr>
      <w:rFonts w:ascii="Calibri" w:hAnsi="Calibri" w:eastAsia="宋体"/>
      <w:szCs w:val="24"/>
    </w:rPr>
  </w:style>
  <w:style w:type="paragraph" w:customStyle="1" w:styleId="261">
    <w:name w:val="批注主题11"/>
    <w:basedOn w:val="17"/>
    <w:next w:val="17"/>
    <w:qFormat/>
    <w:uiPriority w:val="0"/>
    <w:rPr>
      <w:rFonts w:ascii="宋体" w:hAnsi="Calibri"/>
      <w:b/>
      <w:bCs/>
      <w:kern w:val="0"/>
      <w:sz w:val="28"/>
      <w:szCs w:val="20"/>
    </w:rPr>
  </w:style>
  <w:style w:type="paragraph" w:customStyle="1" w:styleId="262">
    <w:name w:val="xl36"/>
    <w:basedOn w:val="1"/>
    <w:qFormat/>
    <w:uiPriority w:val="0"/>
    <w:pPr>
      <w:widowControl/>
      <w:spacing w:before="100" w:beforeAutospacing="1" w:after="100" w:afterAutospacing="1"/>
      <w:jc w:val="left"/>
    </w:pPr>
    <w:rPr>
      <w:rFonts w:ascii="宋体" w:hAnsi="宋体"/>
      <w:b/>
      <w:bCs/>
      <w:kern w:val="0"/>
      <w:sz w:val="24"/>
    </w:rPr>
  </w:style>
  <w:style w:type="character" w:customStyle="1" w:styleId="263">
    <w:name w:val="日期 Char"/>
    <w:qFormat/>
    <w:locked/>
    <w:uiPriority w:val="99"/>
    <w:rPr>
      <w:rFonts w:eastAsia="宋体"/>
      <w:sz w:val="24"/>
    </w:rPr>
  </w:style>
  <w:style w:type="character" w:customStyle="1" w:styleId="264">
    <w:name w:val="标题 8 Char"/>
    <w:qFormat/>
    <w:uiPriority w:val="99"/>
    <w:rPr>
      <w:rFonts w:ascii="Arial" w:hAnsi="Arial" w:eastAsia="黑体"/>
      <w:sz w:val="24"/>
      <w:szCs w:val="24"/>
      <w:lang w:val="en-US" w:eastAsia="zh-CN" w:bidi="ar-SA"/>
    </w:rPr>
  </w:style>
  <w:style w:type="character" w:customStyle="1" w:styleId="265">
    <w:name w:val="页脚 Char2"/>
    <w:semiHidden/>
    <w:qFormat/>
    <w:uiPriority w:val="99"/>
    <w:rPr>
      <w:rFonts w:ascii="Times New Roman" w:hAnsi="Times New Roman" w:eastAsia="宋体" w:cs="Times New Roman"/>
      <w:sz w:val="18"/>
      <w:szCs w:val="18"/>
    </w:rPr>
  </w:style>
  <w:style w:type="character" w:customStyle="1" w:styleId="266">
    <w:name w:val="批注框文本 字符"/>
    <w:link w:val="29"/>
    <w:qFormat/>
    <w:uiPriority w:val="99"/>
    <w:rPr>
      <w:kern w:val="2"/>
      <w:sz w:val="18"/>
      <w:szCs w:val="18"/>
    </w:rPr>
  </w:style>
  <w:style w:type="paragraph" w:customStyle="1" w:styleId="267">
    <w:name w:val="_Style 488"/>
    <w:basedOn w:val="1"/>
    <w:next w:val="214"/>
    <w:qFormat/>
    <w:uiPriority w:val="99"/>
    <w:pPr>
      <w:ind w:firstLine="420" w:firstLineChars="200"/>
    </w:pPr>
    <w:rPr>
      <w:rFonts w:ascii="Calibri" w:hAnsi="Calibri"/>
      <w:szCs w:val="22"/>
    </w:rPr>
  </w:style>
  <w:style w:type="paragraph" w:customStyle="1" w:styleId="268">
    <w:name w:val="p0"/>
    <w:basedOn w:val="1"/>
    <w:qFormat/>
    <w:uiPriority w:val="0"/>
    <w:pPr>
      <w:widowControl/>
    </w:pPr>
    <w:rPr>
      <w:kern w:val="0"/>
      <w:szCs w:val="21"/>
    </w:rPr>
  </w:style>
  <w:style w:type="character" w:customStyle="1" w:styleId="269">
    <w:name w:val="标题 2 Char1"/>
    <w:qFormat/>
    <w:uiPriority w:val="0"/>
    <w:rPr>
      <w:rFonts w:ascii="Arial" w:hAnsi="Arial"/>
      <w:b/>
      <w:bCs/>
      <w:kern w:val="2"/>
      <w:sz w:val="28"/>
      <w:szCs w:val="32"/>
    </w:rPr>
  </w:style>
  <w:style w:type="paragraph" w:customStyle="1" w:styleId="270">
    <w:name w:val="样式 标题 2 + Times New Roman 四号 非加粗 段前: 5 磅 段后: 0 磅 行距: 固定值 20..."/>
    <w:basedOn w:val="131"/>
    <w:qFormat/>
    <w:uiPriority w:val="0"/>
    <w:pPr>
      <w:spacing w:after="0" w:line="400" w:lineRule="exact"/>
    </w:pPr>
    <w:rPr>
      <w:rFonts w:ascii="Times New Roman" w:hAnsi="Times New Roman" w:eastAsia="黑体" w:cs="宋体"/>
      <w:sz w:val="28"/>
    </w:rPr>
  </w:style>
  <w:style w:type="paragraph" w:customStyle="1" w:styleId="271">
    <w:name w:val="BCDDE9ABABFE460AAF8A1CFF4CFA4596"/>
    <w:qFormat/>
    <w:uiPriority w:val="0"/>
    <w:pPr>
      <w:spacing w:after="200" w:line="276" w:lineRule="auto"/>
    </w:pPr>
    <w:rPr>
      <w:rFonts w:ascii="Calibri" w:hAnsi="Calibri" w:eastAsiaTheme="minorEastAsia" w:cstheme="minorBidi"/>
      <w:kern w:val="2"/>
      <w:sz w:val="22"/>
      <w:szCs w:val="22"/>
      <w:lang w:val="en-US" w:eastAsia="en-US" w:bidi="ar-SA"/>
    </w:rPr>
  </w:style>
  <w:style w:type="character" w:customStyle="1" w:styleId="272">
    <w:name w:val="明显强调22"/>
    <w:qFormat/>
    <w:uiPriority w:val="0"/>
    <w:rPr>
      <w:b/>
      <w:bCs/>
      <w:i/>
      <w:iCs/>
      <w:color w:val="4F81BD"/>
    </w:rPr>
  </w:style>
  <w:style w:type="paragraph" w:customStyle="1" w:styleId="273">
    <w:name w:val="xl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274">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275">
    <w:name w:val="普通文字 Char"/>
    <w:qFormat/>
    <w:uiPriority w:val="99"/>
    <w:rPr>
      <w:rFonts w:ascii="宋体" w:hAnsi="Courier New" w:cs="宋体"/>
      <w:sz w:val="21"/>
      <w:szCs w:val="21"/>
    </w:rPr>
  </w:style>
  <w:style w:type="character" w:customStyle="1" w:styleId="276">
    <w:name w:val="明显参考11"/>
    <w:qFormat/>
    <w:uiPriority w:val="0"/>
    <w:rPr>
      <w:b/>
      <w:bCs/>
      <w:smallCaps/>
      <w:color w:val="C0504D"/>
      <w:spacing w:val="5"/>
      <w:u w:val="single"/>
    </w:rPr>
  </w:style>
  <w:style w:type="paragraph" w:customStyle="1" w:styleId="277">
    <w:name w:val="标题5"/>
    <w:basedOn w:val="5"/>
    <w:link w:val="375"/>
    <w:qFormat/>
    <w:uiPriority w:val="99"/>
    <w:pPr>
      <w:spacing w:line="413" w:lineRule="auto"/>
    </w:pPr>
    <w:rPr>
      <w:rFonts w:ascii="Arial" w:hAnsi="Arial"/>
      <w:bCs w:val="0"/>
      <w:kern w:val="0"/>
      <w:szCs w:val="20"/>
    </w:rPr>
  </w:style>
  <w:style w:type="paragraph" w:customStyle="1" w:styleId="27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character" w:customStyle="1" w:styleId="279">
    <w:name w:val="标题 2 Char"/>
    <w:qFormat/>
    <w:uiPriority w:val="0"/>
    <w:rPr>
      <w:rFonts w:ascii="Arial" w:hAnsi="Arial" w:eastAsia="黑体"/>
      <w:b/>
      <w:bCs/>
      <w:kern w:val="2"/>
      <w:sz w:val="32"/>
      <w:szCs w:val="32"/>
      <w:lang w:val="en-US" w:eastAsia="zh-CN" w:bidi="ar-SA"/>
    </w:rPr>
  </w:style>
  <w:style w:type="character" w:customStyle="1" w:styleId="280">
    <w:name w:val="批注文字 Char"/>
    <w:qFormat/>
    <w:locked/>
    <w:uiPriority w:val="99"/>
    <w:rPr>
      <w:rFonts w:eastAsia="宋体"/>
      <w:sz w:val="24"/>
      <w:szCs w:val="24"/>
    </w:rPr>
  </w:style>
  <w:style w:type="character" w:customStyle="1" w:styleId="281">
    <w:name w:val="明显强调21"/>
    <w:qFormat/>
    <w:uiPriority w:val="0"/>
    <w:rPr>
      <w:b/>
      <w:bCs/>
      <w:i/>
      <w:iCs/>
      <w:color w:val="4F81BD"/>
    </w:rPr>
  </w:style>
  <w:style w:type="character" w:customStyle="1" w:styleId="282">
    <w:name w:val="t-link42"/>
    <w:qFormat/>
    <w:uiPriority w:val="0"/>
  </w:style>
  <w:style w:type="paragraph" w:customStyle="1" w:styleId="283">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6"/>
      <w:szCs w:val="16"/>
    </w:rPr>
  </w:style>
  <w:style w:type="character" w:customStyle="1" w:styleId="284">
    <w:name w:val="标题 7 Char"/>
    <w:qFormat/>
    <w:uiPriority w:val="99"/>
    <w:rPr>
      <w:rFonts w:eastAsia="宋体"/>
      <w:b/>
      <w:bCs/>
      <w:sz w:val="24"/>
      <w:szCs w:val="24"/>
      <w:lang w:val="en-US" w:eastAsia="zh-CN" w:bidi="ar-SA"/>
    </w:rPr>
  </w:style>
  <w:style w:type="character" w:customStyle="1" w:styleId="285">
    <w:name w:val="Header Char"/>
    <w:qFormat/>
    <w:locked/>
    <w:uiPriority w:val="0"/>
    <w:rPr>
      <w:rFonts w:ascii="Times New Roman" w:hAnsi="Times New Roman" w:cs="Times New Roman"/>
      <w:sz w:val="18"/>
      <w:szCs w:val="18"/>
    </w:rPr>
  </w:style>
  <w:style w:type="character" w:customStyle="1" w:styleId="286">
    <w:name w:val="Quote Char"/>
    <w:link w:val="187"/>
    <w:qFormat/>
    <w:locked/>
    <w:uiPriority w:val="0"/>
    <w:rPr>
      <w:i/>
      <w:color w:val="000000"/>
      <w:sz w:val="22"/>
    </w:rPr>
  </w:style>
  <w:style w:type="character" w:customStyle="1" w:styleId="287">
    <w:name w:val="标题 9 字符"/>
    <w:link w:val="11"/>
    <w:qFormat/>
    <w:uiPriority w:val="0"/>
    <w:rPr>
      <w:rFonts w:ascii="Arial" w:hAnsi="Arial" w:eastAsia="黑体"/>
      <w:sz w:val="21"/>
      <w:szCs w:val="21"/>
    </w:rPr>
  </w:style>
  <w:style w:type="character" w:customStyle="1" w:styleId="288">
    <w:name w:val="标题 2 字符"/>
    <w:link w:val="131"/>
    <w:qFormat/>
    <w:uiPriority w:val="0"/>
    <w:rPr>
      <w:rFonts w:ascii="Arial" w:hAnsi="Arial" w:eastAsia="宋体"/>
      <w:b/>
      <w:bCs/>
      <w:kern w:val="2"/>
      <w:sz w:val="32"/>
      <w:szCs w:val="32"/>
      <w:lang w:val="en-US" w:eastAsia="zh-CN" w:bidi="ar-SA"/>
    </w:rPr>
  </w:style>
  <w:style w:type="character" w:customStyle="1" w:styleId="289">
    <w:name w:val="case31"/>
    <w:qFormat/>
    <w:uiPriority w:val="0"/>
    <w:rPr>
      <w:sz w:val="21"/>
      <w:szCs w:val="21"/>
    </w:rPr>
  </w:style>
  <w:style w:type="paragraph" w:customStyle="1" w:styleId="29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91">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character" w:customStyle="1" w:styleId="292">
    <w:name w:val="引用 Char"/>
    <w:qFormat/>
    <w:locked/>
    <w:uiPriority w:val="99"/>
    <w:rPr>
      <w:i/>
      <w:color w:val="000000"/>
      <w:sz w:val="22"/>
    </w:rPr>
  </w:style>
  <w:style w:type="character" w:customStyle="1" w:styleId="293">
    <w:name w:val="正文文本 Char2"/>
    <w:qFormat/>
    <w:uiPriority w:val="99"/>
    <w:rPr>
      <w:rFonts w:ascii="Times New Roman" w:hAnsi="Times New Roman" w:eastAsia="宋体" w:cs="Times New Roman"/>
      <w:szCs w:val="24"/>
    </w:rPr>
  </w:style>
  <w:style w:type="paragraph" w:customStyle="1" w:styleId="294">
    <w:name w:val="_Style 19"/>
    <w:basedOn w:val="16"/>
    <w:qFormat/>
    <w:uiPriority w:val="0"/>
    <w:rPr>
      <w:rFonts w:ascii="Calibri" w:hAnsi="Calibri"/>
    </w:rPr>
  </w:style>
  <w:style w:type="paragraph" w:customStyle="1" w:styleId="295">
    <w:name w:val="Char1 Char Char Char"/>
    <w:basedOn w:val="1"/>
    <w:qFormat/>
    <w:uiPriority w:val="0"/>
    <w:rPr>
      <w:rFonts w:eastAsia="仿宋_GB2312"/>
      <w:sz w:val="28"/>
      <w:szCs w:val="28"/>
    </w:rPr>
  </w:style>
  <w:style w:type="character" w:customStyle="1" w:styleId="296">
    <w:name w:val="文档结构图 Char"/>
    <w:qFormat/>
    <w:locked/>
    <w:uiPriority w:val="99"/>
    <w:rPr>
      <w:rFonts w:eastAsia="宋体"/>
      <w:sz w:val="24"/>
      <w:shd w:val="clear" w:color="auto" w:fill="000080"/>
    </w:rPr>
  </w:style>
  <w:style w:type="character" w:customStyle="1" w:styleId="297">
    <w:name w:val="Block Text Char Char Char"/>
    <w:qFormat/>
    <w:uiPriority w:val="0"/>
    <w:rPr>
      <w:rFonts w:ascii="Calibri" w:hAnsi="Calibri" w:eastAsia="宋体"/>
      <w:i/>
      <w:iCs/>
      <w:color w:val="000000"/>
      <w:kern w:val="2"/>
      <w:sz w:val="22"/>
      <w:szCs w:val="22"/>
      <w:lang w:val="en-US" w:eastAsia="zh-CN" w:bidi="ar-SA"/>
    </w:rPr>
  </w:style>
  <w:style w:type="paragraph" w:customStyle="1" w:styleId="29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character" w:customStyle="1" w:styleId="299">
    <w:name w:val="Char Char2"/>
    <w:qFormat/>
    <w:uiPriority w:val="0"/>
    <w:rPr>
      <w:rFonts w:eastAsia="宋体"/>
      <w:kern w:val="2"/>
      <w:sz w:val="21"/>
      <w:szCs w:val="24"/>
      <w:lang w:val="en-US" w:eastAsia="zh-CN" w:bidi="ar-SA"/>
    </w:rPr>
  </w:style>
  <w:style w:type="paragraph" w:customStyle="1" w:styleId="300">
    <w:name w:val="列出段落1"/>
    <w:basedOn w:val="1"/>
    <w:qFormat/>
    <w:uiPriority w:val="0"/>
    <w:pPr>
      <w:ind w:firstLine="420" w:firstLineChars="200"/>
    </w:pPr>
    <w:rPr>
      <w:szCs w:val="21"/>
    </w:rPr>
  </w:style>
  <w:style w:type="character" w:customStyle="1" w:styleId="301">
    <w:name w:val="副标题 Char"/>
    <w:qFormat/>
    <w:locked/>
    <w:uiPriority w:val="99"/>
    <w:rPr>
      <w:rFonts w:ascii="Arial" w:hAnsi="Arial" w:eastAsia="黑体"/>
      <w:b/>
      <w:bCs/>
      <w:sz w:val="32"/>
      <w:szCs w:val="32"/>
    </w:rPr>
  </w:style>
  <w:style w:type="character" w:customStyle="1" w:styleId="302">
    <w:name w:val="t-in2"/>
    <w:qFormat/>
    <w:uiPriority w:val="0"/>
  </w:style>
  <w:style w:type="character" w:customStyle="1" w:styleId="303">
    <w:name w:val="Char Char24"/>
    <w:qFormat/>
    <w:uiPriority w:val="0"/>
    <w:rPr>
      <w:rFonts w:ascii="Arial" w:hAnsi="Arial" w:eastAsia="黑体" w:cs="Times New Roman"/>
      <w:b/>
      <w:bCs/>
      <w:sz w:val="28"/>
      <w:szCs w:val="28"/>
    </w:rPr>
  </w:style>
  <w:style w:type="paragraph" w:customStyle="1" w:styleId="304">
    <w:name w:val="Char Char Char2"/>
    <w:basedOn w:val="16"/>
    <w:qFormat/>
    <w:uiPriority w:val="0"/>
    <w:rPr>
      <w:rFonts w:ascii="Calibri" w:hAnsi="Calibri"/>
      <w:szCs w:val="22"/>
    </w:rPr>
  </w:style>
  <w:style w:type="character" w:customStyle="1" w:styleId="305">
    <w:name w:val="Char Char9"/>
    <w:qFormat/>
    <w:uiPriority w:val="0"/>
    <w:rPr>
      <w:kern w:val="2"/>
      <w:sz w:val="21"/>
      <w:szCs w:val="22"/>
    </w:rPr>
  </w:style>
  <w:style w:type="character" w:customStyle="1" w:styleId="306">
    <w:name w:val="页脚 Char1"/>
    <w:qFormat/>
    <w:uiPriority w:val="99"/>
    <w:rPr>
      <w:kern w:val="2"/>
      <w:sz w:val="18"/>
      <w:szCs w:val="18"/>
    </w:rPr>
  </w:style>
  <w:style w:type="paragraph" w:customStyle="1" w:styleId="307">
    <w:name w:val="Char Char1 Char Char Char Char Char Char"/>
    <w:basedOn w:val="16"/>
    <w:qFormat/>
    <w:uiPriority w:val="0"/>
    <w:rPr>
      <w:rFonts w:ascii="Calibri" w:hAnsi="Calibri"/>
      <w:szCs w:val="22"/>
    </w:rPr>
  </w:style>
  <w:style w:type="character" w:customStyle="1" w:styleId="308">
    <w:name w:val="不明显参考11"/>
    <w:qFormat/>
    <w:uiPriority w:val="0"/>
    <w:rPr>
      <w:smallCaps/>
      <w:color w:val="C0504D"/>
      <w:u w:val="single"/>
    </w:rPr>
  </w:style>
  <w:style w:type="character" w:customStyle="1" w:styleId="309">
    <w:name w:val="Subtitle Char"/>
    <w:qFormat/>
    <w:locked/>
    <w:uiPriority w:val="0"/>
    <w:rPr>
      <w:rFonts w:ascii="Cambria" w:hAnsi="Cambria" w:eastAsia="方正楷体简体" w:cs="Cambria"/>
      <w:kern w:val="28"/>
      <w:sz w:val="32"/>
      <w:szCs w:val="32"/>
    </w:rPr>
  </w:style>
  <w:style w:type="paragraph" w:customStyle="1" w:styleId="310">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311">
    <w:name w:val="小节标题"/>
    <w:basedOn w:val="1"/>
    <w:next w:val="1"/>
    <w:qFormat/>
    <w:uiPriority w:val="0"/>
    <w:pPr>
      <w:widowControl/>
      <w:spacing w:before="175" w:after="102" w:line="351" w:lineRule="atLeast"/>
      <w:textAlignment w:val="baseline"/>
    </w:pPr>
    <w:rPr>
      <w:rFonts w:eastAsia="黑体"/>
      <w:color w:val="000000"/>
      <w:kern w:val="0"/>
      <w:szCs w:val="20"/>
      <w:u w:color="000000"/>
    </w:rPr>
  </w:style>
  <w:style w:type="character" w:customStyle="1" w:styleId="312">
    <w:name w:val="Char Char31"/>
    <w:qFormat/>
    <w:locked/>
    <w:uiPriority w:val="0"/>
    <w:rPr>
      <w:rFonts w:ascii="Arial" w:hAnsi="Arial" w:eastAsia="黑体"/>
      <w:b/>
      <w:bCs/>
      <w:kern w:val="2"/>
      <w:sz w:val="32"/>
      <w:szCs w:val="32"/>
      <w:lang w:val="en-US" w:eastAsia="zh-CN" w:bidi="ar-SA"/>
    </w:rPr>
  </w:style>
  <w:style w:type="character" w:customStyle="1" w:styleId="313">
    <w:name w:val="明显强调11"/>
    <w:qFormat/>
    <w:uiPriority w:val="0"/>
    <w:rPr>
      <w:b/>
      <w:bCs/>
      <w:i/>
      <w:iCs/>
      <w:color w:val="4F81BD"/>
    </w:rPr>
  </w:style>
  <w:style w:type="paragraph" w:customStyle="1" w:styleId="314">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character" w:customStyle="1" w:styleId="315">
    <w:name w:val="Char Char81"/>
    <w:qFormat/>
    <w:uiPriority w:val="0"/>
    <w:rPr>
      <w:rFonts w:ascii="Arial" w:hAnsi="Arial" w:eastAsia="黑体"/>
      <w:b/>
      <w:bCs/>
      <w:kern w:val="2"/>
      <w:sz w:val="32"/>
      <w:szCs w:val="32"/>
      <w:lang w:val="en-US" w:eastAsia="zh-CN" w:bidi="ar-SA"/>
    </w:rPr>
  </w:style>
  <w:style w:type="paragraph" w:customStyle="1" w:styleId="316">
    <w:name w:val="1"/>
    <w:basedOn w:val="1"/>
    <w:next w:val="1"/>
    <w:qFormat/>
    <w:uiPriority w:val="0"/>
  </w:style>
  <w:style w:type="character" w:customStyle="1" w:styleId="317">
    <w:name w:val="Char Char18"/>
    <w:qFormat/>
    <w:uiPriority w:val="0"/>
    <w:rPr>
      <w:b/>
      <w:bCs/>
      <w:kern w:val="44"/>
      <w:sz w:val="44"/>
      <w:szCs w:val="44"/>
    </w:rPr>
  </w:style>
  <w:style w:type="character" w:customStyle="1" w:styleId="318">
    <w:name w:val="明显引用 字符"/>
    <w:link w:val="212"/>
    <w:qFormat/>
    <w:uiPriority w:val="0"/>
    <w:rPr>
      <w:rFonts w:ascii="Calibri" w:hAnsi="Calibri"/>
      <w:b/>
      <w:i/>
      <w:color w:val="4F81BD"/>
      <w:kern w:val="2"/>
      <w:sz w:val="22"/>
      <w:szCs w:val="22"/>
    </w:rPr>
  </w:style>
  <w:style w:type="character" w:customStyle="1" w:styleId="319">
    <w:name w:val="正文文本 3 Char"/>
    <w:qFormat/>
    <w:locked/>
    <w:uiPriority w:val="0"/>
    <w:rPr>
      <w:rFonts w:ascii="宋体" w:eastAsia="宋体"/>
      <w:sz w:val="24"/>
    </w:rPr>
  </w:style>
  <w:style w:type="character" w:customStyle="1" w:styleId="320">
    <w:name w:val="Char Char Char"/>
    <w:qFormat/>
    <w:locked/>
    <w:uiPriority w:val="0"/>
    <w:rPr>
      <w:rFonts w:eastAsia="宋体"/>
      <w:b/>
      <w:bCs/>
      <w:kern w:val="44"/>
      <w:sz w:val="44"/>
      <w:szCs w:val="44"/>
      <w:lang w:val="en-US" w:eastAsia="zh-CN" w:bidi="ar-SA"/>
    </w:rPr>
  </w:style>
  <w:style w:type="character" w:customStyle="1" w:styleId="321">
    <w:name w:val="标题 9 Char"/>
    <w:qFormat/>
    <w:uiPriority w:val="99"/>
    <w:rPr>
      <w:rFonts w:ascii="Arial" w:hAnsi="Arial" w:eastAsia="黑体"/>
      <w:sz w:val="21"/>
      <w:szCs w:val="21"/>
      <w:lang w:val="en-US" w:eastAsia="zh-CN" w:bidi="ar-SA"/>
    </w:rPr>
  </w:style>
  <w:style w:type="character" w:customStyle="1" w:styleId="322">
    <w:name w:val="批注文字 字符"/>
    <w:link w:val="17"/>
    <w:qFormat/>
    <w:uiPriority w:val="0"/>
    <w:rPr>
      <w:kern w:val="2"/>
      <w:sz w:val="21"/>
      <w:szCs w:val="24"/>
    </w:rPr>
  </w:style>
  <w:style w:type="paragraph" w:customStyle="1" w:styleId="323">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324">
    <w:name w:val="正文首行缩进 Char1"/>
    <w:qFormat/>
    <w:uiPriority w:val="0"/>
    <w:rPr>
      <w:kern w:val="2"/>
      <w:sz w:val="21"/>
      <w:szCs w:val="24"/>
    </w:rPr>
  </w:style>
  <w:style w:type="paragraph" w:customStyle="1" w:styleId="325">
    <w:name w:val="列出段落11"/>
    <w:basedOn w:val="1"/>
    <w:qFormat/>
    <w:uiPriority w:val="34"/>
    <w:pPr>
      <w:ind w:firstLine="420" w:firstLineChars="200"/>
    </w:pPr>
    <w:rPr>
      <w:sz w:val="30"/>
      <w:szCs w:val="22"/>
    </w:rPr>
  </w:style>
  <w:style w:type="character" w:customStyle="1" w:styleId="326">
    <w:name w:val="明显参考1"/>
    <w:qFormat/>
    <w:uiPriority w:val="0"/>
    <w:rPr>
      <w:b/>
      <w:bCs/>
      <w:smallCaps/>
      <w:color w:val="C0504D"/>
      <w:spacing w:val="5"/>
      <w:u w:val="single"/>
    </w:rPr>
  </w:style>
  <w:style w:type="paragraph" w:customStyle="1" w:styleId="327">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328">
    <w:name w:val="日期1"/>
    <w:basedOn w:val="1"/>
    <w:next w:val="1"/>
    <w:qFormat/>
    <w:uiPriority w:val="0"/>
    <w:pPr>
      <w:ind w:left="100" w:leftChars="2500"/>
    </w:pPr>
    <w:rPr>
      <w:rFonts w:ascii="宋体"/>
      <w:kern w:val="0"/>
      <w:sz w:val="28"/>
      <w:szCs w:val="20"/>
    </w:rPr>
  </w:style>
  <w:style w:type="character" w:customStyle="1" w:styleId="329">
    <w:name w:val="标题 Char1"/>
    <w:qFormat/>
    <w:uiPriority w:val="0"/>
    <w:rPr>
      <w:rFonts w:ascii="Cambria" w:hAnsi="Cambria" w:cs="Times New Roman"/>
      <w:b/>
      <w:bCs/>
      <w:kern w:val="2"/>
      <w:sz w:val="32"/>
      <w:szCs w:val="32"/>
    </w:rPr>
  </w:style>
  <w:style w:type="character" w:customStyle="1" w:styleId="330">
    <w:name w:val="副标题 Char1"/>
    <w:qFormat/>
    <w:uiPriority w:val="0"/>
    <w:rPr>
      <w:rFonts w:ascii="Cambria" w:hAnsi="Cambria" w:cs="Times New Roman"/>
      <w:b/>
      <w:bCs/>
      <w:kern w:val="28"/>
      <w:sz w:val="32"/>
      <w:szCs w:val="32"/>
    </w:rPr>
  </w:style>
  <w:style w:type="paragraph" w:customStyle="1" w:styleId="331">
    <w:name w:val="正文样式"/>
    <w:basedOn w:val="1"/>
    <w:qFormat/>
    <w:uiPriority w:val="0"/>
    <w:pPr>
      <w:snapToGrid w:val="0"/>
      <w:spacing w:beforeLines="50" w:afterLines="50" w:line="312" w:lineRule="auto"/>
      <w:ind w:firstLine="480" w:firstLineChars="200"/>
    </w:pPr>
    <w:rPr>
      <w:rFonts w:ascii="Arial" w:hAnsi="Arial"/>
      <w:kern w:val="24"/>
      <w:szCs w:val="28"/>
    </w:rPr>
  </w:style>
  <w:style w:type="character" w:customStyle="1" w:styleId="332">
    <w:name w:val="书籍标题13"/>
    <w:qFormat/>
    <w:uiPriority w:val="0"/>
    <w:rPr>
      <w:b/>
      <w:smallCaps/>
      <w:spacing w:val="5"/>
    </w:rPr>
  </w:style>
  <w:style w:type="paragraph" w:customStyle="1" w:styleId="333">
    <w:name w:val="修订2"/>
    <w:qFormat/>
    <w:uiPriority w:val="0"/>
    <w:rPr>
      <w:rFonts w:asciiTheme="minorHAnsi" w:hAnsiTheme="minorHAnsi" w:eastAsiaTheme="minorEastAsia" w:cstheme="minorBidi"/>
      <w:kern w:val="2"/>
      <w:sz w:val="21"/>
      <w:szCs w:val="24"/>
      <w:lang w:val="en-US" w:eastAsia="zh-CN" w:bidi="ar-SA"/>
    </w:rPr>
  </w:style>
  <w:style w:type="paragraph" w:customStyle="1" w:styleId="334">
    <w:name w:val="修订3"/>
    <w:qFormat/>
    <w:uiPriority w:val="99"/>
    <w:rPr>
      <w:rFonts w:asciiTheme="minorHAnsi" w:hAnsiTheme="minorHAnsi" w:eastAsiaTheme="minorEastAsia" w:cstheme="minorBidi"/>
      <w:kern w:val="2"/>
      <w:sz w:val="21"/>
      <w:szCs w:val="21"/>
      <w:lang w:val="en-US" w:eastAsia="zh-CN" w:bidi="ar-SA"/>
    </w:rPr>
  </w:style>
  <w:style w:type="character" w:customStyle="1" w:styleId="335">
    <w:name w:val="Char Char3"/>
    <w:qFormat/>
    <w:uiPriority w:val="0"/>
    <w:rPr>
      <w:rFonts w:ascii="Arial" w:hAnsi="Arial" w:eastAsia="黑体"/>
      <w:b/>
      <w:bCs/>
      <w:kern w:val="2"/>
      <w:sz w:val="32"/>
      <w:szCs w:val="32"/>
      <w:lang w:val="en-US" w:eastAsia="zh-CN" w:bidi="ar-SA"/>
    </w:rPr>
  </w:style>
  <w:style w:type="character" w:customStyle="1" w:styleId="336">
    <w:name w:val="明显参考2"/>
    <w:qFormat/>
    <w:uiPriority w:val="0"/>
    <w:rPr>
      <w:b/>
      <w:smallCaps/>
      <w:color w:val="C0504D"/>
      <w:spacing w:val="5"/>
      <w:u w:val="single"/>
    </w:rPr>
  </w:style>
  <w:style w:type="paragraph" w:customStyle="1" w:styleId="337">
    <w:name w:val="明显引用11"/>
    <w:basedOn w:val="1"/>
    <w:next w:val="1"/>
    <w:qFormat/>
    <w:uiPriority w:val="0"/>
    <w:pPr>
      <w:pBdr>
        <w:bottom w:val="single" w:color="4F81BD" w:sz="4" w:space="4"/>
      </w:pBdr>
      <w:spacing w:before="200" w:after="280"/>
      <w:ind w:left="936" w:right="936"/>
    </w:pPr>
    <w:rPr>
      <w:b/>
      <w:bCs/>
      <w:i/>
      <w:iCs/>
      <w:color w:val="4F81BD"/>
      <w:szCs w:val="22"/>
    </w:rPr>
  </w:style>
  <w:style w:type="character" w:customStyle="1" w:styleId="338">
    <w:name w:val="标题 4 字符"/>
    <w:link w:val="6"/>
    <w:qFormat/>
    <w:uiPriority w:val="0"/>
    <w:rPr>
      <w:rFonts w:ascii="仿宋_GB2312" w:eastAsia="仿宋_GB2312" w:cs="仿宋_GB2312"/>
      <w:kern w:val="2"/>
      <w:sz w:val="28"/>
      <w:szCs w:val="28"/>
    </w:rPr>
  </w:style>
  <w:style w:type="character" w:customStyle="1" w:styleId="339">
    <w:name w:val="Char Char91"/>
    <w:qFormat/>
    <w:uiPriority w:val="0"/>
    <w:rPr>
      <w:kern w:val="2"/>
      <w:sz w:val="21"/>
      <w:szCs w:val="22"/>
    </w:rPr>
  </w:style>
  <w:style w:type="paragraph" w:customStyle="1" w:styleId="340">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41">
    <w:name w:val="font5"/>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342">
    <w:name w:val="批注框文本 Char Char Char"/>
    <w:qFormat/>
    <w:uiPriority w:val="0"/>
    <w:rPr>
      <w:rFonts w:ascii="宋体"/>
      <w:sz w:val="18"/>
      <w:szCs w:val="18"/>
    </w:rPr>
  </w:style>
  <w:style w:type="paragraph" w:customStyle="1" w:styleId="343">
    <w:name w:val="Char1"/>
    <w:basedOn w:val="16"/>
    <w:qFormat/>
    <w:uiPriority w:val="0"/>
    <w:rPr>
      <w:rFonts w:ascii="Calibri" w:hAnsi="Calibri"/>
      <w:szCs w:val="22"/>
    </w:rPr>
  </w:style>
  <w:style w:type="paragraph" w:customStyle="1" w:styleId="34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345">
    <w:name w:val="TOC 标题1"/>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character" w:customStyle="1" w:styleId="346">
    <w:name w:val="正文要点内容 Char Char"/>
    <w:link w:val="81"/>
    <w:qFormat/>
    <w:locked/>
    <w:uiPriority w:val="0"/>
    <w:rPr>
      <w:kern w:val="2"/>
      <w:sz w:val="21"/>
      <w:szCs w:val="21"/>
    </w:rPr>
  </w:style>
  <w:style w:type="paragraph" w:customStyle="1" w:styleId="347">
    <w:name w:val="样式 纯文本 + 行距: 固定值 20 磅"/>
    <w:basedOn w:val="26"/>
    <w:qFormat/>
    <w:uiPriority w:val="0"/>
    <w:pPr>
      <w:spacing w:line="400" w:lineRule="exact"/>
    </w:pPr>
    <w:rPr>
      <w:rFonts w:cs="宋体"/>
      <w:kern w:val="2"/>
      <w:szCs w:val="22"/>
    </w:rPr>
  </w:style>
  <w:style w:type="character" w:customStyle="1" w:styleId="348">
    <w:name w:val="标题 1.1 Char1"/>
    <w:qFormat/>
    <w:uiPriority w:val="0"/>
    <w:rPr>
      <w:rFonts w:ascii="Arial" w:hAnsi="Arial" w:eastAsia="黑体"/>
      <w:b/>
      <w:bCs/>
      <w:kern w:val="2"/>
      <w:sz w:val="32"/>
      <w:szCs w:val="32"/>
      <w:lang w:val="en-US" w:eastAsia="zh-CN" w:bidi="ar-SA"/>
    </w:rPr>
  </w:style>
  <w:style w:type="character" w:customStyle="1" w:styleId="349">
    <w:name w:val="javascript"/>
    <w:qFormat/>
    <w:uiPriority w:val="0"/>
  </w:style>
  <w:style w:type="paragraph" w:customStyle="1" w:styleId="350">
    <w:name w:val="节标题"/>
    <w:basedOn w:val="1"/>
    <w:next w:val="1"/>
    <w:qFormat/>
    <w:uiPriority w:val="0"/>
    <w:pPr>
      <w:widowControl/>
      <w:spacing w:line="289" w:lineRule="atLeast"/>
      <w:jc w:val="center"/>
      <w:textAlignment w:val="baseline"/>
    </w:pPr>
    <w:rPr>
      <w:color w:val="000000"/>
      <w:kern w:val="0"/>
      <w:sz w:val="28"/>
      <w:szCs w:val="20"/>
      <w:u w:color="000000"/>
    </w:rPr>
  </w:style>
  <w:style w:type="paragraph" w:customStyle="1" w:styleId="351">
    <w:name w:val="reader-word-layer reader-word-s1-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样式 首行缩进:  2 字符"/>
    <w:basedOn w:val="1"/>
    <w:qFormat/>
    <w:uiPriority w:val="0"/>
    <w:pPr>
      <w:ind w:firstLine="560"/>
    </w:pPr>
    <w:rPr>
      <w:rFonts w:eastAsia="仿宋_GB2312" w:cs="宋体"/>
      <w:sz w:val="24"/>
      <w:szCs w:val="22"/>
    </w:rPr>
  </w:style>
  <w:style w:type="paragraph" w:customStyle="1" w:styleId="353">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35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355">
    <w:name w:val="批注框文本 Char Char"/>
    <w:basedOn w:val="1"/>
    <w:link w:val="362"/>
    <w:qFormat/>
    <w:uiPriority w:val="0"/>
    <w:rPr>
      <w:rFonts w:ascii="宋体"/>
      <w:kern w:val="0"/>
      <w:sz w:val="18"/>
      <w:szCs w:val="18"/>
    </w:rPr>
  </w:style>
  <w:style w:type="paragraph" w:customStyle="1" w:styleId="356">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character" w:customStyle="1" w:styleId="357">
    <w:name w:val="引用 Char2"/>
    <w:qFormat/>
    <w:uiPriority w:val="29"/>
    <w:rPr>
      <w:rFonts w:ascii="Times New Roman" w:hAnsi="Times New Roman" w:eastAsia="宋体" w:cs="Times New Roman"/>
      <w:i/>
      <w:iCs/>
      <w:color w:val="000000"/>
      <w:szCs w:val="24"/>
    </w:rPr>
  </w:style>
  <w:style w:type="paragraph" w:customStyle="1" w:styleId="358">
    <w:name w:val="Char Char1"/>
    <w:basedOn w:val="16"/>
    <w:qFormat/>
    <w:uiPriority w:val="0"/>
    <w:rPr>
      <w:rFonts w:ascii="Calibri" w:hAnsi="Calibri"/>
      <w:szCs w:val="22"/>
    </w:rPr>
  </w:style>
  <w:style w:type="paragraph" w:customStyle="1" w:styleId="359">
    <w:name w:val="Char Char1 Char"/>
    <w:basedOn w:val="16"/>
    <w:qFormat/>
    <w:uiPriority w:val="0"/>
    <w:rPr>
      <w:rFonts w:ascii="Calibri" w:hAnsi="Calibri"/>
    </w:rPr>
  </w:style>
  <w:style w:type="character" w:customStyle="1" w:styleId="360">
    <w:name w:val="Char Char27"/>
    <w:qFormat/>
    <w:uiPriority w:val="0"/>
    <w:rPr>
      <w:rFonts w:ascii="Times New Roman" w:hAnsi="Times New Roman" w:eastAsia="宋体" w:cs="Times New Roman"/>
      <w:b/>
      <w:bCs/>
      <w:kern w:val="44"/>
      <w:sz w:val="44"/>
      <w:szCs w:val="44"/>
    </w:rPr>
  </w:style>
  <w:style w:type="paragraph" w:customStyle="1" w:styleId="361">
    <w:name w:val="明显引用1"/>
    <w:basedOn w:val="1"/>
    <w:next w:val="1"/>
    <w:link w:val="433"/>
    <w:qFormat/>
    <w:uiPriority w:val="0"/>
    <w:pPr>
      <w:pBdr>
        <w:bottom w:val="single" w:color="4F81BD" w:sz="4" w:space="4"/>
      </w:pBdr>
      <w:spacing w:before="200" w:after="280"/>
      <w:ind w:left="936" w:right="936"/>
    </w:pPr>
    <w:rPr>
      <w:b/>
      <w:i/>
      <w:color w:val="4F81BD"/>
      <w:kern w:val="0"/>
      <w:sz w:val="22"/>
      <w:szCs w:val="20"/>
    </w:rPr>
  </w:style>
  <w:style w:type="character" w:customStyle="1" w:styleId="362">
    <w:name w:val="批注框文本 Char Char Char Char Char"/>
    <w:link w:val="355"/>
    <w:qFormat/>
    <w:uiPriority w:val="0"/>
    <w:rPr>
      <w:rFonts w:ascii="宋体"/>
      <w:sz w:val="18"/>
      <w:szCs w:val="18"/>
    </w:rPr>
  </w:style>
  <w:style w:type="paragraph" w:customStyle="1" w:styleId="363">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364">
    <w:name w:val="Body Text Char"/>
    <w:qFormat/>
    <w:locked/>
    <w:uiPriority w:val="0"/>
    <w:rPr>
      <w:rFonts w:ascii="Times New Roman" w:hAnsi="Times New Roman" w:cs="Times New Roman"/>
      <w:sz w:val="24"/>
      <w:szCs w:val="24"/>
    </w:rPr>
  </w:style>
  <w:style w:type="character" w:customStyle="1" w:styleId="365">
    <w:name w:val="文档结构图 字符"/>
    <w:link w:val="16"/>
    <w:qFormat/>
    <w:uiPriority w:val="99"/>
    <w:rPr>
      <w:kern w:val="2"/>
      <w:sz w:val="21"/>
      <w:szCs w:val="24"/>
      <w:shd w:val="clear" w:color="auto" w:fill="000080"/>
    </w:rPr>
  </w:style>
  <w:style w:type="character" w:customStyle="1" w:styleId="366">
    <w:name w:val="Char Char171"/>
    <w:qFormat/>
    <w:uiPriority w:val="0"/>
    <w:rPr>
      <w:rFonts w:ascii="Cambria" w:hAnsi="Cambria" w:eastAsia="宋体" w:cs="Times New Roman"/>
      <w:b/>
      <w:bCs/>
      <w:kern w:val="2"/>
      <w:sz w:val="32"/>
      <w:szCs w:val="32"/>
    </w:rPr>
  </w:style>
  <w:style w:type="character" w:customStyle="1" w:styleId="367">
    <w:name w:val="脚注文本 字符"/>
    <w:link w:val="37"/>
    <w:qFormat/>
    <w:uiPriority w:val="0"/>
    <w:rPr>
      <w:rFonts w:ascii="Calibri" w:hAnsi="Calibri"/>
      <w:kern w:val="2"/>
      <w:sz w:val="21"/>
      <w:szCs w:val="22"/>
    </w:rPr>
  </w:style>
  <w:style w:type="character" w:customStyle="1" w:styleId="368">
    <w:name w:val="明显参考3"/>
    <w:qFormat/>
    <w:uiPriority w:val="99"/>
    <w:rPr>
      <w:b/>
      <w:bCs/>
      <w:smallCaps/>
      <w:color w:val="C0504D"/>
      <w:spacing w:val="5"/>
      <w:u w:val="single"/>
    </w:rPr>
  </w:style>
  <w:style w:type="character" w:customStyle="1" w:styleId="369">
    <w:name w:val="正文首行缩进 Char"/>
    <w:qFormat/>
    <w:uiPriority w:val="0"/>
    <w:rPr>
      <w:rFonts w:eastAsia="宋体"/>
      <w:szCs w:val="24"/>
    </w:rPr>
  </w:style>
  <w:style w:type="character" w:customStyle="1" w:styleId="370">
    <w:name w:val="Char Char301"/>
    <w:qFormat/>
    <w:uiPriority w:val="0"/>
    <w:rPr>
      <w:rFonts w:ascii="Arial" w:hAnsi="Arial" w:eastAsia="黑体"/>
      <w:b/>
      <w:bCs/>
      <w:kern w:val="2"/>
      <w:sz w:val="32"/>
      <w:szCs w:val="32"/>
      <w:lang w:val="en-US" w:eastAsia="zh-CN" w:bidi="ar-SA"/>
    </w:rPr>
  </w:style>
  <w:style w:type="paragraph" w:customStyle="1" w:styleId="371">
    <w:name w:val="文本块1"/>
    <w:basedOn w:val="1"/>
    <w:next w:val="1"/>
    <w:qFormat/>
    <w:uiPriority w:val="0"/>
    <w:rPr>
      <w:i/>
      <w:iCs/>
      <w:color w:val="000000"/>
      <w:szCs w:val="22"/>
    </w:rPr>
  </w:style>
  <w:style w:type="paragraph" w:customStyle="1" w:styleId="372">
    <w:name w:val="样式3"/>
    <w:basedOn w:val="5"/>
    <w:qFormat/>
    <w:uiPriority w:val="0"/>
    <w:pPr>
      <w:spacing w:line="415" w:lineRule="auto"/>
    </w:pPr>
    <w:rPr>
      <w:rFonts w:eastAsia="Arial"/>
    </w:rPr>
  </w:style>
  <w:style w:type="character" w:customStyle="1" w:styleId="373">
    <w:name w:val="Char Char72"/>
    <w:qFormat/>
    <w:uiPriority w:val="0"/>
    <w:rPr>
      <w:rFonts w:ascii="Arial" w:hAnsi="Arial" w:eastAsia="黑体"/>
      <w:b/>
      <w:bCs/>
      <w:kern w:val="2"/>
      <w:sz w:val="32"/>
      <w:szCs w:val="32"/>
      <w:lang w:val="en-US" w:eastAsia="zh-CN" w:bidi="ar-SA"/>
    </w:rPr>
  </w:style>
  <w:style w:type="paragraph" w:customStyle="1" w:styleId="37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character" w:customStyle="1" w:styleId="375">
    <w:name w:val="标题5 Char Char"/>
    <w:link w:val="277"/>
    <w:qFormat/>
    <w:locked/>
    <w:uiPriority w:val="99"/>
    <w:rPr>
      <w:rFonts w:ascii="Arial" w:hAnsi="Arial"/>
      <w:b/>
      <w:sz w:val="32"/>
    </w:rPr>
  </w:style>
  <w:style w:type="paragraph" w:customStyle="1" w:styleId="376">
    <w:name w:val="TOC 标题12"/>
    <w:basedOn w:val="3"/>
    <w:next w:val="1"/>
    <w:qFormat/>
    <w:uiPriority w:val="0"/>
    <w:pPr>
      <w:spacing w:before="100" w:after="100" w:line="576" w:lineRule="auto"/>
      <w:jc w:val="center"/>
      <w:outlineLvl w:val="9"/>
    </w:pPr>
    <w:rPr>
      <w:sz w:val="36"/>
    </w:rPr>
  </w:style>
  <w:style w:type="character" w:customStyle="1" w:styleId="377">
    <w:name w:val="日期 Char1"/>
    <w:qFormat/>
    <w:uiPriority w:val="0"/>
    <w:rPr>
      <w:kern w:val="2"/>
      <w:sz w:val="21"/>
      <w:szCs w:val="22"/>
    </w:rPr>
  </w:style>
  <w:style w:type="character" w:customStyle="1" w:styleId="378">
    <w:name w:val="不明显强调11"/>
    <w:qFormat/>
    <w:uiPriority w:val="0"/>
    <w:rPr>
      <w:i/>
      <w:color w:val="808080"/>
    </w:rPr>
  </w:style>
  <w:style w:type="paragraph" w:customStyle="1" w:styleId="37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380">
    <w:name w:val="reader-word-layer reader-word-s16-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81">
    <w:name w:val="l-1级节标题"/>
    <w:next w:val="1"/>
    <w:qFormat/>
    <w:uiPriority w:val="0"/>
    <w:pPr>
      <w:keepNext/>
      <w:keepLines/>
      <w:numPr>
        <w:ilvl w:val="1"/>
        <w:numId w:val="1"/>
      </w:numPr>
      <w:spacing w:before="120" w:after="120" w:line="360" w:lineRule="auto"/>
      <w:outlineLvl w:val="1"/>
    </w:pPr>
    <w:rPr>
      <w:rFonts w:ascii="宋体" w:hAnsi="宋体" w:eastAsiaTheme="minorEastAsia" w:cstheme="minorBidi"/>
      <w:b/>
      <w:kern w:val="2"/>
      <w:sz w:val="30"/>
      <w:szCs w:val="28"/>
      <w:lang w:val="en-US" w:eastAsia="en-US" w:bidi="en-US"/>
    </w:rPr>
  </w:style>
  <w:style w:type="paragraph" w:customStyle="1" w:styleId="382">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383">
    <w:name w:val="xl34"/>
    <w:basedOn w:val="1"/>
    <w:qFormat/>
    <w:uiPriority w:val="0"/>
    <w:pPr>
      <w:widowControl/>
      <w:pBdr>
        <w:top w:val="single" w:color="auto" w:sz="4" w:space="0"/>
        <w:bottom w:val="single" w:color="auto" w:sz="4" w:space="0"/>
      </w:pBdr>
      <w:spacing w:before="100" w:beforeAutospacing="1" w:after="100" w:afterAutospacing="1"/>
      <w:jc w:val="left"/>
    </w:pPr>
    <w:rPr>
      <w:b/>
      <w:bCs/>
      <w:kern w:val="0"/>
      <w:sz w:val="20"/>
      <w:szCs w:val="20"/>
    </w:rPr>
  </w:style>
  <w:style w:type="paragraph" w:customStyle="1" w:styleId="384">
    <w:name w:val="Char31"/>
    <w:basedOn w:val="1"/>
    <w:qFormat/>
    <w:uiPriority w:val="0"/>
    <w:pPr>
      <w:tabs>
        <w:tab w:val="left" w:pos="360"/>
      </w:tabs>
    </w:pPr>
    <w:rPr>
      <w:sz w:val="24"/>
    </w:rPr>
  </w:style>
  <w:style w:type="character" w:customStyle="1" w:styleId="385">
    <w:name w:val="页眉 Char1"/>
    <w:qFormat/>
    <w:uiPriority w:val="0"/>
    <w:rPr>
      <w:kern w:val="2"/>
      <w:sz w:val="18"/>
      <w:szCs w:val="18"/>
    </w:rPr>
  </w:style>
  <w:style w:type="paragraph" w:customStyle="1" w:styleId="386">
    <w:name w:val="批注主题2"/>
    <w:basedOn w:val="17"/>
    <w:next w:val="17"/>
    <w:qFormat/>
    <w:uiPriority w:val="0"/>
    <w:rPr>
      <w:rFonts w:ascii="宋体" w:hAnsi="Calibri"/>
      <w:b/>
      <w:bCs/>
      <w:kern w:val="0"/>
      <w:sz w:val="28"/>
      <w:szCs w:val="20"/>
    </w:rPr>
  </w:style>
  <w:style w:type="paragraph" w:customStyle="1" w:styleId="387">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388">
    <w:name w:val="TOC 标题3"/>
    <w:basedOn w:val="3"/>
    <w:next w:val="1"/>
    <w:qFormat/>
    <w:uiPriority w:val="39"/>
    <w:pPr>
      <w:widowControl/>
      <w:spacing w:before="480" w:after="0" w:line="276" w:lineRule="auto"/>
      <w:jc w:val="left"/>
      <w:outlineLvl w:val="9"/>
    </w:pPr>
    <w:rPr>
      <w:rFonts w:ascii="Cambria" w:hAnsi="Cambria" w:cs="Cambria"/>
      <w:color w:val="365F91"/>
      <w:kern w:val="0"/>
      <w:sz w:val="28"/>
      <w:szCs w:val="28"/>
    </w:rPr>
  </w:style>
  <w:style w:type="character" w:customStyle="1" w:styleId="389">
    <w:name w:val="标题 5 字符"/>
    <w:link w:val="7"/>
    <w:qFormat/>
    <w:uiPriority w:val="0"/>
    <w:rPr>
      <w:b/>
      <w:bCs/>
      <w:kern w:val="2"/>
      <w:sz w:val="28"/>
      <w:szCs w:val="28"/>
    </w:rPr>
  </w:style>
  <w:style w:type="character" w:customStyle="1" w:styleId="390">
    <w:name w:val="Char Char8"/>
    <w:qFormat/>
    <w:uiPriority w:val="0"/>
    <w:rPr>
      <w:rFonts w:ascii="Arial" w:hAnsi="Arial" w:eastAsia="黑体"/>
      <w:b/>
      <w:bCs/>
      <w:kern w:val="2"/>
      <w:sz w:val="32"/>
      <w:szCs w:val="32"/>
      <w:lang w:val="en-US" w:eastAsia="zh-CN" w:bidi="ar-SA"/>
    </w:rPr>
  </w:style>
  <w:style w:type="paragraph" w:customStyle="1" w:styleId="391">
    <w:name w:val="Char Char28"/>
    <w:basedOn w:val="16"/>
    <w:qFormat/>
    <w:uiPriority w:val="0"/>
    <w:rPr>
      <w:rFonts w:ascii="Calibri" w:hAnsi="Calibri"/>
    </w:rPr>
  </w:style>
  <w:style w:type="character" w:customStyle="1" w:styleId="392">
    <w:name w:val="不明显参考1"/>
    <w:qFormat/>
    <w:uiPriority w:val="0"/>
    <w:rPr>
      <w:smallCaps/>
      <w:color w:val="C0504D"/>
      <w:u w:val="single"/>
    </w:rPr>
  </w:style>
  <w:style w:type="paragraph" w:customStyle="1" w:styleId="393">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394">
    <w:name w:val="标题 8 字符"/>
    <w:link w:val="10"/>
    <w:qFormat/>
    <w:uiPriority w:val="0"/>
    <w:rPr>
      <w:rFonts w:ascii="Arial" w:hAnsi="Arial" w:eastAsia="黑体"/>
      <w:sz w:val="24"/>
      <w:szCs w:val="24"/>
    </w:rPr>
  </w:style>
  <w:style w:type="paragraph" w:customStyle="1" w:styleId="395">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character" w:customStyle="1" w:styleId="396">
    <w:name w:val="标题 3 Char"/>
    <w:qFormat/>
    <w:uiPriority w:val="0"/>
    <w:rPr>
      <w:rFonts w:eastAsia="宋体"/>
      <w:b/>
      <w:bCs/>
      <w:kern w:val="2"/>
      <w:sz w:val="32"/>
      <w:szCs w:val="32"/>
      <w:lang w:val="en-US" w:eastAsia="zh-CN" w:bidi="ar-SA"/>
    </w:rPr>
  </w:style>
  <w:style w:type="paragraph" w:customStyle="1" w:styleId="397">
    <w:name w:val="Char12"/>
    <w:basedOn w:val="16"/>
    <w:qFormat/>
    <w:uiPriority w:val="0"/>
    <w:rPr>
      <w:rFonts w:ascii="Calibri" w:hAnsi="Calibri"/>
      <w:szCs w:val="22"/>
    </w:rPr>
  </w:style>
  <w:style w:type="paragraph" w:customStyle="1" w:styleId="398">
    <w:name w:val="Char13"/>
    <w:basedOn w:val="16"/>
    <w:qFormat/>
    <w:uiPriority w:val="0"/>
    <w:rPr>
      <w:rFonts w:ascii="Calibri" w:hAnsi="Calibri"/>
      <w:szCs w:val="22"/>
    </w:rPr>
  </w:style>
  <w:style w:type="character" w:customStyle="1" w:styleId="399">
    <w:name w:val="Char Char172"/>
    <w:qFormat/>
    <w:uiPriority w:val="0"/>
    <w:rPr>
      <w:rFonts w:ascii="Cambria" w:hAnsi="Cambria" w:eastAsia="宋体" w:cs="Times New Roman"/>
      <w:b/>
      <w:bCs/>
      <w:kern w:val="2"/>
      <w:sz w:val="32"/>
      <w:szCs w:val="32"/>
    </w:rPr>
  </w:style>
  <w:style w:type="character" w:customStyle="1" w:styleId="400">
    <w:name w:val="正文缩进 Char"/>
    <w:qFormat/>
    <w:uiPriority w:val="0"/>
    <w:rPr>
      <w:kern w:val="2"/>
      <w:sz w:val="21"/>
      <w:szCs w:val="21"/>
    </w:rPr>
  </w:style>
  <w:style w:type="paragraph" w:customStyle="1" w:styleId="401">
    <w:name w:val="样式 标题 3h3Level 3 HeadH3Heading 3 - oldlevel_3PIM 3BOD 0s..."/>
    <w:basedOn w:val="5"/>
    <w:qFormat/>
    <w:uiPriority w:val="0"/>
    <w:pPr>
      <w:tabs>
        <w:tab w:val="left" w:pos="0"/>
      </w:tabs>
      <w:adjustRightInd w:val="0"/>
      <w:spacing w:before="0" w:after="0" w:line="500" w:lineRule="exact"/>
      <w:textAlignment w:val="baseline"/>
    </w:pPr>
    <w:rPr>
      <w:kern w:val="0"/>
      <w:sz w:val="28"/>
      <w:szCs w:val="28"/>
    </w:rPr>
  </w:style>
  <w:style w:type="paragraph" w:customStyle="1" w:styleId="402">
    <w:name w:val="xl30"/>
    <w:basedOn w:val="1"/>
    <w:qFormat/>
    <w:uiPriority w:val="0"/>
    <w:pPr>
      <w:widowControl/>
      <w:spacing w:before="100" w:beforeAutospacing="1" w:after="100" w:afterAutospacing="1"/>
      <w:jc w:val="left"/>
    </w:pPr>
    <w:rPr>
      <w:rFonts w:ascii="黑体" w:hAnsi="宋体" w:eastAsia="黑体" w:cs="宋体"/>
      <w:b/>
      <w:bCs/>
      <w:kern w:val="0"/>
      <w:sz w:val="18"/>
      <w:szCs w:val="18"/>
    </w:rPr>
  </w:style>
  <w:style w:type="character" w:customStyle="1" w:styleId="403">
    <w:name w:val="Body Text Indent Char"/>
    <w:qFormat/>
    <w:locked/>
    <w:uiPriority w:val="0"/>
    <w:rPr>
      <w:rFonts w:ascii="仿宋_GB2312" w:hAnsi="Times New Roman" w:eastAsia="仿宋_GB2312" w:cs="仿宋_GB2312"/>
      <w:sz w:val="32"/>
      <w:szCs w:val="32"/>
    </w:rPr>
  </w:style>
  <w:style w:type="character" w:customStyle="1" w:styleId="404">
    <w:name w:val="正文文本 Char1"/>
    <w:qFormat/>
    <w:uiPriority w:val="0"/>
    <w:rPr>
      <w:kern w:val="2"/>
      <w:sz w:val="22"/>
    </w:rPr>
  </w:style>
  <w:style w:type="character" w:customStyle="1" w:styleId="405">
    <w:name w:val="脚注文本 Char1"/>
    <w:semiHidden/>
    <w:qFormat/>
    <w:uiPriority w:val="99"/>
    <w:rPr>
      <w:rFonts w:ascii="Times New Roman" w:hAnsi="Times New Roman" w:eastAsia="宋体" w:cs="Times New Roman"/>
      <w:sz w:val="18"/>
      <w:szCs w:val="18"/>
    </w:rPr>
  </w:style>
  <w:style w:type="character" w:customStyle="1" w:styleId="406">
    <w:name w:val="Char Char92"/>
    <w:qFormat/>
    <w:uiPriority w:val="0"/>
    <w:rPr>
      <w:kern w:val="2"/>
      <w:sz w:val="21"/>
      <w:szCs w:val="22"/>
    </w:rPr>
  </w:style>
  <w:style w:type="paragraph" w:customStyle="1" w:styleId="407">
    <w:name w:val="章标题"/>
    <w:basedOn w:val="1"/>
    <w:next w:val="1"/>
    <w:qFormat/>
    <w:uiPriority w:val="0"/>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408">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409">
    <w:name w:val="默认段落字体 Para Char Char Char Char Char Char Char Char Char Char"/>
    <w:basedOn w:val="1"/>
    <w:qFormat/>
    <w:uiPriority w:val="0"/>
    <w:rPr>
      <w:rFonts w:ascii="Tahoma" w:hAnsi="Tahoma" w:cs="Tahoma"/>
      <w:sz w:val="24"/>
    </w:rPr>
  </w:style>
  <w:style w:type="paragraph" w:customStyle="1" w:styleId="410">
    <w:name w:val="_Style 6"/>
    <w:basedOn w:val="3"/>
    <w:next w:val="1"/>
    <w:qFormat/>
    <w:uiPriority w:val="0"/>
    <w:pPr>
      <w:spacing w:before="100" w:after="100" w:line="576" w:lineRule="auto"/>
      <w:jc w:val="center"/>
      <w:outlineLvl w:val="9"/>
    </w:pPr>
    <w:rPr>
      <w:sz w:val="36"/>
    </w:rPr>
  </w:style>
  <w:style w:type="paragraph" w:customStyle="1" w:styleId="411">
    <w:name w:val="font11"/>
    <w:basedOn w:val="1"/>
    <w:qFormat/>
    <w:uiPriority w:val="0"/>
    <w:pPr>
      <w:widowControl/>
      <w:spacing w:before="100" w:beforeAutospacing="1" w:after="100" w:afterAutospacing="1"/>
      <w:jc w:val="left"/>
    </w:pPr>
    <w:rPr>
      <w:b/>
      <w:bCs/>
      <w:kern w:val="0"/>
      <w:sz w:val="20"/>
      <w:szCs w:val="20"/>
    </w:rPr>
  </w:style>
  <w:style w:type="character" w:customStyle="1" w:styleId="412">
    <w:name w:val="不明显强调2"/>
    <w:qFormat/>
    <w:uiPriority w:val="0"/>
    <w:rPr>
      <w:i/>
      <w:iCs/>
      <w:color w:val="808080"/>
    </w:rPr>
  </w:style>
  <w:style w:type="character" w:customStyle="1" w:styleId="413">
    <w:name w:val="正文文本缩进 2 Char"/>
    <w:qFormat/>
    <w:locked/>
    <w:uiPriority w:val="99"/>
    <w:rPr>
      <w:rFonts w:eastAsia="宋体"/>
      <w:sz w:val="28"/>
      <w:szCs w:val="24"/>
    </w:rPr>
  </w:style>
  <w:style w:type="character" w:customStyle="1" w:styleId="414">
    <w:name w:val="HTML 预设格式 字符"/>
    <w:link w:val="46"/>
    <w:qFormat/>
    <w:uiPriority w:val="0"/>
    <w:rPr>
      <w:rFonts w:ascii="Courier New" w:hAnsi="Courier New" w:cs="Courier New"/>
      <w:lang w:eastAsia="en-US"/>
    </w:rPr>
  </w:style>
  <w:style w:type="character" w:customStyle="1" w:styleId="415">
    <w:name w:val="t-link"/>
    <w:qFormat/>
    <w:uiPriority w:val="0"/>
  </w:style>
  <w:style w:type="paragraph" w:customStyle="1" w:styleId="416">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character" w:customStyle="1" w:styleId="417">
    <w:name w:val="书籍标题11"/>
    <w:qFormat/>
    <w:uiPriority w:val="0"/>
    <w:rPr>
      <w:b/>
      <w:smallCaps/>
      <w:spacing w:val="5"/>
    </w:rPr>
  </w:style>
  <w:style w:type="paragraph" w:customStyle="1" w:styleId="418">
    <w:name w:val="Char3"/>
    <w:basedOn w:val="1"/>
    <w:qFormat/>
    <w:uiPriority w:val="0"/>
    <w:pPr>
      <w:tabs>
        <w:tab w:val="left" w:pos="360"/>
      </w:tabs>
    </w:pPr>
    <w:rPr>
      <w:sz w:val="24"/>
    </w:rPr>
  </w:style>
  <w:style w:type="paragraph" w:customStyle="1" w:styleId="41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42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21">
    <w:name w:val="日期11"/>
    <w:basedOn w:val="1"/>
    <w:next w:val="1"/>
    <w:qFormat/>
    <w:uiPriority w:val="0"/>
    <w:pPr>
      <w:ind w:left="100" w:leftChars="2500"/>
    </w:pPr>
    <w:rPr>
      <w:rFonts w:ascii="宋体"/>
      <w:kern w:val="0"/>
      <w:sz w:val="28"/>
      <w:szCs w:val="20"/>
    </w:rPr>
  </w:style>
  <w:style w:type="character" w:customStyle="1" w:styleId="422">
    <w:name w:val="Char Char Char3"/>
    <w:qFormat/>
    <w:uiPriority w:val="0"/>
    <w:rPr>
      <w:rFonts w:eastAsia="宋体"/>
      <w:b/>
      <w:bCs/>
      <w:kern w:val="44"/>
      <w:sz w:val="44"/>
      <w:szCs w:val="44"/>
      <w:lang w:val="en-US" w:eastAsia="zh-CN" w:bidi="ar-SA"/>
    </w:rPr>
  </w:style>
  <w:style w:type="paragraph" w:customStyle="1" w:styleId="42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24">
    <w:name w:val="明显引用12"/>
    <w:basedOn w:val="1"/>
    <w:next w:val="1"/>
    <w:qFormat/>
    <w:uiPriority w:val="0"/>
    <w:pPr>
      <w:pBdr>
        <w:bottom w:val="single" w:color="4F81BD" w:sz="4" w:space="4"/>
      </w:pBdr>
      <w:spacing w:before="200" w:after="280"/>
      <w:ind w:left="936" w:right="936"/>
    </w:pPr>
    <w:rPr>
      <w:b/>
      <w:bCs/>
      <w:i/>
      <w:iCs/>
      <w:color w:val="4F81BD"/>
      <w:szCs w:val="22"/>
    </w:rPr>
  </w:style>
  <w:style w:type="character" w:customStyle="1" w:styleId="425">
    <w:name w:val="正文文本首行缩进 字符1"/>
    <w:qFormat/>
    <w:uiPriority w:val="0"/>
    <w:rPr>
      <w:kern w:val="2"/>
      <w:sz w:val="21"/>
      <w:szCs w:val="24"/>
    </w:rPr>
  </w:style>
  <w:style w:type="character" w:customStyle="1" w:styleId="426">
    <w:name w:val="不明显强调21"/>
    <w:qFormat/>
    <w:uiPriority w:val="0"/>
    <w:rPr>
      <w:i/>
      <w:color w:val="808080"/>
    </w:rPr>
  </w:style>
  <w:style w:type="paragraph" w:customStyle="1" w:styleId="427">
    <w:name w:val="修订11"/>
    <w:qFormat/>
    <w:uiPriority w:val="0"/>
    <w:rPr>
      <w:rFonts w:asciiTheme="minorHAnsi" w:hAnsiTheme="minorHAnsi" w:eastAsiaTheme="minorEastAsia" w:cstheme="minorBidi"/>
      <w:kern w:val="2"/>
      <w:sz w:val="21"/>
      <w:szCs w:val="24"/>
      <w:lang w:val="en-US" w:eastAsia="zh-CN" w:bidi="ar-SA"/>
    </w:rPr>
  </w:style>
  <w:style w:type="paragraph" w:customStyle="1" w:styleId="428">
    <w:name w:val="样式1"/>
    <w:basedOn w:val="1"/>
    <w:link w:val="479"/>
    <w:qFormat/>
    <w:uiPriority w:val="0"/>
    <w:pPr>
      <w:tabs>
        <w:tab w:val="left" w:pos="1674"/>
      </w:tabs>
      <w:adjustRightInd w:val="0"/>
      <w:ind w:left="1674" w:hanging="1125"/>
      <w:textAlignment w:val="baseline"/>
    </w:pPr>
    <w:rPr>
      <w:rFonts w:ascii="宋体" w:hAnsi="宋体"/>
      <w:kern w:val="0"/>
      <w:szCs w:val="21"/>
    </w:rPr>
  </w:style>
  <w:style w:type="character" w:customStyle="1" w:styleId="429">
    <w:name w:val="Comment Text Char"/>
    <w:qFormat/>
    <w:locked/>
    <w:uiPriority w:val="0"/>
    <w:rPr>
      <w:kern w:val="2"/>
      <w:sz w:val="22"/>
    </w:rPr>
  </w:style>
  <w:style w:type="character" w:customStyle="1" w:styleId="430">
    <w:name w:val="Char Char22"/>
    <w:qFormat/>
    <w:uiPriority w:val="0"/>
    <w:rPr>
      <w:rFonts w:ascii="Arial" w:hAnsi="Arial" w:eastAsia="黑体" w:cs="Times New Roman"/>
      <w:b/>
      <w:bCs/>
      <w:kern w:val="0"/>
      <w:sz w:val="24"/>
      <w:szCs w:val="24"/>
    </w:rPr>
  </w:style>
  <w:style w:type="character" w:customStyle="1" w:styleId="431">
    <w:name w:val="标题 1 Char"/>
    <w:qFormat/>
    <w:uiPriority w:val="0"/>
    <w:rPr>
      <w:rFonts w:eastAsia="宋体"/>
      <w:b/>
      <w:bCs/>
      <w:kern w:val="44"/>
      <w:sz w:val="44"/>
      <w:szCs w:val="44"/>
      <w:lang w:val="en-US" w:eastAsia="zh-CN" w:bidi="ar-SA"/>
    </w:rPr>
  </w:style>
  <w:style w:type="character" w:customStyle="1" w:styleId="432">
    <w:name w:val="明显引用 Char1"/>
    <w:qFormat/>
    <w:uiPriority w:val="0"/>
    <w:rPr>
      <w:rFonts w:ascii="Times New Roman" w:hAnsi="Times New Roman" w:eastAsia="宋体" w:cs="Times New Roman"/>
      <w:b/>
      <w:bCs/>
      <w:i/>
      <w:iCs/>
      <w:color w:val="4F81BD"/>
      <w:szCs w:val="24"/>
    </w:rPr>
  </w:style>
  <w:style w:type="character" w:customStyle="1" w:styleId="433">
    <w:name w:val="Intense Quote Char"/>
    <w:link w:val="361"/>
    <w:qFormat/>
    <w:locked/>
    <w:uiPriority w:val="0"/>
    <w:rPr>
      <w:b/>
      <w:i/>
      <w:color w:val="4F81BD"/>
      <w:sz w:val="22"/>
    </w:rPr>
  </w:style>
  <w:style w:type="character" w:customStyle="1" w:styleId="434">
    <w:name w:val="列表段落 字符"/>
    <w:link w:val="214"/>
    <w:qFormat/>
    <w:uiPriority w:val="0"/>
    <w:rPr>
      <w:kern w:val="2"/>
      <w:sz w:val="21"/>
      <w:szCs w:val="21"/>
    </w:rPr>
  </w:style>
  <w:style w:type="paragraph" w:customStyle="1" w:styleId="435">
    <w:name w:val="正文文字3"/>
    <w:basedOn w:val="19"/>
    <w:qFormat/>
    <w:uiPriority w:val="0"/>
    <w:pPr>
      <w:adjustRightInd w:val="0"/>
      <w:spacing w:after="0" w:line="360" w:lineRule="atLeast"/>
      <w:ind w:left="72" w:leftChars="30" w:right="72" w:rightChars="30"/>
      <w:jc w:val="center"/>
      <w:textAlignment w:val="baseline"/>
    </w:pPr>
    <w:rPr>
      <w:rFonts w:ascii="宋体" w:hAnsi="宋体"/>
      <w:color w:val="000000"/>
      <w:sz w:val="20"/>
      <w:szCs w:val="20"/>
    </w:rPr>
  </w:style>
  <w:style w:type="character" w:customStyle="1" w:styleId="436">
    <w:name w:val="批注文字 Char Char"/>
    <w:qFormat/>
    <w:uiPriority w:val="0"/>
    <w:rPr>
      <w:rFonts w:ascii="宋体" w:hAnsi="Times New Roman" w:eastAsia="宋体"/>
      <w:sz w:val="20"/>
    </w:rPr>
  </w:style>
  <w:style w:type="character" w:customStyle="1" w:styleId="437">
    <w:name w:val="正文文本缩进 3 Char1"/>
    <w:qFormat/>
    <w:uiPriority w:val="0"/>
    <w:rPr>
      <w:rFonts w:ascii="Times New Roman" w:hAnsi="Times New Roman" w:eastAsia="宋体" w:cs="Times New Roman"/>
      <w:sz w:val="16"/>
      <w:szCs w:val="16"/>
    </w:rPr>
  </w:style>
  <w:style w:type="character" w:customStyle="1" w:styleId="438">
    <w:name w:val="Char Char21"/>
    <w:qFormat/>
    <w:uiPriority w:val="0"/>
    <w:rPr>
      <w:rFonts w:eastAsia="宋体"/>
      <w:kern w:val="2"/>
      <w:sz w:val="21"/>
      <w:szCs w:val="24"/>
      <w:lang w:val="en-US" w:eastAsia="zh-CN" w:bidi="ar-SA"/>
    </w:rPr>
  </w:style>
  <w:style w:type="character" w:customStyle="1" w:styleId="439">
    <w:name w:val="批注主题 Char Char"/>
    <w:qFormat/>
    <w:uiPriority w:val="0"/>
    <w:rPr>
      <w:rFonts w:ascii="宋体"/>
      <w:b/>
      <w:bCs/>
      <w:sz w:val="28"/>
      <w:lang w:bidi="ar-SA"/>
    </w:rPr>
  </w:style>
  <w:style w:type="character" w:customStyle="1" w:styleId="440">
    <w:name w:val="正文文本 Char"/>
    <w:qFormat/>
    <w:locked/>
    <w:uiPriority w:val="99"/>
    <w:rPr>
      <w:rFonts w:eastAsia="宋体"/>
      <w:kern w:val="2"/>
      <w:sz w:val="24"/>
      <w:lang w:val="en-US" w:eastAsia="zh-CN" w:bidi="ar-SA"/>
    </w:rPr>
  </w:style>
  <w:style w:type="character" w:customStyle="1" w:styleId="441">
    <w:name w:val="明显引用 Char2"/>
    <w:qFormat/>
    <w:uiPriority w:val="30"/>
    <w:rPr>
      <w:rFonts w:ascii="Times New Roman" w:hAnsi="Times New Roman" w:eastAsia="宋体" w:cs="Times New Roman"/>
      <w:b/>
      <w:bCs/>
      <w:i/>
      <w:iCs/>
      <w:color w:val="4F81BD"/>
      <w:szCs w:val="24"/>
    </w:rPr>
  </w:style>
  <w:style w:type="character" w:customStyle="1" w:styleId="442">
    <w:name w:val="纯文本 字符"/>
    <w:link w:val="26"/>
    <w:qFormat/>
    <w:uiPriority w:val="0"/>
    <w:rPr>
      <w:rFonts w:ascii="宋体" w:hAnsi="Courier New"/>
      <w:sz w:val="21"/>
      <w:szCs w:val="21"/>
    </w:rPr>
  </w:style>
  <w:style w:type="paragraph" w:customStyle="1" w:styleId="443">
    <w:name w:val="索引 42"/>
    <w:basedOn w:val="1"/>
    <w:next w:val="1"/>
    <w:qFormat/>
    <w:uiPriority w:val="0"/>
    <w:pPr>
      <w:ind w:left="600" w:leftChars="600"/>
    </w:pPr>
  </w:style>
  <w:style w:type="paragraph" w:customStyle="1" w:styleId="444">
    <w:name w:val="修订12"/>
    <w:qFormat/>
    <w:uiPriority w:val="0"/>
    <w:rPr>
      <w:rFonts w:asciiTheme="minorHAnsi" w:hAnsiTheme="minorHAnsi" w:eastAsiaTheme="minorEastAsia" w:cstheme="minorBidi"/>
      <w:kern w:val="2"/>
      <w:sz w:val="21"/>
      <w:szCs w:val="24"/>
      <w:lang w:val="en-US" w:eastAsia="zh-CN" w:bidi="ar-SA"/>
    </w:rPr>
  </w:style>
  <w:style w:type="character" w:customStyle="1" w:styleId="445">
    <w:name w:val="Char Char15"/>
    <w:qFormat/>
    <w:uiPriority w:val="0"/>
    <w:rPr>
      <w:rFonts w:ascii="Arial" w:hAnsi="Arial" w:eastAsia="黑体"/>
      <w:b/>
      <w:bCs/>
      <w:kern w:val="2"/>
      <w:sz w:val="32"/>
      <w:szCs w:val="32"/>
      <w:lang w:val="en-US" w:eastAsia="zh-CN" w:bidi="ar-SA"/>
    </w:rPr>
  </w:style>
  <w:style w:type="paragraph" w:customStyle="1" w:styleId="446">
    <w:name w:val="！正文"/>
    <w:basedOn w:val="1"/>
    <w:qFormat/>
    <w:uiPriority w:val="0"/>
    <w:pPr>
      <w:spacing w:line="360" w:lineRule="auto"/>
      <w:ind w:firstLine="560" w:firstLineChars="200"/>
    </w:pPr>
    <w:rPr>
      <w:sz w:val="28"/>
      <w:szCs w:val="28"/>
    </w:rPr>
  </w:style>
  <w:style w:type="paragraph" w:customStyle="1" w:styleId="447">
    <w:name w:val="xl32"/>
    <w:basedOn w:val="1"/>
    <w:qFormat/>
    <w:uiPriority w:val="0"/>
    <w:pPr>
      <w:widowControl/>
      <w:pBdr>
        <w:top w:val="single" w:color="auto" w:sz="4" w:space="0"/>
        <w:bottom w:val="single" w:color="auto" w:sz="4" w:space="0"/>
      </w:pBdr>
      <w:spacing w:before="100" w:beforeAutospacing="1" w:after="100" w:afterAutospacing="1"/>
      <w:jc w:val="left"/>
    </w:pPr>
    <w:rPr>
      <w:kern w:val="0"/>
      <w:sz w:val="20"/>
      <w:szCs w:val="20"/>
    </w:rPr>
  </w:style>
  <w:style w:type="character" w:customStyle="1" w:styleId="448">
    <w:name w:val="font161"/>
    <w:qFormat/>
    <w:uiPriority w:val="0"/>
    <w:rPr>
      <w:b/>
      <w:bCs/>
      <w:sz w:val="32"/>
      <w:szCs w:val="32"/>
    </w:rPr>
  </w:style>
  <w:style w:type="character" w:customStyle="1" w:styleId="449">
    <w:name w:val="Blockquote Char"/>
    <w:qFormat/>
    <w:locked/>
    <w:uiPriority w:val="0"/>
    <w:rPr>
      <w:sz w:val="24"/>
    </w:rPr>
  </w:style>
  <w:style w:type="character" w:customStyle="1" w:styleId="450">
    <w:name w:val="标题 2 Char Char"/>
    <w:qFormat/>
    <w:uiPriority w:val="0"/>
    <w:rPr>
      <w:rFonts w:ascii="Arial" w:hAnsi="Arial" w:eastAsia="黑体"/>
      <w:b/>
      <w:bCs/>
      <w:kern w:val="2"/>
      <w:sz w:val="32"/>
      <w:szCs w:val="32"/>
      <w:lang w:val="en-US" w:eastAsia="zh-CN" w:bidi="ar-SA"/>
    </w:rPr>
  </w:style>
  <w:style w:type="character" w:customStyle="1" w:styleId="451">
    <w:name w:val="Char Char261"/>
    <w:qFormat/>
    <w:uiPriority w:val="0"/>
    <w:rPr>
      <w:rFonts w:eastAsia="宋体"/>
      <w:kern w:val="2"/>
      <w:sz w:val="21"/>
      <w:szCs w:val="24"/>
      <w:lang w:val="en-US" w:eastAsia="zh-CN" w:bidi="ar-SA"/>
    </w:rPr>
  </w:style>
  <w:style w:type="character" w:customStyle="1" w:styleId="452">
    <w:name w:val="不明显参考2"/>
    <w:qFormat/>
    <w:uiPriority w:val="0"/>
    <w:rPr>
      <w:smallCaps/>
      <w:color w:val="C0504D"/>
      <w:u w:val="single"/>
    </w:rPr>
  </w:style>
  <w:style w:type="paragraph" w:customStyle="1" w:styleId="453">
    <w:name w:val="Char8"/>
    <w:basedOn w:val="16"/>
    <w:qFormat/>
    <w:uiPriority w:val="0"/>
    <w:rPr>
      <w:rFonts w:ascii="Calibri" w:hAnsi="Calibri"/>
    </w:rPr>
  </w:style>
  <w:style w:type="character" w:customStyle="1" w:styleId="454">
    <w:name w:val="日期 Char2"/>
    <w:qFormat/>
    <w:uiPriority w:val="0"/>
    <w:rPr>
      <w:rFonts w:ascii="Times New Roman" w:hAnsi="Times New Roman" w:eastAsia="宋体" w:cs="Times New Roman"/>
      <w:sz w:val="24"/>
      <w:szCs w:val="20"/>
    </w:rPr>
  </w:style>
  <w:style w:type="character" w:customStyle="1" w:styleId="455">
    <w:name w:val="Char Char182"/>
    <w:qFormat/>
    <w:uiPriority w:val="0"/>
    <w:rPr>
      <w:b/>
      <w:bCs/>
      <w:kern w:val="44"/>
      <w:sz w:val="44"/>
      <w:szCs w:val="44"/>
    </w:rPr>
  </w:style>
  <w:style w:type="character" w:customStyle="1" w:styleId="456">
    <w:name w:val="纯文本 Char2"/>
    <w:qFormat/>
    <w:uiPriority w:val="99"/>
    <w:rPr>
      <w:rFonts w:ascii="宋体" w:hAnsi="Courier New"/>
      <w:sz w:val="21"/>
      <w:szCs w:val="21"/>
    </w:rPr>
  </w:style>
  <w:style w:type="paragraph" w:customStyle="1" w:styleId="457">
    <w:name w:val="索引 41"/>
    <w:basedOn w:val="1"/>
    <w:next w:val="1"/>
    <w:qFormat/>
    <w:uiPriority w:val="0"/>
    <w:pPr>
      <w:ind w:left="600" w:leftChars="600"/>
    </w:pPr>
  </w:style>
  <w:style w:type="paragraph" w:customStyle="1" w:styleId="458">
    <w:name w:val="正文 A"/>
    <w:qFormat/>
    <w:uiPriority w:val="0"/>
    <w:pPr>
      <w:widowControl w:val="0"/>
      <w:jc w:val="both"/>
    </w:pPr>
    <w:rPr>
      <w:rFonts w:ascii="宋体" w:cs="宋体" w:hAnsiTheme="minorHAnsi" w:eastAsiaTheme="minorEastAsia"/>
      <w:color w:val="000000"/>
      <w:kern w:val="2"/>
      <w:sz w:val="21"/>
      <w:szCs w:val="21"/>
      <w:u w:color="000000"/>
      <w:lang w:val="en-US" w:eastAsia="zh-CN" w:bidi="ar-SA"/>
    </w:rPr>
  </w:style>
  <w:style w:type="character" w:customStyle="1" w:styleId="459">
    <w:name w:val="引用 字符"/>
    <w:link w:val="254"/>
    <w:qFormat/>
    <w:uiPriority w:val="0"/>
    <w:rPr>
      <w:rFonts w:ascii="Calibri" w:hAnsi="Calibri"/>
      <w:i/>
      <w:color w:val="000000"/>
      <w:kern w:val="2"/>
      <w:sz w:val="22"/>
      <w:szCs w:val="22"/>
    </w:rPr>
  </w:style>
  <w:style w:type="character" w:customStyle="1" w:styleId="460">
    <w:name w:val="批注主题 字符"/>
    <w:link w:val="49"/>
    <w:qFormat/>
    <w:uiPriority w:val="99"/>
    <w:rPr>
      <w:b/>
      <w:bCs/>
      <w:kern w:val="2"/>
      <w:sz w:val="21"/>
      <w:szCs w:val="21"/>
    </w:rPr>
  </w:style>
  <w:style w:type="character" w:customStyle="1" w:styleId="461">
    <w:name w:val="正文文本 2 字符"/>
    <w:link w:val="43"/>
    <w:qFormat/>
    <w:uiPriority w:val="0"/>
    <w:rPr>
      <w:rFonts w:ascii="Calibri" w:hAnsi="Calibri"/>
      <w:kern w:val="2"/>
      <w:sz w:val="24"/>
      <w:szCs w:val="22"/>
    </w:rPr>
  </w:style>
  <w:style w:type="character" w:customStyle="1" w:styleId="462">
    <w:name w:val="正文文本缩进 2 Char1"/>
    <w:qFormat/>
    <w:uiPriority w:val="99"/>
    <w:rPr>
      <w:kern w:val="2"/>
      <w:sz w:val="21"/>
      <w:szCs w:val="22"/>
    </w:rPr>
  </w:style>
  <w:style w:type="paragraph" w:customStyle="1" w:styleId="463">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464">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465">
    <w:name w:val="日期2"/>
    <w:basedOn w:val="1"/>
    <w:next w:val="1"/>
    <w:qFormat/>
    <w:uiPriority w:val="0"/>
    <w:pPr>
      <w:ind w:left="100" w:leftChars="2500"/>
    </w:pPr>
    <w:rPr>
      <w:rFonts w:ascii="宋体"/>
      <w:kern w:val="0"/>
      <w:sz w:val="28"/>
      <w:szCs w:val="20"/>
    </w:rPr>
  </w:style>
  <w:style w:type="paragraph" w:customStyle="1" w:styleId="466">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467">
    <w:name w:val="textcontents"/>
    <w:qFormat/>
    <w:uiPriority w:val="0"/>
  </w:style>
  <w:style w:type="character" w:customStyle="1" w:styleId="468">
    <w:name w:val="Balloon Text Char"/>
    <w:qFormat/>
    <w:uiPriority w:val="0"/>
    <w:rPr>
      <w:rFonts w:eastAsia="宋体"/>
      <w:kern w:val="2"/>
      <w:sz w:val="18"/>
      <w:szCs w:val="18"/>
      <w:lang w:val="en-US" w:eastAsia="zh-CN" w:bidi="ar-SA"/>
    </w:rPr>
  </w:style>
  <w:style w:type="paragraph" w:customStyle="1" w:styleId="469">
    <w:name w:val="xl29"/>
    <w:basedOn w:val="1"/>
    <w:qFormat/>
    <w:uiPriority w:val="0"/>
    <w:pPr>
      <w:widowControl/>
      <w:spacing w:before="100" w:beforeAutospacing="1" w:after="100" w:afterAutospacing="1"/>
      <w:jc w:val="center"/>
    </w:pPr>
    <w:rPr>
      <w:rFonts w:ascii="黑体" w:hAnsi="宋体" w:eastAsia="黑体" w:cs="宋体"/>
      <w:b/>
      <w:bCs/>
      <w:kern w:val="0"/>
      <w:sz w:val="26"/>
      <w:szCs w:val="26"/>
    </w:rPr>
  </w:style>
  <w:style w:type="paragraph" w:customStyle="1" w:styleId="470">
    <w:name w:val="默认段落字体 Para Char Char Char Char"/>
    <w:basedOn w:val="1"/>
    <w:qFormat/>
    <w:uiPriority w:val="0"/>
    <w:rPr>
      <w:szCs w:val="21"/>
    </w:rPr>
  </w:style>
  <w:style w:type="character" w:customStyle="1" w:styleId="471">
    <w:name w:val="Char Char4"/>
    <w:qFormat/>
    <w:uiPriority w:val="0"/>
    <w:rPr>
      <w:rFonts w:eastAsia="宋体"/>
      <w:b/>
      <w:bCs/>
      <w:kern w:val="44"/>
      <w:sz w:val="44"/>
      <w:szCs w:val="44"/>
      <w:lang w:val="en-US" w:eastAsia="zh-CN"/>
    </w:rPr>
  </w:style>
  <w:style w:type="character" w:customStyle="1" w:styleId="472">
    <w:name w:val="正文要点 Char Char"/>
    <w:link w:val="80"/>
    <w:qFormat/>
    <w:locked/>
    <w:uiPriority w:val="0"/>
    <w:rPr>
      <w:kern w:val="2"/>
      <w:sz w:val="21"/>
      <w:szCs w:val="21"/>
    </w:rPr>
  </w:style>
  <w:style w:type="paragraph" w:customStyle="1" w:styleId="473">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474">
    <w:name w:val="Heading 1 Char"/>
    <w:qFormat/>
    <w:locked/>
    <w:uiPriority w:val="0"/>
    <w:rPr>
      <w:rFonts w:eastAsia="宋体"/>
      <w:b/>
      <w:bCs/>
      <w:kern w:val="44"/>
      <w:sz w:val="44"/>
      <w:szCs w:val="44"/>
      <w:lang w:val="en-US" w:eastAsia="zh-CN" w:bidi="ar-SA"/>
    </w:rPr>
  </w:style>
  <w:style w:type="paragraph" w:customStyle="1" w:styleId="47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476">
    <w:name w:val="文档结构图1"/>
    <w:basedOn w:val="1"/>
    <w:qFormat/>
    <w:uiPriority w:val="0"/>
    <w:pPr>
      <w:shd w:val="clear" w:color="auto" w:fill="000080"/>
    </w:pPr>
    <w:rPr>
      <w:kern w:val="0"/>
      <w:sz w:val="20"/>
      <w:shd w:val="clear" w:color="auto" w:fill="000080"/>
    </w:rPr>
  </w:style>
  <w:style w:type="character" w:customStyle="1" w:styleId="477">
    <w:name w:val="apple-converted-space"/>
    <w:qFormat/>
    <w:uiPriority w:val="0"/>
  </w:style>
  <w:style w:type="paragraph" w:customStyle="1" w:styleId="478">
    <w:name w:val="文本块12"/>
    <w:basedOn w:val="1"/>
    <w:next w:val="1"/>
    <w:qFormat/>
    <w:uiPriority w:val="0"/>
    <w:rPr>
      <w:i/>
      <w:iCs/>
      <w:color w:val="000000"/>
      <w:szCs w:val="22"/>
    </w:rPr>
  </w:style>
  <w:style w:type="character" w:customStyle="1" w:styleId="479">
    <w:name w:val="样式1 字符"/>
    <w:link w:val="428"/>
    <w:qFormat/>
    <w:uiPriority w:val="0"/>
    <w:rPr>
      <w:rFonts w:ascii="宋体" w:hAnsi="宋体" w:cs="宋体"/>
      <w:sz w:val="21"/>
      <w:szCs w:val="21"/>
    </w:rPr>
  </w:style>
  <w:style w:type="character" w:customStyle="1" w:styleId="480">
    <w:name w:val="正文文本 字符"/>
    <w:link w:val="19"/>
    <w:qFormat/>
    <w:uiPriority w:val="99"/>
    <w:rPr>
      <w:sz w:val="24"/>
      <w:szCs w:val="24"/>
    </w:rPr>
  </w:style>
  <w:style w:type="character" w:customStyle="1" w:styleId="481">
    <w:name w:val="Char Char5"/>
    <w:qFormat/>
    <w:uiPriority w:val="0"/>
    <w:rPr>
      <w:rFonts w:ascii="Arial" w:hAnsi="Arial" w:eastAsia="黑体"/>
      <w:b/>
      <w:bCs/>
      <w:kern w:val="2"/>
      <w:sz w:val="32"/>
      <w:szCs w:val="32"/>
      <w:lang w:val="en-US" w:eastAsia="zh-CN" w:bidi="ar-SA"/>
    </w:rPr>
  </w:style>
  <w:style w:type="character" w:customStyle="1" w:styleId="482">
    <w:name w:val="日期 Char Char"/>
    <w:qFormat/>
    <w:uiPriority w:val="0"/>
    <w:rPr>
      <w:rFonts w:ascii="宋体"/>
      <w:sz w:val="28"/>
      <w:lang w:bidi="ar-SA"/>
    </w:rPr>
  </w:style>
  <w:style w:type="paragraph" w:customStyle="1" w:styleId="483">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character" w:customStyle="1" w:styleId="484">
    <w:name w:val="Char Char161"/>
    <w:qFormat/>
    <w:uiPriority w:val="0"/>
    <w:rPr>
      <w:b/>
      <w:bCs/>
      <w:kern w:val="2"/>
      <w:sz w:val="32"/>
      <w:szCs w:val="32"/>
    </w:rPr>
  </w:style>
  <w:style w:type="character" w:customStyle="1" w:styleId="485">
    <w:name w:val="不明显强调3"/>
    <w:qFormat/>
    <w:uiPriority w:val="99"/>
    <w:rPr>
      <w:i/>
      <w:iCs/>
      <w:color w:val="808080"/>
    </w:rPr>
  </w:style>
  <w:style w:type="character" w:customStyle="1" w:styleId="486">
    <w:name w:val="Char Char26"/>
    <w:qFormat/>
    <w:uiPriority w:val="0"/>
    <w:rPr>
      <w:rFonts w:ascii="Arial" w:hAnsi="Arial" w:eastAsia="黑体" w:cs="Times New Roman"/>
      <w:b/>
      <w:bCs/>
      <w:sz w:val="32"/>
      <w:szCs w:val="32"/>
    </w:rPr>
  </w:style>
  <w:style w:type="paragraph" w:customStyle="1" w:styleId="487">
    <w:name w:val="正文文本 312"/>
    <w:basedOn w:val="1"/>
    <w:qFormat/>
    <w:uiPriority w:val="0"/>
    <w:pPr>
      <w:spacing w:after="120"/>
    </w:pPr>
    <w:rPr>
      <w:sz w:val="16"/>
      <w:szCs w:val="16"/>
    </w:rPr>
  </w:style>
  <w:style w:type="paragraph" w:customStyle="1" w:styleId="4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89">
    <w:name w:val="Styl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customStyle="1" w:styleId="490">
    <w:name w:val="不明显参考3"/>
    <w:qFormat/>
    <w:uiPriority w:val="99"/>
    <w:rPr>
      <w:smallCaps/>
      <w:color w:val="C0504D"/>
      <w:u w:val="single"/>
    </w:rPr>
  </w:style>
  <w:style w:type="character" w:customStyle="1" w:styleId="491">
    <w:name w:val="标题 2 字符1"/>
    <w:basedOn w:val="54"/>
    <w:link w:val="4"/>
    <w:qFormat/>
    <w:uiPriority w:val="0"/>
    <w:rPr>
      <w:rFonts w:eastAsia="仿宋" w:asciiTheme="majorHAnsi" w:hAnsiTheme="majorHAnsi" w:cstheme="majorBidi"/>
      <w:b/>
      <w:bCs/>
      <w:sz w:val="28"/>
      <w:szCs w:val="32"/>
    </w:rPr>
  </w:style>
  <w:style w:type="paragraph" w:customStyle="1" w:styleId="492">
    <w:name w:val="标题 21"/>
    <w:basedOn w:val="1"/>
    <w:qFormat/>
    <w:uiPriority w:val="1"/>
    <w:pPr>
      <w:autoSpaceDE w:val="0"/>
      <w:autoSpaceDN w:val="0"/>
      <w:ind w:left="130"/>
      <w:jc w:val="left"/>
      <w:outlineLvl w:val="2"/>
    </w:pPr>
    <w:rPr>
      <w:rFonts w:ascii="黑体" w:hAnsi="黑体" w:eastAsia="黑体" w:cs="黑体"/>
      <w:kern w:val="0"/>
      <w:sz w:val="54"/>
      <w:szCs w:val="54"/>
      <w:lang w:eastAsia="en-US"/>
    </w:rPr>
  </w:style>
  <w:style w:type="paragraph" w:customStyle="1" w:styleId="493">
    <w:name w:val="msolistparagraph"/>
    <w:basedOn w:val="1"/>
    <w:qFormat/>
    <w:uiPriority w:val="0"/>
    <w:pPr>
      <w:ind w:firstLine="420" w:firstLineChars="200"/>
    </w:pPr>
    <w:rPr>
      <w:rFonts w:ascii="Calibri" w:hAnsi="Calibri" w:eastAsia="宋体" w:cs="Times New Roman"/>
      <w:szCs w:val="22"/>
    </w:rPr>
  </w:style>
  <w:style w:type="character" w:customStyle="1" w:styleId="494">
    <w:name w:val="未处理的提及1"/>
    <w:basedOn w:val="54"/>
    <w:semiHidden/>
    <w:unhideWhenUsed/>
    <w:qFormat/>
    <w:uiPriority w:val="99"/>
    <w:rPr>
      <w:color w:val="605E5C"/>
      <w:shd w:val="clear" w:color="auto" w:fill="E1DFDD"/>
    </w:rPr>
  </w:style>
  <w:style w:type="paragraph" w:customStyle="1" w:styleId="495">
    <w:name w:val="msonormal"/>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496">
    <w:name w:val="xl65"/>
    <w:basedOn w:val="1"/>
    <w:qFormat/>
    <w:uiPriority w:val="0"/>
    <w:pPr>
      <w:widowControl/>
      <w:spacing w:before="100" w:beforeAutospacing="1" w:after="100" w:afterAutospacing="1"/>
      <w:jc w:val="center"/>
    </w:pPr>
    <w:rPr>
      <w:rFonts w:ascii="宋体" w:hAnsi="宋体" w:eastAsia="宋体" w:cs="宋体"/>
      <w:b/>
      <w:bCs/>
      <w:kern w:val="0"/>
      <w:sz w:val="20"/>
      <w:szCs w:val="20"/>
    </w:rPr>
  </w:style>
  <w:style w:type="character" w:customStyle="1" w:styleId="497">
    <w:name w:val="正文缩进 字符2"/>
    <w:qFormat/>
    <w:uiPriority w:val="0"/>
    <w:rPr>
      <w:rFonts w:ascii="等线" w:hAnsi="等线" w:eastAsia="等线" w:cs="Times New Roman"/>
    </w:rPr>
  </w:style>
  <w:style w:type="character" w:customStyle="1" w:styleId="498">
    <w:name w:val="称呼 Char1"/>
    <w:basedOn w:val="54"/>
    <w:qFormat/>
    <w:uiPriority w:val="99"/>
    <w:rPr>
      <w:kern w:val="2"/>
      <w:sz w:val="21"/>
      <w:szCs w:val="24"/>
    </w:rPr>
  </w:style>
  <w:style w:type="character" w:customStyle="1" w:styleId="499">
    <w:name w:val="普通(网站) 字符"/>
    <w:link w:val="47"/>
    <w:qFormat/>
    <w:locked/>
    <w:uiPriority w:val="0"/>
    <w:rPr>
      <w:rFonts w:ascii="宋体" w:hAnsi="宋体" w:cs="宋体"/>
      <w:kern w:val="0"/>
      <w:sz w:val="24"/>
    </w:rPr>
  </w:style>
  <w:style w:type="paragraph" w:customStyle="1" w:styleId="500">
    <w:name w:val="Body text|1"/>
    <w:basedOn w:val="1"/>
    <w:autoRedefine/>
    <w:qFormat/>
    <w:uiPriority w:val="0"/>
    <w:pPr>
      <w:spacing w:line="439" w:lineRule="auto"/>
      <w:ind w:firstLine="400"/>
    </w:pPr>
    <w:rPr>
      <w:rFonts w:ascii="MingLiU" w:hAnsi="MingLiU" w:eastAsia="MingLiU" w:cs="MingLiU"/>
      <w:sz w:val="19"/>
      <w:szCs w:val="19"/>
      <w:lang w:val="zh-TW" w:eastAsia="zh-TW" w:bidi="zh-TW"/>
    </w:rPr>
  </w:style>
  <w:style w:type="paragraph" w:customStyle="1" w:styleId="501">
    <w:name w:val="正文_0_0"/>
    <w:qFormat/>
    <w:uiPriority w:val="0"/>
    <w:pPr>
      <w:widowControl w:val="0"/>
      <w:spacing w:line="360" w:lineRule="auto"/>
      <w:ind w:firstLine="412" w:firstLineChars="196"/>
    </w:pPr>
    <w:rPr>
      <w:rFonts w:ascii="Times New Roman" w:hAnsi="Times New Roman" w:eastAsia="宋体" w:cs="Times New Roman"/>
      <w:kern w:val="2"/>
      <w:sz w:val="21"/>
      <w:lang w:val="en-US" w:eastAsia="zh-CN" w:bidi="ar-SA"/>
    </w:rPr>
  </w:style>
  <w:style w:type="paragraph" w:customStyle="1" w:styleId="50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503">
    <w:name w:val="Table of contents|1"/>
    <w:basedOn w:val="1"/>
    <w:qFormat/>
    <w:uiPriority w:val="0"/>
    <w:pPr>
      <w:spacing w:line="533" w:lineRule="exact"/>
      <w:ind w:firstLine="580"/>
    </w:pPr>
    <w:rPr>
      <w:rFonts w:ascii="宋体" w:hAnsi="宋体" w:eastAsia="宋体" w:cs="宋体"/>
      <w:sz w:val="28"/>
      <w:szCs w:val="28"/>
      <w:lang w:val="zh-TW" w:eastAsia="zh-TW" w:bidi="zh-TW"/>
    </w:rPr>
  </w:style>
  <w:style w:type="character" w:customStyle="1" w:styleId="504">
    <w:name w:val="不明显强调31"/>
    <w:qFormat/>
    <w:uiPriority w:val="99"/>
    <w:rPr>
      <w:i/>
      <w:iCs/>
      <w:color w:val="808080"/>
    </w:rPr>
  </w:style>
  <w:style w:type="character" w:customStyle="1" w:styleId="505">
    <w:name w:val="未处理的提及2"/>
    <w:basedOn w:val="5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F671-37F1-4E85-89B3-03A882950961}">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23143</Words>
  <Characters>24697</Characters>
  <Lines>238</Lines>
  <Paragraphs>67</Paragraphs>
  <TotalTime>21</TotalTime>
  <ScaleCrop>false</ScaleCrop>
  <LinksUpToDate>false</LinksUpToDate>
  <CharactersWithSpaces>24827</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2026-08-17T00:23:00Z</dcterms:created>
  <dc:creator>admin</dc:creator>
  <cp:lastModifiedBy>Chimney _V</cp:lastModifiedBy>
  <cp:lastPrinted>2026-07-02T04:39:00Z</cp:lastPrinted>
  <dcterms:modified xsi:type="dcterms:W3CDTF">2026-10-10T07:31:49Z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9F187DB54CE64FC9962EDBE33BB0D461_13</vt:lpwstr>
  </property>
  <property fmtid="{D5CDD505-2E9C-101B-9397-08002B2CF9AE}" pid="4" name="KSOTemplateDocerSaveRecord">
    <vt:lpwstr>eyJoZGlkIjoiMzI0YjFhNzY4ZGM1NTFmMDA4NzdhMGI3Nzc3MmM2ZGMiLCJ1c2VySWQiOiIzMTgyODMxMTkifQ==</vt:lpwstr>
  </property>
</Properties>
</file>