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6"/>
        <w:rPr>
          <w:rFonts w:hint="eastAsia" w:ascii="Calibri" w:hAnsi="Calibri" w:eastAsia="仿宋" w:cs="仿宋"/>
          <w:color w:val="auto"/>
          <w:highlight w:val="none"/>
        </w:rPr>
      </w:pPr>
      <w:bookmarkStart w:id="0" w:name="_Toc2218"/>
    </w:p>
    <w:p>
      <w:pPr>
        <w:pStyle w:val="76"/>
        <w:rPr>
          <w:rFonts w:hint="eastAsia" w:ascii="Calibri" w:hAnsi="Calibri" w:eastAsia="仿宋" w:cs="仿宋"/>
          <w:color w:val="auto"/>
          <w:highlight w:val="none"/>
        </w:rPr>
      </w:pPr>
    </w:p>
    <w:p>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pPr>
        <w:pStyle w:val="31"/>
        <w:rPr>
          <w:color w:val="auto"/>
          <w:sz w:val="72"/>
          <w:szCs w:val="72"/>
          <w:highlight w:val="none"/>
        </w:rPr>
      </w:pPr>
    </w:p>
    <w:p>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pPr>
        <w:spacing w:line="360" w:lineRule="auto"/>
        <w:jc w:val="left"/>
        <w:rPr>
          <w:rFonts w:ascii="仿宋" w:hAnsi="仿宋" w:eastAsia="仿宋" w:cs="仿宋"/>
          <w:color w:val="auto"/>
          <w:sz w:val="28"/>
          <w:szCs w:val="28"/>
          <w:highlight w:val="none"/>
        </w:rPr>
      </w:pPr>
    </w:p>
    <w:p>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WHSW-SWT2026-001</w:t>
      </w:r>
    </w:p>
    <w:p>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威海水务投资有限责任公司选定PAM阳离子、PAM阴离子、三氯化铁、单过硫酸氢钾消毒剂、复合碳源年度供应商</w:t>
      </w:r>
    </w:p>
    <w:p>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pPr>
        <w:spacing w:line="360" w:lineRule="auto"/>
        <w:rPr>
          <w:rFonts w:ascii="仿宋" w:hAnsi="仿宋" w:eastAsia="仿宋" w:cs="仿宋"/>
          <w:b/>
          <w:color w:val="auto"/>
          <w:sz w:val="32"/>
          <w:szCs w:val="32"/>
          <w:highlight w:val="none"/>
        </w:rPr>
      </w:pPr>
    </w:p>
    <w:p>
      <w:pPr>
        <w:spacing w:line="360" w:lineRule="auto"/>
        <w:rPr>
          <w:rFonts w:ascii="仿宋" w:hAnsi="仿宋" w:eastAsia="仿宋" w:cs="仿宋"/>
          <w:b/>
          <w:color w:val="auto"/>
          <w:sz w:val="32"/>
          <w:szCs w:val="32"/>
          <w:highlight w:val="none"/>
        </w:rPr>
      </w:pPr>
    </w:p>
    <w:p>
      <w:pPr>
        <w:spacing w:line="360" w:lineRule="auto"/>
        <w:rPr>
          <w:rFonts w:ascii="仿宋" w:hAnsi="仿宋" w:eastAsia="仿宋" w:cs="仿宋"/>
          <w:b/>
          <w:color w:val="auto"/>
          <w:sz w:val="32"/>
          <w:szCs w:val="32"/>
          <w:highlight w:val="none"/>
        </w:rPr>
      </w:pPr>
    </w:p>
    <w:p>
      <w:pPr>
        <w:spacing w:line="360" w:lineRule="auto"/>
        <w:rPr>
          <w:rFonts w:ascii="仿宋" w:hAnsi="仿宋" w:eastAsia="仿宋" w:cs="仿宋"/>
          <w:b/>
          <w:color w:val="auto"/>
          <w:sz w:val="32"/>
          <w:szCs w:val="32"/>
          <w:highlight w:val="none"/>
        </w:rPr>
      </w:pPr>
    </w:p>
    <w:p>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2026年7月22日</w:t>
      </w:r>
    </w:p>
    <w:p>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pPr>
        <w:jc w:val="center"/>
        <w:rPr>
          <w:rFonts w:hint="eastAsia" w:ascii="仿宋" w:hAnsi="仿宋" w:eastAsia="仿宋" w:cs="仿宋"/>
          <w:b/>
          <w:bCs/>
          <w:sz w:val="36"/>
          <w:szCs w:val="36"/>
          <w:highlight w:val="none"/>
        </w:rPr>
      </w:pP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39</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44</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72</w:t>
      </w:r>
    </w:p>
    <w:p>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pPr>
        <w:pStyle w:val="3"/>
        <w:bidi w:val="0"/>
        <w:rPr>
          <w:rFonts w:hint="eastAsia"/>
          <w:highlight w:val="none"/>
        </w:rPr>
      </w:pPr>
      <w:bookmarkStart w:id="1" w:name="_Toc1540"/>
      <w:r>
        <w:rPr>
          <w:rFonts w:hint="eastAsia"/>
          <w:highlight w:val="none"/>
        </w:rPr>
        <w:t>第一部分  招标公告</w:t>
      </w:r>
      <w:bookmarkEnd w:id="1"/>
    </w:p>
    <w:p>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威海水务投资有限责任公司选定PAM阳离子、PAM阴离子、三氯化铁、单过硫酸氢钾消毒剂、复合碳源年度供应商</w:t>
      </w:r>
      <w:r>
        <w:rPr>
          <w:rFonts w:hint="eastAsia" w:ascii="仿宋" w:hAnsi="仿宋" w:eastAsia="仿宋" w:cs="仿宋"/>
          <w:b/>
          <w:bCs/>
          <w:spacing w:val="8"/>
          <w:sz w:val="28"/>
          <w:szCs w:val="28"/>
          <w:highlight w:val="none"/>
          <w:lang w:val="en-US" w:eastAsia="zh-CN"/>
        </w:rPr>
        <w:t>招标公告</w:t>
      </w:r>
    </w:p>
    <w:p>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r>
        <w:rPr>
          <w:rFonts w:hint="eastAsia" w:ascii="仿宋" w:hAnsi="仿宋" w:eastAsia="仿宋" w:cs="仿宋"/>
          <w:b/>
          <w:bCs/>
          <w:spacing w:val="8"/>
          <w:sz w:val="28"/>
          <w:szCs w:val="28"/>
          <w:highlight w:val="none"/>
          <w:lang w:val="en-US" w:eastAsia="zh-CN"/>
        </w:rPr>
        <w:t>（第二轮）</w:t>
      </w:r>
    </w:p>
    <w:p>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招标编号：WHSW-SWT2026-001</w:t>
      </w:r>
      <w:r>
        <w:rPr>
          <w:rFonts w:hint="eastAsia" w:ascii="仿宋" w:hAnsi="仿宋" w:eastAsia="仿宋" w:cs="仿宋"/>
          <w:b/>
          <w:bCs/>
          <w:spacing w:val="8"/>
          <w:sz w:val="28"/>
          <w:szCs w:val="28"/>
          <w:highlight w:val="none"/>
          <w:lang w:eastAsia="zh-CN"/>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威海水务投资有限责任公司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威海水务投资有限责任公司选定PAM阳离子、PAM阴离子、三氯化铁、单过硫酸氢钾消毒剂、复合碳源年度供应商</w:t>
      </w:r>
      <w:r>
        <w:rPr>
          <w:rFonts w:hint="eastAsia" w:ascii="仿宋" w:hAnsi="仿宋" w:eastAsia="仿宋" w:cs="仿宋"/>
          <w:spacing w:val="8"/>
          <w:sz w:val="24"/>
          <w:szCs w:val="24"/>
          <w:highlight w:val="none"/>
        </w:rPr>
        <w:t>以公开招标方式确定中标单位。</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威海水务投资有限责任公司选定PAM阳离子、PAM阴离子、三氯化铁、单过硫酸氢钾消毒剂、复合碳源年度供应商</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威海水务投资有限责任公司选定PAM阳离子、PAM阴离子、三氯化铁、单过硫酸氢钾消毒剂、复合碳源年度供应商</w:t>
      </w:r>
    </w:p>
    <w:p>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项目概况：威海水务投资有限责任公司选定</w:t>
      </w:r>
      <w:r>
        <w:rPr>
          <w:rFonts w:hint="eastAsia" w:ascii="仿宋" w:hAnsi="仿宋" w:eastAsia="仿宋"/>
          <w:color w:val="000000"/>
          <w:sz w:val="24"/>
          <w:highlight w:val="none"/>
          <w:lang w:val="en-US" w:eastAsia="zh-CN"/>
        </w:rPr>
        <w:t>PAM阳离子、PAM阴离子、三氯化铁、单过硫酸氢钾消毒剂、复合碳源</w:t>
      </w:r>
      <w:r>
        <w:rPr>
          <w:rFonts w:hint="eastAsia" w:ascii="仿宋" w:hAnsi="仿宋" w:eastAsia="仿宋" w:cs="仿宋"/>
          <w:spacing w:val="8"/>
          <w:kern w:val="2"/>
          <w:sz w:val="24"/>
          <w:szCs w:val="24"/>
          <w:highlight w:val="none"/>
          <w:lang w:val="en-US" w:eastAsia="zh-CN" w:bidi="ar-SA"/>
        </w:rPr>
        <w:t>年度供应商。该项目本轮采购三个标包，具体内容详见下表。药剂按批次采购，单次实际采购量以招标人通知为准。</w:t>
      </w:r>
    </w:p>
    <w:tbl>
      <w:tblPr>
        <w:tblStyle w:val="43"/>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59"/>
        <w:gridCol w:w="1582"/>
        <w:gridCol w:w="2073"/>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（除税）</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固体聚丙烯酰胺（PAM阳离子）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280</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7858.40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5654.86</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标包三</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液体三氯化铁</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264.60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trPr>
        <w:tc>
          <w:tcPr>
            <w:tcW w:w="8618" w:type="dxa"/>
            <w:gridSpan w:val="5"/>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注：此数量为一年计划采购数量，只作为投标参考使用，实际采购数量根据处理规模、来水量变化等影响因素，采购量可适时调整，并据实结算，实际采购量多于或少于计划采购量均不视为违约。</w:t>
            </w:r>
          </w:p>
        </w:tc>
      </w:tr>
    </w:tbl>
    <w:p>
      <w:pPr>
        <w:pStyle w:val="17"/>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注：本项目兼投兼中。</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可选择依据有关制度规定对中标单位履约情况进行评价，合格可续签合同，续签不超过2次。招标人也可以选择重新招标选择供应商。具体选择何种方式以招标人结合实际需要确定。</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4.供货期：自接到招标人通知之日起，按照通知要求在3-7日内将货物运抵招标人指定地点，药剂按批次采购，单次实际采购量以招标人通知为准。</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5.交货地点：</w:t>
      </w:r>
      <w:r>
        <w:rPr>
          <w:rFonts w:hint="eastAsia" w:ascii="仿宋" w:hAnsi="仿宋" w:eastAsia="仿宋" w:cs="Times New Roman"/>
          <w:color w:val="000000"/>
          <w:sz w:val="24"/>
          <w:highlight w:val="none"/>
          <w:lang w:val="en-US" w:eastAsia="zh-CN"/>
        </w:rPr>
        <w:t>招标人指定地点，具体详见</w:t>
      </w:r>
      <w:r>
        <w:rPr>
          <w:rFonts w:hint="eastAsia" w:ascii="仿宋" w:hAnsi="仿宋" w:eastAsia="仿宋" w:cs="仿宋"/>
          <w:spacing w:val="8"/>
          <w:kern w:val="2"/>
          <w:sz w:val="24"/>
          <w:szCs w:val="24"/>
          <w:highlight w:val="none"/>
          <w:lang w:val="en-US" w:eastAsia="zh-CN" w:bidi="ar-SA"/>
        </w:rPr>
        <w:t>第三部分招标内容与要求。</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rPr>
        <w:t>达到合格标准</w:t>
      </w:r>
      <w:r>
        <w:rPr>
          <w:rFonts w:hint="eastAsia" w:ascii="仿宋" w:hAnsi="仿宋" w:eastAsia="仿宋" w:cs="仿宋"/>
          <w:spacing w:val="8"/>
          <w:kern w:val="2"/>
          <w:sz w:val="24"/>
          <w:szCs w:val="24"/>
          <w:highlight w:val="none"/>
          <w:lang w:val="en-US" w:eastAsia="zh-CN" w:bidi="ar-SA"/>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7.采购范围：包括但不限于药剂的采购、检测、包装、运输、保管、装卸、验收、售后服务及其他服务。</w:t>
      </w:r>
    </w:p>
    <w:p>
      <w:pPr>
        <w:pStyle w:val="17"/>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1.通用资格要求（三个标包均适用）：</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1.1具有独立承担民事责任能力的法人或其他组织，投标人若为经销商需提供生产厂家的授权书（授权书须注明药剂状态，授权时间需满足项目服务期要求）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1.2</w:t>
      </w:r>
      <w:r>
        <w:rPr>
          <w:rFonts w:hint="eastAsia" w:ascii="仿宋" w:hAnsi="仿宋" w:eastAsia="仿宋" w:cs="仿宋"/>
          <w:spacing w:val="8"/>
          <w:sz w:val="24"/>
          <w:szCs w:val="24"/>
          <w:highlight w:val="none"/>
        </w:rPr>
        <w:t>具有良好的商业信誉和健全的财务会计制度及履约能力；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具有履行合同所必需的设备和专业技术能力；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具有依法缴纳税收和社会保障资金的记录；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1.5</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1.6</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本项目不接受联合体投标。</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2.专用资格要求：</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2.1标包一：固体聚丙烯酰胺（PAM阳离子）、标包二：固体聚丙烯酰胺（PAM阴离子）</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（1）投标人具有有效的道路运输经营许可证；若投标人不具有有效的道路运输经营许可证需提供相应的运输合同以及运输方的有效的道路运输经营许可证。</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2.2标包三：液体三氯化铁</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（1）因三氯化铁为危险化学品，投标需提供“危险化学品经营许可证”、“工业产品生产许可证”、“安全生产许可证”、“危险化学品运输许可证”；</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22</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29</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22</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:00（北京时间）</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六厅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威海水务投资有限责任公司</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威海市经区崮山路6号</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杨晓青</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3"/>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471"/>
      <w:bookmarkStart w:id="7" w:name="_Toc39827536"/>
      <w:bookmarkStart w:id="8" w:name="_Toc39827101"/>
      <w:bookmarkStart w:id="9" w:name="_Toc3821388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rPr>
        <w:t>日</w:t>
      </w:r>
      <w:bookmarkEnd w:id="2"/>
    </w:p>
    <w:p>
      <w:pPr>
        <w:pStyle w:val="37"/>
        <w:rPr>
          <w:highlight w:val="none"/>
        </w:rPr>
      </w:pPr>
    </w:p>
    <w:p>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2"/>
        <w:tblW w:w="9467"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威海水务投资有限责任公司选定PAM阳离子、PAM阴离子、三氯化铁、单过硫酸氢钾消毒剂、复合碳源年度供应商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WHSW-SWT2026-001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威海水务投资有限责任公司</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威海市经区崮山路6号</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杨晓青</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pPr>
              <w:snapToGrid w:val="0"/>
              <w:spacing w:line="400" w:lineRule="exact"/>
              <w:ind w:right="-105" w:rightChars="-5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2、投标人参与一个标包以上的投标，投标文件需按标包号分别制作投标文件。</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标包三：</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w:t>
            </w:r>
            <w:r>
              <w:rPr>
                <w:rFonts w:hint="eastAsia" w:ascii="仿宋" w:hAnsi="仿宋" w:eastAsia="仿宋" w:cs="仿宋"/>
                <w:b/>
                <w:bCs/>
                <w:sz w:val="24"/>
                <w:szCs w:val="24"/>
                <w:highlight w:val="none"/>
              </w:rPr>
              <w:t>威海公共资源交易服务有限公司账户</w:t>
            </w:r>
            <w:r>
              <w:rPr>
                <w:rFonts w:hint="eastAsia" w:ascii="仿宋" w:hAnsi="仿宋" w:eastAsia="仿宋" w:cs="仿宋"/>
                <w:sz w:val="24"/>
                <w:szCs w:val="24"/>
                <w:highlight w:val="none"/>
              </w:rPr>
              <w:t>，以网银、电汇等方式一次性足额交纳保证金，不接受支付宝等第三方平台转账。禁止第三方代交。投标保证金交纳单位应与递交投标文件的投标人名称一致。</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本次招标项目（第二轮）为威海水务投资有限责任公司选定PAM阳离子、PAM阴离子、三氯化铁年度供应商，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pPr>
        <w:snapToGrid w:val="0"/>
        <w:spacing w:line="400" w:lineRule="exact"/>
        <w:jc w:val="left"/>
        <w:rPr>
          <w:rFonts w:ascii="仿宋" w:hAnsi="仿宋" w:eastAsia="仿宋" w:cs="仿宋"/>
          <w:sz w:val="24"/>
          <w:szCs w:val="24"/>
          <w:highlight w:val="none"/>
        </w:rPr>
      </w:pPr>
    </w:p>
    <w:p>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2"/>
        <w:tblW w:w="969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72" w:hRule="atLeast"/>
          <w:jc w:val="center"/>
        </w:trPr>
        <w:tc>
          <w:tcPr>
            <w:tcW w:w="942" w:type="dxa"/>
            <w:tcBorders>
              <w:top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各标包通用资格性评审：</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有效的营业执照副本扫描件，若投标人为经销商，还需提供生产厂商的授权书（授权书须注明药剂状态，授权时间需满足项目服务期要求）扫描件</w:t>
            </w:r>
            <w:r>
              <w:rPr>
                <w:rFonts w:hint="eastAsia" w:ascii="仿宋" w:hAnsi="仿宋" w:eastAsia="仿宋" w:cs="仿宋"/>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法定代表人身份证明或授权委托书:</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若法定代表人参加投标，投标文件附法定代表人身份证明及法定代表人身份证件扫描件；若授权代表参加投标，投标文件还需附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3.投标承诺函；</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3"/>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3"/>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近一年是指2025年1月1日至查询日止，查询日期不早于招标文件开始获取日期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一：人民币20000.00元；标包二：人民币10000.00元；标包三：人民币20000.00元。），交纳投标保证金的证明材料两者缺一不可：（1）企业银行基本账户开户证明（如开户许可证或银行开户证明等）、（2）电汇凭证或电子汇款截图扫描件。</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专用资格性评审：</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标包一：固体聚丙烯酰胺（PAM阳离子）、标包二：固体聚丙烯酰胺（PAM阴离子）</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val="0"/>
                <w:bCs w:val="0"/>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标包三：液体三氯化铁</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highlight w:val="none"/>
              </w:rPr>
            </w:pPr>
            <w:r>
              <w:rPr>
                <w:rFonts w:hint="eastAsia" w:ascii="仿宋" w:hAnsi="仿宋" w:eastAsia="仿宋" w:cs="仿宋"/>
                <w:b w:val="0"/>
                <w:bCs w:val="0"/>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自接到招标人通知之日起，按照通知要求在3-7日内将货物运抵招标人指定地点，药剂按批次采购，单次实际采购量以招标人通知为准</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pPr>
        <w:snapToGrid w:val="0"/>
        <w:spacing w:line="360" w:lineRule="auto"/>
        <w:ind w:firstLine="482" w:firstLineChars="200"/>
        <w:jc w:val="lef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注：数据文件—投标报价表（含明细）中的价格均</w:t>
      </w:r>
      <w:bookmarkStart w:id="25" w:name="_GoBack"/>
      <w:bookmarkEnd w:id="25"/>
      <w:r>
        <w:rPr>
          <w:rFonts w:hint="eastAsia" w:ascii="仿宋" w:hAnsi="仿宋" w:eastAsia="仿宋" w:cs="仿宋"/>
          <w:b/>
          <w:bCs/>
          <w:sz w:val="24"/>
          <w:szCs w:val="24"/>
          <w:highlight w:val="none"/>
          <w:lang w:val="en-US" w:eastAsia="zh-CN"/>
        </w:rPr>
        <w:t>为除税价格。</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标包一（固体聚丙烯酰胺（PAM阳离子））、标包二（固体聚丙烯酰胺（PAM阴离子））、标包三（液体三氯化铁）确定排名前三名的中标候选人为中标人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标包一（固体聚丙烯酰胺（PAM阳离子））、标包二（固体聚丙烯酰胺（PAM阴离子））、标包三（液体三氯化铁）视为确定评审报告排名前</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名的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为中标人，也可以重新开展招标活动。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pPr>
        <w:keepNext w:val="0"/>
        <w:keepLines w:val="0"/>
        <w:pageBreakBefore w:val="0"/>
        <w:kinsoku/>
        <w:wordWrap/>
        <w:overflowPunct/>
        <w:topLinePunct w:val="0"/>
        <w:autoSpaceDE/>
        <w:autoSpaceDN/>
        <w:bidi w:val="0"/>
        <w:adjustRightInd/>
        <w:snapToGrid/>
        <w:spacing w:line="336" w:lineRule="auto"/>
        <w:ind w:left="1925" w:leftChars="228" w:hanging="1446" w:hangingChars="600"/>
        <w:textAlignment w:val="auto"/>
        <w:rPr>
          <w:rFonts w:hint="eastAsia" w:ascii="仿宋" w:hAnsi="仿宋" w:eastAsia="仿宋" w:cs="仿宋"/>
          <w:b w:val="0"/>
          <w:bCs w:val="0"/>
          <w:sz w:val="24"/>
          <w:szCs w:val="24"/>
          <w:highlight w:val="none"/>
          <w:lang w:val="en-US"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威海水务投资有限责任公司选定PAM阳离子、PAM阴离子、</w:t>
      </w:r>
    </w:p>
    <w:p>
      <w:pPr>
        <w:keepNext w:val="0"/>
        <w:keepLines w:val="0"/>
        <w:pageBreakBefore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三氯化铁、单过硫酸氢钾消毒剂、复合碳源年度供应商</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自接到招标人通知之日起，按照通知要求在3-7日内将货物运抵招标人指定地点，药剂按批次采购，单次实际采购量以招标人通知为准。</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四、应急供货的时间要求：24小时；服务响应的时间要求：乙方在得到甲方通知后2小时内进行电话或邮件响应，如电话或邮件未能解决问题则在12小时内前往现场进行调试。</w:t>
      </w:r>
    </w:p>
    <w:p>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五、交货地点：</w:t>
      </w:r>
      <w:r>
        <w:rPr>
          <w:rFonts w:hint="eastAsia" w:ascii="仿宋" w:hAnsi="仿宋" w:eastAsia="仿宋" w:cs="仿宋"/>
          <w:b w:val="0"/>
          <w:bCs w:val="0"/>
          <w:sz w:val="24"/>
          <w:szCs w:val="24"/>
          <w:highlight w:val="none"/>
          <w:lang w:val="en-US" w:eastAsia="zh-CN"/>
        </w:rPr>
        <w:t>威海水务投资公司经区污水处理厂（威海市经济技术开发区崮山路6号）、威海水务投资公司初村污水处理厂（威海市高区初村镇职业学院北）、威海水务投资公司高区污水处理厂（威海市高区营口路6号）、威海水务投资公司临港区污水处理厂（威海市临港区草庙子镇曹格庄村南）、威海水务投资公司渗滤液处理中心（威海市环翠区张村镇天目路）。</w:t>
      </w:r>
    </w:p>
    <w:p>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六、质量标准：</w:t>
      </w:r>
      <w:r>
        <w:rPr>
          <w:rFonts w:hint="eastAsia" w:ascii="仿宋" w:hAnsi="仿宋" w:eastAsia="仿宋" w:cs="仿宋"/>
          <w:b w:val="0"/>
          <w:bCs w:val="0"/>
          <w:sz w:val="24"/>
          <w:szCs w:val="24"/>
          <w:highlight w:val="none"/>
          <w:lang w:val="en-US" w:eastAsia="zh-CN"/>
        </w:rPr>
        <w:t>达到合格标准。</w:t>
      </w:r>
    </w:p>
    <w:p>
      <w:pPr>
        <w:pStyle w:val="2"/>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七、采购范围：</w:t>
      </w:r>
      <w:r>
        <w:rPr>
          <w:rFonts w:hint="eastAsia" w:ascii="仿宋" w:hAnsi="仿宋" w:eastAsia="仿宋" w:cs="仿宋"/>
          <w:b w:val="0"/>
          <w:bCs w:val="0"/>
          <w:color w:val="auto"/>
          <w:kern w:val="2"/>
          <w:sz w:val="24"/>
          <w:szCs w:val="24"/>
          <w:highlight w:val="none"/>
          <w:lang w:val="en-US" w:eastAsia="zh-CN" w:bidi="ar-SA"/>
        </w:rPr>
        <w:t>包括但不限于药剂的采购、检测、包装、运输、保管、装卸、验收、售后服务及其他服务。</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八、药剂计划采购量和控制价：</w:t>
      </w:r>
    </w:p>
    <w:tbl>
      <w:tblPr>
        <w:tblStyle w:val="43"/>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60"/>
        <w:gridCol w:w="1582"/>
        <w:gridCol w:w="2074"/>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0"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（除税）</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3"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固体聚丙烯酰胺（PAM阳离子）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280</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7858.40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5654.86</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标包三</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液体三氯化铁</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264.60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33" w:hRule="atLeast"/>
        </w:trPr>
        <w:tc>
          <w:tcPr>
            <w:tcW w:w="8620" w:type="dxa"/>
            <w:gridSpan w:val="5"/>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注：1、报价包括但不限于药剂的采购、检测、包装、运输、保管、装卸、验收、售后服务及其他服务。</w:t>
            </w:r>
          </w:p>
          <w:p>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2、此数量为一年计划采购数量，只作为投标参考使用，实际采购数量根据处理规模、来水量变化等影响因素，采购量可适时调整，并据实结算，实际采购量多于或少于计划采购量均不视为违约。</w:t>
            </w:r>
          </w:p>
        </w:tc>
      </w:tr>
    </w:tbl>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九、药剂技术参数要求：</w:t>
      </w:r>
    </w:p>
    <w:tbl>
      <w:tblPr>
        <w:tblStyle w:val="43"/>
        <w:tblW w:w="86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759"/>
        <w:gridCol w:w="5155"/>
        <w:gridCol w:w="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jc w:val="center"/>
        </w:trPr>
        <w:tc>
          <w:tcPr>
            <w:tcW w:w="100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标包号</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药剂名称</w:t>
            </w:r>
          </w:p>
        </w:tc>
        <w:tc>
          <w:tcPr>
            <w:tcW w:w="51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规格参数</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9"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标包一</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聚丙烯酰胺</w:t>
            </w:r>
          </w:p>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（PAM阳离子</w:t>
            </w:r>
            <w:r>
              <w:rPr>
                <w:rFonts w:hint="eastAsia" w:ascii="仿宋" w:hAnsi="仿宋" w:eastAsia="仿宋" w:cs="仿宋"/>
                <w:sz w:val="21"/>
                <w:szCs w:val="21"/>
                <w:highlight w:val="none"/>
                <w:lang w:eastAsia="zh-CN"/>
              </w:rPr>
              <w:t>）</w:t>
            </w:r>
          </w:p>
        </w:tc>
        <w:tc>
          <w:tcPr>
            <w:tcW w:w="5155" w:type="dxa"/>
            <w:noWrap w:val="0"/>
            <w:vAlign w:val="center"/>
          </w:tcPr>
          <w:p>
            <w:pPr>
              <w:keepNext w:val="0"/>
              <w:keepLines w:val="0"/>
              <w:pageBreakBefore w:val="0"/>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水处理剂 阳离子型聚丙烯酰胺</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GB/T31246-20</w:t>
            </w:r>
            <w:r>
              <w:rPr>
                <w:rFonts w:hint="eastAsia" w:ascii="仿宋" w:hAnsi="仿宋" w:eastAsia="仿宋" w:cs="仿宋"/>
                <w:color w:val="000000"/>
                <w:sz w:val="21"/>
                <w:szCs w:val="21"/>
                <w:highlight w:val="none"/>
                <w:lang w:val="en-US" w:eastAsia="zh-CN"/>
              </w:rPr>
              <w:t>25</w:t>
            </w:r>
          </w:p>
          <w:p>
            <w:pPr>
              <w:keepNext w:val="0"/>
              <w:keepLines w:val="0"/>
              <w:pageBreakBefore w:val="0"/>
              <w:numPr>
                <w:ilvl w:val="0"/>
                <w:numId w:val="3"/>
              </w:numPr>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特性粘度（30℃）/（dL/g）≥3.0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阳离子度a/%：3.0-95.0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固含量/%≥90.0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丙烯酰胺单体含量（以干基计）/%≤0.10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溶解时间（1g/L）</w:t>
            </w:r>
            <w:r>
              <w:rPr>
                <w:rFonts w:hint="eastAsia" w:ascii="仿宋" w:hAnsi="仿宋" w:eastAsia="仿宋" w:cs="仿宋"/>
                <w:color w:val="000000"/>
                <w:sz w:val="21"/>
                <w:szCs w:val="21"/>
                <w:highlight w:val="none"/>
                <w:lang w:val="en-US" w:eastAsia="zh-CN"/>
              </w:rPr>
              <w:t>/min≤60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水不溶物/%≤0.2</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筛余物（1.70mm筛网）/%≤5</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筛余物（180</w:t>
            </w:r>
            <w:r>
              <w:rPr>
                <w:rFonts w:hint="eastAsia" w:ascii="仿宋" w:hAnsi="仿宋" w:eastAsia="仿宋" w:cs="仿宋"/>
                <w:i w:val="0"/>
                <w:iCs w:val="0"/>
                <w:caps w:val="0"/>
                <w:color w:val="333333"/>
                <w:spacing w:val="0"/>
                <w:sz w:val="21"/>
                <w:szCs w:val="21"/>
                <w:highlight w:val="none"/>
                <w:shd w:val="clear" w:color="auto" w:fill="FFFFFF"/>
              </w:rPr>
              <w:t>μm</w:t>
            </w:r>
            <w:r>
              <w:rPr>
                <w:rFonts w:hint="eastAsia" w:ascii="仿宋" w:hAnsi="仿宋" w:eastAsia="仿宋" w:cs="仿宋"/>
                <w:color w:val="000000"/>
                <w:sz w:val="21"/>
                <w:szCs w:val="21"/>
                <w:highlight w:val="none"/>
                <w:lang w:val="en-US" w:eastAsia="zh-CN"/>
              </w:rPr>
              <w:t>筛网）/%≥85</w:t>
            </w:r>
          </w:p>
          <w:p>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color w:val="000000"/>
                <w:sz w:val="21"/>
                <w:szCs w:val="21"/>
                <w:highlight w:val="none"/>
                <w:lang w:val="en-US" w:eastAsia="zh-CN"/>
              </w:rPr>
              <w:t>9、灼烧残渣/%≤2.5</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1"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标包二</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聚丙烯酰胺</w:t>
            </w:r>
          </w:p>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（PAM</w:t>
            </w:r>
            <w:r>
              <w:rPr>
                <w:rFonts w:hint="eastAsia" w:ascii="仿宋" w:hAnsi="仿宋" w:eastAsia="仿宋" w:cs="仿宋"/>
                <w:sz w:val="21"/>
                <w:szCs w:val="21"/>
                <w:highlight w:val="none"/>
                <w:lang w:eastAsia="zh-CN"/>
              </w:rPr>
              <w:t>阴</w:t>
            </w:r>
            <w:r>
              <w:rPr>
                <w:rFonts w:hint="eastAsia" w:ascii="仿宋" w:hAnsi="仿宋" w:eastAsia="仿宋" w:cs="仿宋"/>
                <w:sz w:val="21"/>
                <w:szCs w:val="21"/>
                <w:highlight w:val="none"/>
              </w:rPr>
              <w:t>离子</w:t>
            </w:r>
            <w:r>
              <w:rPr>
                <w:rFonts w:hint="eastAsia" w:ascii="仿宋" w:hAnsi="仿宋" w:eastAsia="仿宋" w:cs="仿宋"/>
                <w:sz w:val="21"/>
                <w:szCs w:val="21"/>
                <w:highlight w:val="none"/>
                <w:lang w:eastAsia="zh-CN"/>
              </w:rPr>
              <w:t>）</w:t>
            </w:r>
          </w:p>
        </w:tc>
        <w:tc>
          <w:tcPr>
            <w:tcW w:w="5155" w:type="dxa"/>
            <w:noWrap w:val="0"/>
            <w:vAlign w:val="center"/>
          </w:tcPr>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符合标准：《水处理剂 阴离子和非离子型聚丙烯酰胺》GB/T17514-2017</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1、固含量（固体）/%≥90.0</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2、丙烯酰胺单体含量（以干基计）/%≤0.02</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3、溶解时间（阴离子型）/min≤60</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4、筛余物（1.00mm筛网）/%≤2</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5、筛余物（180μm筛网）/%≥88</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6、水不溶物/%≤0.3</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7、氯化物含量/%≤0.5</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color w:val="000000"/>
                <w:sz w:val="21"/>
                <w:szCs w:val="21"/>
                <w:highlight w:val="none"/>
              </w:rPr>
              <w:t>8、硫酸盐含量/%≤1.0</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标包三</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液体</w:t>
            </w:r>
            <w:r>
              <w:rPr>
                <w:rFonts w:hint="eastAsia" w:ascii="仿宋" w:hAnsi="仿宋" w:eastAsia="仿宋" w:cs="仿宋"/>
                <w:sz w:val="21"/>
                <w:szCs w:val="21"/>
                <w:highlight w:val="none"/>
              </w:rPr>
              <w:t>三氯化铁</w:t>
            </w:r>
          </w:p>
        </w:tc>
        <w:tc>
          <w:tcPr>
            <w:tcW w:w="5155" w:type="dxa"/>
            <w:noWrap w:val="0"/>
            <w:vAlign w:val="center"/>
          </w:tcPr>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氯化铁》GB/T4482-2018</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1、铁（Fe3+）的质量分数≧11%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2、亚铁（Fe2+）的质量分数≦0.1%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3、不溶物质量分数≦0.5%</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4、游离酸的质量分数≦0.4%</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5、密度（20℃）/（g/cm³）≧1.4</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6、锌的质量分数≦0.0005%</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7、砷的质量分数≦0.0002%</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8、铅的质量分数≦0.0005%</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9、汞的质量分数≦0.00001%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10、镉的质量分数≦0.0001%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11、铬的质量分数≦0.0008%</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bl>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注：投标人应出具具备国家认定资质的第三方检测机构出具的有效的药剂检验/检测报告，证明所投标产品符合标准要求，否则投标无效。</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十、付款条件：</w:t>
      </w:r>
      <w:r>
        <w:rPr>
          <w:rFonts w:hint="eastAsia" w:ascii="仿宋" w:hAnsi="仿宋" w:eastAsia="仿宋" w:cs="仿宋"/>
          <w:b w:val="0"/>
          <w:bCs w:val="0"/>
          <w:sz w:val="24"/>
          <w:szCs w:val="24"/>
          <w:highlight w:val="none"/>
          <w:lang w:val="en-US" w:eastAsia="zh-CN"/>
        </w:rPr>
        <w:t>货到验收合格后招标人办理入库手续，双方每月定期对当月的药剂采购量和采购金额进行核对，中标单位应在采购量和采购金额核对无误后，及时开具增值税专用发票。招标人根据到厂物资报验单/送货单、验收入库单、增值税专用发票等作为结算确认依据。招标人每年安排三次付款，每次付款比例不超过当期账面应付账款的30%。</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标包一（固体聚丙烯酰胺（PAM阳离子））、标包二（固体聚丙烯酰胺（PAM阴离子））、标包三（液体三氯化铁）最终中标价格统一执行所有中标单位投标报价中分项报价（除税价）的最低价，中标候选单位如不能接受此价格，视为放弃中标资格，由综合得分排名次之的投标人中标，依次类推或重新招标。</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十二、中标单位售后服务要求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中标单位所报价的药剂单价包括但不限于药剂的采购、检测、包装、运输、保管、装卸、验收、售后服务及其他服务。中标单位需自接到招标人通知之日起3-7日内，将药剂运送至招标方指定地点，招标人不再另行支付其他任何费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2、中标单位产品包装规格严格执行国家、行业有关标准，同时应有利于药剂使用、仓储及物流运输，包装费用包含在药剂价格内；</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3、中标单位对所提供的药剂质量负责，提供的药剂必须符合国家、行业标准和合同约定标准，并与送交招标人的药剂检验合格证明中的检验结果保持一致。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中标单位所提供的产品到达现场后，招标人对产品质量和数量进行验收。数量验收方面，固定包装固体类药剂，现场清点确定。液体类药剂过磅计量确定。产品质量验收方面，招标方每月委托指定单位对中标单位供应药剂进行抽检，抽检结果不合格时：（1）如抽检不合格药剂尚未使用，招标人有权要求中标单位对抽检不合格批次药剂进行更换，因产品质量问题给招标方造成的一切损失由中标单位负责赔偿；（2）如抽检不合格药剂已经使用，招标人有权对中标单位该批次药剂不予结算采购金额（采购金额=药剂结算单价*经抽检确定为不合格的同批次药剂总量）。另外，因产品质量问题给招标人造成的一切损失亦由中标单位负责赔偿；</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5、药剂每月抽检的检测单位由招标人确定，抽检结果即为唯一最终结果，不接受质疑。中标单位委托其他检测单位进行药剂检验的结果，招标人不予认可。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6、鉴于药剂抽检检测过程中，不可避免存在误差。因此，如抽检结果与约定的指标要求的误差范围在±2%以内（含±2%），则视为抽检合格。</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7、鉴于药剂原材料市场价格不可避免存在波动，中标的综合单价除税金外，若价格因市场变化因素变动超过5%，对于超出部分经双方协商同意后，按双方协商意见，只对超出5%的部分进行调整。</w:t>
      </w:r>
    </w:p>
    <w:p>
      <w:pPr>
        <w:pStyle w:val="37"/>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6" w:name="_Toc16250"/>
      <w:r>
        <w:rPr>
          <w:rStyle w:val="125"/>
          <w:rFonts w:hint="eastAsia"/>
          <w:highlight w:val="none"/>
        </w:rPr>
        <w:t>第四部分  评标原则、程序与方法</w:t>
      </w:r>
    </w:p>
    <w:bookmarkEnd w:id="16"/>
    <w:p>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pPr>
        <w:pStyle w:val="2"/>
        <w:keepNext w:val="0"/>
        <w:keepLines w:val="0"/>
        <w:pageBreakBefore w:val="0"/>
        <w:widowControl w:val="0"/>
        <w:kinsoku/>
        <w:wordWrap/>
        <w:overflowPunct/>
        <w:topLinePunct w:val="0"/>
        <w:autoSpaceDE w:val="0"/>
        <w:autoSpaceDN w:val="0"/>
        <w:bidi w:val="0"/>
        <w:adjustRightInd w:val="0"/>
        <w:snapToGrid/>
        <w:ind w:firstLine="480" w:firstLineChars="200"/>
        <w:textAlignment w:val="auto"/>
        <w:rPr>
          <w:rFonts w:hint="default" w:eastAsia="仿宋"/>
          <w:highlight w:val="none"/>
          <w:lang w:val="en-US" w:eastAsia="zh-CN"/>
        </w:rPr>
      </w:pPr>
      <w:r>
        <w:rPr>
          <w:rFonts w:hint="eastAsia" w:eastAsia="仿宋"/>
          <w:highlight w:val="none"/>
          <w:lang w:val="en-US" w:eastAsia="zh-CN"/>
        </w:rPr>
        <w:t>各标包均适用</w:t>
      </w:r>
    </w:p>
    <w:tbl>
      <w:tblPr>
        <w:tblStyle w:val="42"/>
        <w:tblW w:w="9063" w:type="dxa"/>
        <w:jc w:val="center"/>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356" w:hRule="atLeast"/>
          <w:jc w:val="center"/>
        </w:trPr>
        <w:tc>
          <w:tcPr>
            <w:tcW w:w="1996" w:type="dxa"/>
            <w:noWrap w:val="0"/>
            <w:vAlign w:val="center"/>
          </w:tcPr>
          <w:p>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p>
            <w:pPr>
              <w:pStyle w:val="13"/>
              <w:spacing w:line="400" w:lineRule="exact"/>
              <w:ind w:left="0" w:leftChars="0" w:firstLine="0" w:firstLineChars="0"/>
              <w:rPr>
                <w:rFonts w:hint="default" w:ascii="仿宋" w:hAnsi="仿宋" w:eastAsia="仿宋" w:cs="仿宋"/>
                <w:kern w:val="0"/>
                <w:sz w:val="24"/>
                <w:szCs w:val="24"/>
                <w:highlight w:val="none"/>
                <w:lang w:val="en-US"/>
              </w:rPr>
            </w:pPr>
            <w:r>
              <w:rPr>
                <w:rFonts w:hint="eastAsia" w:ascii="仿宋" w:hAnsi="仿宋" w:eastAsia="仿宋" w:cs="仿宋"/>
                <w:kern w:val="0"/>
                <w:sz w:val="24"/>
                <w:szCs w:val="24"/>
                <w:highlight w:val="none"/>
                <w:lang w:val="en-US" w:eastAsia="zh-CN"/>
              </w:rPr>
              <w:t>注：按除税价格计算报价得分。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标包一指固体聚丙烯酰胺（PAM阳离子）供货业绩；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标包二指固体聚丙烯酰胺（PAM阴离子）供货业绩；</w:t>
            </w:r>
          </w:p>
          <w:p>
            <w:pPr>
              <w:pStyle w:val="13"/>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标包三指液体三氯化铁供货业绩。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pPr>
              <w:pStyle w:val="13"/>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pStyle w:val="13"/>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noWrap w:val="0"/>
            <w:vAlign w:val="center"/>
          </w:tcPr>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投标单位所报产品技术方面不能实质性满足招标文件要求的投标无效。能实质性满足招标文件要求的，由评委根据以下标准酌情打分：</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分-20分（含）】：投标人所报产品市场知名度及市场认知度高，提供国家认定资质的第三方检测机构出具的所投药剂的检验/检测报告检测报告复印件，质量可靠、安全性能稳定，产品的技术水平领先、技术参数等重要指标优于招标文件要求。</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【7分-14分（含）】：投标人所报产品市场知名度及市场认知度较高，质量可靠、安全性能稳定，产品的技术水平、技术参数以及重要指标满足招标文件要求.</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【0分-7分（含）】：投标人所报产品的技术水平、技术参数以及重要指标仅能满足招标文件要求。</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产品质量控制</w:t>
            </w:r>
          </w:p>
          <w:p>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方案和措施</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评委根据投标人提供的产品质量控制方案和措施按照以下标准酌情打分：</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分-15分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：质量控制方案和措施描述合理、全面；</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：质量控制方案和措施描述一般；</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：较差的。</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未提供产品质量控制方案和措施的本项不得分。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供货方案</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评标委员会根据投标文件中供货方案等进行分析比较，按照以下标准进行打分。</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含）】：投标人的供货方案、运输方案、应急预案全面、供货响应时间、紧急供货响应时间快速，安排内容全面；组织实施方案严谨、科学、可操作性强，能有效保证本项目的实施，具有明显的优势。</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【3分-6分（含）】：投标人供货方案、运输方案、应急预案较全面、供货响应时间、紧急供货响应时间整体较长；能够满足招标文件的需求，不具有突出优势。</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【0分-3分（含）】：投标人的供货方案、运输方案、应急预案整体一般、供货响应时间、紧急供货响应时间安排松散；组织不协调；实用性差。</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未提供供货方案的本项不得分。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售后及相关</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szCs w:val="24"/>
                <w:highlight w:val="none"/>
                <w:lang w:val="en-US" w:eastAsia="zh-CN"/>
              </w:rPr>
              <w:t>服务方案</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由评委审核根据投标单位提供的售后及相关服务方案按照以下标准酌情打分：</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：投标人提供的售后服务内容全面、措施完善，故障、技术支持响应时间快；</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投标人拟派售后服务技术人员多、经验丰富，能够很好的满足用户实际使用要求，有突出的售后服务优势；</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分-6分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：投标人提供的售后服务内容比较全面、服务措施比较完善，故障、技术支持响应时间偏长，能够满足用户实际使用要求；</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：投标人提供的售后服务内容比较简陋或存在部分缺陷，承诺的服务水平相对较低，仅能基本满足用户实际使用要求。</w:t>
            </w:r>
          </w:p>
          <w:p>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未提供售后及相关服务方案本项不得分。</w:t>
            </w:r>
          </w:p>
        </w:tc>
      </w:tr>
    </w:tbl>
    <w:p>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1、评标委员会根据招标文件载明的评标细则进行综合评审，并按评审后得分由高到低顺序排列，标包一（固体聚丙烯酰胺（PAM阳离子））、标包二（固体聚丙烯酰胺（PAM阴离子））、标包三（液体三氯化铁）</w:t>
      </w:r>
      <w:r>
        <w:rPr>
          <w:rFonts w:hint="eastAsia" w:ascii="仿宋" w:hAnsi="仿宋" w:eastAsia="仿宋" w:cs="仿宋"/>
          <w:bCs/>
          <w:sz w:val="24"/>
          <w:szCs w:val="24"/>
          <w:highlight w:val="none"/>
          <w:lang w:val="en-US" w:eastAsia="zh-CN"/>
        </w:rPr>
        <w:t>确定</w:t>
      </w:r>
      <w:r>
        <w:rPr>
          <w:rFonts w:hint="eastAsia" w:ascii="仿宋" w:hAnsi="仿宋" w:eastAsia="仿宋" w:cs="仿宋"/>
          <w:sz w:val="24"/>
          <w:szCs w:val="24"/>
          <w:highlight w:val="none"/>
          <w:lang w:val="en-US" w:eastAsia="zh-CN"/>
        </w:rPr>
        <w:t>排名前三名的为中标候选人</w:t>
      </w:r>
      <w:r>
        <w:rPr>
          <w:rFonts w:hint="eastAsia" w:ascii="仿宋" w:hAnsi="仿宋" w:eastAsia="仿宋" w:cs="仿宋"/>
          <w:bCs/>
          <w:sz w:val="24"/>
          <w:szCs w:val="24"/>
          <w:highlight w:val="none"/>
        </w:rPr>
        <w:t>。</w:t>
      </w:r>
    </w:p>
    <w:p>
      <w:pPr>
        <w:snapToGrid w:val="0"/>
        <w:spacing w:line="360" w:lineRule="auto"/>
        <w:ind w:firstLine="480" w:firstLineChars="200"/>
        <w:jc w:val="left"/>
        <w:rPr>
          <w:rFonts w:hint="eastAsia"/>
          <w:highlight w:val="none"/>
        </w:rPr>
      </w:pPr>
      <w:r>
        <w:rPr>
          <w:rFonts w:hint="eastAsia" w:ascii="仿宋" w:hAnsi="仿宋" w:eastAsia="仿宋" w:cs="仿宋"/>
          <w:bCs/>
          <w:sz w:val="24"/>
          <w:szCs w:val="24"/>
          <w:highlight w:val="none"/>
        </w:rPr>
        <w:t>2、评标结束后，公示无异议标包一（固体聚丙烯酰胺（PAM阳离子））、标包二（固体聚丙烯酰胺（PAM阴离子））、标包三（液体三氯化铁）确定排名前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w:t>
      </w:r>
      <w:r>
        <w:rPr>
          <w:rFonts w:hint="eastAsia" w:ascii="仿宋" w:hAnsi="仿宋" w:eastAsia="仿宋" w:cs="仿宋"/>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
          <w:bCs/>
          <w:sz w:val="24"/>
          <w:szCs w:val="24"/>
          <w:highlight w:val="none"/>
        </w:rPr>
        <w:t>标包一（固体聚丙烯酰胺（PAM阳离子））、标包二（固体聚丙烯酰胺（PAM阴离子））、标包三（液体三氯化铁）最终中标价格统一执行所有中标单位投标报价中分项报价</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除税价</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的最低价，中标候选单位如不能接受此价格，视为放弃中标资格，由综合得分排名次之的投标人中标，依次类推或重新招标。</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如发现中标候选人存在与招标文件、投标文件不符或弄虚作假等其它违法行为，经招标单位同意：取消中标候选人资格，由排名次之的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中标，依次类推或重新招标。</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签订合同或重新组织招标。</w:t>
      </w:r>
    </w:p>
    <w:p>
      <w:pPr>
        <w:jc w:val="center"/>
        <w:outlineLvl w:val="0"/>
        <w:rPr>
          <w:rStyle w:val="125"/>
          <w:highlight w:val="none"/>
        </w:rPr>
      </w:pPr>
      <w:r>
        <w:rPr>
          <w:rFonts w:hint="eastAsia" w:ascii="仿宋" w:hAnsi="仿宋" w:eastAsia="仿宋" w:cs="仿宋"/>
          <w:bCs/>
          <w:sz w:val="24"/>
          <w:szCs w:val="24"/>
          <w:highlight w:val="none"/>
        </w:rPr>
        <w:br w:type="page"/>
      </w:r>
      <w:bookmarkStart w:id="17" w:name="_Toc5498"/>
      <w:r>
        <w:rPr>
          <w:rStyle w:val="125"/>
          <w:rFonts w:hint="eastAsia"/>
          <w:highlight w:val="none"/>
        </w:rPr>
        <w:t>第五部分    投标文件（格式）</w:t>
      </w:r>
      <w:bookmarkEnd w:id="17"/>
    </w:p>
    <w:p>
      <w:pPr>
        <w:snapToGrid w:val="0"/>
        <w:spacing w:line="360" w:lineRule="auto"/>
        <w:ind w:firstLine="562" w:firstLineChars="200"/>
        <w:rPr>
          <w:rFonts w:hint="default"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注：投标文件格式除有特殊说明，其余内容所有标包均需提供</w:t>
      </w:r>
    </w:p>
    <w:p>
      <w:pPr>
        <w:jc w:val="center"/>
        <w:rPr>
          <w:rFonts w:hint="eastAsia" w:ascii="仿宋" w:hAnsi="仿宋" w:eastAsia="仿宋" w:cs="仿宋"/>
          <w:bCs/>
          <w:sz w:val="30"/>
          <w:szCs w:val="30"/>
          <w:highlight w:val="none"/>
        </w:rPr>
      </w:pPr>
    </w:p>
    <w:p>
      <w:pPr>
        <w:jc w:val="center"/>
        <w:rPr>
          <w:rFonts w:hint="eastAsia" w:ascii="仿宋" w:hAnsi="仿宋" w:eastAsia="仿宋" w:cs="仿宋"/>
          <w:bCs/>
          <w:sz w:val="30"/>
          <w:szCs w:val="30"/>
          <w:highlight w:val="none"/>
        </w:rPr>
      </w:pPr>
    </w:p>
    <w:p>
      <w:pPr>
        <w:jc w:val="center"/>
        <w:rPr>
          <w:rFonts w:hint="eastAsia" w:ascii="仿宋" w:hAnsi="仿宋" w:eastAsia="仿宋" w:cs="仿宋"/>
          <w:bCs/>
          <w:sz w:val="30"/>
          <w:szCs w:val="30"/>
          <w:highlight w:val="none"/>
        </w:rPr>
      </w:pPr>
    </w:p>
    <w:p>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pPr>
        <w:ind w:firstLine="900" w:firstLineChars="300"/>
        <w:jc w:val="left"/>
        <w:rPr>
          <w:rFonts w:ascii="仿宋" w:hAnsi="仿宋" w:eastAsia="仿宋" w:cs="仿宋"/>
          <w:bCs/>
          <w:sz w:val="30"/>
          <w:szCs w:val="30"/>
          <w:highlight w:val="none"/>
        </w:rPr>
      </w:pPr>
    </w:p>
    <w:p>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pPr>
        <w:ind w:firstLine="900" w:firstLineChars="300"/>
        <w:jc w:val="left"/>
        <w:rPr>
          <w:rFonts w:ascii="仿宋" w:hAnsi="仿宋" w:eastAsia="仿宋" w:cs="仿宋"/>
          <w:bCs/>
          <w:sz w:val="30"/>
          <w:szCs w:val="30"/>
          <w:highlight w:val="none"/>
        </w:rPr>
      </w:pPr>
    </w:p>
    <w:p>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pPr>
        <w:ind w:firstLine="900" w:firstLineChars="300"/>
        <w:jc w:val="left"/>
        <w:rPr>
          <w:rFonts w:hint="eastAsia" w:ascii="仿宋" w:hAnsi="仿宋" w:eastAsia="仿宋" w:cs="仿宋"/>
          <w:bCs/>
          <w:sz w:val="30"/>
          <w:szCs w:val="30"/>
          <w:highlight w:val="none"/>
        </w:rPr>
      </w:pPr>
    </w:p>
    <w:p>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pPr>
        <w:ind w:firstLine="900" w:firstLineChars="300"/>
        <w:jc w:val="left"/>
        <w:rPr>
          <w:rFonts w:hint="eastAsia" w:ascii="仿宋" w:hAnsi="仿宋" w:eastAsia="仿宋" w:cs="仿宋"/>
          <w:bCs/>
          <w:sz w:val="30"/>
          <w:szCs w:val="30"/>
          <w:highlight w:val="none"/>
        </w:rPr>
      </w:pPr>
    </w:p>
    <w:p>
      <w:pPr>
        <w:pStyle w:val="2"/>
        <w:rPr>
          <w:rFonts w:hint="eastAsia"/>
          <w:highlight w:val="none"/>
        </w:rPr>
      </w:pPr>
    </w:p>
    <w:p>
      <w:pPr>
        <w:ind w:firstLine="900" w:firstLineChars="300"/>
        <w:jc w:val="left"/>
        <w:rPr>
          <w:rFonts w:hint="eastAsia" w:ascii="仿宋" w:hAnsi="仿宋" w:eastAsia="仿宋" w:cs="仿宋"/>
          <w:bCs/>
          <w:sz w:val="30"/>
          <w:szCs w:val="30"/>
          <w:highlight w:val="none"/>
        </w:rPr>
      </w:pPr>
    </w:p>
    <w:p>
      <w:pPr>
        <w:pStyle w:val="24"/>
        <w:rPr>
          <w:rFonts w:ascii="仿宋" w:hAnsi="仿宋" w:eastAsia="仿宋" w:cs="仿宋"/>
          <w:kern w:val="0"/>
          <w:sz w:val="30"/>
          <w:szCs w:val="30"/>
          <w:highlight w:val="none"/>
        </w:rPr>
      </w:pPr>
    </w:p>
    <w:p>
      <w:pPr>
        <w:pStyle w:val="37"/>
        <w:rPr>
          <w:rFonts w:ascii="仿宋" w:hAnsi="仿宋" w:eastAsia="仿宋" w:cs="仿宋"/>
          <w:sz w:val="30"/>
          <w:szCs w:val="30"/>
          <w:highlight w:val="none"/>
        </w:rPr>
      </w:pPr>
    </w:p>
    <w:p>
      <w:pPr>
        <w:pStyle w:val="37"/>
        <w:rPr>
          <w:rFonts w:ascii="仿宋" w:hAnsi="仿宋" w:eastAsia="仿宋" w:cs="仿宋"/>
          <w:sz w:val="30"/>
          <w:szCs w:val="30"/>
          <w:highlight w:val="none"/>
        </w:rPr>
      </w:pPr>
    </w:p>
    <w:p>
      <w:pPr>
        <w:pStyle w:val="37"/>
        <w:rPr>
          <w:rFonts w:ascii="仿宋" w:hAnsi="仿宋" w:eastAsia="仿宋" w:cs="仿宋"/>
          <w:sz w:val="30"/>
          <w:szCs w:val="30"/>
          <w:highlight w:val="none"/>
        </w:rPr>
      </w:pPr>
    </w:p>
    <w:p>
      <w:pPr>
        <w:pStyle w:val="37"/>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pPr>
        <w:jc w:val="center"/>
        <w:rPr>
          <w:rFonts w:ascii="仿宋" w:hAnsi="仿宋" w:eastAsia="仿宋" w:cs="仿宋"/>
          <w:b/>
          <w:bCs/>
          <w:sz w:val="24"/>
          <w:szCs w:val="24"/>
          <w:highlight w:val="none"/>
        </w:rPr>
      </w:pPr>
    </w:p>
    <w:p>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pPr>
        <w:pStyle w:val="24"/>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WHSW-SWT2026-001</w:t>
      </w:r>
    </w:p>
    <w:p>
      <w:pPr>
        <w:pStyle w:val="24"/>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威海水务投资有限责任公司选定PAM阳离子、PAM阴离子、三氯化铁、单过硫酸氢钾消毒剂、复合碳源年度供应商</w:t>
      </w:r>
    </w:p>
    <w:tbl>
      <w:tblPr>
        <w:tblStyle w:val="42"/>
        <w:tblW w:w="96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noWrap w:val="0"/>
            <w:vAlign w:val="center"/>
          </w:tcPr>
          <w:p>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除税</w:t>
            </w:r>
            <w:r>
              <w:rPr>
                <w:rFonts w:hint="eastAsia" w:ascii="仿宋" w:hAnsi="仿宋" w:eastAsia="仿宋" w:cs="仿宋"/>
                <w:sz w:val="24"/>
                <w:highlight w:val="none"/>
                <w:lang w:eastAsia="zh-CN"/>
              </w:rPr>
              <w:t>）</w:t>
            </w:r>
          </w:p>
        </w:tc>
        <w:tc>
          <w:tcPr>
            <w:tcW w:w="6391" w:type="dxa"/>
            <w:noWrap w:val="0"/>
            <w:vAlign w:val="center"/>
          </w:tcPr>
          <w:p>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pPr>
              <w:spacing w:line="240" w:lineRule="auto"/>
              <w:jc w:val="left"/>
              <w:rPr>
                <w:rFonts w:hint="eastAsia" w:ascii="仿宋" w:hAnsi="仿宋" w:eastAsia="仿宋" w:cs="仿宋"/>
                <w:color w:val="auto"/>
                <w:kern w:val="2"/>
                <w:sz w:val="24"/>
                <w:szCs w:val="24"/>
                <w:highlight w:val="none"/>
                <w:u w:val="singl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none"/>
              </w:rPr>
              <w:t>自接到招标人通知之日起，按照通知要求在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rPr>
              <w:t>日内将货物运抵招标人指定地点，药剂按批次采购，单次实际采购量以招标人通知为准。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3"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pPr>
        <w:snapToGrid w:val="0"/>
        <w:spacing w:line="360" w:lineRule="auto"/>
        <w:ind w:firstLine="240" w:firstLineChars="100"/>
        <w:jc w:val="left"/>
        <w:rPr>
          <w:rFonts w:hint="eastAsia" w:ascii="仿宋" w:hAnsi="仿宋" w:eastAsia="仿宋" w:cs="仿宋"/>
          <w:sz w:val="24"/>
          <w:szCs w:val="24"/>
          <w:highlight w:val="none"/>
          <w:lang w:val="en-US" w:eastAsia="zh-CN"/>
        </w:rPr>
      </w:pPr>
    </w:p>
    <w:p>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注：1.报价声明用于填写除总报价、服务期、供货期、质量标准、税率外的其它主要内容，由投标人自行确定，做到言简意赅无歧义。</w:t>
      </w:r>
    </w:p>
    <w:p>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pPr>
        <w:pStyle w:val="2"/>
        <w:rPr>
          <w:rFonts w:hint="eastAsia"/>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报价明细表（根据所投标包自行选择）</w:t>
      </w:r>
    </w:p>
    <w:p>
      <w:pPr>
        <w:pStyle w:val="2"/>
        <w:jc w:val="center"/>
        <w:rPr>
          <w:rFonts w:hint="eastAsia"/>
          <w:highlight w:val="none"/>
          <w:lang w:val="en-US" w:eastAsia="zh-CN"/>
        </w:rPr>
      </w:pPr>
      <w:r>
        <w:rPr>
          <w:rFonts w:hint="eastAsia" w:ascii="仿宋" w:hAnsi="仿宋" w:eastAsia="仿宋" w:cs="仿宋"/>
          <w:b/>
          <w:bCs/>
          <w:kern w:val="2"/>
          <w:sz w:val="30"/>
          <w:szCs w:val="30"/>
          <w:highlight w:val="none"/>
          <w:lang w:val="en-US" w:eastAsia="zh-CN" w:bidi="ar-SA"/>
        </w:rPr>
        <w:t>标包一</w:t>
      </w:r>
    </w:p>
    <w:tbl>
      <w:tblPr>
        <w:tblStyle w:val="42"/>
        <w:tblW w:w="1607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55"/>
        <w:gridCol w:w="967"/>
        <w:gridCol w:w="4394"/>
        <w:gridCol w:w="825"/>
        <w:gridCol w:w="1095"/>
        <w:gridCol w:w="1515"/>
        <w:gridCol w:w="1275"/>
        <w:gridCol w:w="1590"/>
        <w:gridCol w:w="1125"/>
        <w:gridCol w:w="1230"/>
        <w:gridCol w:w="13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85" w:hRule="atLeast"/>
          <w:jc w:val="center"/>
        </w:trPr>
        <w:tc>
          <w:tcPr>
            <w:tcW w:w="7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43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控制单价（元）（除税）</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控制合价（元）（除税）</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default"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default"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49" w:hRule="atLeast"/>
          <w:jc w:val="center"/>
        </w:trPr>
        <w:tc>
          <w:tcPr>
            <w:tcW w:w="7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固体聚丙烯酰胺（PAM阳离子）</w:t>
            </w:r>
          </w:p>
        </w:tc>
        <w:tc>
          <w:tcPr>
            <w:tcW w:w="43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阳离子型聚丙烯酰胺》GB/T31246-2025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1、特性粘度（30℃）/（dL/g）≥3.0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2、阳离子度a/%：3.0-95.0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3、固含量/%≥90.0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4、丙烯酰胺单体含量（以干基计）/%≤0.10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5、溶解时间（1g/L）/min≤60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6、水不溶物/%≤0.2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7、筛余物（1.70mm筛网）/%≤5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8、筛余物（180μm筛网）/%≥85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9、灼烧残渣/%≤2.5</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280</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7858.40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2200352.00</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3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2.以上价格均为除税价格。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6.最终中标价格统一执行所有中标单位投标报价中分项报价（除税价）的最低价，中标候选单位如不能接受此价格，视为放弃中标资格，由综合得分排名次之的投标人中标，依次类推或重新招标。</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4"/>
          <w:szCs w:val="24"/>
          <w:highlight w:val="none"/>
        </w:rPr>
        <w:t>日期：</w:t>
      </w:r>
    </w:p>
    <w:p>
      <w:pPr>
        <w:jc w:val="center"/>
        <w:rPr>
          <w:rFonts w:hint="eastAsia"/>
          <w:highlight w:val="none"/>
          <w:lang w:val="en-US" w:eastAsia="zh-CN"/>
        </w:rPr>
      </w:pPr>
      <w:r>
        <w:rPr>
          <w:rFonts w:hint="eastAsia" w:ascii="仿宋" w:hAnsi="仿宋" w:eastAsia="仿宋" w:cs="仿宋"/>
          <w:b/>
          <w:bCs/>
          <w:kern w:val="2"/>
          <w:sz w:val="30"/>
          <w:szCs w:val="30"/>
          <w:highlight w:val="none"/>
          <w:lang w:val="en-US" w:eastAsia="zh-CN" w:bidi="ar-SA"/>
        </w:rPr>
        <w:t>标包二</w:t>
      </w:r>
    </w:p>
    <w:tbl>
      <w:tblPr>
        <w:tblStyle w:val="42"/>
        <w:tblW w:w="1591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967"/>
        <w:gridCol w:w="5183"/>
        <w:gridCol w:w="679"/>
        <w:gridCol w:w="905"/>
        <w:gridCol w:w="1516"/>
        <w:gridCol w:w="1367"/>
        <w:gridCol w:w="1567"/>
        <w:gridCol w:w="1066"/>
        <w:gridCol w:w="861"/>
        <w:gridCol w:w="10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25"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控制单价（元）（除税）</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控制合价（元）（除税）</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4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固体聚丙烯酰胺</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（PAM阴离子）</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阴离子和非离子型聚丙烯酰胺》GB/T17514-2017</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1、固含量（固体）/%≥90.0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2、丙烯酰胺单体含量（以干基计）/%≤0.02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3、溶解时间（阴离子型）/min≤60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4、筛余物（1.00mm筛网）/%≤2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5、筛余物（180μm筛网）/%≥88</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6、水不溶物/%≤0.3</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7、氯化物含量/%≤0.5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8、硫酸盐含量/%≤1.0</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190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5654.86</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1074423.40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2.以上价格均为除税价格。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1"/>
          <w:szCs w:val="21"/>
          <w:highlight w:val="none"/>
          <w:lang w:val="en-US" w:eastAsia="zh-CN"/>
        </w:rPr>
        <w:t>6.最终中标价格统一执行所有中标单位投标报价中分项报价（除税价）的最低价，中标候选单位如不能接受此价格，视为放弃中标资格，由综合得分排名次之的投标人中标，依次类推或重新招标。</w:t>
      </w: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jc w:val="center"/>
        <w:rPr>
          <w:rFonts w:hint="eastAsia"/>
          <w:highlight w:val="none"/>
          <w:lang w:val="en-US" w:eastAsia="zh-CN"/>
        </w:rPr>
      </w:pPr>
      <w:r>
        <w:rPr>
          <w:rFonts w:hint="eastAsia" w:ascii="仿宋" w:hAnsi="仿宋" w:eastAsia="仿宋" w:cs="仿宋"/>
          <w:b/>
          <w:bCs/>
          <w:sz w:val="30"/>
          <w:szCs w:val="30"/>
          <w:highlight w:val="none"/>
        </w:rPr>
        <w:br w:type="page"/>
      </w:r>
      <w:r>
        <w:rPr>
          <w:rFonts w:hint="eastAsia" w:ascii="仿宋" w:hAnsi="仿宋" w:eastAsia="仿宋" w:cs="仿宋"/>
          <w:b/>
          <w:bCs/>
          <w:kern w:val="2"/>
          <w:sz w:val="30"/>
          <w:szCs w:val="30"/>
          <w:highlight w:val="none"/>
          <w:lang w:val="en-US" w:eastAsia="zh-CN" w:bidi="ar-SA"/>
        </w:rPr>
        <w:t>标包三</w:t>
      </w:r>
    </w:p>
    <w:tbl>
      <w:tblPr>
        <w:tblStyle w:val="42"/>
        <w:tblW w:w="15861"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3"/>
        <w:gridCol w:w="955"/>
        <w:gridCol w:w="5183"/>
        <w:gridCol w:w="648"/>
        <w:gridCol w:w="936"/>
        <w:gridCol w:w="1516"/>
        <w:gridCol w:w="1367"/>
        <w:gridCol w:w="1567"/>
        <w:gridCol w:w="1066"/>
        <w:gridCol w:w="890"/>
        <w:gridCol w:w="1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63" w:hRule="atLeast"/>
          <w:jc w:val="center"/>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控制单价（元）（除税）</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控制合价（元）（除税）</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49" w:hRule="atLeast"/>
          <w:jc w:val="center"/>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液体三氯化铁</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氯化铁》GB/T4482-2018</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1、铁（Fe3+）的质量分数≧11%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2、亚铁（Fe2+）的质量分数≦0.1%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3、不溶物质量分数≦0.5%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4、游离酸的质量分数≦0.4%</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5、密度（20℃）/（g/cm³）≧1.4</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6、锌的质量分数≦0.0005%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7、砷的质量分数≦0.0002%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8、铅的质量分数≦0.0005%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9、汞的质量分数≦0.00001%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10、镉的质量分数≦0.0001%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11、铬的质量分数≦0.0008%</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7600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highlight w:val="none"/>
              </w:rPr>
              <w:t>264.60</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2010960.00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2.以上价格均为除税价格。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snapToGrid w:val="0"/>
        <w:spacing w:line="360" w:lineRule="auto"/>
        <w:ind w:firstLine="630" w:firstLineChars="300"/>
        <w:jc w:val="left"/>
        <w:rPr>
          <w:rFonts w:hint="default" w:ascii="仿宋" w:hAnsi="仿宋" w:eastAsia="仿宋" w:cs="仿宋"/>
          <w:sz w:val="24"/>
          <w:szCs w:val="24"/>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6.最终中标价格统一执行所有中标单位投标报价中分项报价（除税价）的最低价，中标候选单位如不能接受此价格，视为放弃中标资格，由综合得分排名次之的投标人中标，依次类推或重新招标。</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ind w:firstLine="301" w:firstLineChars="100"/>
        <w:jc w:val="both"/>
        <w:rPr>
          <w:rFonts w:hint="eastAsia" w:ascii="仿宋" w:hAnsi="仿宋" w:eastAsia="仿宋" w:cs="仿宋"/>
          <w:b/>
          <w:bCs/>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sz w:val="30"/>
          <w:szCs w:val="30"/>
          <w:highlight w:val="none"/>
        </w:rPr>
        <w:br w:type="page"/>
      </w:r>
      <w:bookmarkStart w:id="18" w:name="_Toc103329621"/>
    </w:p>
    <w:p>
      <w:pPr>
        <w:keepNext/>
        <w:keepLines/>
        <w:spacing w:before="120" w:after="120" w:line="560" w:lineRule="exact"/>
        <w:jc w:val="center"/>
        <w:outlineLvl w:val="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承诺</w:t>
      </w:r>
      <w:bookmarkEnd w:id="18"/>
      <w:r>
        <w:rPr>
          <w:rFonts w:hint="eastAsia" w:ascii="仿宋" w:hAnsi="仿宋" w:eastAsia="仿宋" w:cs="仿宋"/>
          <w:b/>
          <w:bCs/>
          <w:sz w:val="36"/>
          <w:szCs w:val="36"/>
          <w:highlight w:val="none"/>
        </w:rPr>
        <w:t>函</w:t>
      </w:r>
    </w:p>
    <w:p>
      <w:pPr>
        <w:spacing w:line="460" w:lineRule="exact"/>
        <w:ind w:left="1747" w:leftChars="832"/>
        <w:jc w:val="center"/>
        <w:rPr>
          <w:rFonts w:hint="eastAsia" w:ascii="仿宋" w:hAnsi="仿宋" w:eastAsia="仿宋" w:cs="仿宋"/>
          <w:b/>
          <w:bCs/>
          <w:color w:val="000000"/>
          <w:sz w:val="24"/>
          <w:szCs w:val="24"/>
          <w:highlight w:val="none"/>
        </w:rPr>
      </w:pPr>
    </w:p>
    <w:p>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本单位郑重声明：</w:t>
      </w:r>
    </w:p>
    <w:p>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若我单位成为中标候选人，</w:t>
      </w:r>
      <w:r>
        <w:rPr>
          <w:rFonts w:hint="eastAsia" w:ascii="仿宋" w:hAnsi="仿宋" w:eastAsia="仿宋" w:cs="仿宋"/>
          <w:bCs/>
          <w:color w:val="000000"/>
          <w:sz w:val="24"/>
          <w:szCs w:val="24"/>
          <w:highlight w:val="none"/>
          <w:u w:val="single"/>
        </w:rPr>
        <w:t>（响应/不响应）</w:t>
      </w:r>
      <w:r>
        <w:rPr>
          <w:rFonts w:hint="eastAsia" w:ascii="仿宋" w:hAnsi="仿宋" w:eastAsia="仿宋" w:cs="仿宋"/>
          <w:bCs/>
          <w:color w:val="000000"/>
          <w:sz w:val="24"/>
          <w:szCs w:val="24"/>
          <w:highlight w:val="none"/>
        </w:rPr>
        <w:t>中标价执行所有中标人报价最低价的规定；</w:t>
      </w:r>
    </w:p>
    <w:p>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若不响应，</w:t>
      </w:r>
      <w:r>
        <w:rPr>
          <w:rFonts w:hint="eastAsia" w:ascii="仿宋" w:hAnsi="仿宋" w:eastAsia="仿宋" w:cs="仿宋"/>
          <w:bCs/>
          <w:color w:val="000000"/>
          <w:sz w:val="24"/>
          <w:szCs w:val="24"/>
          <w:highlight w:val="none"/>
        </w:rPr>
        <w:t>视为放弃中标资格。</w:t>
      </w:r>
    </w:p>
    <w:p>
      <w:pPr>
        <w:spacing w:line="480" w:lineRule="exact"/>
        <w:rPr>
          <w:rFonts w:hint="eastAsia" w:ascii="仿宋" w:hAnsi="仿宋" w:eastAsia="仿宋" w:cs="仿宋"/>
          <w:bCs/>
          <w:color w:val="000000"/>
          <w:sz w:val="24"/>
          <w:szCs w:val="24"/>
          <w:highlight w:val="none"/>
        </w:rPr>
      </w:pPr>
    </w:p>
    <w:p>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特此声明！</w:t>
      </w:r>
    </w:p>
    <w:p>
      <w:pPr>
        <w:spacing w:line="480" w:lineRule="exact"/>
        <w:rPr>
          <w:rFonts w:hint="eastAsia" w:ascii="仿宋" w:hAnsi="仿宋" w:eastAsia="仿宋" w:cs="仿宋"/>
          <w:bCs/>
          <w:color w:val="000000"/>
          <w:sz w:val="24"/>
          <w:szCs w:val="24"/>
          <w:highlight w:val="none"/>
        </w:rPr>
      </w:pPr>
    </w:p>
    <w:p>
      <w:pPr>
        <w:spacing w:line="480" w:lineRule="auto"/>
        <w:rPr>
          <w:rFonts w:hint="eastAsia" w:ascii="仿宋" w:hAnsi="仿宋" w:eastAsia="仿宋" w:cs="仿宋"/>
          <w:bCs/>
          <w:color w:val="000000"/>
          <w:sz w:val="24"/>
          <w:szCs w:val="24"/>
          <w:highlight w:val="none"/>
        </w:rPr>
      </w:pPr>
    </w:p>
    <w:p>
      <w:pPr>
        <w:spacing w:line="480" w:lineRule="auto"/>
        <w:rPr>
          <w:rFonts w:hint="eastAsia" w:ascii="仿宋" w:hAnsi="仿宋" w:eastAsia="仿宋" w:cs="仿宋"/>
          <w:bCs/>
          <w:color w:val="000000"/>
          <w:sz w:val="24"/>
          <w:szCs w:val="24"/>
          <w:highlight w:val="none"/>
        </w:rPr>
      </w:pPr>
    </w:p>
    <w:p>
      <w:pPr>
        <w:spacing w:line="480" w:lineRule="auto"/>
        <w:rPr>
          <w:rFonts w:hint="eastAsia" w:ascii="仿宋" w:hAnsi="仿宋" w:eastAsia="仿宋" w:cs="仿宋"/>
          <w:bCs/>
          <w:color w:val="000000"/>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pStyle w:val="2"/>
        <w:rPr>
          <w:rFonts w:hint="eastAsia" w:ascii="仿宋" w:hAnsi="仿宋" w:eastAsia="仿宋" w:cs="仿宋"/>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default" w:eastAsia="仿宋"/>
          <w:b/>
          <w:bCs/>
          <w:highlight w:val="none"/>
          <w:lang w:val="en-US" w:eastAsia="zh-CN"/>
        </w:rPr>
      </w:pPr>
      <w:r>
        <w:rPr>
          <w:rFonts w:hint="eastAsia" w:ascii="仿宋" w:hAnsi="仿宋" w:eastAsia="仿宋" w:cs="仿宋"/>
          <w:b/>
          <w:bCs/>
          <w:sz w:val="24"/>
          <w:szCs w:val="24"/>
          <w:highlight w:val="none"/>
          <w:lang w:val="en-US" w:eastAsia="zh-CN"/>
        </w:rPr>
        <w:t>注：标包一（固体聚丙烯酰胺（PAM阳离子））、标包二（固体聚丙烯酰胺（PAM阴离子））、标包三（液体三氯化铁）需填写。</w:t>
      </w:r>
    </w:p>
    <w:p>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投标人信用承诺书</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为营造公平竞争、规范有序的市场环境，树立诚信守法经营形象。本单位郑重承诺：</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二、我方在本次采购活动中绝无资质挂靠、串标、围标情形，若经贵方查出，立即取消我方中标（成交）资格并承担相应的法律责任。</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三、我方在以往的采购活动中，无重大违法、违规的不良记录；或虽有不良记录，但已超过处理期限。</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四、我方一旦中标（成交），将按规定及时与贵方签订合同，严格按照投标（报价）文件中所承诺的报价、质量、服务期等内容组织实施。</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五、自觉接受社会各界的监督，依法接受有关行政机关的事中事后监管和执法检查，并如实提供有关情况和材料。</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六、严格遵守国家法律、法规、规章和相关政策的规定，积极参与社会信用体系建设，倡导树立以信笃行，以诚兴业的传统美德，争当信用市民，争创信用企业。</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七、我方承诺我单位、法定代表人、授权委托人近三年内无行贿犯罪记录。如有不实，愿意承担一切后果。</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八、我方或代理人承诺不向贵方工作人员提供正常业务接待以外的宴请、度假、旅游、娱乐（包括但不限于到营业性的会所、夜总会、桑拿、按摩和高尔夫球场）等消费，不参加贵方工作人员的婚丧喜庆等活动。</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九、我方或代理人承诺不向贵方工作人员支付应由其个人支付的各项费用（包括但不限于住宅装修、婚丧嫁娶、旅游、度假、食宿、购物、学费、子女出国留学等）。</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十、我方或代理人承诺不接受贵方工作人员介绍、指定或限定的工程分包单位、物资供应商、物资设备等。</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一、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十二、本《信用承诺书》同意向社会公开。</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pPr>
        <w:pStyle w:val="37"/>
        <w:jc w:val="center"/>
        <w:rPr>
          <w:rFonts w:hint="eastAsia" w:ascii="仿宋" w:hAnsi="仿宋" w:eastAsia="仿宋" w:cs="仿宋"/>
          <w:b/>
          <w:bCs/>
          <w:kern w:val="2"/>
          <w:sz w:val="36"/>
          <w:szCs w:val="36"/>
          <w:highlight w:val="none"/>
        </w:rPr>
      </w:pPr>
    </w:p>
    <w:p>
      <w:pPr>
        <w:pStyle w:val="37"/>
        <w:jc w:val="both"/>
        <w:rPr>
          <w:rFonts w:hint="eastAsia" w:ascii="仿宋" w:hAnsi="仿宋" w:eastAsia="仿宋" w:cs="仿宋"/>
          <w:b/>
          <w:bCs/>
          <w:kern w:val="2"/>
          <w:sz w:val="36"/>
          <w:szCs w:val="36"/>
          <w:highlight w:val="none"/>
        </w:rPr>
      </w:pPr>
    </w:p>
    <w:p>
      <w:pPr>
        <w:pStyle w:val="37"/>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pPr>
        <w:pStyle w:val="24"/>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pPr>
        <w:pStyle w:val="24"/>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2"/>
        <w:tblW w:w="87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5" w:hRule="atLeast"/>
          <w:jc w:val="center"/>
        </w:trPr>
        <w:tc>
          <w:tcPr>
            <w:tcW w:w="2350"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8" w:hRule="atLeast"/>
          <w:jc w:val="center"/>
        </w:trPr>
        <w:tc>
          <w:tcPr>
            <w:tcW w:w="2350"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8" w:hRule="atLeast"/>
          <w:jc w:val="center"/>
        </w:trPr>
        <w:tc>
          <w:tcPr>
            <w:tcW w:w="2350"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7" w:hRule="atLeast"/>
          <w:jc w:val="center"/>
        </w:trPr>
        <w:tc>
          <w:tcPr>
            <w:tcW w:w="435" w:type="dxa"/>
            <w:vMerge w:val="restart"/>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140"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140"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54" w:hRule="atLeast"/>
          <w:jc w:val="center"/>
        </w:trPr>
        <w:tc>
          <w:tcPr>
            <w:tcW w:w="8758" w:type="dxa"/>
            <w:gridSpan w:val="6"/>
            <w:noWrap w:val="0"/>
            <w:vAlign w:val="top"/>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22" w:hRule="atLeast"/>
          <w:jc w:val="center"/>
        </w:trPr>
        <w:tc>
          <w:tcPr>
            <w:tcW w:w="8758" w:type="dxa"/>
            <w:gridSpan w:val="6"/>
            <w:noWrap w:val="0"/>
            <w:vAlign w:val="top"/>
          </w:tcPr>
          <w:p>
            <w:pPr>
              <w:spacing w:line="440" w:lineRule="exact"/>
              <w:rPr>
                <w:rFonts w:hint="eastAsia" w:ascii="仿宋" w:hAnsi="仿宋" w:eastAsia="仿宋" w:cs="仿宋"/>
                <w:sz w:val="24"/>
                <w:szCs w:val="24"/>
                <w:highlight w:val="none"/>
              </w:rPr>
            </w:pPr>
          </w:p>
        </w:tc>
      </w:tr>
    </w:tbl>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pPr>
        <w:pStyle w:val="24"/>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2"/>
        <w:tblW w:w="94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2379" w:type="dxa"/>
            <w:gridSpan w:val="3"/>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pPr>
              <w:spacing w:line="440" w:lineRule="exact"/>
              <w:ind w:left="507"/>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7"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2379" w:type="dxa"/>
            <w:gridSpan w:val="3"/>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2"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7"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1840"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6" w:hRule="atLeast"/>
          <w:jc w:val="center"/>
        </w:trPr>
        <w:tc>
          <w:tcPr>
            <w:tcW w:w="606" w:type="dxa"/>
            <w:vMerge w:val="restart"/>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1790"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1790"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2" w:hRule="atLeast"/>
          <w:jc w:val="center"/>
        </w:trPr>
        <w:tc>
          <w:tcPr>
            <w:tcW w:w="9498" w:type="dxa"/>
            <w:gridSpan w:val="7"/>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69" w:hRule="atLeast"/>
          <w:jc w:val="center"/>
        </w:trPr>
        <w:tc>
          <w:tcPr>
            <w:tcW w:w="9498" w:type="dxa"/>
            <w:gridSpan w:val="7"/>
            <w:noWrap w:val="0"/>
            <w:vAlign w:val="center"/>
          </w:tcPr>
          <w:p>
            <w:pPr>
              <w:spacing w:line="440" w:lineRule="exact"/>
              <w:jc w:val="center"/>
              <w:rPr>
                <w:rFonts w:hint="eastAsia" w:ascii="仿宋" w:hAnsi="仿宋" w:eastAsia="仿宋" w:cs="仿宋"/>
                <w:sz w:val="24"/>
                <w:highlight w:val="none"/>
              </w:rPr>
            </w:pP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19"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涉及的各类许可证及许可批件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产品检测报告、资格证明文件等材料的扫描件</w:t>
      </w:r>
      <w:r>
        <w:rPr>
          <w:rFonts w:hint="eastAsia" w:ascii="仿宋" w:hAnsi="仿宋" w:eastAsia="仿宋" w:cs="仿宋"/>
          <w:b/>
          <w:sz w:val="24"/>
          <w:szCs w:val="24"/>
          <w:highlight w:val="none"/>
        </w:rPr>
        <w:t>。</w:t>
      </w:r>
    </w:p>
    <w:bookmarkEnd w:id="19"/>
    <w:p>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生产商授权书、本次采购内容涉及的各类许可证及许可批件、产品检测报告、资格证明文件等材料的扫描件。</w:t>
      </w:r>
    </w:p>
    <w:p>
      <w:pPr>
        <w:snapToGrid w:val="0"/>
        <w:spacing w:line="360" w:lineRule="auto"/>
        <w:ind w:firstLine="240" w:firstLineChars="100"/>
        <w:rPr>
          <w:rFonts w:hint="default" w:ascii="仿宋" w:hAnsi="仿宋" w:eastAsia="仿宋" w:cs="仿宋"/>
          <w:sz w:val="24"/>
          <w:szCs w:val="24"/>
          <w:highlight w:val="none"/>
          <w:lang w:val="en-US" w:eastAsia="zh-CN"/>
        </w:rPr>
      </w:pPr>
    </w:p>
    <w:p>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28"/>
          <w:szCs w:val="21"/>
          <w:highlight w:val="none"/>
          <w:lang w:val="en-US" w:eastAsia="zh-CN" w:bidi="ar-SA"/>
        </w:rPr>
        <w:t>关联关系声明函</w:t>
      </w:r>
    </w:p>
    <w:p>
      <w:pPr>
        <w:spacing w:line="480" w:lineRule="exact"/>
        <w:rPr>
          <w:rFonts w:hint="eastAsia"/>
          <w:bCs/>
          <w:color w:val="auto"/>
          <w:highlight w:val="none"/>
        </w:rPr>
      </w:pPr>
    </w:p>
    <w:p>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pPr>
        <w:spacing w:line="560" w:lineRule="exact"/>
        <w:ind w:firstLine="480" w:firstLineChars="200"/>
        <w:rPr>
          <w:rFonts w:hint="eastAsia" w:ascii="仿宋" w:hAnsi="仿宋" w:eastAsia="仿宋" w:cs="仿宋"/>
          <w:color w:val="auto"/>
          <w:sz w:val="24"/>
          <w:szCs w:val="24"/>
          <w:highlight w:val="none"/>
        </w:rPr>
      </w:pPr>
    </w:p>
    <w:p>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pPr>
        <w:spacing w:line="560" w:lineRule="exact"/>
        <w:rPr>
          <w:rFonts w:hint="eastAsia" w:ascii="仿宋" w:hAnsi="仿宋" w:eastAsia="仿宋" w:cs="仿宋"/>
          <w:color w:val="auto"/>
          <w:sz w:val="24"/>
          <w:szCs w:val="24"/>
          <w:highlight w:val="none"/>
        </w:rPr>
      </w:pPr>
    </w:p>
    <w:p>
      <w:pPr>
        <w:spacing w:line="560" w:lineRule="exact"/>
        <w:rPr>
          <w:rFonts w:hint="eastAsia" w:ascii="仿宋" w:hAnsi="仿宋" w:eastAsia="仿宋" w:cs="仿宋"/>
          <w:color w:val="auto"/>
          <w:sz w:val="24"/>
          <w:szCs w:val="24"/>
          <w:highlight w:val="none"/>
        </w:rPr>
      </w:pPr>
    </w:p>
    <w:p>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pPr>
        <w:spacing w:line="560" w:lineRule="exact"/>
        <w:rPr>
          <w:rFonts w:hint="eastAsia" w:ascii="仿宋" w:hAnsi="仿宋" w:eastAsia="仿宋" w:cs="仿宋"/>
          <w:color w:val="auto"/>
          <w:sz w:val="24"/>
          <w:szCs w:val="24"/>
          <w:highlight w:val="none"/>
        </w:rPr>
      </w:pPr>
    </w:p>
    <w:p>
      <w:pPr>
        <w:spacing w:line="560" w:lineRule="exact"/>
        <w:rPr>
          <w:rFonts w:hint="eastAsia" w:ascii="仿宋" w:hAnsi="仿宋" w:eastAsia="仿宋" w:cs="仿宋"/>
          <w:color w:val="auto"/>
          <w:sz w:val="24"/>
          <w:szCs w:val="24"/>
          <w:highlight w:val="none"/>
        </w:rPr>
      </w:pPr>
    </w:p>
    <w:p>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pPr>
        <w:pStyle w:val="13"/>
        <w:spacing w:line="360" w:lineRule="auto"/>
        <w:ind w:left="0" w:leftChars="0" w:firstLine="0" w:firstLineChars="0"/>
        <w:jc w:val="center"/>
        <w:rPr>
          <w:rFonts w:hint="eastAsia" w:ascii="仿宋" w:hAnsi="仿宋" w:eastAsia="仿宋" w:cs="仿宋"/>
          <w:color w:val="auto"/>
          <w:sz w:val="24"/>
          <w:szCs w:val="24"/>
          <w:highlight w:val="none"/>
        </w:rPr>
      </w:pPr>
    </w:p>
    <w:p>
      <w:pPr>
        <w:pStyle w:val="13"/>
        <w:spacing w:line="360" w:lineRule="auto"/>
        <w:ind w:left="0" w:leftChars="0" w:firstLine="0" w:firstLineChars="0"/>
        <w:jc w:val="center"/>
        <w:rPr>
          <w:rFonts w:hint="eastAsia" w:ascii="仿宋" w:hAnsi="仿宋" w:eastAsia="仿宋" w:cs="仿宋"/>
          <w:color w:val="auto"/>
          <w:sz w:val="24"/>
          <w:szCs w:val="24"/>
          <w:highlight w:val="none"/>
        </w:rPr>
      </w:pPr>
    </w:p>
    <w:p>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pStyle w:val="24"/>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pStyle w:val="24"/>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生产商授权书</w:t>
      </w:r>
    </w:p>
    <w:p>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w:t>
      </w: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b/>
          <w:bCs w:val="0"/>
          <w:kern w:val="2"/>
          <w:sz w:val="30"/>
          <w:szCs w:val="30"/>
          <w:highlight w:val="none"/>
          <w:lang w:val="en-US" w:eastAsia="zh-CN" w:bidi="ar-SA"/>
        </w:rPr>
        <w:t>标包一：固体聚丙烯酰胺（PAM阳离子）、标包二：固体聚丙烯酰胺（PAM阴离子）还需提供如下资料：</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b/>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注：标包一：固体聚丙烯酰胺（PAM阳离子）、标包二：固体聚丙烯酰胺（PAM阴离子）需提供。</w:t>
      </w:r>
    </w:p>
    <w:p>
      <w:pPr>
        <w:keepNext w:val="0"/>
        <w:keepLines w:val="0"/>
        <w:pageBreakBefore w:val="0"/>
        <w:widowControl w:val="0"/>
        <w:kinsoku/>
        <w:wordWrap/>
        <w:overflowPunct/>
        <w:topLinePunct w:val="0"/>
        <w:autoSpaceDE/>
        <w:autoSpaceDN/>
        <w:bidi w:val="0"/>
        <w:adjustRightInd/>
        <w:snapToGrid w:val="0"/>
        <w:spacing w:line="420" w:lineRule="exact"/>
        <w:jc w:val="both"/>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b/>
          <w:bCs w:val="0"/>
          <w:kern w:val="2"/>
          <w:sz w:val="30"/>
          <w:szCs w:val="30"/>
          <w:highlight w:val="none"/>
          <w:lang w:val="en-US" w:eastAsia="zh-CN" w:bidi="ar-SA"/>
        </w:rPr>
        <w:t>标包三：液体三氯化铁还需提供如下资料：</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注：标包三：液体三氯化铁需提供。</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r>
        <w:rPr>
          <w:rFonts w:hint="eastAsia" w:ascii="仿宋" w:hAnsi="仿宋" w:eastAsia="仿宋" w:cs="仿宋"/>
          <w:kern w:val="2"/>
          <w:sz w:val="30"/>
          <w:szCs w:val="30"/>
          <w:highlight w:val="none"/>
        </w:rPr>
        <w:br w:type="page"/>
      </w:r>
      <w:r>
        <w:rPr>
          <w:rFonts w:hint="eastAsia" w:ascii="仿宋" w:hAnsi="仿宋" w:eastAsia="仿宋" w:cs="仿宋"/>
          <w:kern w:val="2"/>
          <w:sz w:val="30"/>
          <w:szCs w:val="30"/>
          <w:highlight w:val="none"/>
        </w:rPr>
        <w:t>法定代表人身份证明</w:t>
      </w:r>
    </w:p>
    <w:p>
      <w:pPr>
        <w:spacing w:line="440" w:lineRule="exact"/>
        <w:rPr>
          <w:szCs w:val="20"/>
          <w:highlight w:val="none"/>
        </w:rPr>
      </w:pPr>
    </w:p>
    <w:p>
      <w:pPr>
        <w:spacing w:line="440" w:lineRule="exact"/>
        <w:rPr>
          <w:szCs w:val="21"/>
          <w:highlight w:val="none"/>
        </w:rPr>
      </w:pP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pPr>
        <w:spacing w:line="440" w:lineRule="exact"/>
        <w:rPr>
          <w:rFonts w:hint="eastAsia" w:ascii="仿宋" w:hAnsi="仿宋" w:eastAsia="仿宋" w:cs="仿宋"/>
          <w:sz w:val="24"/>
          <w:szCs w:val="24"/>
          <w:highlight w:val="none"/>
        </w:rPr>
      </w:pPr>
    </w:p>
    <w:p>
      <w:pPr>
        <w:spacing w:line="440" w:lineRule="exact"/>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pPr>
        <w:spacing w:line="440" w:lineRule="exact"/>
        <w:rPr>
          <w:rFonts w:eastAsia="黑体"/>
          <w:szCs w:val="20"/>
          <w:highlight w:val="none"/>
        </w:rPr>
      </w:pPr>
    </w:p>
    <w:tbl>
      <w:tblPr>
        <w:tblStyle w:val="42"/>
        <w:tblpPr w:leftFromText="180" w:rightFromText="180" w:vertAnchor="text" w:horzAnchor="page" w:tblpXSpec="center" w:tblpY="968"/>
        <w:tblOverlap w:val="never"/>
        <w:tblW w:w="83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85" w:hRule="atLeast"/>
          <w:jc w:val="center"/>
        </w:trPr>
        <w:tc>
          <w:tcPr>
            <w:tcW w:w="8300" w:type="dxa"/>
            <w:noWrap w:val="0"/>
            <w:vAlign w:val="center"/>
          </w:tcPr>
          <w:p>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pPr>
        <w:pStyle w:val="24"/>
        <w:spacing w:line="520" w:lineRule="exact"/>
        <w:ind w:firstLine="1110"/>
        <w:jc w:val="center"/>
        <w:rPr>
          <w:rFonts w:ascii="仿宋" w:hAnsi="仿宋" w:eastAsia="仿宋" w:cs="仿宋"/>
          <w:b/>
          <w:bCs/>
          <w:sz w:val="24"/>
          <w:szCs w:val="24"/>
          <w:highlight w:val="none"/>
        </w:rPr>
      </w:pP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pPr>
        <w:pStyle w:val="24"/>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pPr>
        <w:pStyle w:val="24"/>
        <w:spacing w:line="520" w:lineRule="exact"/>
        <w:ind w:firstLine="1111"/>
        <w:rPr>
          <w:rFonts w:ascii="仿宋" w:hAnsi="仿宋" w:eastAsia="仿宋" w:cs="仿宋"/>
          <w:sz w:val="24"/>
          <w:szCs w:val="24"/>
          <w:highlight w:val="none"/>
        </w:rPr>
      </w:pP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pPr>
        <w:pStyle w:val="24"/>
        <w:spacing w:line="520" w:lineRule="exact"/>
        <w:rPr>
          <w:rFonts w:ascii="仿宋" w:hAnsi="仿宋" w:eastAsia="仿宋" w:cs="仿宋"/>
          <w:sz w:val="24"/>
          <w:szCs w:val="24"/>
          <w:highlight w:val="none"/>
        </w:rPr>
      </w:pPr>
    </w:p>
    <w:p>
      <w:pPr>
        <w:pStyle w:val="24"/>
        <w:spacing w:line="520" w:lineRule="exact"/>
        <w:rPr>
          <w:rFonts w:ascii="仿宋" w:hAnsi="仿宋" w:eastAsia="仿宋" w:cs="仿宋"/>
          <w:sz w:val="24"/>
          <w:szCs w:val="24"/>
          <w:highlight w:val="none"/>
        </w:rPr>
      </w:pPr>
    </w:p>
    <w:tbl>
      <w:tblPr>
        <w:tblStyle w:val="42"/>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72" w:hRule="atLeast"/>
        </w:trPr>
        <w:tc>
          <w:tcPr>
            <w:tcW w:w="8960" w:type="dxa"/>
            <w:noWrap w:val="0"/>
            <w:vAlign w:val="center"/>
          </w:tcPr>
          <w:p>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pPr>
        <w:snapToGrid w:val="0"/>
        <w:spacing w:line="360" w:lineRule="auto"/>
        <w:ind w:firstLine="480" w:firstLineChars="200"/>
        <w:jc w:val="left"/>
        <w:rPr>
          <w:rFonts w:hint="eastAsia" w:ascii="仿宋" w:hAnsi="仿宋" w:eastAsia="仿宋" w:cs="仿宋"/>
          <w:sz w:val="24"/>
          <w:szCs w:val="24"/>
          <w:highlight w:val="none"/>
        </w:rPr>
      </w:pPr>
    </w:p>
    <w:p>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pPr>
        <w:snapToGrid w:val="0"/>
        <w:spacing w:line="360" w:lineRule="auto"/>
        <w:ind w:firstLine="480" w:firstLineChars="200"/>
        <w:jc w:val="left"/>
        <w:rPr>
          <w:rFonts w:ascii="仿宋" w:hAnsi="仿宋" w:eastAsia="仿宋" w:cs="仿宋"/>
          <w:sz w:val="24"/>
          <w:szCs w:val="24"/>
          <w:highlight w:val="none"/>
        </w:rPr>
      </w:pPr>
    </w:p>
    <w:p>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pPr>
        <w:pStyle w:val="24"/>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pPr>
        <w:snapToGrid w:val="0"/>
        <w:spacing w:line="560" w:lineRule="exact"/>
        <w:ind w:firstLine="562" w:firstLineChars="201"/>
        <w:rPr>
          <w:rFonts w:ascii="宋体" w:hAnsi="宋体"/>
          <w:sz w:val="28"/>
          <w:szCs w:val="28"/>
          <w:highlight w:val="none"/>
        </w:rPr>
      </w:pPr>
    </w:p>
    <w:p>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outlineLvl w:val="0"/>
        <w:rPr>
          <w:rFonts w:hint="eastAsia" w:ascii="仿宋" w:hAnsi="仿宋" w:eastAsia="仿宋" w:cs="仿宋"/>
          <w:sz w:val="24"/>
          <w:szCs w:val="24"/>
          <w:highlight w:val="none"/>
        </w:rPr>
      </w:pPr>
      <w:bookmarkStart w:id="20" w:name="_Toc29767"/>
      <w:bookmarkStart w:id="21" w:name="_Toc2784"/>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0"/>
      <w:bookmarkEnd w:id="21"/>
    </w:p>
    <w:p>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3"/>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pPr>
        <w:snapToGrid w:val="0"/>
        <w:spacing w:line="560" w:lineRule="exact"/>
        <w:ind w:firstLine="484" w:firstLineChars="201"/>
        <w:jc w:val="center"/>
        <w:rPr>
          <w:rFonts w:hint="eastAsia" w:ascii="仿宋" w:hAnsi="仿宋" w:eastAsia="仿宋" w:cs="仿宋"/>
          <w:b/>
          <w:bCs/>
          <w:sz w:val="24"/>
          <w:szCs w:val="24"/>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17"/>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pPr>
        <w:snapToGrid w:val="0"/>
        <w:spacing w:line="360" w:lineRule="auto"/>
        <w:jc w:val="center"/>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lang w:val="en-US" w:eastAsia="zh-CN"/>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pPr>
        <w:snapToGrid w:val="0"/>
        <w:spacing w:line="360" w:lineRule="auto"/>
        <w:jc w:val="center"/>
        <w:rPr>
          <w:rFonts w:hint="eastAsia" w:ascii="仿宋" w:hAnsi="仿宋" w:eastAsia="仿宋" w:cs="仿宋"/>
          <w:b/>
          <w:bCs/>
          <w:sz w:val="30"/>
          <w:szCs w:val="30"/>
          <w:highlight w:val="none"/>
        </w:rPr>
      </w:pPr>
    </w:p>
    <w:p>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spacing w:line="360" w:lineRule="exact"/>
        <w:ind w:right="1120"/>
        <w:rPr>
          <w:rFonts w:hint="eastAsia" w:ascii="仿宋" w:hAnsi="仿宋" w:eastAsia="仿宋" w:cs="仿宋"/>
          <w:sz w:val="24"/>
          <w:highlight w:val="none"/>
        </w:rPr>
      </w:pPr>
    </w:p>
    <w:p>
      <w:pPr>
        <w:spacing w:line="360" w:lineRule="exact"/>
        <w:ind w:right="112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pPr>
        <w:pStyle w:val="88"/>
        <w:ind w:left="480" w:firstLine="0"/>
        <w:rPr>
          <w:rFonts w:ascii="仿宋" w:hAnsi="仿宋" w:eastAsia="仿宋" w:cs="仿宋"/>
          <w:bCs/>
          <w:szCs w:val="24"/>
          <w:highlight w:val="none"/>
        </w:rPr>
      </w:pPr>
    </w:p>
    <w:p>
      <w:pPr>
        <w:pStyle w:val="88"/>
        <w:ind w:firstLine="0"/>
        <w:rPr>
          <w:rFonts w:ascii="仿宋" w:hAnsi="仿宋" w:eastAsia="仿宋" w:cs="仿宋"/>
          <w:bCs/>
          <w:szCs w:val="24"/>
          <w:highlight w:val="none"/>
        </w:rPr>
      </w:pPr>
    </w:p>
    <w:p>
      <w:pPr>
        <w:pStyle w:val="88"/>
        <w:ind w:left="480" w:firstLine="0"/>
        <w:rPr>
          <w:rFonts w:ascii="仿宋" w:hAnsi="仿宋" w:eastAsia="仿宋" w:cs="仿宋"/>
          <w:bCs/>
          <w:szCs w:val="24"/>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投标人或生产厂商202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2"/>
        <w:tblW w:w="93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4" w:hRule="atLeast"/>
          <w:jc w:val="center"/>
        </w:trPr>
        <w:tc>
          <w:tcPr>
            <w:tcW w:w="986"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bl>
    <w:p>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pPr>
        <w:pStyle w:val="24"/>
        <w:spacing w:line="520" w:lineRule="exact"/>
        <w:jc w:val="center"/>
        <w:rPr>
          <w:rFonts w:hint="eastAsia" w:ascii="仿宋" w:hAnsi="仿宋" w:eastAsia="仿宋" w:cs="仿宋"/>
          <w:b/>
          <w:bCs/>
          <w:sz w:val="30"/>
          <w:szCs w:val="30"/>
          <w:highlight w:val="none"/>
        </w:rPr>
      </w:pPr>
    </w:p>
    <w:p>
      <w:pPr>
        <w:pStyle w:val="24"/>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2"/>
        <w:tblW w:w="97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atLeast"/>
          <w:jc w:val="center"/>
        </w:trPr>
        <w:tc>
          <w:tcPr>
            <w:tcW w:w="468" w:type="dxa"/>
            <w:vMerge w:val="restart"/>
            <w:noWrap w:val="0"/>
            <w:vAlign w:val="top"/>
          </w:tcPr>
          <w:p>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3" w:hRule="atLeast"/>
          <w:jc w:val="center"/>
        </w:trPr>
        <w:tc>
          <w:tcPr>
            <w:tcW w:w="468" w:type="dxa"/>
            <w:vMerge w:val="continue"/>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pPr>
              <w:pStyle w:val="24"/>
              <w:spacing w:line="400" w:lineRule="exact"/>
              <w:jc w:val="center"/>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4"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3"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bl>
    <w:p>
      <w:pPr>
        <w:pStyle w:val="24"/>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pPr>
        <w:spacing w:line="360" w:lineRule="exact"/>
        <w:ind w:firstLine="4200" w:firstLineChars="1750"/>
        <w:rPr>
          <w:rFonts w:ascii="仿宋" w:hAnsi="仿宋" w:eastAsia="仿宋" w:cs="仿宋"/>
          <w:sz w:val="24"/>
          <w:szCs w:val="24"/>
          <w:highlight w:val="none"/>
        </w:rPr>
      </w:pPr>
    </w:p>
    <w:p>
      <w:pPr>
        <w:spacing w:line="360" w:lineRule="exact"/>
        <w:ind w:firstLine="4200" w:firstLineChars="1750"/>
        <w:rPr>
          <w:rFonts w:ascii="仿宋" w:hAnsi="仿宋" w:eastAsia="仿宋" w:cs="仿宋"/>
          <w:sz w:val="24"/>
          <w:szCs w:val="24"/>
          <w:highlight w:val="none"/>
        </w:rPr>
      </w:pPr>
    </w:p>
    <w:p>
      <w:pPr>
        <w:spacing w:line="360" w:lineRule="exact"/>
        <w:ind w:firstLine="4200" w:firstLineChars="1750"/>
        <w:rPr>
          <w:rFonts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pPr>
        <w:spacing w:line="460" w:lineRule="exact"/>
        <w:jc w:val="center"/>
        <w:rPr>
          <w:rFonts w:hint="eastAsia" w:ascii="仿宋" w:hAnsi="仿宋" w:eastAsia="仿宋" w:cs="仿宋"/>
          <w:b/>
          <w:kern w:val="0"/>
          <w:sz w:val="36"/>
          <w:szCs w:val="36"/>
          <w:highlight w:val="none"/>
        </w:rPr>
      </w:pPr>
    </w:p>
    <w:p>
      <w:pPr>
        <w:spacing w:line="460" w:lineRule="exact"/>
        <w:jc w:val="center"/>
        <w:rPr>
          <w:rFonts w:hint="eastAsia" w:ascii="仿宋" w:hAnsi="仿宋" w:eastAsia="仿宋" w:cs="仿宋"/>
          <w:b/>
          <w:kern w:val="0"/>
          <w:sz w:val="36"/>
          <w:szCs w:val="36"/>
          <w:highlight w:val="none"/>
        </w:rPr>
      </w:pPr>
    </w:p>
    <w:p>
      <w:pPr>
        <w:spacing w:line="460" w:lineRule="exact"/>
        <w:jc w:val="center"/>
        <w:rPr>
          <w:rFonts w:hint="eastAsia" w:ascii="仿宋" w:hAnsi="仿宋" w:eastAsia="仿宋" w:cs="仿宋"/>
          <w:b/>
          <w:kern w:val="0"/>
          <w:sz w:val="36"/>
          <w:szCs w:val="36"/>
          <w:highlight w:val="none"/>
        </w:rPr>
      </w:pPr>
    </w:p>
    <w:p>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pPr>
        <w:pStyle w:val="24"/>
        <w:wordWrap w:val="0"/>
        <w:spacing w:line="360" w:lineRule="auto"/>
        <w:rPr>
          <w:rFonts w:hint="eastAsia" w:ascii="仿宋" w:hAnsi="仿宋" w:eastAsia="仿宋" w:cs="仿宋"/>
          <w:sz w:val="24"/>
          <w:szCs w:val="24"/>
          <w:highlight w:val="none"/>
        </w:rPr>
      </w:pPr>
      <w:bookmarkStart w:id="22" w:name="_Toc13194"/>
      <w:r>
        <w:rPr>
          <w:rFonts w:hint="eastAsia" w:ascii="仿宋" w:hAnsi="仿宋" w:eastAsia="仿宋" w:cs="仿宋"/>
          <w:sz w:val="24"/>
          <w:szCs w:val="24"/>
          <w:highlight w:val="none"/>
        </w:rPr>
        <w:t>包括但不限于以下内容：</w:t>
      </w:r>
    </w:p>
    <w:p>
      <w:pPr>
        <w:pStyle w:val="24"/>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2、产品质量控制方案和措施</w:t>
      </w:r>
    </w:p>
    <w:p>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3、供货方案</w:t>
      </w:r>
    </w:p>
    <w:p>
      <w:pPr>
        <w:pStyle w:val="24"/>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4、售后及相关服务方案</w:t>
      </w:r>
    </w:p>
    <w:p>
      <w:pPr>
        <w:pStyle w:val="24"/>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2"/>
    </w:p>
    <w:p>
      <w:pPr>
        <w:autoSpaceDE w:val="0"/>
        <w:autoSpaceDN w:val="0"/>
        <w:adjustRightInd w:val="0"/>
        <w:spacing w:line="460" w:lineRule="exact"/>
        <w:jc w:val="right"/>
        <w:outlineLvl w:val="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合同编号：                                                              </w:t>
      </w:r>
    </w:p>
    <w:p>
      <w:pPr>
        <w:autoSpaceDE w:val="0"/>
        <w:autoSpaceDN w:val="0"/>
        <w:adjustRightInd w:val="0"/>
        <w:spacing w:line="460" w:lineRule="exact"/>
        <w:jc w:val="right"/>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24"/>
          <w:szCs w:val="24"/>
          <w:highlight w:val="none"/>
          <w:lang w:val="en-US" w:eastAsia="zh-CN"/>
        </w:rPr>
        <w:t>招标编号：WHSW-SWT2026-001</w:t>
      </w:r>
    </w:p>
    <w:p>
      <w:pPr>
        <w:autoSpaceDE w:val="0"/>
        <w:autoSpaceDN w:val="0"/>
        <w:adjustRightInd w:val="0"/>
        <w:spacing w:line="460" w:lineRule="exact"/>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威海水务投资有限责任公司</w:t>
      </w:r>
    </w:p>
    <w:p>
      <w:pPr>
        <w:autoSpaceDE w:val="0"/>
        <w:autoSpaceDN w:val="0"/>
        <w:adjustRightInd w:val="0"/>
        <w:spacing w:line="240" w:lineRule="auto"/>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污水处理</w:t>
      </w:r>
      <w:r>
        <w:rPr>
          <w:rFonts w:hint="eastAsia" w:ascii="仿宋" w:hAnsi="仿宋" w:eastAsia="仿宋" w:cs="仿宋"/>
          <w:b w:val="0"/>
          <w:bCs/>
          <w:sz w:val="44"/>
          <w:szCs w:val="44"/>
          <w:highlight w:val="none"/>
          <w:lang w:val="zh-CN" w:eastAsia="zh-CN"/>
        </w:rPr>
        <w:t>药</w:t>
      </w:r>
      <w:r>
        <w:rPr>
          <w:rFonts w:hint="eastAsia" w:ascii="仿宋" w:hAnsi="仿宋" w:eastAsia="仿宋" w:cs="仿宋"/>
          <w:b w:val="0"/>
          <w:bCs/>
          <w:sz w:val="44"/>
          <w:szCs w:val="44"/>
          <w:highlight w:val="none"/>
          <w:lang w:val="zh-CN"/>
        </w:rPr>
        <w:t>剂采购及相关服务合同</w:t>
      </w:r>
    </w:p>
    <w:p>
      <w:pPr>
        <w:pStyle w:val="37"/>
        <w:rPr>
          <w:rFonts w:hint="eastAsia" w:ascii="仿宋" w:hAnsi="仿宋" w:eastAsia="仿宋" w:cs="仿宋"/>
          <w:highlight w:val="none"/>
        </w:rPr>
      </w:pPr>
    </w:p>
    <w:p>
      <w:pPr>
        <w:snapToGrid w:val="0"/>
        <w:spacing w:line="360" w:lineRule="auto"/>
        <w:ind w:firstLine="480"/>
        <w:rPr>
          <w:rFonts w:hint="eastAsia" w:ascii="仿宋" w:hAnsi="仿宋" w:eastAsia="仿宋" w:cs="仿宋"/>
          <w:sz w:val="24"/>
          <w:szCs w:val="24"/>
          <w:highlight w:val="none"/>
          <w:u w:val="single"/>
        </w:rPr>
      </w:pPr>
      <w:bookmarkStart w:id="23" w:name="_Toc325358070"/>
      <w:bookmarkStart w:id="24" w:name="_Toc183264312"/>
      <w:r>
        <w:rPr>
          <w:rFonts w:hint="eastAsia" w:ascii="仿宋" w:hAnsi="仿宋" w:eastAsia="仿宋" w:cs="仿宋"/>
          <w:sz w:val="24"/>
          <w:szCs w:val="24"/>
          <w:highlight w:val="none"/>
        </w:rPr>
        <w:t>甲方（买方）：</w:t>
      </w:r>
      <w:r>
        <w:rPr>
          <w:rFonts w:hint="eastAsia" w:ascii="仿宋" w:hAnsi="仿宋" w:eastAsia="仿宋" w:cs="仿宋"/>
          <w:color w:val="000000"/>
          <w:sz w:val="24"/>
          <w:szCs w:val="24"/>
          <w:highlight w:val="none"/>
          <w:vertAlign w:val="baseline"/>
          <w:lang w:val="en-US" w:eastAsia="zh-CN"/>
        </w:rPr>
        <w:t xml:space="preserve"> </w:t>
      </w:r>
    </w:p>
    <w:p>
      <w:pPr>
        <w:snapToGrid w:val="0"/>
        <w:spacing w:line="360" w:lineRule="auto"/>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乙方（卖方）：</w:t>
      </w:r>
      <w:r>
        <w:rPr>
          <w:rFonts w:hint="eastAsia" w:ascii="仿宋" w:hAnsi="仿宋" w:eastAsia="仿宋" w:cs="仿宋"/>
          <w:color w:val="000000"/>
          <w:sz w:val="24"/>
          <w:szCs w:val="24"/>
          <w:highlight w:val="none"/>
          <w:vertAlign w:val="baseline"/>
          <w:lang w:val="en-US" w:eastAsia="zh-CN"/>
        </w:rPr>
        <w:t xml:space="preserve"> </w:t>
      </w:r>
    </w:p>
    <w:bookmarkEnd w:id="23"/>
    <w:bookmarkEnd w:id="24"/>
    <w:p>
      <w:pPr>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经公开招标程序，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甲方确认乙方</w:t>
      </w:r>
      <w:r>
        <w:rPr>
          <w:rFonts w:hint="eastAsia" w:ascii="仿宋" w:hAnsi="仿宋" w:eastAsia="仿宋" w:cs="仿宋"/>
          <w:sz w:val="24"/>
          <w:szCs w:val="24"/>
          <w:highlight w:val="none"/>
          <w:lang w:eastAsia="zh-CN"/>
        </w:rPr>
        <w:t>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药剂供应商。</w:t>
      </w:r>
      <w:r>
        <w:rPr>
          <w:rFonts w:hint="eastAsia" w:ascii="仿宋" w:hAnsi="仿宋" w:eastAsia="仿宋" w:cs="仿宋"/>
          <w:sz w:val="24"/>
          <w:szCs w:val="24"/>
          <w:highlight w:val="none"/>
        </w:rPr>
        <w:t>双方依据《中华人民共和国</w:t>
      </w:r>
      <w:r>
        <w:rPr>
          <w:rFonts w:hint="eastAsia" w:ascii="仿宋" w:hAnsi="仿宋" w:eastAsia="仿宋" w:cs="仿宋"/>
          <w:sz w:val="24"/>
          <w:szCs w:val="24"/>
          <w:highlight w:val="none"/>
          <w:lang w:eastAsia="zh-CN"/>
        </w:rPr>
        <w:t>民法典</w:t>
      </w:r>
      <w:r>
        <w:rPr>
          <w:rFonts w:hint="eastAsia" w:ascii="仿宋" w:hAnsi="仿宋" w:eastAsia="仿宋" w:cs="仿宋"/>
          <w:sz w:val="24"/>
          <w:szCs w:val="24"/>
          <w:highlight w:val="none"/>
        </w:rPr>
        <w:t>》及其他相关法律法规的规定，在平等、自愿、协商一致的基础上，达成如下协议：</w:t>
      </w:r>
    </w:p>
    <w:p>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1.基本情况 </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采购标的：经公开招投标程序，甲方确定乙方为其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的供应商。</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 采购数量：具体数量以实际发生的采购数量为准。实际采购数量根据处理规模、来水量变化等影响因素可适时增加或者减少，并据实结算，可能会大于或者小于约定的采购数量，不视为违约。</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1.3 本合同签订后，甲方将根据实际需求向乙方发出书面采购订单，具体供货品种及数量以甲方每次向乙方发出的采购订单确定的为依据。</w:t>
      </w:r>
    </w:p>
    <w:p>
      <w:pPr>
        <w:snapToGri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1.4 合同履行期限：</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日至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日</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 其他：</w:t>
      </w:r>
      <w:r>
        <w:rPr>
          <w:rFonts w:hint="eastAsia" w:ascii="仿宋" w:hAnsi="仿宋" w:eastAsia="仿宋" w:cs="仿宋"/>
          <w:sz w:val="24"/>
          <w:szCs w:val="24"/>
          <w:highlight w:val="none"/>
          <w:lang w:val="en-US" w:eastAsia="zh-CN"/>
        </w:rPr>
        <w:t>合同期满后，</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可选择依据有关制度规定对乙方履约情况进行评价，合格则续签合同，续签不超过2次。</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也可以选择重新招标选择供应商。具体选择何种方式以</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结合实际需要确定。</w:t>
      </w:r>
      <w:r>
        <w:rPr>
          <w:rFonts w:hint="eastAsia" w:ascii="仿宋" w:hAnsi="仿宋" w:eastAsia="仿宋" w:cs="仿宋"/>
          <w:sz w:val="24"/>
          <w:szCs w:val="24"/>
          <w:highlight w:val="none"/>
        </w:rPr>
        <w:t xml:space="preserve">                                                                                                        </w:t>
      </w:r>
    </w:p>
    <w:p>
      <w:pPr>
        <w:tabs>
          <w:tab w:val="left" w:pos="408"/>
        </w:tabs>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药剂价格</w:t>
      </w:r>
    </w:p>
    <w:p>
      <w:pPr>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CN"/>
        </w:rPr>
        <w:t>为单价合同，定单价不定总价和用量，药剂用量以甲方实际需求量为准。</w:t>
      </w:r>
    </w:p>
    <w:p>
      <w:pPr>
        <w:snapToGrid w:val="0"/>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除税单价执行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lang w:val="en-US" w:eastAsia="zh-CN"/>
        </w:rPr>
        <w:t>含税单价</w:t>
      </w:r>
      <w:r>
        <w:rPr>
          <w:rFonts w:hint="eastAsia" w:ascii="仿宋" w:hAnsi="仿宋" w:eastAsia="仿宋" w:cs="仿宋"/>
          <w:color w:val="auto"/>
          <w:sz w:val="24"/>
          <w:szCs w:val="24"/>
          <w:highlight w:val="none"/>
          <w:lang w:eastAsia="zh-CN"/>
        </w:rPr>
        <w:t>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u w:val="none"/>
          <w:lang w:val="en-US" w:eastAsia="zh-CN"/>
        </w:rPr>
        <w:t>，税率为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none"/>
          <w:lang w:val="en-US" w:eastAsia="zh-CN"/>
        </w:rPr>
        <w:t>。</w:t>
      </w:r>
    </w:p>
    <w:p>
      <w:pPr>
        <w:widowControl/>
        <w:snapToGrid w:val="0"/>
        <w:spacing w:line="360" w:lineRule="auto"/>
        <w:ind w:firstLine="480"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color w:val="000000"/>
          <w:sz w:val="24"/>
          <w:szCs w:val="24"/>
          <w:highlight w:val="none"/>
          <w:lang w:bidi="ar"/>
        </w:rPr>
        <w:t>合同执行过程中，若国家税收法律政策变更，按最新的税率计算含税总价</w:t>
      </w:r>
      <w:r>
        <w:rPr>
          <w:rFonts w:hint="eastAsia" w:ascii="仿宋" w:hAnsi="仿宋" w:eastAsia="仿宋" w:cs="仿宋"/>
          <w:b/>
          <w:color w:val="000000"/>
          <w:sz w:val="24"/>
          <w:szCs w:val="24"/>
          <w:highlight w:val="none"/>
          <w:lang w:bidi="ar"/>
        </w:rPr>
        <w:t>。</w:t>
      </w:r>
    </w:p>
    <w:p>
      <w:pPr>
        <w:widowControl/>
        <w:snapToGrid w:val="0"/>
        <w:spacing w:line="360" w:lineRule="auto"/>
        <w:ind w:firstLine="482"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val="en-US" w:eastAsia="zh-CN" w:bidi="ar"/>
        </w:rPr>
        <w:t>鉴于药剂原材料市场价格不可避免存在波动，</w:t>
      </w:r>
      <w:r>
        <w:rPr>
          <w:rFonts w:hint="eastAsia" w:ascii="仿宋" w:hAnsi="仿宋" w:eastAsia="仿宋" w:cs="仿宋"/>
          <w:b/>
          <w:color w:val="000000"/>
          <w:sz w:val="24"/>
          <w:szCs w:val="24"/>
          <w:highlight w:val="none"/>
          <w:lang w:eastAsia="zh-CN" w:bidi="ar"/>
        </w:rPr>
        <w:t>中标的综合单价除税金外，若价格因市场变化因素变动超过5%，对于超出部分经双方协商同意后，按协商后的只对超出5%的部分进行调整。</w:t>
      </w:r>
    </w:p>
    <w:p>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3.包装标准、包装物回收及费用承担</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3.1包装物材料及包装方式必须同时符合国家有关要求，包装费用由乙方承担；</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包装不符合标准造成产品毁损灭失或其他后果的，由乙方承担相应责任；</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3.3乙方负责对运送到甲方指定地点的货物进行装卸以及对废弃的包装物进行处理。</w:t>
      </w:r>
    </w:p>
    <w:p>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4.质量标准</w:t>
      </w:r>
    </w:p>
    <w:p>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4.1 供货内容应符合下述标准：</w:t>
      </w:r>
      <w:r>
        <w:rPr>
          <w:rFonts w:hint="eastAsia" w:ascii="仿宋" w:hAnsi="仿宋" w:eastAsia="仿宋" w:cs="仿宋"/>
          <w:sz w:val="24"/>
          <w:szCs w:val="24"/>
          <w:highlight w:val="none"/>
          <w:u w:val="single"/>
        </w:rPr>
        <w:t>符合国家颁布的相关药剂指标标准</w:t>
      </w:r>
      <w:r>
        <w:rPr>
          <w:rFonts w:hint="eastAsia" w:ascii="仿宋" w:hAnsi="仿宋" w:eastAsia="仿宋" w:cs="仿宋"/>
          <w:sz w:val="24"/>
          <w:szCs w:val="24"/>
          <w:highlight w:val="none"/>
          <w:u w:val="single"/>
          <w:lang w:eastAsia="zh-CN"/>
        </w:rPr>
        <w:t>和甲方指标要求</w:t>
      </w:r>
      <w:r>
        <w:rPr>
          <w:rFonts w:hint="eastAsia" w:ascii="仿宋" w:hAnsi="仿宋" w:eastAsia="仿宋" w:cs="仿宋"/>
          <w:sz w:val="24"/>
          <w:szCs w:val="24"/>
          <w:highlight w:val="none"/>
        </w:rPr>
        <w:t>；</w:t>
      </w:r>
    </w:p>
    <w:p>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4.2 药剂指标要求：</w:t>
      </w:r>
    </w:p>
    <w:tbl>
      <w:tblPr>
        <w:tblStyle w:val="42"/>
        <w:tblW w:w="84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3182"/>
        <w:gridCol w:w="1678"/>
        <w:gridCol w:w="1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9"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药剂名称</w:t>
            </w:r>
          </w:p>
        </w:tc>
        <w:tc>
          <w:tcPr>
            <w:tcW w:w="3182"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指标要求</w:t>
            </w:r>
          </w:p>
        </w:tc>
        <w:tc>
          <w:tcPr>
            <w:tcW w:w="167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处理效果</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1"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pPr>
              <w:keepNext w:val="0"/>
              <w:pageBreakBefore w:val="0"/>
              <w:widowControl w:val="0"/>
              <w:numPr>
                <w:ilvl w:val="0"/>
                <w:numId w:val="0"/>
              </w:numPr>
              <w:kinsoku/>
              <w:wordWrap/>
              <w:overflowPunct/>
              <w:topLinePunct w:val="0"/>
              <w:autoSpaceDE/>
              <w:autoSpaceDN/>
              <w:bidi w:val="0"/>
              <w:spacing w:line="600" w:lineRule="exact"/>
              <w:ind w:left="0" w:leftChars="0" w:firstLine="0" w:firstLineChars="0"/>
              <w:jc w:val="center"/>
              <w:rPr>
                <w:rFonts w:hint="eastAsia" w:ascii="仿宋" w:hAnsi="仿宋" w:eastAsia="仿宋" w:cs="仿宋"/>
                <w:color w:val="auto"/>
                <w:sz w:val="24"/>
                <w:szCs w:val="24"/>
                <w:highlight w:val="none"/>
                <w:lang w:eastAsia="zh-CN"/>
              </w:rPr>
            </w:pPr>
          </w:p>
        </w:tc>
        <w:tc>
          <w:tcPr>
            <w:tcW w:w="3182" w:type="dxa"/>
            <w:tcBorders>
              <w:top w:val="single" w:color="auto" w:sz="4" w:space="0"/>
              <w:left w:val="single" w:color="auto" w:sz="4" w:space="0"/>
              <w:bottom w:val="single" w:color="auto" w:sz="4" w:space="0"/>
              <w:right w:val="single" w:color="auto" w:sz="4" w:space="0"/>
            </w:tcBorders>
            <w:noWrap w:val="0"/>
            <w:vAlign w:val="center"/>
          </w:tcPr>
          <w:p>
            <w:pPr>
              <w:snapToGrid w:val="0"/>
              <w:spacing w:line="460" w:lineRule="exact"/>
              <w:jc w:val="left"/>
              <w:rPr>
                <w:rFonts w:hint="eastAsia" w:ascii="仿宋" w:hAnsi="仿宋" w:eastAsia="仿宋" w:cs="仿宋"/>
                <w:color w:val="auto"/>
                <w:sz w:val="24"/>
                <w:szCs w:val="24"/>
                <w:highlight w:val="none"/>
                <w:lang w:val="en-US"/>
              </w:rPr>
            </w:pPr>
          </w:p>
        </w:tc>
        <w:tc>
          <w:tcPr>
            <w:tcW w:w="167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使用效果满足污水厂出水水质要求</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p>
        </w:tc>
      </w:tr>
    </w:tbl>
    <w:p>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4.3乙方根据甲方货物使用计划要求进行供货，每批次货物应付资料为：</w:t>
      </w:r>
    </w:p>
    <w:p>
      <w:pPr>
        <w:keepNext w:val="0"/>
        <w:keepLines w:val="0"/>
        <w:pageBreakBefore w:val="0"/>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药剂送货单、过磅单。</w:t>
      </w:r>
    </w:p>
    <w:p>
      <w:pPr>
        <w:keepNext w:val="0"/>
        <w:keepLines w:val="0"/>
        <w:pageBreakBefore w:val="0"/>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药剂出厂检验报告单。</w:t>
      </w:r>
    </w:p>
    <w:p>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4.4 货物外包装要求:</w:t>
      </w:r>
    </w:p>
    <w:p>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（1）包装规格按照国家、行业标准包装，同时应有利于药剂使用、仓储及物流运输，包装费用包含在药剂价格内。</w:t>
      </w:r>
    </w:p>
    <w:p>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（2）定量包装允许合理误差范围，标注净含量的1%。</w:t>
      </w:r>
    </w:p>
    <w:p>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（3）罐车过磅量与乙方提供的过磅单据允许误差范围为1‰。</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乙方所提供的产品到达现场后，甲方对产品质量和数量进行验收。数量验收方面，固定包装固体类药剂，现场清点确定。液体类药剂过磅计量确定。产品质量验收方面，甲方每月委托指定单位对投标方供应药剂进行抽检，抽检结果不合格时：（1）如抽检不合格药剂尚未使用，甲方有权要求乙方对抽检不合格批次药剂进行更换，因产品质量问题给甲方造成的一切损失由乙方负责赔偿；（2）如抽检不合格药剂已经使用，甲方有权对乙方该批次药剂不予结算采购金额（采购金额=药剂结算单价*经抽检确定为不合格的同批次药剂总量）。另外，因产品质量问题给甲方造成的一切损失亦由乙方负责赔偿；（3）药剂每月抽检的检测单位由甲方确定，抽检结果即为唯一最终结果，不接受质疑。乙方委托其他检测单位进行药剂检验的结果，甲方不予认可。</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sz w:val="24"/>
          <w:szCs w:val="24"/>
          <w:highlight w:val="none"/>
          <w:lang w:val="en-US" w:eastAsia="zh-CN"/>
        </w:rPr>
        <w:t>4.6鉴于药剂抽检检测过程中，不可避免可能存在误差。因此，如抽检结果与本合同约定的指标要求的误差范围在±2%以内（含±2%），则视为抽检合格。</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5.交货与运输</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5.1交货时间</w:t>
      </w:r>
      <w:r>
        <w:rPr>
          <w:rFonts w:hint="eastAsia" w:ascii="仿宋" w:hAnsi="仿宋" w:eastAsia="仿宋" w:cs="仿宋"/>
          <w:sz w:val="24"/>
          <w:szCs w:val="24"/>
          <w:highlight w:val="none"/>
          <w:lang w:eastAsia="zh-CN"/>
        </w:rPr>
        <w:t>：自接到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通知之日起，按照通知要求在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日内将货物运抵</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指定地点，药剂按批次采购，单次实际采购量以</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通知为准。</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5.2具体交货时间、数量、品种等具体要求根据甲方发出的采购订单执行。乙方在接到甲方发出的采购订单后，</w:t>
      </w:r>
      <w:r>
        <w:rPr>
          <w:rFonts w:hint="eastAsia" w:ascii="仿宋" w:hAnsi="仿宋" w:eastAsia="仿宋" w:cs="仿宋"/>
          <w:sz w:val="24"/>
          <w:szCs w:val="24"/>
          <w:highlight w:val="none"/>
          <w:lang w:eastAsia="zh-CN"/>
        </w:rPr>
        <w:t>在甲方要求时限内</w:t>
      </w:r>
      <w:r>
        <w:rPr>
          <w:rFonts w:hint="eastAsia" w:ascii="仿宋" w:hAnsi="仿宋" w:eastAsia="仿宋" w:cs="仿宋"/>
          <w:sz w:val="24"/>
          <w:szCs w:val="24"/>
          <w:highlight w:val="none"/>
        </w:rPr>
        <w:t>内将货物运送至甲方指定地点。</w:t>
      </w:r>
    </w:p>
    <w:p>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5.3交货地点：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甲方</w:t>
      </w:r>
      <w:r>
        <w:rPr>
          <w:rFonts w:hint="eastAsia" w:ascii="仿宋" w:hAnsi="仿宋" w:eastAsia="仿宋" w:cs="仿宋"/>
          <w:sz w:val="24"/>
          <w:szCs w:val="24"/>
          <w:highlight w:val="none"/>
          <w:u w:val="single"/>
        </w:rPr>
        <w:t>指定交货地点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。如甲方根据实际情况需要改变交货地点的，以甲方向乙方发出的采购订单为准；如甲方在采购订单上没有记载交货地点的，以</w:t>
      </w:r>
      <w:r>
        <w:rPr>
          <w:rFonts w:hint="eastAsia" w:ascii="仿宋" w:hAnsi="仿宋" w:eastAsia="仿宋" w:cs="仿宋"/>
          <w:sz w:val="24"/>
          <w:szCs w:val="24"/>
          <w:highlight w:val="none"/>
          <w:lang w:eastAsia="zh-CN"/>
        </w:rPr>
        <w:t>以下</w:t>
      </w:r>
      <w:r>
        <w:rPr>
          <w:rFonts w:hint="eastAsia" w:ascii="仿宋" w:hAnsi="仿宋" w:eastAsia="仿宋" w:cs="仿宋"/>
          <w:sz w:val="24"/>
          <w:szCs w:val="24"/>
          <w:highlight w:val="none"/>
        </w:rPr>
        <w:t>交货地点为准</w:t>
      </w:r>
      <w:r>
        <w:rPr>
          <w:rFonts w:hint="eastAsia" w:ascii="仿宋" w:hAnsi="仿宋" w:eastAsia="仿宋" w:cs="仿宋"/>
          <w:sz w:val="24"/>
          <w:szCs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威海水务投资公司经区污水处理厂（威海市经济技术开发区崮山路6号）</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威海水务投资公司初村污水处理厂（威海市初村镇职业学院北）</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威海水务投资公司高区污水处理厂（威海市高区营口路1号）</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威海水务投资公司临港区污水处理厂（威海市临港区草庙子镇曹格庄村）</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威海水务投资公司渗滤液处理中心（威海市环翠区张村镇天目路）</w:t>
      </w:r>
    </w:p>
    <w:p>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5.4 乙方应使用符合本合同产品特性要求的车况好、手续齐全的运输工具、采用安全合理的运输路线运送产品；运输过程应符合国家标准及环保要求，出现的货物灭失、短少、变质、污染、损坏、安全事故等由乙方全部承担</w:t>
      </w:r>
      <w:r>
        <w:rPr>
          <w:rFonts w:hint="eastAsia" w:ascii="仿宋" w:hAnsi="仿宋" w:eastAsia="仿宋" w:cs="仿宋"/>
          <w:b/>
          <w:sz w:val="24"/>
          <w:szCs w:val="24"/>
          <w:highlight w:val="none"/>
        </w:rPr>
        <w:t>（涉及危化品的，其运输必须具备危化品运输许可证书）。</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5.5 产品的运输、运输费用、装卸费用由乙方承担。</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5.6其他：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6.所有权与风险转移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商品的所有权，只有乙方将货物运至交货地点并完成落地交货和现场验收合格且出具甲方签字的单据时，由乙方转移至甲方；</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货物毁损、灭失的风险随所有权同时转移；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 在拒收或者解除合同的情形下，货物毁损、灭失的风险由乙方承担；</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6.4 所有权和风险的转移，如另有约定的从其约定。所有权和风险的转移，不影响因乙方履行义务符合约定，甲方要求其承担违约责任的权利；</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6.5 货物运抵交货地点后，甲方应组织现场验收并根据检验情况如实出具相应的验收报告。</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7.验收</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货到现场后甲方应对到货物资的规格型号、数量及外观质量、检验报告及原产地证明进行初步验收；在初步验收后按照4.5进行，其中第三方检测单位由甲方指定。</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 如甲方验收不合格，应于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rPr>
        <w:t>个工作日内通知乙方进行复验，经双方共同确认不合格后，甲方有权要求办理退货，由此产生的一切后果及费用由乙方承担；</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 如验收过程中出现争议，双方应采取有效措施保护现场并协商解决，协商不成的双方可委托第三方机构进行评价裁定，按本合同相关规定执行。</w:t>
      </w:r>
    </w:p>
    <w:p>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7.4 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8.结算及付款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 结算确认</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采购物资报验单</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为依据对合同事项进行确认，甲方须凭乙方提交的以下支付文件进行支付：</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（1） 乙方出具的经甲方确认的支付申请书；</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（2） 由乙方出具的交货清单，标明品名、数量、型号、规格；</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（3） 本批货物的出厂合格证；</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（4） 由制造商签署的质量证明书（经销商提供）；</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（5） 一、二次验收（如有）质量检验报告。</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 付款方式</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val="0"/>
          <w:bCs/>
          <w:color w:val="000000"/>
          <w:sz w:val="24"/>
          <w:szCs w:val="24"/>
          <w:highlight w:val="none"/>
        </w:rPr>
        <w:t>（1）</w:t>
      </w:r>
      <w:r>
        <w:rPr>
          <w:rFonts w:hint="eastAsia" w:ascii="仿宋" w:hAnsi="仿宋" w:eastAsia="仿宋" w:cs="仿宋"/>
          <w:b w:val="0"/>
          <w:bCs/>
          <w:color w:val="000000"/>
          <w:sz w:val="24"/>
          <w:szCs w:val="24"/>
          <w:highlight w:val="none"/>
          <w:u w:val="single"/>
          <w:lang w:val="en-US" w:eastAsia="zh-CN"/>
        </w:rPr>
        <w:t>货到验收合格后甲方办理入库手续，双方每月定期对当月的药剂采购量和采购金额进行核对，乙方应在采购量和采购金额核对无误后，及时开具增值税专用发票。甲方根据到厂物资报验单/送货单、验收入库单、增值税专用发票等作为结算确认依据。甲方每年安排三次付款，每次付款比例不超过账面应付账款的30%。</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）其他：</w:t>
      </w:r>
      <w:r>
        <w:rPr>
          <w:rFonts w:hint="eastAsia" w:ascii="仿宋" w:hAnsi="仿宋" w:eastAsia="仿宋" w:cs="仿宋"/>
          <w:sz w:val="24"/>
          <w:szCs w:val="24"/>
          <w:highlight w:val="none"/>
          <w:u w:val="single"/>
          <w:lang w:eastAsia="zh-CN"/>
        </w:rPr>
        <w:t>未尽事宜由双方协商确定。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发票信息（付款方）：</w:t>
      </w:r>
    </w:p>
    <w:tbl>
      <w:tblPr>
        <w:tblStyle w:val="42"/>
        <w:tblW w:w="9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1"/>
        <w:gridCol w:w="3356"/>
        <w:gridCol w:w="1787"/>
        <w:gridCol w:w="28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公司名称</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威海水务投资有限责任公司</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纳税人识别号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91371000080896598M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公司地址</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威海市经区崮山路</w:t>
            </w:r>
            <w:r>
              <w:rPr>
                <w:rFonts w:hint="eastAsia" w:ascii="仿宋" w:hAnsi="仿宋" w:eastAsia="仿宋" w:cs="仿宋"/>
                <w:sz w:val="24"/>
                <w:szCs w:val="24"/>
                <w:highlight w:val="none"/>
                <w:lang w:val="en-US" w:eastAsia="zh-CN"/>
              </w:rPr>
              <w:t>6号</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15610751188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5"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开户行</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交通银行威海经区支行</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账号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401006200018010095533</w:t>
            </w:r>
          </w:p>
        </w:tc>
      </w:tr>
    </w:tbl>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9.质保及售后</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 质保期内实行质量“三包”。在质保期内出现的一切货物质量问题，由乙方承担全部责任，包括但不限于无偿调配试剂、更换货物、退货以及赔偿损失。如乙方提供的产品质量不符合国家标准要求、不符合约定的标准或有其它质量问题，经证实后，甲方有权4.5</w:t>
      </w:r>
      <w:r>
        <w:rPr>
          <w:rFonts w:hint="eastAsia" w:ascii="仿宋" w:hAnsi="仿宋" w:eastAsia="仿宋" w:cs="仿宋"/>
          <w:sz w:val="24"/>
          <w:szCs w:val="24"/>
          <w:highlight w:val="none"/>
          <w:lang w:eastAsia="zh-CN"/>
        </w:rPr>
        <w:t>规定</w:t>
      </w:r>
      <w:r>
        <w:rPr>
          <w:rFonts w:hint="eastAsia" w:ascii="仿宋" w:hAnsi="仿宋" w:eastAsia="仿宋" w:cs="仿宋"/>
          <w:sz w:val="24"/>
          <w:szCs w:val="24"/>
          <w:highlight w:val="none"/>
        </w:rPr>
        <w:t>要求退</w:t>
      </w:r>
      <w:r>
        <w:rPr>
          <w:rFonts w:hint="eastAsia" w:ascii="仿宋" w:hAnsi="仿宋" w:eastAsia="仿宋" w:cs="仿宋"/>
          <w:sz w:val="24"/>
          <w:szCs w:val="24"/>
          <w:highlight w:val="none"/>
          <w:lang w:eastAsia="zh-CN"/>
        </w:rPr>
        <w:t>换</w:t>
      </w:r>
      <w:r>
        <w:rPr>
          <w:rFonts w:hint="eastAsia" w:ascii="仿宋" w:hAnsi="仿宋" w:eastAsia="仿宋" w:cs="仿宋"/>
          <w:sz w:val="24"/>
          <w:szCs w:val="24"/>
          <w:highlight w:val="none"/>
        </w:rPr>
        <w:t>货</w:t>
      </w:r>
      <w:r>
        <w:rPr>
          <w:rFonts w:hint="eastAsia" w:ascii="仿宋" w:hAnsi="仿宋" w:eastAsia="仿宋" w:cs="仿宋"/>
          <w:sz w:val="24"/>
          <w:szCs w:val="24"/>
          <w:highlight w:val="none"/>
          <w:lang w:eastAsia="zh-CN"/>
        </w:rPr>
        <w:t>或进行追责处罚</w:t>
      </w:r>
      <w:r>
        <w:rPr>
          <w:rFonts w:hint="eastAsia" w:ascii="仿宋" w:hAnsi="仿宋" w:eastAsia="仿宋" w:cs="仿宋"/>
          <w:sz w:val="24"/>
          <w:szCs w:val="24"/>
          <w:highlight w:val="none"/>
        </w:rPr>
        <w:t>，并由乙方承担违约责任和由于质量问题所发生的损失及费用。</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9.2乙方对所提供的药剂质量负责，提供的药剂必须符合国家、行业标准和合同约定标准，并与送交甲方的药剂检验合格证明中的检验结果保持一致。</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 药剂调试：需要在现场进行药剂调试时，乙方在接到甲方的维护或技术服务通知后，应在合理的期限内（</w:t>
      </w:r>
      <w:r>
        <w:rPr>
          <w:rFonts w:hint="eastAsia" w:ascii="仿宋" w:hAnsi="仿宋" w:eastAsia="仿宋" w:cs="仿宋"/>
          <w:sz w:val="24"/>
          <w:szCs w:val="24"/>
          <w:highlight w:val="none"/>
          <w:lang w:val="en-US" w:eastAsia="zh-CN"/>
        </w:rPr>
        <w:t>48</w:t>
      </w:r>
      <w:r>
        <w:rPr>
          <w:rFonts w:hint="eastAsia" w:ascii="仿宋" w:hAnsi="仿宋" w:eastAsia="仿宋" w:cs="仿宋"/>
          <w:sz w:val="24"/>
          <w:szCs w:val="24"/>
          <w:highlight w:val="none"/>
        </w:rPr>
        <w:t>小时/</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个工作日内）派相关人员前往甲方指定地点进行调试。若经调试后仍不能保证药剂的正常使用，甲方有权选择采取下列措施：</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（1）要求乙方更换同种型号的同类新产品，相关一切费用由乙方承担；</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（2）要求退货退款，所涉及相关费用（包括但不限于运输费、咨装卸费、税费）由乙方承担。</w:t>
      </w:r>
    </w:p>
    <w:p>
      <w:pPr>
        <w:keepNext w:val="0"/>
        <w:keepLines w:val="0"/>
        <w:pageBreakBefore w:val="0"/>
        <w:kinsoku/>
        <w:wordWrap/>
        <w:overflowPunct/>
        <w:topLinePunct w:val="0"/>
        <w:autoSpaceDE/>
        <w:autoSpaceDN/>
        <w:bidi w:val="0"/>
        <w:adjustRightInd/>
        <w:snapToGrid w:val="0"/>
        <w:spacing w:line="360" w:lineRule="auto"/>
        <w:ind w:firstLine="482" w:firstLineChars="200"/>
        <w:jc w:val="left"/>
        <w:textAlignment w:val="auto"/>
        <w:rPr>
          <w:rFonts w:hint="default" w:ascii="仿宋" w:hAnsi="仿宋" w:eastAsia="仿宋" w:cs="仿宋"/>
          <w:b/>
          <w:bCs/>
          <w:sz w:val="24"/>
          <w:szCs w:val="24"/>
          <w:highlight w:val="none"/>
        </w:rPr>
      </w:pPr>
      <w:r>
        <w:rPr>
          <w:rFonts w:hint="default" w:ascii="仿宋" w:hAnsi="仿宋" w:eastAsia="仿宋" w:cs="仿宋"/>
          <w:b/>
          <w:bCs/>
          <w:sz w:val="24"/>
          <w:szCs w:val="24"/>
          <w:highlight w:val="none"/>
        </w:rPr>
        <w:t>9.</w:t>
      </w:r>
      <w:r>
        <w:rPr>
          <w:rFonts w:hint="default" w:ascii="仿宋" w:hAnsi="仿宋" w:eastAsia="仿宋" w:cs="仿宋"/>
          <w:b/>
          <w:bCs/>
          <w:sz w:val="24"/>
          <w:szCs w:val="24"/>
          <w:highlight w:val="none"/>
          <w:lang w:val="en-US" w:eastAsia="zh-CN"/>
        </w:rPr>
        <w:t>4</w:t>
      </w:r>
      <w:r>
        <w:rPr>
          <w:rFonts w:hint="default" w:ascii="仿宋" w:hAnsi="仿宋" w:eastAsia="仿宋" w:cs="仿宋"/>
          <w:b/>
          <w:bCs/>
          <w:sz w:val="24"/>
          <w:szCs w:val="24"/>
          <w:highlight w:val="none"/>
        </w:rPr>
        <w:t xml:space="preserve"> 应急供货的时间要求：24小时；服务响应的时间要求：乙方在得到甲方通知后2小时内进行电话或邮件响应，如电话或邮件未能解决问题则在12小时内前往现场进行调试；</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10.双方其他义务</w:t>
      </w:r>
    </w:p>
    <w:p>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 甲方义务</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（1）甲方应当提前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日就送货的具体时间、地点及收货人等情况跟乙方确认，并向乙方发出采购订单；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（2）甲方应当按照合同约定办理验收、货款结算并支付货款；</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（3）甲方应当按照乙方提示的方法，对货物妥善保管、搬运、使用。因甲方原因导致货物损毁的，由甲方承担相应责任；</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（4）甲方指定乙方为本合同所供药剂的唯一供应商。</w:t>
      </w:r>
    </w:p>
    <w:p>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10.2 乙方义务</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（1）乙方应当按照合同约定保质保量按时供货；</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（2）乙方应当对货物的保管及使用方法进行技术交底；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（3）乙方应当明确告知配套使用产品的保质期限或有效期限；</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（4）乙方产品生产商为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（5）乙方为本合同所供药剂的唯一供应商，应直接供应商品，不得转让他人供应；</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（6）乙方按照投标服务承诺履行职责。</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11.违约责任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11.1 甲方违约责任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（1）由于甲方原因导致货物交接地点或收货人错误的，甲方应当承担由此给乙方造成的损失，交货期限顺延。</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11.2 乙方违约责任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（1）如乙方所交产品品种、型号、规格、质量不符合合同规定的，乙方应承担所有的退货费用及因此引起的损失；</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（2）乙方逾期交货的，每延误一天，甲方有权扣除当期货款的千分之一。逾期</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u w:val="single"/>
          <w:lang w:eastAsia="zh-CN"/>
        </w:rPr>
        <w:t>三</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天后仍未交货的，甲方有权终止本合同，选择其他供应商；</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因乙方所供产品质量瑕疵或缺陷等原因，引起甲方在生产、使用上的发生损失或事故，乙方应承担违约责任和赔偿责任，赔偿甲方的直接经济损失和因此导致甲方重新购买同类产品的合理差价、甲方因此需向第三方承担的违约责任、赔偿责任等相关间接经济损失，</w:t>
      </w:r>
      <w:r>
        <w:rPr>
          <w:rFonts w:hint="eastAsia" w:ascii="仿宋" w:hAnsi="仿宋" w:eastAsia="仿宋" w:cs="仿宋"/>
          <w:sz w:val="24"/>
          <w:szCs w:val="24"/>
          <w:highlight w:val="none"/>
        </w:rPr>
        <w:t>并接受甲方按中标候选人顺位排序选择新的供货方</w:t>
      </w:r>
      <w:r>
        <w:rPr>
          <w:rFonts w:hint="eastAsia" w:ascii="仿宋" w:hAnsi="仿宋" w:eastAsia="仿宋" w:cs="仿宋"/>
          <w:color w:val="000000"/>
          <w:sz w:val="24"/>
          <w:szCs w:val="24"/>
          <w:highlight w:val="none"/>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（4）如乙方交货少于甲方采购订单所规定的数量及品种，甲方有权要求乙方按采购订单所规定的数量品种供货或补齐，乙方须及时供货或补齐。未及时补齐的，甲方有权扣除未供货或未补齐部分产品总价的</w:t>
      </w:r>
      <w:r>
        <w:rPr>
          <w:rFonts w:hint="eastAsia" w:ascii="仿宋" w:hAnsi="仿宋" w:eastAsia="仿宋" w:cs="仿宋"/>
          <w:color w:val="000000"/>
          <w:sz w:val="24"/>
          <w:szCs w:val="24"/>
          <w:highlight w:val="none"/>
          <w:u w:val="single"/>
        </w:rPr>
        <w:t xml:space="preserve"> 1% </w:t>
      </w:r>
      <w:r>
        <w:rPr>
          <w:rFonts w:hint="eastAsia" w:ascii="仿宋" w:hAnsi="仿宋" w:eastAsia="仿宋" w:cs="仿宋"/>
          <w:color w:val="000000"/>
          <w:sz w:val="24"/>
          <w:szCs w:val="24"/>
          <w:highlight w:val="none"/>
        </w:rPr>
        <w:t>作为违约金。</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11.3 其他：</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12.免责事由</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不可抗力导致双方或一方不能履行或不能完全履行本合同项下有关义务时，双方互相不承担违约责任。但遇有不可抗力的一方或双方应于不可抗力发生后的15日内将情况告知对方，并提供有关部门的证明。在不可抗力影响消除后的合理时间内，一方或双方应当继续履行合同。</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不可抗力事件包括水灾、火灾、台风、地震等严重自然灾害、政府行为、罢工、暴乱、战争等。</w:t>
      </w:r>
    </w:p>
    <w:p>
      <w:pPr>
        <w:keepNext w:val="0"/>
        <w:keepLines w:val="0"/>
        <w:pageBreakBefore w:val="0"/>
        <w:tabs>
          <w:tab w:val="left" w:pos="1113"/>
        </w:tabs>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13.合同争议的解决方式</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本合同履行过程中发生争议，由双方当事人协商解决协商不成的，依法向甲方所在地人民法院起诉。</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14.通知与送达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双方因履行本合同发出的通知、文件、资料，均按下列地址送达：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一方变更地址，应当及时书面通知对方，否则以原地址为准。</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 双方约定的上述地址，同样作为人民法院送达诉讼文书的确认地址，人民法院按照上述地址进行投递的，一经投递即视为当事人已经接收。</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14.3 合同双方以邮寄方式送达的，寄件人应当在邮寄详清单上注明文件名称及简要内容。</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15.其他约定事项</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15.1 合同签订后如需修改，经双方协商一致后，可签订补充合同，该补充合同与本合同具有同等法律效力。</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15.2 合同履行完毕后合同终止。但售后服务承诺不随合同的终止而终止。</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其他：</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份，自双方签字盖章之日起生效</w:t>
      </w:r>
      <w:r>
        <w:rPr>
          <w:rFonts w:hint="eastAsia" w:ascii="仿宋" w:hAnsi="仿宋" w:eastAsia="仿宋" w:cs="仿宋"/>
          <w:color w:val="auto"/>
          <w:sz w:val="24"/>
          <w:szCs w:val="24"/>
          <w:highlight w:val="none"/>
          <w:lang w:eastAsia="zh-CN"/>
        </w:rPr>
        <w:t>。</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sz w:val="24"/>
          <w:szCs w:val="24"/>
          <w:highlight w:val="none"/>
        </w:rPr>
      </w:pPr>
    </w:p>
    <w:tbl>
      <w:tblPr>
        <w:tblStyle w:val="42"/>
        <w:tblpPr w:leftFromText="180" w:rightFromText="180" w:vertAnchor="text" w:horzAnchor="margin" w:tblpXSpec="center" w:tblpY="157"/>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5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30" w:type="dxa"/>
            <w:noWrap w:val="0"/>
            <w:vAlign w:val="top"/>
          </w:tcPr>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甲方(章):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地址：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开户行: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账号：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税号：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c>
          <w:tcPr>
            <w:tcW w:w="5127" w:type="dxa"/>
            <w:noWrap w:val="0"/>
            <w:vAlign w:val="top"/>
          </w:tcPr>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乙方(章)：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r>
    </w:tbl>
    <w:p>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pPr>
                            <w:pStyle w:val="29"/>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ADMeA1AAAAAMBAAAPAAAAAAAAAAEAIAAAACIAAABk&#10;cnMvZG93bnJldi54bWxQSwECFAAUAAAACACHTuJANxkwo9EBAAB4AwAADgAAAAAAAAABACAAAAAj&#10;AQAAZHJzL2Uyb0RvYy54bWxQSwUGAAAAAAYABgBZAQAAZgUAAAAA&#10;">
              <v:fill on="f" focussize="0,0"/>
              <v:stroke on="f" weight="1.2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pStyle w:val="29"/>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EPlfknQAAAAAwEAAA8AAAAAAAAAAQAgAAAAIgAAAGRycy9kb3ducmV2Lnht&#10;bFBLAQIUABQAAAAIAIdO4kALiRdcyAEAAG4DAAAOAAAAAAAAAAEAIAAAAB8BAABkcnMvZTJvRG9j&#10;LnhtbFBLBQYAAAAABgAGAFkBAABZBQAAAAA=&#10;">
              <v:fill on="f" focussize="0,0"/>
              <v:stroke on="f"/>
              <v:imagedata o:title=""/>
              <o:lock v:ext="edit" aspectratio="f"/>
              <v:textbox inset="0mm,0mm,0mm,0mm" style="mso-fit-shape-to-text:t;">
                <w:txbxContent>
                  <w:p>
                    <w:pPr>
                      <w:pStyle w:val="29"/>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pStyle w:val="29"/>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PlfknQAAAAAwEAAA8AAAAAAAAAAQAgAAAAIgAAAGRycy9kb3ducmV2&#10;LnhtbFBLAQIUABQAAAAIAIdO4kDYfvDHywEAAHEDAAAOAAAAAAAAAAEAIAAAAB8BAABkcnMvZTJv&#10;RG9jLnhtbFBLBQYAAAAABgAGAFkBAABcBQAAAAA=&#10;">
              <v:fill on="f" focussize="0,0"/>
              <v:stroke on="f"/>
              <v:imagedata o:title=""/>
              <o:lock v:ext="edit" aspectratio="f"/>
              <v:textbox inset="0mm,0mm,0mm,0mm" style="mso-fit-shape-to-text:t;">
                <w:txbxContent>
                  <w:p>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pStyle w:val="29"/>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D5X5J0AAAAAMBAAAPAAAAAAAAAAEAIAAAACIAAABkcnMvZG93bnJldi54&#10;bWxQSwECFAAUAAAACACHTuJAubQdEskBAABuAwAADgAAAAAAAAABACAAAAAfAQAAZHJzL2Uyb0Rv&#10;Yy54bWxQSwUGAAAAAAYABgBZAQAAWg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pPr>
                            <w:pStyle w:val="29"/>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gyIUc0AAAAAMBAAAPAAAAAAAAAAEAIAAAACIAAABkcnMvZG93bnJldi54&#10;bWxQSwECFAAUAAAACACHTuJAa5QaOckBAABxAwAADgAAAAAAAAABACAAAAAfAQAAZHJzL2Uyb0Rv&#10;Yy54bWxQSwUGAAAAAAYABgBZAQAAWgUAAAAA&#10;">
              <v:fill on="f" focussize="0,0"/>
              <v:stroke on="f"/>
              <v:imagedata o:title=""/>
              <o:lock v:ext="edit" aspectratio="f"/>
              <v:textbox inset="0mm,0mm,0mm,0mm" style="mso-fit-shape-to-text:t;">
                <w:txbxContent>
                  <w:p>
                    <w:pPr>
                      <w:pStyle w:val="29"/>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pStyle w:val="29"/>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PlfknQAAAAAwEAAA8AAAAAAAAAAQAgAAAAIgAAAGRycy9kb3ducmV2&#10;LnhtbFBLAQIUABQAAAAIAIdO4kBHN/9vywEAAHEDAAAOAAAAAAAAAAEAIAAAAB8BAABkcnMvZTJv&#10;RG9jLnhtbFBLBQYAAAAABgAGAFkBAABcBQAAAAA=&#10;">
              <v:fill on="f" focussize="0,0"/>
              <v:stroke on="f"/>
              <v:imagedata o:title=""/>
              <o:lock v:ext="edit" aspectratio="f"/>
              <v:textbox inset="0mm,0mm,0mm,0mm" style="mso-fit-shape-to-text:t;">
                <w:txbxContent>
                  <w:p>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pStyle w:val="29"/>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EPlfknQAAAAAwEAAA8AAAAAAAAAAQAgAAAAIgAAAGRycy9kb3ducmV2Lnht&#10;bFBLAQIUABQAAAAIAIdO4kCcIZxvyAEAAG4DAAAOAAAAAAAAAAEAIAAAAB8BAABkcnMvZTJvRG9j&#10;LnhtbFBLBQYAAAAABgAGAFkBAABZBQ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pPr>
                            <w:pStyle w:val="29"/>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KDIhRzQAAAAAwEAAA8AAAAAAAAAAQAgAAAAIgAAAGRycy9kb3ducmV2Lnht&#10;bFBLAQIUABQAAAAIAIdO4kD03RWRyAEAAHEDAAAOAAAAAAAAAAEAIAAAAB8BAABkcnMvZTJvRG9j&#10;LnhtbFBLBQYAAAAABgAGAFkBAABZBQAAAAA=&#10;">
              <v:fill on="f" focussize="0,0"/>
              <v:stroke on="f"/>
              <v:imagedata o:title=""/>
              <o:lock v:ext="edit" aspectratio="f"/>
              <v:textbox inset="0mm,0mm,0mm,0mm" style="mso-fit-shape-to-text:t;">
                <w:txbxContent>
                  <w:p>
                    <w:pPr>
                      <w:pStyle w:val="29"/>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A1240B"/>
    <w:multiLevelType w:val="singleLevel"/>
    <w:tmpl w:val="95A1240B"/>
    <w:lvl w:ilvl="0" w:tentative="0">
      <w:start w:val="1"/>
      <w:numFmt w:val="decimal"/>
      <w:suff w:val="nothing"/>
      <w:lvlText w:val="（%1）"/>
      <w:lvlJc w:val="left"/>
      <w:pPr>
        <w:ind w:left="480" w:firstLine="0"/>
      </w:pPr>
    </w:lvl>
  </w:abstractNum>
  <w:abstractNum w:abstractNumId="1">
    <w:nsid w:val="34E0E6A8"/>
    <w:multiLevelType w:val="singleLevel"/>
    <w:tmpl w:val="34E0E6A8"/>
    <w:lvl w:ilvl="0" w:tentative="0">
      <w:start w:val="1"/>
      <w:numFmt w:val="decimal"/>
      <w:suff w:val="nothing"/>
      <w:lvlText w:val="%1、"/>
      <w:lvlJc w:val="left"/>
    </w:lvl>
  </w:abstractNum>
  <w:abstractNum w:abstractNumId="2">
    <w:nsid w:val="5852C880"/>
    <w:multiLevelType w:val="singleLevel"/>
    <w:tmpl w:val="5852C880"/>
    <w:lvl w:ilvl="0" w:tentative="0">
      <w:start w:val="1"/>
      <w:numFmt w:val="decimal"/>
      <w:suff w:val="nothing"/>
      <w:lvlText w:val="%1、"/>
      <w:lvlJc w:val="left"/>
    </w:lvl>
  </w:abstractNum>
  <w:abstractNum w:abstractNumId="3">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916C5A"/>
    <w:rsid w:val="01AA1039"/>
    <w:rsid w:val="01F15E4E"/>
    <w:rsid w:val="02067D25"/>
    <w:rsid w:val="0210458C"/>
    <w:rsid w:val="0224293B"/>
    <w:rsid w:val="02250785"/>
    <w:rsid w:val="023824A9"/>
    <w:rsid w:val="02537422"/>
    <w:rsid w:val="02593918"/>
    <w:rsid w:val="028454C6"/>
    <w:rsid w:val="02BA785F"/>
    <w:rsid w:val="02CD1F13"/>
    <w:rsid w:val="02F05C02"/>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DA1CD0"/>
    <w:rsid w:val="08DF5A76"/>
    <w:rsid w:val="096F5AD2"/>
    <w:rsid w:val="09CD0A4B"/>
    <w:rsid w:val="09CD66ED"/>
    <w:rsid w:val="09D726B7"/>
    <w:rsid w:val="09E57988"/>
    <w:rsid w:val="09F72AC1"/>
    <w:rsid w:val="0A1B5868"/>
    <w:rsid w:val="0A554394"/>
    <w:rsid w:val="0A570314"/>
    <w:rsid w:val="0A586566"/>
    <w:rsid w:val="0AA43C12"/>
    <w:rsid w:val="0AD377C9"/>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FB3A31"/>
    <w:rsid w:val="0F1A3B0B"/>
    <w:rsid w:val="0F29172E"/>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5D5DEF"/>
    <w:rsid w:val="10892646"/>
    <w:rsid w:val="108B094A"/>
    <w:rsid w:val="109E0A4B"/>
    <w:rsid w:val="10AD2D88"/>
    <w:rsid w:val="10EA2BC5"/>
    <w:rsid w:val="10F414EA"/>
    <w:rsid w:val="10FA0DBF"/>
    <w:rsid w:val="11166793"/>
    <w:rsid w:val="11293107"/>
    <w:rsid w:val="112E5EC1"/>
    <w:rsid w:val="113877F0"/>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4FF4786"/>
    <w:rsid w:val="15237771"/>
    <w:rsid w:val="153E5A17"/>
    <w:rsid w:val="159B6C93"/>
    <w:rsid w:val="159D39C7"/>
    <w:rsid w:val="15AE7584"/>
    <w:rsid w:val="15C40C40"/>
    <w:rsid w:val="16113804"/>
    <w:rsid w:val="16432473"/>
    <w:rsid w:val="165672E8"/>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8291412"/>
    <w:rsid w:val="182A0E16"/>
    <w:rsid w:val="18315A8D"/>
    <w:rsid w:val="188A46BF"/>
    <w:rsid w:val="189E5FC5"/>
    <w:rsid w:val="18D641E0"/>
    <w:rsid w:val="18F719F9"/>
    <w:rsid w:val="193446F8"/>
    <w:rsid w:val="193631F2"/>
    <w:rsid w:val="19A80665"/>
    <w:rsid w:val="19AA0184"/>
    <w:rsid w:val="19E03E83"/>
    <w:rsid w:val="19E42FA8"/>
    <w:rsid w:val="19EA6CD0"/>
    <w:rsid w:val="1A2076E9"/>
    <w:rsid w:val="1A2F6FA0"/>
    <w:rsid w:val="1A4678C3"/>
    <w:rsid w:val="1A4A0D73"/>
    <w:rsid w:val="1A7F53D6"/>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2F2D72"/>
    <w:rsid w:val="1C404EA7"/>
    <w:rsid w:val="1C6358AB"/>
    <w:rsid w:val="1C751D0C"/>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D75EB6"/>
    <w:rsid w:val="20293342"/>
    <w:rsid w:val="203977DF"/>
    <w:rsid w:val="20AC11C0"/>
    <w:rsid w:val="20D76825"/>
    <w:rsid w:val="20DB3072"/>
    <w:rsid w:val="2100305C"/>
    <w:rsid w:val="21311468"/>
    <w:rsid w:val="21764C9F"/>
    <w:rsid w:val="21806A80"/>
    <w:rsid w:val="21BC015E"/>
    <w:rsid w:val="21E85818"/>
    <w:rsid w:val="21EB64F7"/>
    <w:rsid w:val="21FB7D81"/>
    <w:rsid w:val="21FF7B22"/>
    <w:rsid w:val="221548E5"/>
    <w:rsid w:val="223654C7"/>
    <w:rsid w:val="22422404"/>
    <w:rsid w:val="226F628F"/>
    <w:rsid w:val="2273571C"/>
    <w:rsid w:val="228526E0"/>
    <w:rsid w:val="22943FB4"/>
    <w:rsid w:val="22A91D27"/>
    <w:rsid w:val="22BE3D3F"/>
    <w:rsid w:val="22E461E8"/>
    <w:rsid w:val="22F66AC1"/>
    <w:rsid w:val="231A1E2F"/>
    <w:rsid w:val="2335020B"/>
    <w:rsid w:val="238B183B"/>
    <w:rsid w:val="23A607C4"/>
    <w:rsid w:val="23B34BAC"/>
    <w:rsid w:val="23B6282D"/>
    <w:rsid w:val="23BD5507"/>
    <w:rsid w:val="23C14CFA"/>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D441CD"/>
    <w:rsid w:val="260E4227"/>
    <w:rsid w:val="2621701E"/>
    <w:rsid w:val="266271CD"/>
    <w:rsid w:val="26633E71"/>
    <w:rsid w:val="26B80661"/>
    <w:rsid w:val="26F73FDA"/>
    <w:rsid w:val="27106306"/>
    <w:rsid w:val="27172D0A"/>
    <w:rsid w:val="271F1251"/>
    <w:rsid w:val="27450B08"/>
    <w:rsid w:val="27623589"/>
    <w:rsid w:val="27710BD6"/>
    <w:rsid w:val="27930786"/>
    <w:rsid w:val="27AA7A9F"/>
    <w:rsid w:val="27AE736E"/>
    <w:rsid w:val="27CB7F20"/>
    <w:rsid w:val="27EA0323"/>
    <w:rsid w:val="28100ED0"/>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BF3AB4"/>
    <w:rsid w:val="29D26E17"/>
    <w:rsid w:val="29FC6F97"/>
    <w:rsid w:val="2A083E5C"/>
    <w:rsid w:val="2A2102CB"/>
    <w:rsid w:val="2A217CF0"/>
    <w:rsid w:val="2A313580"/>
    <w:rsid w:val="2A4F2539"/>
    <w:rsid w:val="2A5207B3"/>
    <w:rsid w:val="2A674427"/>
    <w:rsid w:val="2A74238E"/>
    <w:rsid w:val="2A7D7069"/>
    <w:rsid w:val="2A885A56"/>
    <w:rsid w:val="2A935D31"/>
    <w:rsid w:val="2AB0029F"/>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27263"/>
    <w:rsid w:val="2CAA00EB"/>
    <w:rsid w:val="2CBF3DCB"/>
    <w:rsid w:val="2CE82C7B"/>
    <w:rsid w:val="2D013193"/>
    <w:rsid w:val="2D12304D"/>
    <w:rsid w:val="2D594F9E"/>
    <w:rsid w:val="2D5B77E5"/>
    <w:rsid w:val="2D5D39A4"/>
    <w:rsid w:val="2D700E84"/>
    <w:rsid w:val="2D7B7CF2"/>
    <w:rsid w:val="2D7C322C"/>
    <w:rsid w:val="2D9B2143"/>
    <w:rsid w:val="2DBD47AF"/>
    <w:rsid w:val="2DD43EE3"/>
    <w:rsid w:val="2DF93DDE"/>
    <w:rsid w:val="2DF95ADB"/>
    <w:rsid w:val="2E01070E"/>
    <w:rsid w:val="2E1A0D91"/>
    <w:rsid w:val="2E55688B"/>
    <w:rsid w:val="2ED81803"/>
    <w:rsid w:val="2EE634AB"/>
    <w:rsid w:val="2EFA10EB"/>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E212C3"/>
    <w:rsid w:val="30F05FA9"/>
    <w:rsid w:val="312954B5"/>
    <w:rsid w:val="31322DBE"/>
    <w:rsid w:val="317F3B29"/>
    <w:rsid w:val="31D9148B"/>
    <w:rsid w:val="31EF2C58"/>
    <w:rsid w:val="32031D3C"/>
    <w:rsid w:val="320710EC"/>
    <w:rsid w:val="32381939"/>
    <w:rsid w:val="324042EC"/>
    <w:rsid w:val="32593FDB"/>
    <w:rsid w:val="325F30A0"/>
    <w:rsid w:val="3267491C"/>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501281"/>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D64BEA"/>
    <w:rsid w:val="3B0A066E"/>
    <w:rsid w:val="3B3237CF"/>
    <w:rsid w:val="3B700157"/>
    <w:rsid w:val="3B7423AC"/>
    <w:rsid w:val="3B9308FD"/>
    <w:rsid w:val="3BB64C32"/>
    <w:rsid w:val="3BBA40DC"/>
    <w:rsid w:val="3BBE174D"/>
    <w:rsid w:val="3BC47EE7"/>
    <w:rsid w:val="3BE71216"/>
    <w:rsid w:val="3C0B0AE8"/>
    <w:rsid w:val="3C35270F"/>
    <w:rsid w:val="3C40441C"/>
    <w:rsid w:val="3C504ED6"/>
    <w:rsid w:val="3C9F351B"/>
    <w:rsid w:val="3CF7D354"/>
    <w:rsid w:val="3CFE3E64"/>
    <w:rsid w:val="3D021D9E"/>
    <w:rsid w:val="3D0D60B6"/>
    <w:rsid w:val="3D1666B8"/>
    <w:rsid w:val="3D281EC8"/>
    <w:rsid w:val="3D2B2B8C"/>
    <w:rsid w:val="3D3213E4"/>
    <w:rsid w:val="3D335057"/>
    <w:rsid w:val="3D3B307D"/>
    <w:rsid w:val="3D6407A3"/>
    <w:rsid w:val="3D675DC6"/>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412D0"/>
    <w:rsid w:val="3EB05805"/>
    <w:rsid w:val="3ED2798E"/>
    <w:rsid w:val="3ED32447"/>
    <w:rsid w:val="3ED41958"/>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21A4B61"/>
    <w:rsid w:val="4250230A"/>
    <w:rsid w:val="425B7949"/>
    <w:rsid w:val="42683077"/>
    <w:rsid w:val="42770885"/>
    <w:rsid w:val="42880C47"/>
    <w:rsid w:val="429658F0"/>
    <w:rsid w:val="429926BE"/>
    <w:rsid w:val="42FA567F"/>
    <w:rsid w:val="4334513F"/>
    <w:rsid w:val="435C492E"/>
    <w:rsid w:val="436412A6"/>
    <w:rsid w:val="43B11758"/>
    <w:rsid w:val="43D81DF9"/>
    <w:rsid w:val="43E360E1"/>
    <w:rsid w:val="440D1EAD"/>
    <w:rsid w:val="44366C11"/>
    <w:rsid w:val="446479C9"/>
    <w:rsid w:val="446A5022"/>
    <w:rsid w:val="449400FA"/>
    <w:rsid w:val="44B50B65"/>
    <w:rsid w:val="44DC1567"/>
    <w:rsid w:val="44F70C6A"/>
    <w:rsid w:val="450F4D8A"/>
    <w:rsid w:val="45474A4C"/>
    <w:rsid w:val="457C53C2"/>
    <w:rsid w:val="4591040A"/>
    <w:rsid w:val="45967968"/>
    <w:rsid w:val="459E4528"/>
    <w:rsid w:val="45CE26BB"/>
    <w:rsid w:val="45CE28B2"/>
    <w:rsid w:val="45CF0244"/>
    <w:rsid w:val="45D71D2E"/>
    <w:rsid w:val="45E94D4D"/>
    <w:rsid w:val="461C75ED"/>
    <w:rsid w:val="461D39EE"/>
    <w:rsid w:val="463C0253"/>
    <w:rsid w:val="463C52FB"/>
    <w:rsid w:val="46503FBA"/>
    <w:rsid w:val="4655719D"/>
    <w:rsid w:val="465D6E59"/>
    <w:rsid w:val="46BD0F24"/>
    <w:rsid w:val="46D10DCA"/>
    <w:rsid w:val="46D532F9"/>
    <w:rsid w:val="46E12D03"/>
    <w:rsid w:val="46F76745"/>
    <w:rsid w:val="47062619"/>
    <w:rsid w:val="471825FE"/>
    <w:rsid w:val="477A6AEF"/>
    <w:rsid w:val="477B5D50"/>
    <w:rsid w:val="47BD67A4"/>
    <w:rsid w:val="47C7783E"/>
    <w:rsid w:val="47C805B8"/>
    <w:rsid w:val="47FE0532"/>
    <w:rsid w:val="47FE17F4"/>
    <w:rsid w:val="47FF70FE"/>
    <w:rsid w:val="480732DE"/>
    <w:rsid w:val="480A1F47"/>
    <w:rsid w:val="481501F8"/>
    <w:rsid w:val="481E0468"/>
    <w:rsid w:val="482761DD"/>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D82813"/>
    <w:rsid w:val="4AF17CC0"/>
    <w:rsid w:val="4AF40C8C"/>
    <w:rsid w:val="4B0372DA"/>
    <w:rsid w:val="4B0A19F1"/>
    <w:rsid w:val="4B0C7CA6"/>
    <w:rsid w:val="4B1D3AD6"/>
    <w:rsid w:val="4B3E66D0"/>
    <w:rsid w:val="4B524B95"/>
    <w:rsid w:val="4BAD1567"/>
    <w:rsid w:val="4BB375DD"/>
    <w:rsid w:val="4BBE6A70"/>
    <w:rsid w:val="4BBF3681"/>
    <w:rsid w:val="4BC346FC"/>
    <w:rsid w:val="4BE15A04"/>
    <w:rsid w:val="4BFF6209"/>
    <w:rsid w:val="4C3F4944"/>
    <w:rsid w:val="4C4B52F4"/>
    <w:rsid w:val="4C9B7652"/>
    <w:rsid w:val="4CB45878"/>
    <w:rsid w:val="4D2C6EDE"/>
    <w:rsid w:val="4DD05A25"/>
    <w:rsid w:val="4DF40AE5"/>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67DF8"/>
    <w:rsid w:val="504B57F2"/>
    <w:rsid w:val="505905FF"/>
    <w:rsid w:val="505F3376"/>
    <w:rsid w:val="50760A57"/>
    <w:rsid w:val="50903563"/>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71389B"/>
    <w:rsid w:val="52927EBD"/>
    <w:rsid w:val="52953DA4"/>
    <w:rsid w:val="52A575BB"/>
    <w:rsid w:val="52BE3C8F"/>
    <w:rsid w:val="52DE4138"/>
    <w:rsid w:val="530E2C43"/>
    <w:rsid w:val="5322125E"/>
    <w:rsid w:val="532A2228"/>
    <w:rsid w:val="535320ED"/>
    <w:rsid w:val="53644E32"/>
    <w:rsid w:val="5371289D"/>
    <w:rsid w:val="53DE6D19"/>
    <w:rsid w:val="53F32D80"/>
    <w:rsid w:val="53F61DBC"/>
    <w:rsid w:val="53FF3638"/>
    <w:rsid w:val="540235C5"/>
    <w:rsid w:val="54036473"/>
    <w:rsid w:val="540A5C84"/>
    <w:rsid w:val="540E63A1"/>
    <w:rsid w:val="54457114"/>
    <w:rsid w:val="547D79BE"/>
    <w:rsid w:val="54844437"/>
    <w:rsid w:val="549C03CB"/>
    <w:rsid w:val="54A0116D"/>
    <w:rsid w:val="550058CC"/>
    <w:rsid w:val="55124B31"/>
    <w:rsid w:val="553E36FF"/>
    <w:rsid w:val="556128E7"/>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E77F7"/>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80606F"/>
    <w:rsid w:val="5B8D59B9"/>
    <w:rsid w:val="5B8E27A1"/>
    <w:rsid w:val="5B90055D"/>
    <w:rsid w:val="5B9C1D95"/>
    <w:rsid w:val="5BE3143E"/>
    <w:rsid w:val="5C323E85"/>
    <w:rsid w:val="5C395701"/>
    <w:rsid w:val="5C3C314C"/>
    <w:rsid w:val="5C4D3BFA"/>
    <w:rsid w:val="5C741D5A"/>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E4708"/>
    <w:rsid w:val="5E3D78A1"/>
    <w:rsid w:val="5E53564E"/>
    <w:rsid w:val="5E573605"/>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D8613A"/>
    <w:rsid w:val="65EB2226"/>
    <w:rsid w:val="65F8742B"/>
    <w:rsid w:val="66345205"/>
    <w:rsid w:val="66B001E2"/>
    <w:rsid w:val="66B33AA8"/>
    <w:rsid w:val="66B617C0"/>
    <w:rsid w:val="66D67CEA"/>
    <w:rsid w:val="66D74C03"/>
    <w:rsid w:val="66F95D5F"/>
    <w:rsid w:val="6712276E"/>
    <w:rsid w:val="67695363"/>
    <w:rsid w:val="679D028A"/>
    <w:rsid w:val="68275CED"/>
    <w:rsid w:val="683F3A37"/>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DD5062"/>
    <w:rsid w:val="6CDE79AF"/>
    <w:rsid w:val="6CF46B9E"/>
    <w:rsid w:val="6CFD81DF"/>
    <w:rsid w:val="6D175C89"/>
    <w:rsid w:val="6D360C7F"/>
    <w:rsid w:val="6D404378"/>
    <w:rsid w:val="6D7A0F67"/>
    <w:rsid w:val="6D820AE9"/>
    <w:rsid w:val="6D9E0E35"/>
    <w:rsid w:val="6DB200D0"/>
    <w:rsid w:val="6DD4077E"/>
    <w:rsid w:val="6DEA4604"/>
    <w:rsid w:val="6DFB7BC5"/>
    <w:rsid w:val="6E932C1C"/>
    <w:rsid w:val="6EB94CA1"/>
    <w:rsid w:val="6EE07AA3"/>
    <w:rsid w:val="6EEB8E5F"/>
    <w:rsid w:val="6EFE0978"/>
    <w:rsid w:val="6F062841"/>
    <w:rsid w:val="6F084862"/>
    <w:rsid w:val="6F2F1C60"/>
    <w:rsid w:val="6F806DDA"/>
    <w:rsid w:val="6F887A72"/>
    <w:rsid w:val="6F887B94"/>
    <w:rsid w:val="6FA32AFD"/>
    <w:rsid w:val="6FA535AD"/>
    <w:rsid w:val="6FDC60D0"/>
    <w:rsid w:val="6FF671C3"/>
    <w:rsid w:val="6FFA62C5"/>
    <w:rsid w:val="7009145B"/>
    <w:rsid w:val="70196838"/>
    <w:rsid w:val="7023229D"/>
    <w:rsid w:val="702707C6"/>
    <w:rsid w:val="70351AE0"/>
    <w:rsid w:val="70425469"/>
    <w:rsid w:val="7048478E"/>
    <w:rsid w:val="708C17E3"/>
    <w:rsid w:val="708D34F0"/>
    <w:rsid w:val="709435AA"/>
    <w:rsid w:val="70B84AEA"/>
    <w:rsid w:val="70BA73D6"/>
    <w:rsid w:val="70D171F6"/>
    <w:rsid w:val="71033031"/>
    <w:rsid w:val="711A010D"/>
    <w:rsid w:val="71384F8A"/>
    <w:rsid w:val="715D620A"/>
    <w:rsid w:val="71A96202"/>
    <w:rsid w:val="71CF6942"/>
    <w:rsid w:val="724610A5"/>
    <w:rsid w:val="7258372B"/>
    <w:rsid w:val="72621DA4"/>
    <w:rsid w:val="727A76BE"/>
    <w:rsid w:val="72945F4F"/>
    <w:rsid w:val="72AB7696"/>
    <w:rsid w:val="7306587D"/>
    <w:rsid w:val="732C21E6"/>
    <w:rsid w:val="735A1725"/>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113955"/>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C1120EB"/>
    <w:rsid w:val="7C285AC3"/>
    <w:rsid w:val="7C442F72"/>
    <w:rsid w:val="7C443F36"/>
    <w:rsid w:val="7C6333F8"/>
    <w:rsid w:val="7C6D3BA7"/>
    <w:rsid w:val="7C813749"/>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25"/>
    <w:qFormat/>
    <w:uiPriority w:val="0"/>
    <w:pPr>
      <w:jc w:val="center"/>
      <w:outlineLvl w:val="0"/>
    </w:pPr>
    <w:rPr>
      <w:rFonts w:ascii="黑体" w:hAnsi="黑体" w:eastAsia="仿宋"/>
      <w:b/>
      <w:sz w:val="30"/>
      <w:highlight w:val="none"/>
    </w:rPr>
  </w:style>
  <w:style w:type="paragraph" w:styleId="4">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4">
    <w:name w:val="Default Paragraph Font"/>
    <w:unhideWhenUsed/>
    <w:qFormat/>
    <w:uiPriority w:val="1"/>
  </w:style>
  <w:style w:type="table" w:default="1" w:styleId="42">
    <w:name w:val="Normal Table"/>
    <w:unhideWhenUsed/>
    <w:qFormat/>
    <w:uiPriority w:val="99"/>
    <w:tblPr>
      <w:tblLayout w:type="fixed"/>
      <w:tblCellMar>
        <w:top w:w="0" w:type="dxa"/>
        <w:left w:w="108" w:type="dxa"/>
        <w:bottom w:w="0" w:type="dxa"/>
        <w:right w:w="108" w:type="dxa"/>
      </w:tblCellMar>
    </w:tblPr>
  </w:style>
  <w:style w:type="paragraph" w:customStyle="1" w:styleId="2">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28"/>
    <w:semiHidden/>
    <w:qFormat/>
    <w:uiPriority w:val="0"/>
    <w:pPr>
      <w:shd w:val="clear" w:color="auto" w:fill="000080"/>
    </w:pPr>
    <w:rPr>
      <w:rFonts w:ascii="宋体" w:hAnsi="宋体"/>
      <w:kern w:val="0"/>
      <w:sz w:val="20"/>
      <w:szCs w:val="24"/>
    </w:rPr>
  </w:style>
  <w:style w:type="paragraph" w:styleId="16">
    <w:name w:val="annotation text"/>
    <w:basedOn w:val="1"/>
    <w:link w:val="115"/>
    <w:qFormat/>
    <w:uiPriority w:val="0"/>
    <w:pPr>
      <w:jc w:val="left"/>
    </w:pPr>
    <w:rPr>
      <w:rFonts w:ascii="Courier New" w:hAnsi="Courier New"/>
      <w:color w:val="000000"/>
      <w:kern w:val="0"/>
      <w:sz w:val="24"/>
      <w:szCs w:val="24"/>
      <w:lang w:val="zh-CN"/>
    </w:rPr>
  </w:style>
  <w:style w:type="paragraph" w:styleId="17">
    <w:name w:val="Body Text"/>
    <w:basedOn w:val="1"/>
    <w:next w:val="1"/>
    <w:link w:val="111"/>
    <w:qFormat/>
    <w:uiPriority w:val="0"/>
    <w:pPr>
      <w:spacing w:after="120"/>
    </w:pPr>
    <w:rPr>
      <w:rFonts w:ascii="宋体" w:hAnsi="宋体"/>
      <w:kern w:val="0"/>
      <w:sz w:val="20"/>
      <w:szCs w:val="24"/>
    </w:rPr>
  </w:style>
  <w:style w:type="paragraph" w:styleId="18">
    <w:name w:val="Body Text Indent"/>
    <w:basedOn w:val="1"/>
    <w:next w:val="19"/>
    <w:link w:val="117"/>
    <w:qFormat/>
    <w:uiPriority w:val="0"/>
    <w:pPr>
      <w:spacing w:after="120"/>
      <w:ind w:left="420" w:leftChars="200"/>
    </w:pPr>
    <w:rPr>
      <w:rFonts w:ascii="宋体" w:hAnsi="宋体"/>
      <w:kern w:val="0"/>
      <w:sz w:val="20"/>
      <w:szCs w:val="24"/>
    </w:rPr>
  </w:style>
  <w:style w:type="paragraph" w:styleId="19">
    <w:name w:val="envelope return"/>
    <w:basedOn w:val="1"/>
    <w:qFormat/>
    <w:uiPriority w:val="0"/>
    <w:pPr>
      <w:snapToGrid w:val="0"/>
      <w:spacing w:line="360" w:lineRule="auto"/>
      <w:ind w:firstLine="200" w:firstLineChars="200"/>
    </w:pPr>
    <w:rPr>
      <w:rFonts w:ascii="Arial" w:hAnsi="Arial" w:cs="Arial"/>
      <w:sz w:val="24"/>
    </w:rPr>
  </w:style>
  <w:style w:type="paragraph" w:styleId="20">
    <w:name w:val="List 2"/>
    <w:basedOn w:val="1"/>
    <w:qFormat/>
    <w:uiPriority w:val="0"/>
    <w:pPr>
      <w:ind w:left="100" w:leftChars="200" w:hanging="200" w:hangingChars="200"/>
      <w:contextualSpacing/>
    </w:pPr>
  </w:style>
  <w:style w:type="paragraph" w:styleId="21">
    <w:name w:val="Block Text"/>
    <w:basedOn w:val="1"/>
    <w:qFormat/>
    <w:uiPriority w:val="0"/>
    <w:pPr>
      <w:ind w:left="-4" w:right="-108"/>
    </w:pPr>
    <w:rPr>
      <w:rFonts w:ascii="宋体" w:hAnsi="Times New Roman"/>
      <w:sz w:val="28"/>
      <w:szCs w:val="20"/>
    </w:rPr>
  </w:style>
  <w:style w:type="paragraph" w:styleId="22">
    <w:name w:val="toc 5"/>
    <w:basedOn w:val="1"/>
    <w:next w:val="1"/>
    <w:semiHidden/>
    <w:qFormat/>
    <w:uiPriority w:val="0"/>
    <w:pPr>
      <w:ind w:left="800"/>
      <w:jc w:val="left"/>
    </w:pPr>
    <w:rPr>
      <w:rFonts w:ascii="Times New Roman" w:hAnsi="Times New Roman"/>
      <w:kern w:val="0"/>
      <w:sz w:val="18"/>
      <w:szCs w:val="18"/>
    </w:rPr>
  </w:style>
  <w:style w:type="paragraph" w:styleId="23">
    <w:name w:val="toc 3"/>
    <w:basedOn w:val="1"/>
    <w:next w:val="1"/>
    <w:semiHidden/>
    <w:qFormat/>
    <w:uiPriority w:val="0"/>
    <w:pPr>
      <w:ind w:left="400"/>
      <w:jc w:val="left"/>
    </w:pPr>
    <w:rPr>
      <w:rFonts w:ascii="Times New Roman" w:hAnsi="Times New Roman"/>
      <w:i/>
      <w:iCs/>
      <w:kern w:val="0"/>
      <w:sz w:val="20"/>
      <w:szCs w:val="20"/>
    </w:rPr>
  </w:style>
  <w:style w:type="paragraph" w:styleId="24">
    <w:name w:val="Plain Text"/>
    <w:basedOn w:val="1"/>
    <w:link w:val="120"/>
    <w:qFormat/>
    <w:uiPriority w:val="0"/>
    <w:rPr>
      <w:rFonts w:ascii="宋体" w:hAnsi="Courier New"/>
      <w:szCs w:val="20"/>
    </w:rPr>
  </w:style>
  <w:style w:type="paragraph" w:styleId="25">
    <w:name w:val="toc 8"/>
    <w:basedOn w:val="1"/>
    <w:next w:val="1"/>
    <w:semiHidden/>
    <w:qFormat/>
    <w:uiPriority w:val="0"/>
    <w:pPr>
      <w:ind w:left="1400"/>
      <w:jc w:val="left"/>
    </w:pPr>
    <w:rPr>
      <w:rFonts w:ascii="Times New Roman" w:hAnsi="Times New Roman"/>
      <w:kern w:val="0"/>
      <w:sz w:val="18"/>
      <w:szCs w:val="18"/>
    </w:rPr>
  </w:style>
  <w:style w:type="paragraph" w:styleId="26">
    <w:name w:val="Date"/>
    <w:basedOn w:val="1"/>
    <w:next w:val="1"/>
    <w:link w:val="129"/>
    <w:unhideWhenUsed/>
    <w:qFormat/>
    <w:uiPriority w:val="99"/>
    <w:pPr>
      <w:ind w:left="100" w:leftChars="2500"/>
    </w:pPr>
  </w:style>
  <w:style w:type="paragraph" w:styleId="27">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8">
    <w:name w:val="Balloon Text"/>
    <w:basedOn w:val="1"/>
    <w:link w:val="131"/>
    <w:unhideWhenUsed/>
    <w:qFormat/>
    <w:uiPriority w:val="99"/>
    <w:rPr>
      <w:kern w:val="0"/>
      <w:sz w:val="18"/>
      <w:szCs w:val="18"/>
    </w:rPr>
  </w:style>
  <w:style w:type="paragraph" w:styleId="29">
    <w:name w:val="footer"/>
    <w:basedOn w:val="1"/>
    <w:link w:val="132"/>
    <w:unhideWhenUsed/>
    <w:qFormat/>
    <w:uiPriority w:val="99"/>
    <w:pPr>
      <w:tabs>
        <w:tab w:val="center" w:pos="4153"/>
        <w:tab w:val="right" w:pos="8306"/>
      </w:tabs>
      <w:snapToGrid w:val="0"/>
      <w:jc w:val="left"/>
    </w:pPr>
    <w:rPr>
      <w:kern w:val="0"/>
      <w:sz w:val="18"/>
      <w:szCs w:val="18"/>
    </w:rPr>
  </w:style>
  <w:style w:type="paragraph" w:styleId="30">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2">
    <w:name w:val="toc 4"/>
    <w:basedOn w:val="1"/>
    <w:next w:val="1"/>
    <w:semiHidden/>
    <w:qFormat/>
    <w:uiPriority w:val="0"/>
    <w:pPr>
      <w:ind w:left="600"/>
      <w:jc w:val="left"/>
    </w:pPr>
    <w:rPr>
      <w:rFonts w:ascii="Times New Roman" w:hAnsi="Times New Roman"/>
      <w:kern w:val="0"/>
      <w:sz w:val="18"/>
      <w:szCs w:val="18"/>
    </w:rPr>
  </w:style>
  <w:style w:type="paragraph" w:styleId="33">
    <w:name w:val="toc 6"/>
    <w:basedOn w:val="1"/>
    <w:next w:val="1"/>
    <w:semiHidden/>
    <w:qFormat/>
    <w:uiPriority w:val="0"/>
    <w:pPr>
      <w:ind w:left="1000"/>
      <w:jc w:val="left"/>
    </w:pPr>
    <w:rPr>
      <w:rFonts w:ascii="Times New Roman" w:hAnsi="Times New Roman"/>
      <w:kern w:val="0"/>
      <w:sz w:val="18"/>
      <w:szCs w:val="18"/>
    </w:rPr>
  </w:style>
  <w:style w:type="paragraph" w:styleId="34">
    <w:name w:val="Body Text Indent 3"/>
    <w:basedOn w:val="1"/>
    <w:qFormat/>
    <w:uiPriority w:val="0"/>
    <w:pPr>
      <w:spacing w:after="120" w:afterLines="0"/>
      <w:ind w:left="420" w:leftChars="200"/>
    </w:pPr>
    <w:rPr>
      <w:sz w:val="16"/>
      <w:szCs w:val="16"/>
    </w:rPr>
  </w:style>
  <w:style w:type="paragraph" w:styleId="35">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6">
    <w:name w:val="toc 9"/>
    <w:basedOn w:val="1"/>
    <w:next w:val="1"/>
    <w:semiHidden/>
    <w:qFormat/>
    <w:uiPriority w:val="0"/>
    <w:pPr>
      <w:ind w:left="1600"/>
      <w:jc w:val="left"/>
    </w:pPr>
    <w:rPr>
      <w:rFonts w:ascii="Times New Roman" w:hAnsi="Times New Roman"/>
      <w:kern w:val="0"/>
      <w:sz w:val="18"/>
      <w:szCs w:val="18"/>
    </w:rPr>
  </w:style>
  <w:style w:type="paragraph" w:styleId="37">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8">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9">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40">
    <w:name w:val="annotation subject"/>
    <w:basedOn w:val="16"/>
    <w:next w:val="16"/>
    <w:link w:val="135"/>
    <w:semiHidden/>
    <w:qFormat/>
    <w:uiPriority w:val="0"/>
    <w:rPr>
      <w:rFonts w:ascii="宋体" w:hAnsi="宋体"/>
      <w:b/>
      <w:bCs/>
    </w:rPr>
  </w:style>
  <w:style w:type="paragraph" w:styleId="41">
    <w:name w:val="Body Text First Indent 2"/>
    <w:basedOn w:val="18"/>
    <w:next w:val="1"/>
    <w:qFormat/>
    <w:uiPriority w:val="0"/>
    <w:pPr>
      <w:spacing w:after="120"/>
      <w:ind w:left="200" w:leftChars="200" w:firstLine="420"/>
      <w:jc w:val="both"/>
    </w:pPr>
    <w:rPr>
      <w:rFonts w:ascii="Calibri" w:hAnsi="Calibri" w:eastAsia="宋体"/>
      <w:szCs w:val="24"/>
      <w:lang w:val="en-US"/>
    </w:rPr>
  </w:style>
  <w:style w:type="table" w:styleId="43">
    <w:name w:val="Table Grid"/>
    <w:basedOn w:val="4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45">
    <w:name w:val="Strong"/>
    <w:basedOn w:val="44"/>
    <w:qFormat/>
    <w:uiPriority w:val="22"/>
    <w:rPr>
      <w:b/>
      <w:bCs/>
    </w:rPr>
  </w:style>
  <w:style w:type="character" w:styleId="46">
    <w:name w:val="page number"/>
    <w:qFormat/>
    <w:uiPriority w:val="0"/>
  </w:style>
  <w:style w:type="character" w:styleId="47">
    <w:name w:val="FollowedHyperlink"/>
    <w:qFormat/>
    <w:uiPriority w:val="0"/>
    <w:rPr>
      <w:rFonts w:hint="eastAsia" w:ascii="微软雅黑" w:hAnsi="微软雅黑" w:eastAsia="微软雅黑" w:cs="微软雅黑"/>
      <w:color w:val="333333"/>
      <w:sz w:val="21"/>
      <w:szCs w:val="21"/>
      <w:u w:val="none"/>
    </w:rPr>
  </w:style>
  <w:style w:type="character" w:styleId="48">
    <w:name w:val="Emphasis"/>
    <w:qFormat/>
    <w:uiPriority w:val="20"/>
  </w:style>
  <w:style w:type="character" w:styleId="49">
    <w:name w:val="HTML Definition"/>
    <w:unhideWhenUsed/>
    <w:qFormat/>
    <w:uiPriority w:val="99"/>
  </w:style>
  <w:style w:type="character" w:styleId="50">
    <w:name w:val="HTML Typewriter"/>
    <w:unhideWhenUsed/>
    <w:qFormat/>
    <w:uiPriority w:val="99"/>
    <w:rPr>
      <w:rFonts w:hint="default" w:ascii="monospace" w:hAnsi="monospace" w:eastAsia="monospace" w:cs="monospace"/>
      <w:sz w:val="20"/>
    </w:rPr>
  </w:style>
  <w:style w:type="character" w:styleId="51">
    <w:name w:val="HTML Acronym"/>
    <w:unhideWhenUsed/>
    <w:qFormat/>
    <w:uiPriority w:val="99"/>
  </w:style>
  <w:style w:type="character" w:styleId="52">
    <w:name w:val="HTML Variable"/>
    <w:unhideWhenUsed/>
    <w:qFormat/>
    <w:uiPriority w:val="99"/>
  </w:style>
  <w:style w:type="character" w:styleId="53">
    <w:name w:val="Hyperlink"/>
    <w:qFormat/>
    <w:uiPriority w:val="0"/>
    <w:rPr>
      <w:rFonts w:hint="eastAsia" w:ascii="微软雅黑" w:hAnsi="微软雅黑" w:eastAsia="微软雅黑" w:cs="微软雅黑"/>
      <w:color w:val="333333"/>
      <w:sz w:val="21"/>
      <w:szCs w:val="21"/>
      <w:u w:val="none"/>
    </w:rPr>
  </w:style>
  <w:style w:type="character" w:styleId="54">
    <w:name w:val="HTML Code"/>
    <w:unhideWhenUsed/>
    <w:qFormat/>
    <w:uiPriority w:val="99"/>
    <w:rPr>
      <w:rFonts w:hint="default" w:ascii="monospace" w:hAnsi="monospace" w:eastAsia="monospace" w:cs="monospace"/>
      <w:sz w:val="20"/>
    </w:rPr>
  </w:style>
  <w:style w:type="character" w:styleId="55">
    <w:name w:val="annotation reference"/>
    <w:qFormat/>
    <w:uiPriority w:val="0"/>
    <w:rPr>
      <w:sz w:val="21"/>
      <w:szCs w:val="21"/>
    </w:rPr>
  </w:style>
  <w:style w:type="character" w:styleId="56">
    <w:name w:val="HTML Cite"/>
    <w:unhideWhenUsed/>
    <w:qFormat/>
    <w:uiPriority w:val="99"/>
  </w:style>
  <w:style w:type="character" w:styleId="57">
    <w:name w:val="HTML Keyboard"/>
    <w:unhideWhenUsed/>
    <w:qFormat/>
    <w:uiPriority w:val="99"/>
    <w:rPr>
      <w:rFonts w:ascii="monospace" w:hAnsi="monospace" w:eastAsia="monospace" w:cs="monospace"/>
      <w:sz w:val="20"/>
    </w:rPr>
  </w:style>
  <w:style w:type="character" w:styleId="58">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9">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Char"/>
    <w:basedOn w:val="15"/>
    <w:qFormat/>
    <w:uiPriority w:val="0"/>
    <w:pPr>
      <w:widowControl/>
    </w:pPr>
    <w:rPr>
      <w:rFonts w:ascii="Tahoma" w:hAnsi="Tahoma"/>
      <w:kern w:val="2"/>
      <w:sz w:val="24"/>
    </w:rPr>
  </w:style>
  <w:style w:type="paragraph" w:customStyle="1" w:styleId="62">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3">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4">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GCEBStyles4"/>
    <w:basedOn w:val="1"/>
    <w:qFormat/>
    <w:uiPriority w:val="0"/>
    <w:pPr>
      <w:jc w:val="left"/>
      <w:outlineLvl w:val="4"/>
    </w:pPr>
    <w:rPr>
      <w:rFonts w:ascii="宋体" w:hAnsi="宋体"/>
      <w:b/>
      <w:bCs/>
      <w:kern w:val="0"/>
      <w:sz w:val="28"/>
      <w:szCs w:val="24"/>
    </w:rPr>
  </w:style>
  <w:style w:type="paragraph" w:customStyle="1" w:styleId="68">
    <w:name w:val="GCEBStyles7"/>
    <w:basedOn w:val="1"/>
    <w:qFormat/>
    <w:uiPriority w:val="0"/>
    <w:pPr>
      <w:jc w:val="left"/>
      <w:outlineLvl w:val="7"/>
    </w:pPr>
    <w:rPr>
      <w:rFonts w:ascii="黑体" w:hAnsi="宋体" w:eastAsia="黑体"/>
      <w:bCs/>
      <w:kern w:val="0"/>
      <w:sz w:val="24"/>
      <w:szCs w:val="24"/>
    </w:rPr>
  </w:style>
  <w:style w:type="paragraph" w:customStyle="1" w:styleId="6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0">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1">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2">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3">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4">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5">
    <w:name w:val="List Paragraph1"/>
    <w:basedOn w:val="1"/>
    <w:qFormat/>
    <w:uiPriority w:val="0"/>
    <w:pPr>
      <w:ind w:firstLine="420" w:firstLineChars="200"/>
    </w:pPr>
    <w:rPr>
      <w:szCs w:val="21"/>
    </w:rPr>
  </w:style>
  <w:style w:type="paragraph" w:customStyle="1" w:styleId="76">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8">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9">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0">
    <w:name w:val="Style9"/>
    <w:basedOn w:val="1"/>
    <w:qFormat/>
    <w:uiPriority w:val="0"/>
    <w:pPr>
      <w:adjustRightInd w:val="0"/>
      <w:jc w:val="left"/>
    </w:pPr>
    <w:rPr>
      <w:rFonts w:ascii="宋体" w:hAnsi="Calibri" w:eastAsia="宋体" w:cs="Times New Roman"/>
      <w:kern w:val="0"/>
      <w:sz w:val="24"/>
      <w:szCs w:val="24"/>
    </w:rPr>
  </w:style>
  <w:style w:type="paragraph" w:styleId="81">
    <w:name w:val="List Paragraph"/>
    <w:basedOn w:val="1"/>
    <w:next w:val="1"/>
    <w:qFormat/>
    <w:uiPriority w:val="34"/>
    <w:pPr>
      <w:ind w:firstLine="420" w:firstLineChars="200"/>
    </w:pPr>
    <w:rPr>
      <w:rFonts w:ascii="Calibri" w:hAnsi="Calibri" w:cs="Times New Roman"/>
      <w:kern w:val="2"/>
      <w:sz w:val="21"/>
    </w:rPr>
  </w:style>
  <w:style w:type="paragraph" w:customStyle="1" w:styleId="82">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3">
    <w:name w:val="Char Char"/>
    <w:basedOn w:val="1"/>
    <w:qFormat/>
    <w:uiPriority w:val="0"/>
    <w:pPr>
      <w:ind w:firstLine="200" w:firstLineChars="200"/>
    </w:pPr>
    <w:rPr>
      <w:rFonts w:ascii="Times New Roman" w:hAnsi="Times New Roman"/>
      <w:szCs w:val="24"/>
    </w:rPr>
  </w:style>
  <w:style w:type="paragraph" w:customStyle="1" w:styleId="84">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5">
    <w:name w:val="GCEBStyles0"/>
    <w:basedOn w:val="1"/>
    <w:qFormat/>
    <w:uiPriority w:val="0"/>
    <w:pPr>
      <w:jc w:val="left"/>
      <w:outlineLvl w:val="0"/>
    </w:pPr>
    <w:rPr>
      <w:rFonts w:ascii="宋体" w:hAnsi="宋体"/>
      <w:b/>
      <w:bCs/>
      <w:kern w:val="0"/>
      <w:sz w:val="44"/>
      <w:szCs w:val="24"/>
    </w:rPr>
  </w:style>
  <w:style w:type="paragraph" w:customStyle="1" w:styleId="8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7">
    <w:name w:val="GCEBStyles1"/>
    <w:basedOn w:val="1"/>
    <w:qFormat/>
    <w:uiPriority w:val="0"/>
    <w:pPr>
      <w:jc w:val="left"/>
      <w:outlineLvl w:val="1"/>
    </w:pPr>
    <w:rPr>
      <w:rFonts w:ascii="黑体" w:hAnsi="宋体" w:eastAsia="黑体"/>
      <w:b/>
      <w:bCs/>
      <w:kern w:val="0"/>
      <w:sz w:val="32"/>
      <w:szCs w:val="24"/>
    </w:rPr>
  </w:style>
  <w:style w:type="paragraph" w:customStyle="1" w:styleId="8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9">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0">
    <w:name w:val="Table Paragraph"/>
    <w:basedOn w:val="1"/>
    <w:qFormat/>
    <w:uiPriority w:val="1"/>
    <w:pPr>
      <w:jc w:val="left"/>
    </w:pPr>
    <w:rPr>
      <w:rFonts w:cs="宋体"/>
      <w:sz w:val="22"/>
      <w:lang w:eastAsia="en-US"/>
    </w:rPr>
  </w:style>
  <w:style w:type="paragraph" w:customStyle="1" w:styleId="91">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2">
    <w:name w:val="GCEBStyles6"/>
    <w:basedOn w:val="1"/>
    <w:qFormat/>
    <w:uiPriority w:val="0"/>
    <w:pPr>
      <w:jc w:val="left"/>
      <w:outlineLvl w:val="6"/>
    </w:pPr>
    <w:rPr>
      <w:rFonts w:ascii="宋体" w:hAnsi="宋体"/>
      <w:b/>
      <w:bCs/>
      <w:kern w:val="0"/>
      <w:sz w:val="24"/>
      <w:szCs w:val="24"/>
    </w:rPr>
  </w:style>
  <w:style w:type="paragraph" w:customStyle="1" w:styleId="93">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4">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9"/>
    <w:next w:val="41"/>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5"/>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7"/>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9"/>
    <w:qFormat/>
    <w:uiPriority w:val="0"/>
    <w:rPr>
      <w:rFonts w:ascii="Times New Roman" w:hAnsi="Times New Roman"/>
      <w:b/>
      <w:bCs/>
      <w:sz w:val="24"/>
      <w:szCs w:val="24"/>
    </w:rPr>
  </w:style>
  <w:style w:type="character" w:customStyle="1" w:styleId="115">
    <w:name w:val="批注文字 字符"/>
    <w:link w:val="16"/>
    <w:qFormat/>
    <w:uiPriority w:val="0"/>
    <w:rPr>
      <w:rFonts w:ascii="Courier New" w:hAnsi="Courier New" w:eastAsia="宋体" w:cs="Courier New"/>
      <w:color w:val="000000"/>
      <w:kern w:val="0"/>
      <w:sz w:val="24"/>
      <w:szCs w:val="24"/>
      <w:lang w:val="zh-CN"/>
    </w:rPr>
  </w:style>
  <w:style w:type="character" w:customStyle="1" w:styleId="116">
    <w:name w:val="标题 8 字符"/>
    <w:link w:val="10"/>
    <w:qFormat/>
    <w:uiPriority w:val="0"/>
    <w:rPr>
      <w:rFonts w:ascii="Arial" w:hAnsi="Arial" w:eastAsia="黑体"/>
      <w:sz w:val="24"/>
      <w:szCs w:val="24"/>
    </w:rPr>
  </w:style>
  <w:style w:type="character" w:customStyle="1" w:styleId="117">
    <w:name w:val="正文文本缩进 字符"/>
    <w:link w:val="18"/>
    <w:qFormat/>
    <w:uiPriority w:val="0"/>
    <w:rPr>
      <w:rFonts w:ascii="宋体" w:hAnsi="宋体"/>
      <w:szCs w:val="24"/>
    </w:rPr>
  </w:style>
  <w:style w:type="character" w:customStyle="1" w:styleId="118">
    <w:name w:val="正文文本 (3)_"/>
    <w:link w:val="71"/>
    <w:qFormat/>
    <w:uiPriority w:val="0"/>
    <w:rPr>
      <w:rFonts w:ascii="MingLiU" w:eastAsia="MingLiU" w:cs="MingLiU"/>
      <w:spacing w:val="50"/>
      <w:sz w:val="50"/>
      <w:szCs w:val="50"/>
      <w:shd w:val="clear" w:color="auto" w:fill="FFFFFF"/>
    </w:rPr>
  </w:style>
  <w:style w:type="character" w:customStyle="1" w:styleId="119">
    <w:name w:val="标题 6 字符"/>
    <w:link w:val="8"/>
    <w:qFormat/>
    <w:uiPriority w:val="0"/>
    <w:rPr>
      <w:rFonts w:ascii="Arial" w:hAnsi="Arial" w:eastAsia="黑体"/>
      <w:b/>
      <w:bCs/>
      <w:sz w:val="24"/>
      <w:szCs w:val="24"/>
    </w:rPr>
  </w:style>
  <w:style w:type="character" w:customStyle="1" w:styleId="120">
    <w:name w:val="纯文本 字符"/>
    <w:link w:val="24"/>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4"/>
    <w:qFormat/>
    <w:uiPriority w:val="0"/>
    <w:rPr>
      <w:rFonts w:ascii="MingLiU" w:eastAsia="MingLiU" w:cs="MingLiU"/>
      <w:sz w:val="22"/>
      <w:shd w:val="clear" w:color="auto" w:fill="FFFFFF"/>
    </w:rPr>
  </w:style>
  <w:style w:type="character" w:customStyle="1" w:styleId="123">
    <w:name w:val="flatpickr-day2"/>
    <w:basedOn w:val="44"/>
    <w:qFormat/>
    <w:uiPriority w:val="0"/>
  </w:style>
  <w:style w:type="character" w:customStyle="1" w:styleId="124">
    <w:name w:val="hover2"/>
    <w:qFormat/>
    <w:uiPriority w:val="0"/>
  </w:style>
  <w:style w:type="character" w:customStyle="1" w:styleId="125">
    <w:name w:val="标题 1 字符"/>
    <w:link w:val="3"/>
    <w:qFormat/>
    <w:uiPriority w:val="0"/>
    <w:rPr>
      <w:rFonts w:ascii="黑体" w:hAnsi="黑体" w:eastAsia="仿宋"/>
      <w:b/>
      <w:kern w:val="2"/>
      <w:sz w:val="30"/>
      <w:szCs w:val="22"/>
      <w:highlight w:val="none"/>
      <w:lang w:val="en-US" w:eastAsia="zh-CN" w:bidi="ar-SA"/>
    </w:rPr>
  </w:style>
  <w:style w:type="character" w:customStyle="1" w:styleId="126">
    <w:name w:val="标题 2 字符"/>
    <w:link w:val="4"/>
    <w:qFormat/>
    <w:uiPriority w:val="0"/>
    <w:rPr>
      <w:rFonts w:ascii="Arial" w:hAnsi="Arial" w:eastAsia="黑体"/>
      <w:b/>
      <w:bCs/>
      <w:sz w:val="32"/>
      <w:szCs w:val="32"/>
    </w:rPr>
  </w:style>
  <w:style w:type="character" w:customStyle="1" w:styleId="127">
    <w:name w:val="标题 9 字符"/>
    <w:link w:val="11"/>
    <w:qFormat/>
    <w:uiPriority w:val="0"/>
    <w:rPr>
      <w:rFonts w:ascii="Arial" w:hAnsi="Arial" w:eastAsia="黑体"/>
      <w:sz w:val="21"/>
      <w:szCs w:val="21"/>
    </w:rPr>
  </w:style>
  <w:style w:type="character" w:customStyle="1" w:styleId="128">
    <w:name w:val="文档结构图 字符"/>
    <w:link w:val="15"/>
    <w:semiHidden/>
    <w:qFormat/>
    <w:uiPriority w:val="0"/>
    <w:rPr>
      <w:rFonts w:ascii="宋体" w:hAnsi="宋体"/>
      <w:szCs w:val="24"/>
      <w:shd w:val="clear" w:color="auto" w:fill="000080"/>
    </w:rPr>
  </w:style>
  <w:style w:type="character" w:customStyle="1" w:styleId="129">
    <w:name w:val="日期 字符"/>
    <w:link w:val="26"/>
    <w:semiHidden/>
    <w:qFormat/>
    <w:uiPriority w:val="99"/>
  </w:style>
  <w:style w:type="character" w:customStyle="1" w:styleId="130">
    <w:name w:val="正文文本缩进 2 字符"/>
    <w:link w:val="27"/>
    <w:qFormat/>
    <w:uiPriority w:val="0"/>
    <w:rPr>
      <w:rFonts w:ascii="宋体" w:hAnsi="宋体"/>
      <w:szCs w:val="24"/>
    </w:rPr>
  </w:style>
  <w:style w:type="character" w:customStyle="1" w:styleId="131">
    <w:name w:val="批注框文本 字符"/>
    <w:link w:val="28"/>
    <w:semiHidden/>
    <w:qFormat/>
    <w:uiPriority w:val="99"/>
    <w:rPr>
      <w:sz w:val="18"/>
      <w:szCs w:val="18"/>
    </w:rPr>
  </w:style>
  <w:style w:type="character" w:customStyle="1" w:styleId="132">
    <w:name w:val="页脚 字符"/>
    <w:link w:val="29"/>
    <w:qFormat/>
    <w:uiPriority w:val="99"/>
    <w:rPr>
      <w:sz w:val="18"/>
      <w:szCs w:val="18"/>
    </w:rPr>
  </w:style>
  <w:style w:type="character" w:customStyle="1" w:styleId="133">
    <w:name w:val="页眉 字符"/>
    <w:link w:val="30"/>
    <w:qFormat/>
    <w:uiPriority w:val="99"/>
    <w:rPr>
      <w:sz w:val="18"/>
      <w:szCs w:val="18"/>
    </w:rPr>
  </w:style>
  <w:style w:type="character" w:customStyle="1" w:styleId="134">
    <w:name w:val="标题 字符"/>
    <w:link w:val="39"/>
    <w:qFormat/>
    <w:uiPriority w:val="0"/>
    <w:rPr>
      <w:rFonts w:ascii="Arial" w:hAnsi="Arial" w:cs="Arial"/>
      <w:b/>
      <w:bCs/>
      <w:sz w:val="32"/>
      <w:szCs w:val="32"/>
    </w:rPr>
  </w:style>
  <w:style w:type="character" w:customStyle="1" w:styleId="135">
    <w:name w:val="批注主题 字符"/>
    <w:link w:val="40"/>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4"/>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80</Pages>
  <Words>11263</Words>
  <Characters>12473</Characters>
  <Lines>273</Lines>
  <Paragraphs>77</Paragraphs>
  <TotalTime>1</TotalTime>
  <ScaleCrop>false</ScaleCrop>
  <LinksUpToDate>false</LinksUpToDate>
  <CharactersWithSpaces>12564</CharactersWithSpaces>
  <Application>WPS Office_11.1.0.8919_F1E327BC-269C-435d-A152-05C5408002CA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%E6%9D%A8%E6%99%93%E9%9D%92</cp:lastModifiedBy>
  <cp:lastPrinted>2023-04-20T00:59:00Z</cp:lastPrinted>
  <dcterms:modified xsi:type="dcterms:W3CDTF">2026-07-27T06:28:01Z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y fmtid="{D5CDD505-2E9C-101B-9397-08002B2CF9AE}" pid="3" name="ICV">
    <vt:lpwstr>6AA2CA33DA7444EAAC367BC6EEC8B909_13</vt:lpwstr>
  </property>
  <property fmtid="{D5CDD505-2E9C-101B-9397-08002B2CF9AE}" pid="4" name="KSOTemplateDocerSaveRecord">
    <vt:lpwstr>eyJoZGlkIjoiMTVhODhjMTUwZjUwNjkzMjQ0MTZlNTBlMWU0MzllYjAiLCJ1c2VySWQiOiIyNjI0NzI1In0=</vt:lpwstr>
  </property>
</Properties>
</file>