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3D0A08">
      <w:pPr>
        <w:pStyle w:val="70"/>
        <w:rPr>
          <w:rFonts w:hint="eastAsia" w:ascii="Calibri" w:hAnsi="Calibri" w:eastAsia="仿宋" w:cs="仿宋"/>
          <w:color w:val="auto"/>
          <w:highlight w:val="none"/>
        </w:rPr>
      </w:pPr>
      <w:bookmarkStart w:id="0" w:name="_Toc2218"/>
    </w:p>
    <w:p w14:paraId="63C82287">
      <w:pPr>
        <w:pStyle w:val="70"/>
        <w:rPr>
          <w:rFonts w:hint="eastAsia" w:ascii="Calibri" w:hAnsi="Calibri" w:eastAsia="仿宋" w:cs="仿宋"/>
          <w:color w:val="auto"/>
          <w:highlight w:val="none"/>
        </w:rPr>
      </w:pPr>
    </w:p>
    <w:p w14:paraId="6571DD9F">
      <w:pPr>
        <w:spacing w:before="624" w:beforeLines="200" w:line="360" w:lineRule="auto"/>
        <w:jc w:val="center"/>
        <w:rPr>
          <w:rFonts w:ascii="仿宋" w:hAnsi="仿宋" w:eastAsia="仿宋" w:cs="仿宋"/>
          <w:color w:val="auto"/>
          <w:kern w:val="0"/>
          <w:sz w:val="72"/>
          <w:szCs w:val="72"/>
          <w:highlight w:val="none"/>
        </w:rPr>
      </w:pPr>
      <w:r>
        <w:rPr>
          <w:rFonts w:hint="eastAsia" w:ascii="仿宋" w:hAnsi="仿宋" w:eastAsia="仿宋" w:cs="仿宋"/>
          <w:color w:val="auto"/>
          <w:kern w:val="0"/>
          <w:sz w:val="72"/>
          <w:szCs w:val="72"/>
          <w:highlight w:val="none"/>
        </w:rPr>
        <w:t>招标文件</w:t>
      </w:r>
    </w:p>
    <w:p w14:paraId="43F15D8D">
      <w:pPr>
        <w:pStyle w:val="30"/>
        <w:rPr>
          <w:color w:val="auto"/>
          <w:sz w:val="72"/>
          <w:szCs w:val="72"/>
          <w:highlight w:val="none"/>
        </w:rPr>
      </w:pPr>
    </w:p>
    <w:p w14:paraId="10FA8210">
      <w:pPr>
        <w:spacing w:line="360" w:lineRule="auto"/>
        <w:jc w:val="center"/>
        <w:rPr>
          <w:rFonts w:ascii="仿宋" w:hAnsi="仿宋" w:eastAsia="仿宋" w:cs="仿宋"/>
          <w:color w:val="auto"/>
          <w:sz w:val="72"/>
          <w:szCs w:val="72"/>
          <w:highlight w:val="none"/>
        </w:rPr>
      </w:pPr>
      <w:r>
        <w:rPr>
          <w:rFonts w:hint="eastAsia"/>
          <w:color w:val="auto"/>
          <w:sz w:val="72"/>
          <w:szCs w:val="72"/>
          <w:highlight w:val="none"/>
        </w:rPr>
        <w:drawing>
          <wp:inline distT="0" distB="0" distL="114300" distR="114300">
            <wp:extent cx="1115060" cy="1395730"/>
            <wp:effectExtent l="0" t="0" r="8890" b="1397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9"/>
                    <a:stretch>
                      <a:fillRect/>
                    </a:stretch>
                  </pic:blipFill>
                  <pic:spPr>
                    <a:xfrm>
                      <a:off x="0" y="0"/>
                      <a:ext cx="1115060" cy="1395730"/>
                    </a:xfrm>
                    <a:prstGeom prst="rect">
                      <a:avLst/>
                    </a:prstGeom>
                    <a:noFill/>
                    <a:ln>
                      <a:noFill/>
                    </a:ln>
                  </pic:spPr>
                </pic:pic>
              </a:graphicData>
            </a:graphic>
          </wp:inline>
        </w:drawing>
      </w:r>
    </w:p>
    <w:p w14:paraId="0EA8842F">
      <w:pPr>
        <w:spacing w:line="360" w:lineRule="auto"/>
        <w:jc w:val="left"/>
        <w:rPr>
          <w:rFonts w:ascii="仿宋" w:hAnsi="仿宋" w:eastAsia="仿宋" w:cs="仿宋"/>
          <w:color w:val="auto"/>
          <w:sz w:val="28"/>
          <w:szCs w:val="28"/>
          <w:highlight w:val="none"/>
        </w:rPr>
      </w:pPr>
    </w:p>
    <w:p w14:paraId="6B7BD715">
      <w:pPr>
        <w:tabs>
          <w:tab w:val="left" w:pos="0"/>
          <w:tab w:val="left" w:pos="142"/>
        </w:tabs>
        <w:snapToGrid w:val="0"/>
        <w:spacing w:after="156" w:afterLines="50" w:line="240" w:lineRule="atLeast"/>
        <w:ind w:firstLine="643" w:firstLineChars="200"/>
        <w:jc w:val="left"/>
        <w:rPr>
          <w:rFonts w:hint="default"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eastAsia="zh-CN"/>
        </w:rPr>
        <w:t>招标</w:t>
      </w:r>
      <w:r>
        <w:rPr>
          <w:rFonts w:hint="eastAsia" w:ascii="仿宋" w:hAnsi="仿宋" w:eastAsia="仿宋" w:cs="仿宋"/>
          <w:b/>
          <w:color w:val="auto"/>
          <w:sz w:val="32"/>
          <w:szCs w:val="32"/>
          <w:highlight w:val="none"/>
        </w:rPr>
        <w:t>编号：</w:t>
      </w:r>
      <w:r>
        <w:rPr>
          <w:rFonts w:hint="eastAsia" w:ascii="仿宋" w:hAnsi="仿宋" w:eastAsia="仿宋" w:cs="仿宋"/>
          <w:b w:val="0"/>
          <w:bCs/>
          <w:color w:val="auto"/>
          <w:sz w:val="32"/>
          <w:szCs w:val="32"/>
          <w:highlight w:val="none"/>
          <w:lang w:eastAsia="zh-CN"/>
        </w:rPr>
        <w:t>WHJTCZ2026-0007</w:t>
      </w:r>
    </w:p>
    <w:p w14:paraId="52EBFAA3">
      <w:pPr>
        <w:keepNext w:val="0"/>
        <w:keepLines w:val="0"/>
        <w:pageBreakBefore w:val="0"/>
        <w:widowControl w:val="0"/>
        <w:tabs>
          <w:tab w:val="left" w:pos="0"/>
          <w:tab w:val="left" w:pos="142"/>
        </w:tabs>
        <w:kinsoku/>
        <w:wordWrap/>
        <w:overflowPunct/>
        <w:topLinePunct w:val="0"/>
        <w:autoSpaceDE/>
        <w:autoSpaceDN/>
        <w:bidi w:val="0"/>
        <w:adjustRightInd/>
        <w:snapToGrid w:val="0"/>
        <w:spacing w:after="156" w:afterLines="50" w:line="560" w:lineRule="exact"/>
        <w:ind w:left="2244" w:leftChars="304" w:hanging="1606" w:hangingChars="500"/>
        <w:jc w:val="left"/>
        <w:textAlignment w:val="auto"/>
        <w:rPr>
          <w:rFonts w:hint="eastAsia" w:ascii="仿宋" w:hAnsi="仿宋" w:eastAsia="仿宋" w:cs="仿宋"/>
          <w:b w:val="0"/>
          <w:bCs/>
          <w:color w:val="auto"/>
          <w:sz w:val="32"/>
          <w:szCs w:val="32"/>
          <w:highlight w:val="none"/>
          <w:lang w:eastAsia="zh-CN"/>
        </w:rPr>
      </w:pPr>
      <w:r>
        <w:rPr>
          <w:rFonts w:hint="eastAsia" w:ascii="仿宋" w:hAnsi="仿宋" w:eastAsia="仿宋" w:cs="仿宋"/>
          <w:b/>
          <w:color w:val="auto"/>
          <w:sz w:val="32"/>
          <w:szCs w:val="32"/>
          <w:highlight w:val="none"/>
        </w:rPr>
        <w:t>项目名称：</w:t>
      </w:r>
      <w:r>
        <w:rPr>
          <w:rFonts w:hint="eastAsia" w:ascii="仿宋" w:hAnsi="仿宋" w:eastAsia="仿宋" w:cs="仿宋"/>
          <w:b w:val="0"/>
          <w:bCs/>
          <w:color w:val="auto"/>
          <w:sz w:val="32"/>
          <w:szCs w:val="32"/>
          <w:highlight w:val="none"/>
          <w:lang w:val="en-US" w:eastAsia="zh-CN"/>
        </w:rPr>
        <w:t>选定车辆定点加油服务单位</w:t>
      </w:r>
    </w:p>
    <w:p w14:paraId="74968979">
      <w:pPr>
        <w:tabs>
          <w:tab w:val="left" w:pos="0"/>
          <w:tab w:val="left" w:pos="142"/>
        </w:tabs>
        <w:snapToGrid w:val="0"/>
        <w:spacing w:after="156" w:afterLines="50" w:line="240" w:lineRule="atLeast"/>
        <w:ind w:firstLine="643" w:firstLineChars="200"/>
        <w:jc w:val="left"/>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lang w:eastAsia="zh-CN"/>
        </w:rPr>
        <w:t>招标</w:t>
      </w:r>
      <w:r>
        <w:rPr>
          <w:rFonts w:hint="eastAsia" w:ascii="仿宋" w:hAnsi="仿宋" w:eastAsia="仿宋" w:cs="仿宋"/>
          <w:b/>
          <w:color w:val="auto"/>
          <w:sz w:val="32"/>
          <w:szCs w:val="32"/>
          <w:highlight w:val="none"/>
        </w:rPr>
        <w:t>方式：</w:t>
      </w:r>
      <w:r>
        <w:rPr>
          <w:rFonts w:hint="eastAsia" w:ascii="仿宋" w:hAnsi="仿宋" w:eastAsia="仿宋" w:cs="仿宋"/>
          <w:color w:val="auto"/>
          <w:sz w:val="32"/>
          <w:szCs w:val="32"/>
          <w:highlight w:val="none"/>
        </w:rPr>
        <w:t>公开招标</w:t>
      </w:r>
    </w:p>
    <w:p w14:paraId="70C1B92C">
      <w:pPr>
        <w:spacing w:line="360" w:lineRule="auto"/>
        <w:rPr>
          <w:rFonts w:ascii="仿宋" w:hAnsi="仿宋" w:eastAsia="仿宋" w:cs="仿宋"/>
          <w:b/>
          <w:color w:val="auto"/>
          <w:sz w:val="32"/>
          <w:szCs w:val="32"/>
          <w:highlight w:val="none"/>
        </w:rPr>
      </w:pPr>
    </w:p>
    <w:p w14:paraId="4D69BAD3">
      <w:pPr>
        <w:spacing w:line="360" w:lineRule="auto"/>
        <w:rPr>
          <w:rFonts w:ascii="仿宋" w:hAnsi="仿宋" w:eastAsia="仿宋" w:cs="仿宋"/>
          <w:b/>
          <w:color w:val="auto"/>
          <w:sz w:val="32"/>
          <w:szCs w:val="32"/>
          <w:highlight w:val="none"/>
        </w:rPr>
      </w:pPr>
    </w:p>
    <w:p w14:paraId="27391204">
      <w:pPr>
        <w:spacing w:line="360" w:lineRule="auto"/>
        <w:rPr>
          <w:rFonts w:ascii="仿宋" w:hAnsi="仿宋" w:eastAsia="仿宋" w:cs="仿宋"/>
          <w:b/>
          <w:color w:val="auto"/>
          <w:sz w:val="32"/>
          <w:szCs w:val="32"/>
          <w:highlight w:val="none"/>
        </w:rPr>
      </w:pPr>
    </w:p>
    <w:p w14:paraId="6E15C986">
      <w:pPr>
        <w:spacing w:line="360" w:lineRule="auto"/>
        <w:rPr>
          <w:rFonts w:ascii="仿宋" w:hAnsi="仿宋" w:eastAsia="仿宋" w:cs="仿宋"/>
          <w:b/>
          <w:color w:val="auto"/>
          <w:sz w:val="32"/>
          <w:szCs w:val="32"/>
          <w:highlight w:val="none"/>
        </w:rPr>
      </w:pPr>
    </w:p>
    <w:p w14:paraId="350C5D84">
      <w:pPr>
        <w:spacing w:before="156" w:beforeLines="50" w:line="360" w:lineRule="auto"/>
        <w:ind w:firstLine="161" w:firstLineChars="50"/>
        <w:jc w:val="center"/>
        <w:rPr>
          <w:rFonts w:ascii="仿宋" w:hAnsi="仿宋" w:eastAsia="仿宋" w:cs="仿宋"/>
          <w:b/>
          <w:bCs/>
          <w:color w:val="auto"/>
          <w:kern w:val="0"/>
          <w:sz w:val="32"/>
          <w:szCs w:val="32"/>
          <w:highlight w:val="none"/>
        </w:rPr>
      </w:pPr>
      <w:r>
        <w:rPr>
          <w:rFonts w:hint="eastAsia" w:ascii="仿宋" w:hAnsi="仿宋" w:eastAsia="仿宋" w:cs="仿宋"/>
          <w:b/>
          <w:color w:val="auto"/>
          <w:sz w:val="32"/>
          <w:szCs w:val="32"/>
          <w:highlight w:val="none"/>
        </w:rPr>
        <w:t>代理机构：山东富尔工程咨询管理有限公司</w:t>
      </w:r>
    </w:p>
    <w:p w14:paraId="35C3217A">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2026</w:t>
      </w:r>
      <w:r>
        <w:rPr>
          <w:rFonts w:hint="eastAsia" w:ascii="仿宋" w:hAnsi="仿宋" w:eastAsia="仿宋" w:cs="仿宋"/>
          <w:b/>
          <w:color w:val="auto"/>
          <w:sz w:val="32"/>
          <w:szCs w:val="32"/>
          <w:highlight w:val="none"/>
        </w:rPr>
        <w:t>年</w:t>
      </w:r>
      <w:r>
        <w:rPr>
          <w:rFonts w:hint="eastAsia" w:ascii="仿宋" w:hAnsi="仿宋" w:eastAsia="仿宋" w:cs="仿宋"/>
          <w:b/>
          <w:color w:val="auto"/>
          <w:sz w:val="32"/>
          <w:szCs w:val="32"/>
          <w:highlight w:val="none"/>
          <w:lang w:val="en-US" w:eastAsia="zh-CN"/>
        </w:rPr>
        <w:t>09</w:t>
      </w:r>
      <w:r>
        <w:rPr>
          <w:rFonts w:hint="eastAsia" w:ascii="仿宋" w:hAnsi="仿宋" w:eastAsia="仿宋" w:cs="仿宋"/>
          <w:b/>
          <w:color w:val="auto"/>
          <w:sz w:val="32"/>
          <w:szCs w:val="32"/>
          <w:highlight w:val="none"/>
        </w:rPr>
        <w:t>月</w:t>
      </w:r>
      <w:r>
        <w:rPr>
          <w:rFonts w:hint="eastAsia" w:ascii="仿宋" w:hAnsi="仿宋" w:eastAsia="仿宋" w:cs="仿宋"/>
          <w:b/>
          <w:color w:val="auto"/>
          <w:sz w:val="32"/>
          <w:szCs w:val="32"/>
          <w:highlight w:val="none"/>
          <w:lang w:val="en-US" w:eastAsia="zh-CN"/>
        </w:rPr>
        <w:t>20</w:t>
      </w:r>
      <w:r>
        <w:rPr>
          <w:rFonts w:hint="eastAsia" w:ascii="仿宋" w:hAnsi="仿宋" w:eastAsia="仿宋" w:cs="仿宋"/>
          <w:b/>
          <w:color w:val="auto"/>
          <w:sz w:val="32"/>
          <w:szCs w:val="32"/>
          <w:highlight w:val="none"/>
        </w:rPr>
        <w:t>日</w:t>
      </w:r>
    </w:p>
    <w:p w14:paraId="16FC4497">
      <w:pPr>
        <w:jc w:val="center"/>
        <w:rPr>
          <w:rFonts w:hint="eastAsia" w:ascii="仿宋" w:hAnsi="仿宋" w:eastAsia="仿宋" w:cs="仿宋"/>
          <w:color w:val="auto"/>
          <w:sz w:val="36"/>
          <w:szCs w:val="36"/>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567" w:footer="992" w:gutter="0"/>
          <w:pgBorders>
            <w:top w:val="none" w:sz="0" w:space="0"/>
            <w:left w:val="none" w:sz="0" w:space="0"/>
            <w:bottom w:val="none" w:sz="0" w:space="0"/>
            <w:right w:val="none" w:sz="0" w:space="0"/>
          </w:pgBorders>
          <w:cols w:space="720" w:num="1"/>
          <w:titlePg/>
          <w:docGrid w:type="lines" w:linePitch="312" w:charSpace="0"/>
        </w:sectPr>
      </w:pPr>
    </w:p>
    <w:bookmarkEnd w:id="0"/>
    <w:p w14:paraId="1BD52930">
      <w:pPr>
        <w:jc w:val="center"/>
        <w:rPr>
          <w:rFonts w:hint="eastAsia" w:ascii="仿宋" w:hAnsi="仿宋" w:eastAsia="仿宋" w:cs="仿宋"/>
          <w:b/>
          <w:bCs/>
          <w:sz w:val="36"/>
          <w:szCs w:val="36"/>
          <w:highlight w:val="none"/>
        </w:rPr>
      </w:pPr>
      <w:r>
        <w:rPr>
          <w:rFonts w:hint="eastAsia" w:ascii="仿宋" w:hAnsi="仿宋" w:eastAsia="仿宋" w:cs="仿宋"/>
          <w:b/>
          <w:bCs/>
          <w:sz w:val="36"/>
          <w:szCs w:val="36"/>
          <w:highlight w:val="none"/>
        </w:rPr>
        <w:t>目</w:t>
      </w:r>
      <w:r>
        <w:rPr>
          <w:rFonts w:hint="eastAsia" w:ascii="仿宋" w:hAnsi="仿宋" w:eastAsia="仿宋" w:cs="仿宋"/>
          <w:b/>
          <w:bCs/>
          <w:sz w:val="36"/>
          <w:szCs w:val="36"/>
          <w:highlight w:val="none"/>
          <w:lang w:val="en-US" w:eastAsia="zh-CN"/>
        </w:rPr>
        <w:t xml:space="preserve">  </w:t>
      </w:r>
      <w:r>
        <w:rPr>
          <w:rFonts w:hint="eastAsia" w:ascii="仿宋" w:hAnsi="仿宋" w:eastAsia="仿宋" w:cs="仿宋"/>
          <w:b/>
          <w:bCs/>
          <w:sz w:val="36"/>
          <w:szCs w:val="36"/>
          <w:highlight w:val="none"/>
        </w:rPr>
        <w:t>录</w:t>
      </w:r>
    </w:p>
    <w:p w14:paraId="1294314D">
      <w:pPr>
        <w:jc w:val="center"/>
        <w:rPr>
          <w:rFonts w:hint="eastAsia" w:ascii="仿宋" w:hAnsi="仿宋" w:eastAsia="仿宋" w:cs="仿宋"/>
          <w:b/>
          <w:bCs/>
          <w:sz w:val="36"/>
          <w:szCs w:val="36"/>
          <w:highlight w:val="none"/>
        </w:rPr>
      </w:pPr>
    </w:p>
    <w:p w14:paraId="33A8DE5B">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2"/>
          <w:szCs w:val="22"/>
          <w:highlight w:val="none"/>
        </w:rPr>
        <w:fldChar w:fldCharType="begin"/>
      </w:r>
      <w:r>
        <w:rPr>
          <w:rFonts w:hint="eastAsia" w:ascii="仿宋" w:hAnsi="仿宋" w:eastAsia="仿宋" w:cs="仿宋"/>
          <w:b w:val="0"/>
          <w:bCs w:val="0"/>
          <w:sz w:val="22"/>
          <w:szCs w:val="22"/>
          <w:highlight w:val="none"/>
        </w:rPr>
        <w:instrText xml:space="preserve">TOC \o "1-1" \h \u </w:instrText>
      </w:r>
      <w:r>
        <w:rPr>
          <w:rFonts w:hint="eastAsia" w:ascii="仿宋" w:hAnsi="仿宋" w:eastAsia="仿宋" w:cs="仿宋"/>
          <w:b w:val="0"/>
          <w:bCs w:val="0"/>
          <w:sz w:val="22"/>
          <w:szCs w:val="22"/>
          <w:highlight w:val="none"/>
        </w:rPr>
        <w:fldChar w:fldCharType="separate"/>
      </w: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_Toc1540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第一部分  招标公告</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_Toc1540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2</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70BF73DF">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_Toc2691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lang w:eastAsia="zh-CN"/>
        </w:rPr>
        <w:t>第二部分</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rPr>
        <w:t xml:space="preserve"> 投标须知</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_Toc2691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5</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78674DB4">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_Toc10256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lang w:val="en-US" w:eastAsia="zh-CN"/>
        </w:rPr>
        <w:t>第三部分</w:t>
      </w:r>
      <w:r>
        <w:rPr>
          <w:rFonts w:hint="eastAsia" w:ascii="仿宋" w:hAnsi="仿宋" w:eastAsia="仿宋" w:cs="仿宋"/>
          <w:b w:val="0"/>
          <w:bCs w:val="0"/>
          <w:sz w:val="28"/>
          <w:szCs w:val="28"/>
          <w:highlight w:val="none"/>
        </w:rPr>
        <w:t xml:space="preserve"> </w:t>
      </w:r>
      <w:r>
        <w:rPr>
          <w:rFonts w:hint="eastAsia" w:ascii="仿宋" w:hAnsi="仿宋" w:eastAsia="仿宋" w:cs="仿宋"/>
          <w:b w:val="0"/>
          <w:bCs w:val="0"/>
          <w:sz w:val="28"/>
          <w:szCs w:val="28"/>
          <w:highlight w:val="none"/>
          <w:lang w:val="en-US" w:eastAsia="zh-CN"/>
        </w:rPr>
        <w:t xml:space="preserve"> </w:t>
      </w:r>
      <w:r>
        <w:rPr>
          <w:rFonts w:hint="eastAsia" w:ascii="仿宋" w:hAnsi="仿宋" w:eastAsia="仿宋" w:cs="仿宋"/>
          <w:b w:val="0"/>
          <w:bCs w:val="0"/>
          <w:sz w:val="28"/>
          <w:szCs w:val="28"/>
          <w:highlight w:val="none"/>
          <w:lang w:eastAsia="zh-CN"/>
        </w:rPr>
        <w:t>招标</w:t>
      </w:r>
      <w:r>
        <w:rPr>
          <w:rFonts w:hint="eastAsia" w:ascii="仿宋" w:hAnsi="仿宋" w:eastAsia="仿宋" w:cs="仿宋"/>
          <w:b w:val="0"/>
          <w:bCs w:val="0"/>
          <w:sz w:val="28"/>
          <w:szCs w:val="28"/>
          <w:highlight w:val="none"/>
        </w:rPr>
        <w:t>内容与要求</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_Toc10256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32</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7EB8425D">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_Toc16250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第四部分  评标原则、程序与方法</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_Toc16250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34</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1AA2D914">
      <w:pPr>
        <w:pStyle w:val="30"/>
        <w:tabs>
          <w:tab w:val="right" w:leader="dot" w:pos="8306"/>
          <w:tab w:val="clear" w:pos="8985"/>
        </w:tabs>
        <w:spacing w:line="360" w:lineRule="auto"/>
        <w:rPr>
          <w:rFonts w:hint="eastAsia" w:ascii="仿宋" w:hAnsi="仿宋" w:eastAsia="仿宋" w:cs="仿宋"/>
          <w:b w:val="0"/>
          <w:bCs w:val="0"/>
          <w:sz w:val="28"/>
          <w:szCs w:val="28"/>
          <w:highlight w:val="none"/>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_Toc5498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第五部分  投标文件（格式）</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8"/>
          <w:highlight w:val="none"/>
        </w:rPr>
        <w:fldChar w:fldCharType="begin"/>
      </w:r>
      <w:r>
        <w:rPr>
          <w:rFonts w:hint="eastAsia" w:ascii="仿宋" w:hAnsi="仿宋" w:eastAsia="仿宋" w:cs="仿宋"/>
          <w:b w:val="0"/>
          <w:bCs w:val="0"/>
          <w:sz w:val="28"/>
          <w:szCs w:val="28"/>
          <w:highlight w:val="none"/>
        </w:rPr>
        <w:instrText xml:space="preserve"> PAGEREF _Toc5498 \h </w:instrText>
      </w:r>
      <w:r>
        <w:rPr>
          <w:rFonts w:hint="eastAsia" w:ascii="仿宋" w:hAnsi="仿宋" w:eastAsia="仿宋" w:cs="仿宋"/>
          <w:b w:val="0"/>
          <w:bCs w:val="0"/>
          <w:sz w:val="28"/>
          <w:szCs w:val="28"/>
          <w:highlight w:val="none"/>
        </w:rPr>
        <w:fldChar w:fldCharType="separate"/>
      </w:r>
      <w:r>
        <w:rPr>
          <w:rFonts w:hint="eastAsia" w:ascii="仿宋" w:hAnsi="仿宋" w:eastAsia="仿宋" w:cs="仿宋"/>
          <w:b w:val="0"/>
          <w:bCs w:val="0"/>
          <w:sz w:val="28"/>
          <w:szCs w:val="28"/>
          <w:highlight w:val="none"/>
        </w:rPr>
        <w:t>39</w:t>
      </w:r>
      <w:r>
        <w:rPr>
          <w:rFonts w:hint="eastAsia" w:ascii="仿宋" w:hAnsi="仿宋" w:eastAsia="仿宋" w:cs="仿宋"/>
          <w:b w:val="0"/>
          <w:bCs w:val="0"/>
          <w:sz w:val="28"/>
          <w:szCs w:val="28"/>
          <w:highlight w:val="none"/>
        </w:rPr>
        <w:fldChar w:fldCharType="end"/>
      </w:r>
      <w:r>
        <w:rPr>
          <w:rFonts w:hint="eastAsia" w:ascii="仿宋" w:hAnsi="仿宋" w:eastAsia="仿宋" w:cs="仿宋"/>
          <w:b w:val="0"/>
          <w:bCs w:val="0"/>
          <w:sz w:val="28"/>
          <w:szCs w:val="22"/>
          <w:highlight w:val="none"/>
        </w:rPr>
        <w:fldChar w:fldCharType="end"/>
      </w:r>
    </w:p>
    <w:p w14:paraId="038538F6">
      <w:pPr>
        <w:pStyle w:val="30"/>
        <w:tabs>
          <w:tab w:val="right" w:leader="dot" w:pos="8306"/>
          <w:tab w:val="clear" w:pos="8985"/>
        </w:tabs>
        <w:spacing w:line="360" w:lineRule="auto"/>
        <w:rPr>
          <w:rFonts w:hint="default"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2"/>
          <w:highlight w:val="none"/>
        </w:rPr>
        <w:fldChar w:fldCharType="begin"/>
      </w:r>
      <w:r>
        <w:rPr>
          <w:rFonts w:hint="eastAsia" w:ascii="仿宋" w:hAnsi="仿宋" w:eastAsia="仿宋" w:cs="仿宋"/>
          <w:b w:val="0"/>
          <w:bCs w:val="0"/>
          <w:sz w:val="28"/>
          <w:szCs w:val="22"/>
          <w:highlight w:val="none"/>
        </w:rPr>
        <w:instrText xml:space="preserve"> HYPERLINK \l _Toc13194 </w:instrText>
      </w:r>
      <w:r>
        <w:rPr>
          <w:rFonts w:hint="eastAsia" w:ascii="仿宋" w:hAnsi="仿宋" w:eastAsia="仿宋" w:cs="仿宋"/>
          <w:b w:val="0"/>
          <w:bCs w:val="0"/>
          <w:sz w:val="28"/>
          <w:szCs w:val="22"/>
          <w:highlight w:val="none"/>
        </w:rPr>
        <w:fldChar w:fldCharType="separate"/>
      </w:r>
      <w:r>
        <w:rPr>
          <w:rFonts w:hint="eastAsia" w:ascii="仿宋" w:hAnsi="仿宋" w:eastAsia="仿宋" w:cs="仿宋"/>
          <w:b w:val="0"/>
          <w:bCs w:val="0"/>
          <w:sz w:val="28"/>
          <w:szCs w:val="28"/>
          <w:highlight w:val="none"/>
        </w:rPr>
        <w:t>第六部分  合同</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lang w:val="en-US" w:eastAsia="zh-CN"/>
        </w:rPr>
        <w:t>范本</w:t>
      </w:r>
      <w:r>
        <w:rPr>
          <w:rFonts w:hint="eastAsia" w:ascii="仿宋" w:hAnsi="仿宋" w:eastAsia="仿宋" w:cs="仿宋"/>
          <w:b w:val="0"/>
          <w:bCs w:val="0"/>
          <w:sz w:val="28"/>
          <w:szCs w:val="28"/>
          <w:highlight w:val="none"/>
          <w:lang w:eastAsia="zh-CN"/>
        </w:rPr>
        <w:t>）</w:t>
      </w:r>
      <w:r>
        <w:rPr>
          <w:rFonts w:hint="eastAsia" w:ascii="仿宋" w:hAnsi="仿宋" w:eastAsia="仿宋" w:cs="仿宋"/>
          <w:b w:val="0"/>
          <w:bCs w:val="0"/>
          <w:sz w:val="28"/>
          <w:szCs w:val="28"/>
          <w:highlight w:val="none"/>
        </w:rPr>
        <w:tab/>
      </w:r>
      <w:r>
        <w:rPr>
          <w:rFonts w:hint="eastAsia" w:ascii="仿宋" w:hAnsi="仿宋" w:eastAsia="仿宋" w:cs="仿宋"/>
          <w:b w:val="0"/>
          <w:bCs w:val="0"/>
          <w:sz w:val="28"/>
          <w:szCs w:val="22"/>
          <w:highlight w:val="none"/>
        </w:rPr>
        <w:fldChar w:fldCharType="end"/>
      </w:r>
      <w:r>
        <w:rPr>
          <w:rFonts w:hint="eastAsia" w:ascii="仿宋" w:hAnsi="仿宋" w:eastAsia="仿宋" w:cs="仿宋"/>
          <w:b w:val="0"/>
          <w:bCs w:val="0"/>
          <w:sz w:val="28"/>
          <w:szCs w:val="22"/>
          <w:highlight w:val="none"/>
          <w:lang w:val="en-US" w:eastAsia="zh-CN"/>
        </w:rPr>
        <w:t>60</w:t>
      </w:r>
    </w:p>
    <w:p w14:paraId="33A57225">
      <w:pPr>
        <w:spacing w:line="360" w:lineRule="auto"/>
        <w:jc w:val="distribute"/>
        <w:rPr>
          <w:rFonts w:hint="eastAsia" w:ascii="仿宋" w:hAnsi="仿宋" w:eastAsia="仿宋" w:cs="仿宋"/>
          <w:b w:val="0"/>
          <w:bCs w:val="0"/>
          <w:szCs w:val="24"/>
          <w:highlight w:val="none"/>
        </w:rPr>
        <w:sectPr>
          <w:headerReference r:id="rId10" w:type="first"/>
          <w:footerReference r:id="rId12" w:type="first"/>
          <w:headerReference r:id="rId9" w:type="defaul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720" w:num="1"/>
          <w:titlePg/>
          <w:docGrid w:linePitch="319" w:charSpace="0"/>
        </w:sectPr>
      </w:pPr>
      <w:r>
        <w:rPr>
          <w:rFonts w:hint="eastAsia" w:ascii="仿宋" w:hAnsi="仿宋" w:eastAsia="仿宋" w:cs="仿宋"/>
          <w:b w:val="0"/>
          <w:bCs w:val="0"/>
          <w:sz w:val="20"/>
          <w:szCs w:val="22"/>
          <w:highlight w:val="none"/>
        </w:rPr>
        <w:fldChar w:fldCharType="end"/>
      </w:r>
    </w:p>
    <w:p w14:paraId="0BA1AF84">
      <w:pPr>
        <w:pStyle w:val="3"/>
        <w:bidi w:val="0"/>
        <w:rPr>
          <w:rFonts w:hint="eastAsia"/>
          <w:highlight w:val="none"/>
        </w:rPr>
      </w:pPr>
      <w:bookmarkStart w:id="1" w:name="_Toc1540"/>
      <w:r>
        <w:rPr>
          <w:rFonts w:hint="eastAsia"/>
          <w:highlight w:val="none"/>
        </w:rPr>
        <w:t>第一部分  招标公告</w:t>
      </w:r>
      <w:bookmarkEnd w:id="1"/>
    </w:p>
    <w:p w14:paraId="583842DF">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default" w:ascii="仿宋" w:hAnsi="仿宋" w:eastAsia="仿宋" w:cs="仿宋"/>
          <w:b/>
          <w:bCs/>
          <w:spacing w:val="8"/>
          <w:sz w:val="28"/>
          <w:szCs w:val="28"/>
          <w:highlight w:val="none"/>
          <w:lang w:val="en-US" w:eastAsia="zh-CN"/>
        </w:rPr>
      </w:pPr>
      <w:bookmarkStart w:id="2" w:name="OLE_LINK7"/>
      <w:r>
        <w:rPr>
          <w:rFonts w:hint="eastAsia" w:ascii="仿宋" w:hAnsi="仿宋" w:eastAsia="仿宋" w:cs="仿宋"/>
          <w:b/>
          <w:bCs/>
          <w:spacing w:val="8"/>
          <w:sz w:val="28"/>
          <w:szCs w:val="28"/>
          <w:highlight w:val="none"/>
          <w:lang w:eastAsia="zh-CN"/>
        </w:rPr>
        <w:t>选定车辆定点加油服务单位（</w:t>
      </w:r>
      <w:r>
        <w:rPr>
          <w:rFonts w:hint="eastAsia" w:ascii="仿宋" w:hAnsi="仿宋" w:eastAsia="仿宋" w:cs="仿宋"/>
          <w:b/>
          <w:bCs/>
          <w:spacing w:val="8"/>
          <w:sz w:val="28"/>
          <w:szCs w:val="28"/>
          <w:highlight w:val="none"/>
          <w:lang w:val="en-US" w:eastAsia="zh-CN"/>
        </w:rPr>
        <w:t>第5轮</w:t>
      </w:r>
      <w:r>
        <w:rPr>
          <w:rFonts w:hint="eastAsia" w:ascii="仿宋" w:hAnsi="仿宋" w:eastAsia="仿宋" w:cs="仿宋"/>
          <w:b/>
          <w:bCs/>
          <w:spacing w:val="8"/>
          <w:sz w:val="28"/>
          <w:szCs w:val="28"/>
          <w:highlight w:val="none"/>
          <w:lang w:eastAsia="zh-CN"/>
        </w:rPr>
        <w:t>）</w:t>
      </w:r>
      <w:r>
        <w:rPr>
          <w:rFonts w:hint="eastAsia" w:ascii="仿宋" w:hAnsi="仿宋" w:eastAsia="仿宋" w:cs="仿宋"/>
          <w:b/>
          <w:bCs/>
          <w:spacing w:val="8"/>
          <w:sz w:val="28"/>
          <w:szCs w:val="28"/>
          <w:highlight w:val="none"/>
          <w:lang w:val="en-US" w:eastAsia="zh-CN"/>
        </w:rPr>
        <w:t>招标公告</w:t>
      </w:r>
    </w:p>
    <w:p w14:paraId="516D1E1C">
      <w:pPr>
        <w:keepNext w:val="0"/>
        <w:keepLines w:val="0"/>
        <w:pageBreakBefore w:val="0"/>
        <w:shd w:val="clear" w:color="auto" w:fill="auto"/>
        <w:kinsoku/>
        <w:wordWrap/>
        <w:overflowPunct/>
        <w:topLinePunct w:val="0"/>
        <w:autoSpaceDE/>
        <w:autoSpaceDN/>
        <w:bidi w:val="0"/>
        <w:snapToGrid/>
        <w:spacing w:line="410" w:lineRule="exact"/>
        <w:contextualSpacing/>
        <w:jc w:val="center"/>
        <w:textAlignment w:val="auto"/>
        <w:rPr>
          <w:rFonts w:hint="eastAsia" w:ascii="仿宋" w:hAnsi="仿宋" w:eastAsia="仿宋" w:cs="仿宋"/>
          <w:spacing w:val="8"/>
          <w:sz w:val="24"/>
          <w:szCs w:val="24"/>
          <w:highlight w:val="none"/>
          <w:lang w:eastAsia="zh-CN"/>
        </w:rPr>
      </w:pPr>
      <w:r>
        <w:rPr>
          <w:rFonts w:hint="eastAsia" w:ascii="仿宋" w:hAnsi="仿宋" w:eastAsia="仿宋" w:cs="仿宋"/>
          <w:b/>
          <w:bCs/>
          <w:spacing w:val="8"/>
          <w:sz w:val="28"/>
          <w:szCs w:val="28"/>
          <w:highlight w:val="none"/>
          <w:lang w:eastAsia="zh-CN"/>
        </w:rPr>
        <w:t>（</w:t>
      </w:r>
      <w:r>
        <w:rPr>
          <w:rFonts w:hint="eastAsia" w:ascii="仿宋" w:hAnsi="仿宋" w:eastAsia="仿宋" w:cs="仿宋"/>
          <w:b/>
          <w:bCs/>
          <w:spacing w:val="8"/>
          <w:sz w:val="28"/>
          <w:szCs w:val="28"/>
          <w:highlight w:val="none"/>
          <w:lang w:val="en-US" w:eastAsia="zh-CN"/>
        </w:rPr>
        <w:t>招标编号：WHJTCZ2026-0007</w:t>
      </w:r>
      <w:r>
        <w:rPr>
          <w:rFonts w:hint="eastAsia" w:ascii="仿宋" w:hAnsi="仿宋" w:eastAsia="仿宋" w:cs="仿宋"/>
          <w:b/>
          <w:bCs/>
          <w:spacing w:val="8"/>
          <w:sz w:val="28"/>
          <w:szCs w:val="28"/>
          <w:highlight w:val="none"/>
          <w:lang w:eastAsia="zh-CN"/>
        </w:rPr>
        <w:t>）</w:t>
      </w:r>
    </w:p>
    <w:p w14:paraId="22B0744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山东富尔工程咨询管理有限公司接受</w:t>
      </w:r>
      <w:r>
        <w:rPr>
          <w:rFonts w:hint="eastAsia" w:ascii="仿宋" w:hAnsi="仿宋" w:eastAsia="仿宋" w:cs="仿宋"/>
          <w:spacing w:val="8"/>
          <w:sz w:val="24"/>
          <w:szCs w:val="24"/>
          <w:highlight w:val="none"/>
          <w:lang w:eastAsia="zh-CN"/>
        </w:rPr>
        <w:t>威海交通场站管理有限公司</w:t>
      </w:r>
      <w:r>
        <w:rPr>
          <w:rFonts w:hint="eastAsia" w:ascii="仿宋" w:hAnsi="仿宋" w:eastAsia="仿宋" w:cs="仿宋"/>
          <w:spacing w:val="8"/>
          <w:sz w:val="24"/>
          <w:szCs w:val="24"/>
          <w:highlight w:val="none"/>
        </w:rPr>
        <w:t>委托，对</w:t>
      </w:r>
      <w:r>
        <w:rPr>
          <w:rFonts w:hint="eastAsia" w:ascii="仿宋" w:hAnsi="仿宋" w:eastAsia="仿宋" w:cs="仿宋"/>
          <w:spacing w:val="8"/>
          <w:sz w:val="24"/>
          <w:szCs w:val="24"/>
          <w:highlight w:val="none"/>
          <w:lang w:val="en-US" w:eastAsia="zh-CN"/>
        </w:rPr>
        <w:t>选定车辆定点加油服务单位</w:t>
      </w:r>
      <w:r>
        <w:rPr>
          <w:rFonts w:hint="eastAsia" w:ascii="仿宋" w:hAnsi="仿宋" w:eastAsia="仿宋" w:cs="仿宋"/>
          <w:spacing w:val="8"/>
          <w:sz w:val="24"/>
          <w:szCs w:val="24"/>
          <w:highlight w:val="none"/>
        </w:rPr>
        <w:t>以公开招标方式确定中标单位。</w:t>
      </w:r>
    </w:p>
    <w:p w14:paraId="6AC83CDF">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lang w:eastAsia="zh-CN"/>
        </w:rPr>
      </w:pPr>
      <w:bookmarkStart w:id="3" w:name="_Toc136939785"/>
      <w:r>
        <w:rPr>
          <w:rFonts w:hint="eastAsia" w:ascii="仿宋" w:hAnsi="仿宋" w:eastAsia="仿宋" w:cs="仿宋"/>
          <w:b/>
          <w:bCs/>
          <w:sz w:val="24"/>
          <w:szCs w:val="24"/>
          <w:highlight w:val="none"/>
          <w:lang w:val="en-US" w:eastAsia="zh-CN"/>
        </w:rPr>
        <w:t>一、</w:t>
      </w:r>
      <w:r>
        <w:rPr>
          <w:rFonts w:hint="eastAsia" w:ascii="仿宋" w:hAnsi="仿宋" w:eastAsia="仿宋" w:cs="仿宋"/>
          <w:b/>
          <w:bCs/>
          <w:sz w:val="24"/>
          <w:szCs w:val="24"/>
          <w:highlight w:val="none"/>
        </w:rPr>
        <w:t>项目名称：</w:t>
      </w:r>
      <w:r>
        <w:rPr>
          <w:rFonts w:hint="eastAsia" w:ascii="仿宋" w:hAnsi="仿宋" w:eastAsia="仿宋" w:cs="仿宋"/>
          <w:b w:val="0"/>
          <w:bCs w:val="0"/>
          <w:sz w:val="24"/>
          <w:szCs w:val="24"/>
          <w:highlight w:val="none"/>
          <w:lang w:eastAsia="zh-CN"/>
        </w:rPr>
        <w:t>选定车辆定点加油服务单位</w:t>
      </w:r>
    </w:p>
    <w:p w14:paraId="08F33763">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二</w:t>
      </w:r>
      <w:r>
        <w:rPr>
          <w:rFonts w:hint="eastAsia" w:ascii="仿宋" w:hAnsi="仿宋" w:eastAsia="仿宋" w:cs="仿宋"/>
          <w:b/>
          <w:bCs/>
          <w:sz w:val="24"/>
          <w:szCs w:val="24"/>
          <w:highlight w:val="none"/>
        </w:rPr>
        <w:t>、项目概况</w:t>
      </w:r>
      <w:bookmarkEnd w:id="3"/>
      <w:bookmarkStart w:id="4" w:name="OLE_LINK3"/>
    </w:p>
    <w:bookmarkEnd w:id="4"/>
    <w:p w14:paraId="3C29D455">
      <w:pPr>
        <w:pStyle w:val="2"/>
        <w:keepNext w:val="0"/>
        <w:keepLines w:val="0"/>
        <w:pageBreakBefore w:val="0"/>
        <w:kinsoku/>
        <w:wordWrap/>
        <w:overflowPunct/>
        <w:topLinePunct w:val="0"/>
        <w:autoSpaceDE/>
        <w:autoSpaceDN/>
        <w:bidi w:val="0"/>
        <w:snapToGrid/>
        <w:spacing w:after="0" w:line="410" w:lineRule="exact"/>
        <w:ind w:firstLine="480" w:firstLineChars="200"/>
        <w:jc w:val="left"/>
        <w:textAlignment w:val="auto"/>
        <w:rPr>
          <w:rFonts w:hint="eastAsia" w:ascii="仿宋" w:hAnsi="仿宋" w:eastAsia="仿宋"/>
          <w:color w:val="000000"/>
          <w:sz w:val="24"/>
          <w:highlight w:val="none"/>
        </w:rPr>
      </w:pPr>
      <w:bookmarkStart w:id="5" w:name="OLE_LINK2"/>
      <w:r>
        <w:rPr>
          <w:rFonts w:hint="eastAsia" w:ascii="仿宋" w:hAnsi="仿宋" w:eastAsia="仿宋"/>
          <w:color w:val="000000"/>
          <w:sz w:val="24"/>
          <w:highlight w:val="none"/>
        </w:rPr>
        <w:t>1.项目名称：</w:t>
      </w:r>
      <w:bookmarkEnd w:id="5"/>
      <w:r>
        <w:rPr>
          <w:rFonts w:hint="eastAsia" w:ascii="仿宋" w:hAnsi="仿宋" w:eastAsia="仿宋"/>
          <w:color w:val="000000"/>
          <w:sz w:val="24"/>
          <w:highlight w:val="none"/>
          <w:lang w:val="en-US" w:eastAsia="zh-CN"/>
        </w:rPr>
        <w:t>选定车辆定点加油服务单位</w:t>
      </w:r>
    </w:p>
    <w:p w14:paraId="29C8AE6B">
      <w:pPr>
        <w:pStyle w:val="2"/>
        <w:keepNext w:val="0"/>
        <w:keepLines w:val="0"/>
        <w:pageBreakBefore w:val="0"/>
        <w:kinsoku/>
        <w:wordWrap/>
        <w:overflowPunct/>
        <w:topLinePunct w:val="0"/>
        <w:autoSpaceDE/>
        <w:autoSpaceDN/>
        <w:bidi w:val="0"/>
        <w:snapToGrid/>
        <w:spacing w:after="0" w:line="410" w:lineRule="exact"/>
        <w:ind w:firstLine="480"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olor w:val="000000"/>
          <w:sz w:val="24"/>
          <w:highlight w:val="none"/>
          <w:lang w:val="en-US" w:eastAsia="zh-CN"/>
        </w:rPr>
        <w:t>2</w:t>
      </w:r>
      <w:r>
        <w:rPr>
          <w:rFonts w:hint="eastAsia" w:ascii="仿宋" w:hAnsi="仿宋" w:eastAsia="仿宋"/>
          <w:color w:val="000000"/>
          <w:sz w:val="24"/>
          <w:highlight w:val="none"/>
        </w:rPr>
        <w:t>.</w:t>
      </w:r>
      <w:r>
        <w:rPr>
          <w:rFonts w:hint="eastAsia" w:ascii="仿宋" w:hAnsi="仿宋" w:eastAsia="仿宋" w:cs="仿宋"/>
          <w:spacing w:val="8"/>
          <w:kern w:val="2"/>
          <w:sz w:val="24"/>
          <w:szCs w:val="24"/>
          <w:highlight w:val="none"/>
          <w:lang w:val="en-US" w:eastAsia="zh-CN" w:bidi="ar-SA"/>
        </w:rPr>
        <w:t>项目概况：选定车辆定点加油服务单位。该项目本轮采购一个标包，具体内容详见下表。</w:t>
      </w:r>
    </w:p>
    <w:tbl>
      <w:tblPr>
        <w:tblStyle w:val="42"/>
        <w:tblW w:w="86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0"/>
        <w:gridCol w:w="3853"/>
        <w:gridCol w:w="1916"/>
        <w:gridCol w:w="1868"/>
      </w:tblGrid>
      <w:tr w14:paraId="1F6D1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000" w:type="dxa"/>
            <w:noWrap w:val="0"/>
            <w:vAlign w:val="center"/>
          </w:tcPr>
          <w:p w14:paraId="60B36149">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标包号</w:t>
            </w:r>
          </w:p>
        </w:tc>
        <w:tc>
          <w:tcPr>
            <w:tcW w:w="3853" w:type="dxa"/>
            <w:noWrap w:val="0"/>
            <w:vAlign w:val="center"/>
          </w:tcPr>
          <w:p w14:paraId="4E514D11">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highlight w:val="none"/>
                <w:lang w:val="en-US" w:eastAsia="zh-CN"/>
              </w:rPr>
            </w:pPr>
            <w:r>
              <w:rPr>
                <w:rFonts w:hint="eastAsia" w:ascii="仿宋" w:hAnsi="仿宋" w:eastAsia="仿宋" w:cs="仿宋"/>
                <w:spacing w:val="8"/>
                <w:kern w:val="2"/>
                <w:sz w:val="21"/>
                <w:szCs w:val="21"/>
                <w:highlight w:val="none"/>
                <w:vertAlign w:val="baseline"/>
                <w:lang w:val="en-US" w:eastAsia="zh-CN" w:bidi="ar-SA"/>
              </w:rPr>
              <w:t>标包名称</w:t>
            </w:r>
          </w:p>
        </w:tc>
        <w:tc>
          <w:tcPr>
            <w:tcW w:w="1916" w:type="dxa"/>
            <w:noWrap w:val="0"/>
            <w:vAlign w:val="center"/>
          </w:tcPr>
          <w:p w14:paraId="61B68CAA">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预算金额</w:t>
            </w:r>
          </w:p>
        </w:tc>
        <w:tc>
          <w:tcPr>
            <w:tcW w:w="1868" w:type="dxa"/>
            <w:noWrap w:val="0"/>
            <w:vAlign w:val="center"/>
          </w:tcPr>
          <w:p w14:paraId="37D3195F">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选定家数</w:t>
            </w:r>
          </w:p>
        </w:tc>
      </w:tr>
      <w:tr w14:paraId="4E6BA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1000" w:type="dxa"/>
            <w:noWrap w:val="0"/>
            <w:vAlign w:val="center"/>
          </w:tcPr>
          <w:p w14:paraId="21AA4184">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标包二</w:t>
            </w:r>
          </w:p>
        </w:tc>
        <w:tc>
          <w:tcPr>
            <w:tcW w:w="3853" w:type="dxa"/>
            <w:noWrap w:val="0"/>
            <w:vAlign w:val="center"/>
          </w:tcPr>
          <w:p w14:paraId="07A3E9B2">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选定全国范围定点加油服务单位</w:t>
            </w:r>
          </w:p>
        </w:tc>
        <w:tc>
          <w:tcPr>
            <w:tcW w:w="1916" w:type="dxa"/>
            <w:noWrap w:val="0"/>
            <w:vAlign w:val="center"/>
          </w:tcPr>
          <w:p w14:paraId="596CB44D">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default"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70万元</w:t>
            </w:r>
          </w:p>
        </w:tc>
        <w:tc>
          <w:tcPr>
            <w:tcW w:w="1868" w:type="dxa"/>
            <w:noWrap w:val="0"/>
            <w:vAlign w:val="center"/>
          </w:tcPr>
          <w:p w14:paraId="5E7D77AC">
            <w:pPr>
              <w:pStyle w:val="2"/>
              <w:keepNext w:val="0"/>
              <w:keepLines w:val="0"/>
              <w:pageBreakBefore w:val="0"/>
              <w:widowControl w:val="0"/>
              <w:kinsoku/>
              <w:wordWrap/>
              <w:overflowPunct/>
              <w:topLinePunct w:val="0"/>
              <w:autoSpaceDE/>
              <w:autoSpaceDN/>
              <w:bidi w:val="0"/>
              <w:adjustRightInd/>
              <w:snapToGrid/>
              <w:spacing w:after="0" w:line="320" w:lineRule="exact"/>
              <w:jc w:val="center"/>
              <w:textAlignment w:val="auto"/>
              <w:rPr>
                <w:rFonts w:hint="eastAsia" w:ascii="仿宋" w:hAnsi="仿宋" w:eastAsia="仿宋" w:cs="仿宋"/>
                <w:spacing w:val="8"/>
                <w:kern w:val="2"/>
                <w:sz w:val="21"/>
                <w:szCs w:val="21"/>
                <w:highlight w:val="none"/>
                <w:vertAlign w:val="baseline"/>
                <w:lang w:val="en-US" w:eastAsia="zh-CN" w:bidi="ar-SA"/>
              </w:rPr>
            </w:pPr>
            <w:r>
              <w:rPr>
                <w:rFonts w:hint="eastAsia" w:ascii="仿宋" w:hAnsi="仿宋" w:eastAsia="仿宋" w:cs="仿宋"/>
                <w:spacing w:val="8"/>
                <w:kern w:val="2"/>
                <w:sz w:val="21"/>
                <w:szCs w:val="21"/>
                <w:highlight w:val="none"/>
                <w:vertAlign w:val="baseline"/>
                <w:lang w:val="en-US" w:eastAsia="zh-CN" w:bidi="ar-SA"/>
              </w:rPr>
              <w:t>1家</w:t>
            </w:r>
          </w:p>
        </w:tc>
      </w:tr>
    </w:tbl>
    <w:p w14:paraId="30D1E94B">
      <w:pPr>
        <w:pStyle w:val="2"/>
        <w:keepNext w:val="0"/>
        <w:keepLines w:val="0"/>
        <w:pageBreakBefore w:val="0"/>
        <w:kinsoku/>
        <w:wordWrap/>
        <w:overflowPunct/>
        <w:topLinePunct w:val="0"/>
        <w:autoSpaceDE/>
        <w:autoSpaceDN/>
        <w:bidi w:val="0"/>
        <w:snapToGrid/>
        <w:spacing w:after="0" w:line="410" w:lineRule="exact"/>
        <w:ind w:firstLine="514" w:firstLineChars="200"/>
        <w:jc w:val="left"/>
        <w:textAlignment w:val="auto"/>
        <w:rPr>
          <w:rFonts w:hint="default" w:ascii="仿宋" w:hAnsi="仿宋" w:eastAsia="仿宋" w:cs="仿宋"/>
          <w:b/>
          <w:bCs/>
          <w:spacing w:val="8"/>
          <w:kern w:val="2"/>
          <w:sz w:val="24"/>
          <w:szCs w:val="24"/>
          <w:highlight w:val="none"/>
          <w:lang w:val="en-US" w:eastAsia="zh-CN" w:bidi="ar-SA"/>
        </w:rPr>
      </w:pPr>
      <w:r>
        <w:rPr>
          <w:rFonts w:hint="eastAsia" w:ascii="仿宋" w:hAnsi="仿宋" w:eastAsia="仿宋" w:cs="仿宋"/>
          <w:b/>
          <w:bCs/>
          <w:spacing w:val="8"/>
          <w:kern w:val="2"/>
          <w:sz w:val="24"/>
          <w:szCs w:val="24"/>
          <w:highlight w:val="none"/>
          <w:lang w:val="en-US" w:eastAsia="zh-CN" w:bidi="ar-SA"/>
        </w:rPr>
        <w:t>注：预算金额只作为投标参考使用，实际金额由招标人与定点加油服务商根据实际使用量据实结算，实际金额多于或少于预算金额均不视为违约。</w:t>
      </w:r>
    </w:p>
    <w:p w14:paraId="5CB9B11A">
      <w:pPr>
        <w:pStyle w:val="2"/>
        <w:keepNext w:val="0"/>
        <w:keepLines w:val="0"/>
        <w:pageBreakBefore w:val="0"/>
        <w:kinsoku/>
        <w:wordWrap/>
        <w:overflowPunct/>
        <w:topLinePunct w:val="0"/>
        <w:autoSpaceDE/>
        <w:autoSpaceDN/>
        <w:bidi w:val="0"/>
        <w:snapToGrid/>
        <w:spacing w:after="0" w:line="410" w:lineRule="exact"/>
        <w:ind w:firstLine="512" w:firstLineChars="200"/>
        <w:jc w:val="left"/>
        <w:textAlignment w:val="auto"/>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spacing w:val="8"/>
          <w:kern w:val="2"/>
          <w:sz w:val="24"/>
          <w:szCs w:val="24"/>
          <w:highlight w:val="none"/>
          <w:lang w:val="en-US" w:eastAsia="zh-CN" w:bidi="ar-SA"/>
        </w:rPr>
        <w:t>3.服务期：自合同签订之日起一年,合同期满双方无异议后可以续签，但最长不超过三年。</w:t>
      </w:r>
    </w:p>
    <w:p w14:paraId="7F01C51F">
      <w:pPr>
        <w:pStyle w:val="2"/>
        <w:keepNext w:val="0"/>
        <w:keepLines w:val="0"/>
        <w:pageBreakBefore w:val="0"/>
        <w:kinsoku/>
        <w:wordWrap/>
        <w:overflowPunct/>
        <w:topLinePunct w:val="0"/>
        <w:autoSpaceDE/>
        <w:autoSpaceDN/>
        <w:bidi w:val="0"/>
        <w:snapToGrid/>
        <w:spacing w:after="0" w:line="410" w:lineRule="exact"/>
        <w:ind w:firstLine="482" w:firstLineChars="200"/>
        <w:jc w:val="left"/>
        <w:textAlignment w:val="auto"/>
        <w:rPr>
          <w:rFonts w:hint="eastAsia" w:ascii="仿宋" w:hAnsi="仿宋" w:eastAsia="仿宋" w:cs="Times New Roman"/>
          <w:color w:val="000000"/>
          <w:sz w:val="24"/>
          <w:highlight w:val="none"/>
          <w:lang w:val="en-US" w:eastAsia="zh-CN"/>
        </w:rPr>
      </w:pPr>
      <w:r>
        <w:rPr>
          <w:rFonts w:hint="eastAsia" w:ascii="仿宋" w:hAnsi="仿宋" w:eastAsia="仿宋" w:cs="仿宋"/>
          <w:b/>
          <w:bCs/>
          <w:sz w:val="24"/>
          <w:szCs w:val="24"/>
          <w:highlight w:val="none"/>
        </w:rPr>
        <w:t>三、投标人的资格要求</w:t>
      </w:r>
    </w:p>
    <w:p w14:paraId="7AA86705">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1.具有独立承担民事责任能力（分支机构参加投标的须提供总公司的授权）；</w:t>
      </w:r>
    </w:p>
    <w:p w14:paraId="5F3C37D8">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2.具有有效的《成品油零售经营批准证书》和《中华人民共和国危险化学品经营许可证》；</w:t>
      </w:r>
    </w:p>
    <w:p w14:paraId="16267741">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3.具有良好的商业信誉和健全的财务会计制度及履约能力；</w:t>
      </w:r>
    </w:p>
    <w:p w14:paraId="3664F002">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4.具有履行合同所必需的设备和专业技术能力；</w:t>
      </w:r>
    </w:p>
    <w:p w14:paraId="3856AC75">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5.具有依法缴纳税收和社会保障资金的记录；</w:t>
      </w:r>
    </w:p>
    <w:p w14:paraId="43C70588">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6.参加本次招标活动前三年内，在经营活动中没有重大违法记录；</w:t>
      </w:r>
    </w:p>
    <w:p w14:paraId="2BE94E41">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7.投标人及其法</w:t>
      </w:r>
      <w:r>
        <w:rPr>
          <w:rFonts w:hint="eastAsia" w:ascii="仿宋" w:hAnsi="仿宋" w:eastAsia="仿宋" w:cs="仿宋"/>
          <w:spacing w:val="8"/>
          <w:sz w:val="24"/>
          <w:szCs w:val="24"/>
          <w:highlight w:val="none"/>
        </w:rPr>
        <w:t>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rPr>
        <w:t>、委托代理人未被最高法院（查询网址为：http://zxgk.court.gov.cn/shixin/）列入失信被执行人；</w:t>
      </w:r>
    </w:p>
    <w:p w14:paraId="46B3FCB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8.</w:t>
      </w:r>
      <w:r>
        <w:rPr>
          <w:rFonts w:hint="eastAsia" w:ascii="仿宋" w:hAnsi="仿宋" w:eastAsia="仿宋" w:cs="仿宋"/>
          <w:spacing w:val="8"/>
          <w:sz w:val="24"/>
          <w:szCs w:val="24"/>
          <w:highlight w:val="none"/>
        </w:rPr>
        <w:t>投标人近一年在“信用中国”或“信用中国（山东）”无严重失信记录；</w:t>
      </w:r>
    </w:p>
    <w:p w14:paraId="67DF40A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9.</w:t>
      </w:r>
      <w:r>
        <w:rPr>
          <w:rFonts w:hint="eastAsia" w:ascii="仿宋" w:hAnsi="仿宋" w:eastAsia="仿宋" w:cs="仿宋"/>
          <w:spacing w:val="8"/>
          <w:sz w:val="24"/>
          <w:szCs w:val="24"/>
          <w:highlight w:val="none"/>
        </w:rPr>
        <w:t>本项目不接受联合体投标。</w:t>
      </w:r>
    </w:p>
    <w:p w14:paraId="299908BE">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四、获取文件时间及地点</w:t>
      </w:r>
    </w:p>
    <w:p w14:paraId="31DD1D04">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09</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20</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时</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分至</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09</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28</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18</w:t>
      </w:r>
      <w:r>
        <w:rPr>
          <w:rFonts w:hint="eastAsia" w:ascii="仿宋" w:hAnsi="仿宋" w:eastAsia="仿宋" w:cs="仿宋"/>
          <w:spacing w:val="8"/>
          <w:sz w:val="24"/>
          <w:szCs w:val="24"/>
          <w:highlight w:val="none"/>
        </w:rPr>
        <w:t>时</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分（北京时间）</w:t>
      </w:r>
    </w:p>
    <w:p w14:paraId="5ABD8553">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2.地点：登录“威海市公共资源交易网”首页右侧“交易服务一网通办系统-（新版）一网通办系统”进行“平台切换”，点击“国企采购”进入国企阳光采购平台获取文件(网址：http://ggzyjy.weihai.cn/)</w:t>
      </w:r>
      <w:r>
        <w:rPr>
          <w:rFonts w:hint="eastAsia" w:ascii="仿宋" w:hAnsi="仿宋" w:eastAsia="仿宋" w:cs="仿宋"/>
          <w:spacing w:val="8"/>
          <w:sz w:val="24"/>
          <w:szCs w:val="24"/>
          <w:highlight w:val="none"/>
          <w:lang w:eastAsia="zh-CN"/>
        </w:rPr>
        <w:t>。</w:t>
      </w:r>
    </w:p>
    <w:p w14:paraId="49B6CCA1">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逾期无法从国企阳光采购平台中获取文件，未在规定时间内从系统中获取招标文件的投标人将无法提交电子投标文件。</w:t>
      </w:r>
    </w:p>
    <w:p w14:paraId="2BBEB823">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交易服务一网通办系统技术支持电话：4009980000（受理问题：系统登录、CA锁绑定、平台切换），一网通办技术支持QQ群：1143439694；CA锁办理咨询电话：0631-5172975；国企采购技术支持电话：17863029936，国企技术支持QQ群（投标人）：1046971257。</w:t>
      </w:r>
    </w:p>
    <w:p w14:paraId="4F5912FB">
      <w:pPr>
        <w:keepNext w:val="0"/>
        <w:keepLines w:val="0"/>
        <w:pageBreakBefore w:val="0"/>
        <w:widowControl/>
        <w:shd w:val="clear" w:color="auto" w:fill="auto"/>
        <w:kinsoku/>
        <w:wordWrap/>
        <w:overflowPunct/>
        <w:topLinePunct w:val="0"/>
        <w:autoSpaceDE/>
        <w:autoSpaceDN/>
        <w:bidi w:val="0"/>
        <w:snapToGrid/>
        <w:spacing w:line="410" w:lineRule="exact"/>
        <w:ind w:firstLine="539"/>
        <w:contextualSpacing/>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注：未注册用户请先免费注册。在“威海市公共资源交易网”右侧“交易服务一网通办系统-（新版）一网通办系统”按钮登录端口注册登记，并办理“安全证书（CA）”和“电子签章”进行获取文件。“安全证书（CA）”和“电子签章”办理请按照“威海市公共资源交易网”右侧“CA办理”中“CA证书办理介绍”进行办理。</w:t>
      </w:r>
    </w:p>
    <w:p w14:paraId="0318E8AC">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sz w:val="24"/>
          <w:szCs w:val="24"/>
          <w:highlight w:val="none"/>
        </w:rPr>
      </w:pPr>
      <w:r>
        <w:rPr>
          <w:rFonts w:hint="eastAsia" w:ascii="仿宋" w:hAnsi="仿宋" w:eastAsia="仿宋" w:cs="仿宋"/>
          <w:b/>
          <w:bCs/>
          <w:sz w:val="24"/>
          <w:szCs w:val="24"/>
          <w:highlight w:val="none"/>
        </w:rPr>
        <w:t>五、投标文件提交</w:t>
      </w:r>
    </w:p>
    <w:p w14:paraId="50F1B967">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1.提交投标文件时间：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09</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20</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19</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:00至</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10</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10</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14</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w:t>
      </w:r>
    </w:p>
    <w:p w14:paraId="096A5C82">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w:t>
      </w:r>
      <w:r>
        <w:rPr>
          <w:rFonts w:hint="eastAsia" w:ascii="仿宋" w:hAnsi="仿宋" w:eastAsia="仿宋" w:cs="仿宋"/>
          <w:spacing w:val="8"/>
          <w:kern w:val="0"/>
          <w:sz w:val="24"/>
          <w:szCs w:val="24"/>
          <w:highlight w:val="none"/>
        </w:rPr>
        <w:t>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p>
    <w:p w14:paraId="7AD81F2F">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六、开启</w:t>
      </w:r>
    </w:p>
    <w:p w14:paraId="144134F2">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1.时间：</w:t>
      </w:r>
      <w:r>
        <w:rPr>
          <w:rFonts w:hint="eastAsia" w:ascii="仿宋" w:hAnsi="仿宋" w:eastAsia="仿宋" w:cs="仿宋"/>
          <w:spacing w:val="8"/>
          <w:sz w:val="24"/>
          <w:szCs w:val="24"/>
          <w:highlight w:val="none"/>
          <w:lang w:val="en-US" w:eastAsia="zh-CN"/>
        </w:rPr>
        <w:t>2026</w:t>
      </w:r>
      <w:r>
        <w:rPr>
          <w:rFonts w:hint="eastAsia" w:ascii="仿宋" w:hAnsi="仿宋" w:eastAsia="仿宋" w:cs="仿宋"/>
          <w:spacing w:val="8"/>
          <w:sz w:val="24"/>
          <w:szCs w:val="24"/>
          <w:highlight w:val="none"/>
        </w:rPr>
        <w:t>年</w:t>
      </w:r>
      <w:r>
        <w:rPr>
          <w:rFonts w:hint="eastAsia" w:ascii="仿宋" w:hAnsi="仿宋" w:eastAsia="仿宋" w:cs="仿宋"/>
          <w:spacing w:val="8"/>
          <w:sz w:val="24"/>
          <w:szCs w:val="24"/>
          <w:highlight w:val="none"/>
          <w:lang w:val="en-US" w:eastAsia="zh-CN"/>
        </w:rPr>
        <w:t>10</w:t>
      </w:r>
      <w:r>
        <w:rPr>
          <w:rFonts w:hint="eastAsia" w:ascii="仿宋" w:hAnsi="仿宋" w:eastAsia="仿宋" w:cs="仿宋"/>
          <w:spacing w:val="8"/>
          <w:sz w:val="24"/>
          <w:szCs w:val="24"/>
          <w:highlight w:val="none"/>
        </w:rPr>
        <w:t>月</w:t>
      </w:r>
      <w:r>
        <w:rPr>
          <w:rFonts w:hint="eastAsia" w:ascii="仿宋" w:hAnsi="仿宋" w:eastAsia="仿宋" w:cs="仿宋"/>
          <w:spacing w:val="8"/>
          <w:sz w:val="24"/>
          <w:szCs w:val="24"/>
          <w:highlight w:val="none"/>
          <w:lang w:val="en-US" w:eastAsia="zh-CN"/>
        </w:rPr>
        <w:t>10</w:t>
      </w:r>
      <w:r>
        <w:rPr>
          <w:rFonts w:hint="eastAsia" w:ascii="仿宋" w:hAnsi="仿宋" w:eastAsia="仿宋" w:cs="仿宋"/>
          <w:spacing w:val="8"/>
          <w:sz w:val="24"/>
          <w:szCs w:val="24"/>
          <w:highlight w:val="none"/>
        </w:rPr>
        <w:t>日</w:t>
      </w:r>
      <w:r>
        <w:rPr>
          <w:rFonts w:hint="eastAsia" w:ascii="仿宋" w:hAnsi="仿宋" w:eastAsia="仿宋" w:cs="仿宋"/>
          <w:spacing w:val="8"/>
          <w:sz w:val="24"/>
          <w:szCs w:val="24"/>
          <w:highlight w:val="none"/>
          <w:lang w:val="en-US" w:eastAsia="zh-CN"/>
        </w:rPr>
        <w:t>14</w:t>
      </w:r>
      <w:r>
        <w:rPr>
          <w:rFonts w:hint="eastAsia" w:ascii="仿宋" w:hAnsi="仿宋" w:eastAsia="仿宋" w:cs="仿宋"/>
          <w:spacing w:val="8"/>
          <w:sz w:val="24"/>
          <w:szCs w:val="24"/>
          <w:highlight w:val="none"/>
        </w:rPr>
        <w:t>:</w:t>
      </w:r>
      <w:bookmarkStart w:id="21" w:name="_GoBack"/>
      <w:bookmarkEnd w:id="21"/>
      <w:r>
        <w:rPr>
          <w:rFonts w:hint="eastAsia" w:ascii="仿宋" w:hAnsi="仿宋" w:eastAsia="仿宋" w:cs="仿宋"/>
          <w:spacing w:val="8"/>
          <w:sz w:val="24"/>
          <w:szCs w:val="24"/>
          <w:highlight w:val="none"/>
          <w:lang w:val="en-US" w:eastAsia="zh-CN"/>
        </w:rPr>
        <w:t>00</w:t>
      </w:r>
      <w:r>
        <w:rPr>
          <w:rFonts w:hint="eastAsia" w:ascii="仿宋" w:hAnsi="仿宋" w:eastAsia="仿宋" w:cs="仿宋"/>
          <w:spacing w:val="8"/>
          <w:sz w:val="24"/>
          <w:szCs w:val="24"/>
          <w:highlight w:val="none"/>
        </w:rPr>
        <w:t>:00（北京时间）</w:t>
      </w:r>
    </w:p>
    <w:p w14:paraId="07C64B06">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2.地点：威海市公共资源交易中心交易</w:t>
      </w:r>
      <w:r>
        <w:rPr>
          <w:rFonts w:hint="eastAsia" w:ascii="仿宋" w:hAnsi="仿宋" w:eastAsia="仿宋" w:cs="仿宋"/>
          <w:spacing w:val="8"/>
          <w:sz w:val="24"/>
          <w:szCs w:val="24"/>
          <w:highlight w:val="none"/>
          <w:lang w:val="en-US" w:eastAsia="zh-CN"/>
        </w:rPr>
        <w:t>六</w:t>
      </w:r>
      <w:r>
        <w:rPr>
          <w:rFonts w:hint="eastAsia" w:ascii="仿宋" w:hAnsi="仿宋" w:eastAsia="仿宋" w:cs="仿宋"/>
          <w:spacing w:val="8"/>
          <w:sz w:val="24"/>
          <w:szCs w:val="24"/>
          <w:highlight w:val="none"/>
        </w:rPr>
        <w:t>厅（</w:t>
      </w:r>
      <w:r>
        <w:rPr>
          <w:rFonts w:hint="eastAsia" w:ascii="仿宋" w:hAnsi="仿宋" w:eastAsia="仿宋" w:cs="仿宋"/>
          <w:spacing w:val="8"/>
          <w:sz w:val="24"/>
          <w:szCs w:val="24"/>
          <w:highlight w:val="none"/>
          <w:lang w:eastAsia="zh-CN"/>
        </w:rPr>
        <w:t>威海市环翠区塔山中路317号</w:t>
      </w:r>
      <w:r>
        <w:rPr>
          <w:rFonts w:hint="eastAsia" w:ascii="仿宋" w:hAnsi="仿宋" w:eastAsia="仿宋" w:cs="仿宋"/>
          <w:spacing w:val="8"/>
          <w:sz w:val="24"/>
          <w:szCs w:val="24"/>
          <w:highlight w:val="none"/>
        </w:rPr>
        <w:t>)</w:t>
      </w:r>
      <w:r>
        <w:rPr>
          <w:rFonts w:hint="eastAsia" w:ascii="仿宋" w:hAnsi="仿宋" w:eastAsia="仿宋" w:cs="仿宋"/>
          <w:spacing w:val="8"/>
          <w:sz w:val="24"/>
          <w:szCs w:val="24"/>
          <w:highlight w:val="none"/>
          <w:lang w:val="en-US" w:eastAsia="zh-CN"/>
        </w:rPr>
        <w:t xml:space="preserve"> </w:t>
      </w:r>
    </w:p>
    <w:p w14:paraId="0DF7D836">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sz w:val="24"/>
          <w:szCs w:val="24"/>
          <w:highlight w:val="none"/>
        </w:rPr>
      </w:pPr>
      <w:r>
        <w:rPr>
          <w:rFonts w:hint="eastAsia" w:ascii="仿宋" w:hAnsi="仿宋" w:eastAsia="仿宋" w:cs="仿宋"/>
          <w:b/>
          <w:bCs/>
          <w:sz w:val="24"/>
          <w:szCs w:val="24"/>
          <w:highlight w:val="none"/>
        </w:rPr>
        <w:t>七、其他补充事宜</w:t>
      </w:r>
    </w:p>
    <w:p w14:paraId="2D7CCF70">
      <w:pPr>
        <w:keepNext w:val="0"/>
        <w:keepLines w:val="0"/>
        <w:pageBreakBefore w:val="0"/>
        <w:widowControl/>
        <w:shd w:val="clear" w:color="auto" w:fill="auto"/>
        <w:kinsoku/>
        <w:wordWrap/>
        <w:overflowPunct/>
        <w:topLinePunct w:val="0"/>
        <w:autoSpaceDE/>
        <w:autoSpaceDN/>
        <w:bidi w:val="0"/>
        <w:snapToGrid/>
        <w:spacing w:line="41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1.本项目实行全流程电子化，提交投标文件截止时间前，随时关注威海市公共资源交易网（变更公告栏）内变更提醒。</w:t>
      </w:r>
    </w:p>
    <w:p w14:paraId="2A225E9A">
      <w:pPr>
        <w:keepNext w:val="0"/>
        <w:keepLines w:val="0"/>
        <w:pageBreakBefore w:val="0"/>
        <w:widowControl/>
        <w:shd w:val="clear" w:color="auto" w:fill="auto"/>
        <w:kinsoku/>
        <w:wordWrap/>
        <w:overflowPunct/>
        <w:topLinePunct w:val="0"/>
        <w:autoSpaceDE/>
        <w:autoSpaceDN/>
        <w:bidi w:val="0"/>
        <w:snapToGrid/>
        <w:spacing w:line="410" w:lineRule="exact"/>
        <w:ind w:firstLine="556"/>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rPr>
        <w:t>2.投标人自行准备电脑，提前在个人电脑上进行测试确保音频、视频功能、CA签章功能可正常使用。远程开标，投标人不需到现场参加开标活动；投标人提前熟悉交易系统（新版威海市国有企业阳光采购服务平台供应商用户手册网址：  https://ggzyjy.weihai.cn/bszn/005005/20260109/eb4ba418-4b35-4f05-aa69-44fd7d8a7ffb.html），通过交易系统线上参加开标活动，不熟悉系统操作产生的风险由投标人承担。</w:t>
      </w:r>
    </w:p>
    <w:p w14:paraId="6ADFD53A">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八、对本次招标提出询问，请按以下方式联系。</w:t>
      </w:r>
    </w:p>
    <w:p w14:paraId="6D700A0C">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1.</w:t>
      </w:r>
      <w:r>
        <w:rPr>
          <w:rFonts w:hint="eastAsia" w:ascii="仿宋" w:hAnsi="仿宋" w:eastAsia="仿宋" w:cs="仿宋"/>
          <w:spacing w:val="8"/>
          <w:sz w:val="24"/>
          <w:szCs w:val="24"/>
          <w:highlight w:val="none"/>
          <w:lang w:eastAsia="zh-CN"/>
        </w:rPr>
        <w:t>招标人</w:t>
      </w:r>
      <w:r>
        <w:rPr>
          <w:rFonts w:hint="eastAsia" w:ascii="仿宋" w:hAnsi="仿宋" w:eastAsia="仿宋" w:cs="仿宋"/>
          <w:spacing w:val="8"/>
          <w:sz w:val="24"/>
          <w:szCs w:val="24"/>
          <w:highlight w:val="none"/>
        </w:rPr>
        <w:t>信息</w:t>
      </w:r>
    </w:p>
    <w:p w14:paraId="5FD6E63C">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名    称：</w:t>
      </w:r>
      <w:r>
        <w:rPr>
          <w:rFonts w:hint="eastAsia" w:ascii="仿宋" w:hAnsi="仿宋" w:eastAsia="仿宋" w:cs="仿宋"/>
          <w:spacing w:val="8"/>
          <w:sz w:val="24"/>
          <w:szCs w:val="24"/>
          <w:highlight w:val="none"/>
          <w:lang w:eastAsia="zh-CN"/>
        </w:rPr>
        <w:t>威海交通场站管理有限公司</w:t>
      </w:r>
    </w:p>
    <w:p w14:paraId="52F09B2C">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地    址：</w:t>
      </w:r>
      <w:r>
        <w:rPr>
          <w:rFonts w:hint="eastAsia" w:ascii="仿宋" w:hAnsi="仿宋" w:eastAsia="仿宋" w:cs="仿宋"/>
          <w:spacing w:val="8"/>
          <w:sz w:val="24"/>
          <w:szCs w:val="24"/>
          <w:highlight w:val="none"/>
          <w:lang w:eastAsia="zh-CN"/>
        </w:rPr>
        <w:t>威海市疏站路6号威海站客运楼5楼办公室</w:t>
      </w:r>
    </w:p>
    <w:p w14:paraId="64FDF93B">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曲一鸣</w:t>
      </w:r>
    </w:p>
    <w:p w14:paraId="1DB8285A">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联系方式：</w:t>
      </w:r>
      <w:r>
        <w:rPr>
          <w:rFonts w:hint="eastAsia" w:ascii="仿宋" w:hAnsi="仿宋" w:eastAsia="仿宋" w:cs="仿宋"/>
          <w:spacing w:val="8"/>
          <w:sz w:val="24"/>
          <w:szCs w:val="24"/>
          <w:highlight w:val="none"/>
          <w:lang w:eastAsia="zh-CN"/>
        </w:rPr>
        <w:t>0631-5890096</w:t>
      </w:r>
    </w:p>
    <w:p w14:paraId="57688398">
      <w:pPr>
        <w:keepNext w:val="0"/>
        <w:keepLines w:val="0"/>
        <w:pageBreakBefore w:val="0"/>
        <w:widowControl/>
        <w:shd w:val="clear" w:color="auto" w:fill="auto"/>
        <w:kinsoku/>
        <w:wordWrap/>
        <w:overflowPunct/>
        <w:topLinePunct w:val="0"/>
        <w:autoSpaceDE/>
        <w:autoSpaceDN/>
        <w:bidi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2.</w:t>
      </w:r>
      <w:r>
        <w:rPr>
          <w:rFonts w:hint="eastAsia" w:ascii="仿宋" w:hAnsi="仿宋" w:eastAsia="仿宋" w:cs="仿宋"/>
          <w:spacing w:val="8"/>
          <w:sz w:val="24"/>
          <w:szCs w:val="24"/>
          <w:highlight w:val="none"/>
          <w:lang w:eastAsia="zh-CN"/>
        </w:rPr>
        <w:t>招标代理</w:t>
      </w:r>
      <w:r>
        <w:rPr>
          <w:rFonts w:hint="eastAsia" w:ascii="仿宋" w:hAnsi="仿宋" w:eastAsia="仿宋" w:cs="仿宋"/>
          <w:spacing w:val="8"/>
          <w:sz w:val="24"/>
          <w:szCs w:val="24"/>
          <w:highlight w:val="none"/>
        </w:rPr>
        <w:t>机构信息</w:t>
      </w:r>
    </w:p>
    <w:p w14:paraId="072B61A2">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名    称：山东富尔工程咨询管理有限公司</w:t>
      </w:r>
    </w:p>
    <w:p w14:paraId="79F9509A">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 xml:space="preserve">地    址：威海市古寨东路315号 </w:t>
      </w:r>
    </w:p>
    <w:p w14:paraId="5F269582">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eastAsia="zh-CN"/>
        </w:rPr>
      </w:pPr>
      <w:r>
        <w:rPr>
          <w:rFonts w:hint="eastAsia" w:ascii="仿宋" w:hAnsi="仿宋" w:eastAsia="仿宋" w:cs="仿宋"/>
          <w:spacing w:val="8"/>
          <w:sz w:val="24"/>
          <w:szCs w:val="24"/>
          <w:highlight w:val="none"/>
        </w:rPr>
        <w:t>联 系 人：</w:t>
      </w:r>
      <w:r>
        <w:rPr>
          <w:rFonts w:hint="eastAsia" w:ascii="仿宋" w:hAnsi="仿宋" w:eastAsia="仿宋" w:cs="仿宋"/>
          <w:spacing w:val="8"/>
          <w:sz w:val="24"/>
          <w:szCs w:val="24"/>
          <w:highlight w:val="none"/>
          <w:lang w:eastAsia="zh-CN"/>
        </w:rPr>
        <w:t>李中元</w:t>
      </w:r>
    </w:p>
    <w:p w14:paraId="49B3C1B8">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联系电话：0631-5896358</w:t>
      </w:r>
    </w:p>
    <w:p w14:paraId="1781FE84">
      <w:pPr>
        <w:keepNext w:val="0"/>
        <w:keepLines w:val="0"/>
        <w:pageBreakBefore w:val="0"/>
        <w:widowControl/>
        <w:kinsoku/>
        <w:wordWrap/>
        <w:overflowPunct/>
        <w:topLinePunct w:val="0"/>
        <w:autoSpaceDE/>
        <w:autoSpaceDN/>
        <w:bidi w:val="0"/>
        <w:adjustRightInd w:val="0"/>
        <w:snapToGrid/>
        <w:spacing w:line="410" w:lineRule="exact"/>
        <w:ind w:firstLine="512" w:firstLineChars="200"/>
        <w:contextualSpacing/>
        <w:jc w:val="left"/>
        <w:textAlignment w:val="auto"/>
        <w:rPr>
          <w:rFonts w:ascii="仿宋" w:hAnsi="仿宋" w:eastAsia="仿宋" w:cs="仿宋"/>
          <w:spacing w:val="8"/>
          <w:sz w:val="24"/>
          <w:szCs w:val="24"/>
          <w:highlight w:val="none"/>
        </w:rPr>
      </w:pPr>
      <w:r>
        <w:rPr>
          <w:rFonts w:hint="eastAsia" w:ascii="仿宋" w:hAnsi="仿宋" w:eastAsia="仿宋" w:cs="仿宋"/>
          <w:spacing w:val="8"/>
          <w:sz w:val="24"/>
          <w:szCs w:val="24"/>
          <w:highlight w:val="none"/>
        </w:rPr>
        <w:t>电子邮箱：</w:t>
      </w:r>
      <w:r>
        <w:rPr>
          <w:rFonts w:hint="eastAsia" w:ascii="仿宋" w:hAnsi="仿宋" w:eastAsia="仿宋" w:cs="仿宋"/>
          <w:spacing w:val="8"/>
          <w:sz w:val="24"/>
          <w:szCs w:val="24"/>
          <w:highlight w:val="none"/>
        </w:rPr>
        <w:fldChar w:fldCharType="begin"/>
      </w:r>
      <w:r>
        <w:rPr>
          <w:rFonts w:hint="eastAsia" w:ascii="仿宋" w:hAnsi="仿宋" w:eastAsia="仿宋" w:cs="仿宋"/>
          <w:spacing w:val="8"/>
          <w:sz w:val="24"/>
          <w:szCs w:val="24"/>
          <w:highlight w:val="none"/>
        </w:rPr>
        <w:instrText xml:space="preserve"> HYPERLINK "mailto:sdfull@126.com" </w:instrText>
      </w:r>
      <w:r>
        <w:rPr>
          <w:rFonts w:hint="eastAsia" w:ascii="仿宋" w:hAnsi="仿宋" w:eastAsia="仿宋" w:cs="仿宋"/>
          <w:spacing w:val="8"/>
          <w:sz w:val="24"/>
          <w:szCs w:val="24"/>
          <w:highlight w:val="none"/>
        </w:rPr>
        <w:fldChar w:fldCharType="separate"/>
      </w:r>
      <w:r>
        <w:rPr>
          <w:rStyle w:val="52"/>
          <w:rFonts w:hint="eastAsia" w:ascii="仿宋" w:hAnsi="仿宋" w:eastAsia="仿宋" w:cs="仿宋"/>
          <w:color w:val="auto"/>
          <w:spacing w:val="8"/>
          <w:sz w:val="24"/>
          <w:szCs w:val="24"/>
          <w:highlight w:val="none"/>
          <w:lang w:eastAsia="zh-CN"/>
        </w:rPr>
        <w:t>sdfullzb@163.com</w:t>
      </w:r>
      <w:r>
        <w:rPr>
          <w:rFonts w:hint="eastAsia" w:ascii="仿宋" w:hAnsi="仿宋" w:eastAsia="仿宋" w:cs="仿宋"/>
          <w:spacing w:val="8"/>
          <w:sz w:val="24"/>
          <w:szCs w:val="24"/>
          <w:highlight w:val="none"/>
        </w:rPr>
        <w:fldChar w:fldCharType="end"/>
      </w:r>
    </w:p>
    <w:p w14:paraId="57D08EE1">
      <w:pPr>
        <w:keepNext w:val="0"/>
        <w:keepLines w:val="0"/>
        <w:pageBreakBefore w:val="0"/>
        <w:widowControl/>
        <w:kinsoku/>
        <w:wordWrap/>
        <w:overflowPunct/>
        <w:topLinePunct w:val="0"/>
        <w:autoSpaceDE/>
        <w:autoSpaceDN/>
        <w:bidi w:val="0"/>
        <w:adjustRightInd w:val="0"/>
        <w:snapToGrid/>
        <w:spacing w:line="410" w:lineRule="exact"/>
        <w:ind w:firstLine="482" w:firstLineChars="200"/>
        <w:contextualSpacing/>
        <w:jc w:val="left"/>
        <w:textAlignment w:val="auto"/>
        <w:rPr>
          <w:rFonts w:ascii="仿宋" w:hAnsi="仿宋" w:eastAsia="仿宋" w:cs="仿宋"/>
          <w:b/>
          <w:bCs/>
          <w:sz w:val="24"/>
          <w:szCs w:val="24"/>
          <w:highlight w:val="none"/>
        </w:rPr>
      </w:pPr>
      <w:r>
        <w:rPr>
          <w:rFonts w:hint="eastAsia" w:ascii="仿宋" w:hAnsi="仿宋" w:eastAsia="仿宋" w:cs="仿宋"/>
          <w:b/>
          <w:bCs/>
          <w:sz w:val="24"/>
          <w:szCs w:val="24"/>
          <w:highlight w:val="none"/>
        </w:rPr>
        <w:t>九、发布公告的媒介</w:t>
      </w:r>
    </w:p>
    <w:p w14:paraId="70DAA73E">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bookmarkStart w:id="6" w:name="_Toc39827471"/>
      <w:bookmarkStart w:id="7" w:name="_Toc39827536"/>
      <w:bookmarkStart w:id="8" w:name="_Toc38213886"/>
      <w:bookmarkStart w:id="9" w:name="_Toc39827101"/>
      <w:r>
        <w:rPr>
          <w:rFonts w:hint="eastAsia" w:ascii="仿宋" w:hAnsi="仿宋" w:eastAsia="仿宋" w:cs="仿宋"/>
          <w:spacing w:val="8"/>
          <w:sz w:val="24"/>
          <w:szCs w:val="24"/>
          <w:highlight w:val="none"/>
        </w:rPr>
        <w:t>本次公告在</w:t>
      </w:r>
      <w:r>
        <w:rPr>
          <w:rFonts w:hint="eastAsia" w:ascii="仿宋" w:hAnsi="仿宋" w:eastAsia="仿宋" w:cs="仿宋"/>
          <w:spacing w:val="8"/>
          <w:sz w:val="24"/>
          <w:szCs w:val="24"/>
          <w:highlight w:val="none"/>
          <w:lang w:eastAsia="zh-CN"/>
        </w:rPr>
        <w:t>中国招标投标公共服务平台（www.cebpubservice.com）、威海市公共资源交易网（http://ggzyjy.weihai.cn/）</w:t>
      </w:r>
      <w:r>
        <w:rPr>
          <w:rFonts w:hint="eastAsia" w:ascii="仿宋" w:hAnsi="仿宋" w:eastAsia="仿宋" w:cs="仿宋"/>
          <w:spacing w:val="8"/>
          <w:sz w:val="24"/>
          <w:szCs w:val="24"/>
          <w:highlight w:val="none"/>
        </w:rPr>
        <w:t>上发布。</w:t>
      </w:r>
      <w:bookmarkEnd w:id="6"/>
      <w:bookmarkEnd w:id="7"/>
      <w:bookmarkEnd w:id="8"/>
      <w:bookmarkEnd w:id="9"/>
    </w:p>
    <w:p w14:paraId="644A137D">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p>
    <w:p w14:paraId="6BA06C60">
      <w:pPr>
        <w:pStyle w:val="58"/>
        <w:rPr>
          <w:rFonts w:hint="eastAsia"/>
          <w:highlight w:val="none"/>
        </w:rPr>
      </w:pPr>
    </w:p>
    <w:p w14:paraId="3B37976D">
      <w:pPr>
        <w:keepNext w:val="0"/>
        <w:keepLines w:val="0"/>
        <w:pageBreakBefore w:val="0"/>
        <w:kinsoku/>
        <w:wordWrap/>
        <w:overflowPunct/>
        <w:topLinePunct w:val="0"/>
        <w:autoSpaceDE/>
        <w:autoSpaceDN/>
        <w:bidi w:val="0"/>
        <w:snapToGrid/>
        <w:spacing w:line="410" w:lineRule="exact"/>
        <w:ind w:firstLine="3720" w:firstLineChars="1550"/>
        <w:contextualSpacing/>
        <w:jc w:val="right"/>
        <w:textAlignment w:val="auto"/>
        <w:rPr>
          <w:rFonts w:ascii="仿宋" w:hAnsi="仿宋" w:eastAsia="仿宋" w:cs="仿宋"/>
          <w:sz w:val="24"/>
          <w:szCs w:val="24"/>
          <w:highlight w:val="none"/>
        </w:rPr>
      </w:pPr>
      <w:r>
        <w:rPr>
          <w:rFonts w:hint="eastAsia" w:ascii="仿宋" w:hAnsi="仿宋" w:eastAsia="仿宋" w:cs="仿宋"/>
          <w:sz w:val="24"/>
          <w:szCs w:val="24"/>
          <w:highlight w:val="none"/>
        </w:rPr>
        <w:t>发布人：</w:t>
      </w:r>
      <w:r>
        <w:rPr>
          <w:rFonts w:hint="eastAsia" w:ascii="仿宋" w:hAnsi="仿宋" w:eastAsia="仿宋" w:cs="仿宋"/>
          <w:spacing w:val="8"/>
          <w:sz w:val="24"/>
          <w:szCs w:val="24"/>
          <w:highlight w:val="none"/>
        </w:rPr>
        <w:t>山东富尔工程咨询管理有限公司</w:t>
      </w:r>
    </w:p>
    <w:p w14:paraId="26D9F5C1">
      <w:pPr>
        <w:keepNext w:val="0"/>
        <w:keepLines w:val="0"/>
        <w:pageBreakBefore w:val="0"/>
        <w:widowControl/>
        <w:kinsoku/>
        <w:wordWrap/>
        <w:overflowPunct/>
        <w:topLinePunct w:val="0"/>
        <w:autoSpaceDE/>
        <w:autoSpaceDN/>
        <w:bidi w:val="0"/>
        <w:adjustRightInd w:val="0"/>
        <w:snapToGrid/>
        <w:spacing w:line="410" w:lineRule="exact"/>
        <w:ind w:left="-240"/>
        <w:contextualSpacing/>
        <w:jc w:val="righ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发布时间：</w:t>
      </w:r>
      <w:r>
        <w:rPr>
          <w:rFonts w:hint="eastAsia" w:ascii="仿宋" w:hAnsi="仿宋" w:eastAsia="仿宋" w:cs="仿宋"/>
          <w:sz w:val="24"/>
          <w:szCs w:val="24"/>
          <w:highlight w:val="none"/>
          <w:lang w:val="en-US" w:eastAsia="zh-CN"/>
        </w:rPr>
        <w:t>2026年09</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20</w:t>
      </w:r>
      <w:r>
        <w:rPr>
          <w:rFonts w:hint="eastAsia" w:ascii="仿宋" w:hAnsi="仿宋" w:eastAsia="仿宋" w:cs="仿宋"/>
          <w:sz w:val="24"/>
          <w:szCs w:val="24"/>
          <w:highlight w:val="none"/>
        </w:rPr>
        <w:t>日</w:t>
      </w:r>
      <w:bookmarkEnd w:id="2"/>
    </w:p>
    <w:p w14:paraId="71026BE5">
      <w:pPr>
        <w:pStyle w:val="36"/>
        <w:rPr>
          <w:highlight w:val="none"/>
        </w:rPr>
      </w:pPr>
    </w:p>
    <w:p w14:paraId="4D77B73E">
      <w:pPr>
        <w:pStyle w:val="3"/>
        <w:bidi w:val="0"/>
        <w:rPr>
          <w:rFonts w:hint="eastAsia"/>
          <w:highlight w:val="none"/>
        </w:rPr>
      </w:pPr>
      <w:r>
        <w:rPr>
          <w:rFonts w:ascii="仿宋" w:hAnsi="仿宋" w:eastAsia="仿宋" w:cs="仿宋"/>
          <w:b w:val="0"/>
          <w:bCs/>
          <w:szCs w:val="24"/>
          <w:highlight w:val="none"/>
        </w:rPr>
        <w:br w:type="page"/>
      </w:r>
      <w:bookmarkStart w:id="10" w:name="_Toc2691"/>
      <w:r>
        <w:rPr>
          <w:rFonts w:hint="eastAsia"/>
          <w:highlight w:val="none"/>
          <w:lang w:eastAsia="zh-CN"/>
        </w:rPr>
        <w:t>第二部分</w:t>
      </w:r>
      <w:r>
        <w:rPr>
          <w:rFonts w:hint="eastAsia"/>
          <w:highlight w:val="none"/>
          <w:lang w:val="en-US" w:eastAsia="zh-CN"/>
        </w:rPr>
        <w:t xml:space="preserve"> </w:t>
      </w:r>
      <w:r>
        <w:rPr>
          <w:rFonts w:hint="eastAsia"/>
          <w:highlight w:val="none"/>
        </w:rPr>
        <w:t xml:space="preserve"> 投标须知</w:t>
      </w:r>
      <w:bookmarkEnd w:id="10"/>
    </w:p>
    <w:p w14:paraId="0D230CD3">
      <w:pPr>
        <w:jc w:val="center"/>
        <w:rPr>
          <w:rFonts w:ascii="仿宋" w:hAnsi="仿宋" w:eastAsia="仿宋" w:cs="仿宋"/>
          <w:sz w:val="24"/>
          <w:szCs w:val="24"/>
          <w:highlight w:val="none"/>
        </w:rPr>
      </w:pPr>
      <w:r>
        <w:rPr>
          <w:rFonts w:hint="eastAsia" w:ascii="仿宋" w:hAnsi="仿宋" w:eastAsia="仿宋" w:cs="仿宋"/>
          <w:b/>
          <w:bCs/>
          <w:sz w:val="30"/>
          <w:szCs w:val="30"/>
          <w:highlight w:val="none"/>
        </w:rPr>
        <w:t>投标须知前附表</w:t>
      </w:r>
    </w:p>
    <w:tbl>
      <w:tblPr>
        <w:tblStyle w:val="41"/>
        <w:tblW w:w="946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32"/>
        <w:gridCol w:w="1761"/>
        <w:gridCol w:w="6774"/>
      </w:tblGrid>
      <w:tr w14:paraId="2F6172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14:paraId="38E1C33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BD5AF0E">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    目</w:t>
            </w:r>
          </w:p>
        </w:tc>
        <w:tc>
          <w:tcPr>
            <w:tcW w:w="6774" w:type="dxa"/>
            <w:tcBorders>
              <w:top w:val="single" w:color="auto" w:sz="4" w:space="0"/>
              <w:left w:val="single" w:color="auto" w:sz="4" w:space="0"/>
              <w:bottom w:val="single" w:color="auto" w:sz="4" w:space="0"/>
            </w:tcBorders>
            <w:noWrap w:val="0"/>
            <w:vAlign w:val="center"/>
          </w:tcPr>
          <w:p w14:paraId="0C0734B4">
            <w:pPr>
              <w:snapToGrid w:val="0"/>
              <w:spacing w:line="400" w:lineRule="exact"/>
              <w:ind w:left="57" w:firstLine="482" w:firstLineChars="201"/>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内           容</w:t>
            </w:r>
          </w:p>
        </w:tc>
      </w:tr>
      <w:tr w14:paraId="252CF2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7" w:hRule="atLeast"/>
          <w:jc w:val="center"/>
        </w:trPr>
        <w:tc>
          <w:tcPr>
            <w:tcW w:w="932" w:type="dxa"/>
            <w:tcBorders>
              <w:top w:val="single" w:color="auto" w:sz="4" w:space="0"/>
              <w:bottom w:val="single" w:color="auto" w:sz="4" w:space="0"/>
              <w:right w:val="single" w:color="auto" w:sz="4" w:space="0"/>
            </w:tcBorders>
            <w:noWrap w:val="0"/>
            <w:vAlign w:val="center"/>
          </w:tcPr>
          <w:p w14:paraId="4008ED2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F6358E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774" w:type="dxa"/>
            <w:tcBorders>
              <w:top w:val="single" w:color="auto" w:sz="4" w:space="0"/>
              <w:left w:val="single" w:color="auto" w:sz="4" w:space="0"/>
              <w:bottom w:val="single" w:color="auto" w:sz="4" w:space="0"/>
            </w:tcBorders>
            <w:noWrap w:val="0"/>
            <w:vAlign w:val="center"/>
          </w:tcPr>
          <w:p w14:paraId="4BD69BA2">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选定车辆定点加油服务单位</w:t>
            </w:r>
          </w:p>
        </w:tc>
      </w:tr>
      <w:tr w14:paraId="0645C2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14:paraId="0F89AC6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4B08BB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编号</w:t>
            </w:r>
          </w:p>
        </w:tc>
        <w:tc>
          <w:tcPr>
            <w:tcW w:w="6774" w:type="dxa"/>
            <w:tcBorders>
              <w:top w:val="single" w:color="auto" w:sz="4" w:space="0"/>
              <w:left w:val="single" w:color="auto" w:sz="4" w:space="0"/>
              <w:bottom w:val="single" w:color="auto" w:sz="4" w:space="0"/>
            </w:tcBorders>
            <w:noWrap w:val="0"/>
            <w:vAlign w:val="center"/>
          </w:tcPr>
          <w:p w14:paraId="5E754ECF">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WHJTCZ2026-0007</w:t>
            </w:r>
          </w:p>
        </w:tc>
      </w:tr>
      <w:tr w14:paraId="6A6046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14:paraId="17C6140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7A7D3B9">
            <w:pPr>
              <w:snapToGrid w:val="0"/>
              <w:spacing w:line="40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招标人</w:t>
            </w:r>
          </w:p>
        </w:tc>
        <w:tc>
          <w:tcPr>
            <w:tcW w:w="6774" w:type="dxa"/>
            <w:tcBorders>
              <w:top w:val="single" w:color="auto" w:sz="4" w:space="0"/>
              <w:left w:val="single" w:color="auto" w:sz="4" w:space="0"/>
              <w:bottom w:val="single" w:color="auto" w:sz="4" w:space="0"/>
            </w:tcBorders>
            <w:noWrap w:val="0"/>
            <w:vAlign w:val="bottom"/>
          </w:tcPr>
          <w:p w14:paraId="4CA6DC99">
            <w:pPr>
              <w:snapToGrid w:val="0"/>
              <w:spacing w:line="400" w:lineRule="exact"/>
              <w:jc w:val="left"/>
              <w:rPr>
                <w:rFonts w:hint="eastAsia" w:ascii="仿宋" w:hAnsi="仿宋" w:eastAsia="仿宋" w:cs="仿宋"/>
                <w:spacing w:val="8"/>
                <w:sz w:val="24"/>
                <w:szCs w:val="24"/>
                <w:highlight w:val="none"/>
                <w:lang w:eastAsia="zh-CN"/>
              </w:rPr>
            </w:pPr>
            <w:r>
              <w:rPr>
                <w:rFonts w:hint="eastAsia" w:ascii="仿宋" w:hAnsi="仿宋" w:eastAsia="仿宋" w:cs="仿宋"/>
                <w:sz w:val="24"/>
                <w:szCs w:val="24"/>
                <w:highlight w:val="none"/>
              </w:rPr>
              <w:t>名称：</w:t>
            </w:r>
            <w:r>
              <w:rPr>
                <w:rFonts w:hint="eastAsia" w:ascii="仿宋" w:hAnsi="仿宋" w:eastAsia="仿宋" w:cs="仿宋"/>
                <w:spacing w:val="8"/>
                <w:sz w:val="24"/>
                <w:szCs w:val="24"/>
                <w:highlight w:val="none"/>
                <w:lang w:eastAsia="zh-CN"/>
              </w:rPr>
              <w:t>威海交通场站管理有限公司</w:t>
            </w:r>
          </w:p>
          <w:p w14:paraId="39ADEDF2">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地址：</w:t>
            </w:r>
            <w:r>
              <w:rPr>
                <w:rFonts w:hint="eastAsia" w:ascii="仿宋" w:hAnsi="仿宋" w:eastAsia="仿宋" w:cs="仿宋"/>
                <w:spacing w:val="8"/>
                <w:sz w:val="24"/>
                <w:szCs w:val="24"/>
                <w:highlight w:val="none"/>
                <w:lang w:eastAsia="zh-CN"/>
              </w:rPr>
              <w:t>威海市疏站路6号威海站客运楼5楼办公室</w:t>
            </w:r>
          </w:p>
          <w:p w14:paraId="2DD23653">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曲一鸣</w:t>
            </w:r>
          </w:p>
          <w:p w14:paraId="4D7244D7">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联系电话：</w:t>
            </w:r>
            <w:r>
              <w:rPr>
                <w:rFonts w:hint="eastAsia" w:ascii="仿宋" w:hAnsi="仿宋" w:eastAsia="仿宋" w:cs="仿宋"/>
                <w:sz w:val="24"/>
                <w:szCs w:val="24"/>
                <w:highlight w:val="none"/>
                <w:lang w:eastAsia="zh-CN"/>
              </w:rPr>
              <w:t>0631-5890096</w:t>
            </w:r>
          </w:p>
        </w:tc>
      </w:tr>
      <w:tr w14:paraId="3B66EA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9" w:hRule="atLeast"/>
          <w:jc w:val="center"/>
        </w:trPr>
        <w:tc>
          <w:tcPr>
            <w:tcW w:w="932" w:type="dxa"/>
            <w:tcBorders>
              <w:top w:val="single" w:color="auto" w:sz="4" w:space="0"/>
              <w:bottom w:val="single" w:color="auto" w:sz="4" w:space="0"/>
              <w:right w:val="single" w:color="auto" w:sz="4" w:space="0"/>
            </w:tcBorders>
            <w:noWrap w:val="0"/>
            <w:vAlign w:val="center"/>
          </w:tcPr>
          <w:p w14:paraId="02349C0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C7B4B2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tc>
        <w:tc>
          <w:tcPr>
            <w:tcW w:w="6774" w:type="dxa"/>
            <w:tcBorders>
              <w:top w:val="single" w:color="auto" w:sz="4" w:space="0"/>
              <w:left w:val="single" w:color="auto" w:sz="4" w:space="0"/>
              <w:bottom w:val="single" w:color="auto" w:sz="4" w:space="0"/>
            </w:tcBorders>
            <w:noWrap w:val="0"/>
            <w:vAlign w:val="center"/>
          </w:tcPr>
          <w:p w14:paraId="2AB2CAA5">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名称：山东富尔工程咨询管理有限公司</w:t>
            </w:r>
          </w:p>
          <w:p w14:paraId="1F9D181E">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地址：威海市古寨东路315号</w:t>
            </w:r>
          </w:p>
          <w:p w14:paraId="0DB085F5">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联系人：</w:t>
            </w:r>
            <w:r>
              <w:rPr>
                <w:rFonts w:hint="eastAsia" w:ascii="仿宋" w:hAnsi="仿宋" w:eastAsia="仿宋" w:cs="仿宋"/>
                <w:sz w:val="24"/>
                <w:szCs w:val="24"/>
                <w:highlight w:val="none"/>
                <w:lang w:eastAsia="zh-CN"/>
              </w:rPr>
              <w:t>李中元</w:t>
            </w:r>
          </w:p>
          <w:p w14:paraId="7AAC853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联系方式：</w:t>
            </w:r>
            <w:r>
              <w:rPr>
                <w:rFonts w:hint="eastAsia" w:ascii="仿宋" w:hAnsi="仿宋" w:eastAsia="仿宋" w:cs="仿宋"/>
                <w:sz w:val="24"/>
                <w:szCs w:val="24"/>
                <w:highlight w:val="none"/>
              </w:rPr>
              <w:t>0631-5896358</w:t>
            </w:r>
          </w:p>
        </w:tc>
      </w:tr>
      <w:tr w14:paraId="737596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25" w:hRule="atLeast"/>
          <w:jc w:val="center"/>
        </w:trPr>
        <w:tc>
          <w:tcPr>
            <w:tcW w:w="932" w:type="dxa"/>
            <w:tcBorders>
              <w:top w:val="single" w:color="auto" w:sz="4" w:space="0"/>
              <w:bottom w:val="single" w:color="auto" w:sz="4" w:space="0"/>
              <w:right w:val="single" w:color="auto" w:sz="4" w:space="0"/>
            </w:tcBorders>
            <w:noWrap w:val="0"/>
            <w:vAlign w:val="center"/>
          </w:tcPr>
          <w:p w14:paraId="36CBE05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A3F35E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资金来源</w:t>
            </w:r>
          </w:p>
          <w:p w14:paraId="2EE4716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及比例</w:t>
            </w:r>
          </w:p>
        </w:tc>
        <w:tc>
          <w:tcPr>
            <w:tcW w:w="6774" w:type="dxa"/>
            <w:tcBorders>
              <w:top w:val="single" w:color="auto" w:sz="4" w:space="0"/>
              <w:left w:val="single" w:color="auto" w:sz="4" w:space="0"/>
              <w:bottom w:val="single" w:color="auto" w:sz="4" w:space="0"/>
            </w:tcBorders>
            <w:noWrap w:val="0"/>
            <w:vAlign w:val="center"/>
          </w:tcPr>
          <w:p w14:paraId="7423426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100%自筹资金</w:t>
            </w:r>
          </w:p>
        </w:tc>
      </w:tr>
      <w:tr w14:paraId="0AABD7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32" w:type="dxa"/>
            <w:tcBorders>
              <w:top w:val="single" w:color="auto" w:sz="4" w:space="0"/>
              <w:bottom w:val="single" w:color="auto" w:sz="4" w:space="0"/>
              <w:right w:val="single" w:color="auto" w:sz="4" w:space="0"/>
            </w:tcBorders>
            <w:noWrap w:val="0"/>
            <w:vAlign w:val="center"/>
          </w:tcPr>
          <w:p w14:paraId="63A5843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8ADCDF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资金落实情况</w:t>
            </w:r>
          </w:p>
        </w:tc>
        <w:tc>
          <w:tcPr>
            <w:tcW w:w="6774" w:type="dxa"/>
            <w:tcBorders>
              <w:top w:val="single" w:color="auto" w:sz="4" w:space="0"/>
              <w:left w:val="single" w:color="auto" w:sz="4" w:space="0"/>
              <w:bottom w:val="single" w:color="auto" w:sz="4" w:space="0"/>
            </w:tcBorders>
            <w:noWrap w:val="0"/>
            <w:vAlign w:val="center"/>
          </w:tcPr>
          <w:p w14:paraId="6E44A9B7">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已落实</w:t>
            </w:r>
          </w:p>
        </w:tc>
      </w:tr>
      <w:tr w14:paraId="6518BD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2A7FAFE9">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0486789">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电子投标</w:t>
            </w:r>
          </w:p>
          <w:p w14:paraId="77BF82E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特别提示</w:t>
            </w:r>
          </w:p>
        </w:tc>
        <w:tc>
          <w:tcPr>
            <w:tcW w:w="6774" w:type="dxa"/>
            <w:tcBorders>
              <w:top w:val="single" w:color="auto" w:sz="4" w:space="0"/>
              <w:left w:val="single" w:color="auto" w:sz="4" w:space="0"/>
              <w:bottom w:val="single" w:color="auto" w:sz="4" w:space="0"/>
            </w:tcBorders>
            <w:noWrap w:val="0"/>
            <w:vAlign w:val="center"/>
          </w:tcPr>
          <w:p w14:paraId="3CF41F72">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投标人必须在“威海市公共资源交易网”（http://ggzyjy.weihai.cn/）完成注册入库（已完成注册用户无需重复注册），首次注册投标人需登录“威海市公共资源交易网”首页右侧“交易服务一网通办系统-（新版）一网通办系统”进行注册，取得用户名和密码；首次注册的投标人应及时办理安全证书（CA锁）及电子签章。</w:t>
            </w:r>
          </w:p>
          <w:p w14:paraId="5598A99E">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2、本项目必须网上递交投标文件，参与本项目的投标人应利用办理好的CA锁登录国企阳光采购平台进行获取招标文件、文件下载和网上递交投标文件，且安全证书（CA锁）在有效期内。</w:t>
            </w:r>
          </w:p>
          <w:p w14:paraId="5C90328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电子投标文件制作及递交等有关操作见本文件及威海市公共资源交易网办事指南栏目-国企采购专区-《新版威海市国有企业阳光采购服务平台操作演示视频（供应商）》，网址:https://ggzyjy.weihai.cn/bszn/005005/20260109/315a049e-0d75-4f85-8634-00d90a843936.html、投标（响应）文件制作及系统使用咨询电话：17863029936 ；QQ服务群：1046971257。</w:t>
            </w:r>
          </w:p>
          <w:p w14:paraId="5186F33F">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4、网上提交投标文件时，登录交易平台的电脑须满足环境要求（详见新版威海市国有企业阳光采购服务平台供应商用户手册网址：https://ggzyjy.weihai.cn/bszn/005005/20260109/eb4ba418-4b35-4f05-aa69-44fd7d8a7ffb.html）。</w:t>
            </w:r>
          </w:p>
          <w:p w14:paraId="3620AE5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人提交的电子投标文件应按照本招标文件《第五部分投标文件格式》进行编制，数据文件（excel格式）必须从本项目的招标文件压缩包内的对应包段目录下获取，且必须在原文件上严格按照其中要求填写。因投标人（供应商）自身原因导致电子投标文件编制不规范使投标文件内容无法导入系统的，该投标文件将被视为无效投标（响应）文件。</w:t>
            </w:r>
          </w:p>
          <w:p w14:paraId="58EFCA9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电子投标文件必需有电子签章方为合法的投标文件，未对电子投标文件进行电子签章的，将作为无效投标（响应）处理。电子投标文件的电子签章要求：在生成电子投标文件pdf格式时，都必须对电子投标文件进行电子签章；签章时需要将电子签章签署到相应的位置中。</w:t>
            </w:r>
          </w:p>
          <w:p w14:paraId="3E28223D">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7、投标人投标文件中的相关扫描件应保证清晰度，无法辨认的评审时受到影响的，由投标人承担相应责任。</w:t>
            </w:r>
          </w:p>
          <w:p w14:paraId="54C89812">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8、除网上递交电子投标文件外，如有要求递交相关资质证明文件原件的，还须按其要求独立密封递交（被授权人身份证原件除外）</w:t>
            </w:r>
          </w:p>
          <w:p w14:paraId="26F4D27A">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9、投标人应充分考虑到网上递交投标文件会发生的故障和风险。对发生的任何故障和风险造成投标人报价内容不一致或利益受损或投标失败的，招标人及招标代理机构不承担任何责任。</w:t>
            </w:r>
          </w:p>
        </w:tc>
      </w:tr>
      <w:tr w14:paraId="3B6C71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2AC98FF6">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F9BBBF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资质证明文件</w:t>
            </w:r>
          </w:p>
          <w:p w14:paraId="4444106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原件</w:t>
            </w:r>
          </w:p>
        </w:tc>
        <w:tc>
          <w:tcPr>
            <w:tcW w:w="6774" w:type="dxa"/>
            <w:tcBorders>
              <w:top w:val="single" w:color="auto" w:sz="4" w:space="0"/>
              <w:left w:val="single" w:color="auto" w:sz="4" w:space="0"/>
              <w:bottom w:val="single" w:color="auto" w:sz="4" w:space="0"/>
            </w:tcBorders>
            <w:noWrap w:val="0"/>
            <w:vAlign w:val="center"/>
          </w:tcPr>
          <w:p w14:paraId="02C44B36">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不要求提供</w:t>
            </w:r>
          </w:p>
        </w:tc>
      </w:tr>
      <w:tr w14:paraId="697A20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5" w:hRule="atLeast"/>
          <w:jc w:val="center"/>
        </w:trPr>
        <w:tc>
          <w:tcPr>
            <w:tcW w:w="932" w:type="dxa"/>
            <w:tcBorders>
              <w:top w:val="single" w:color="auto" w:sz="4" w:space="0"/>
              <w:bottom w:val="single" w:color="auto" w:sz="4" w:space="0"/>
              <w:right w:val="single" w:color="auto" w:sz="4" w:space="0"/>
            </w:tcBorders>
            <w:noWrap w:val="0"/>
            <w:vAlign w:val="center"/>
          </w:tcPr>
          <w:p w14:paraId="38D2325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8DB91FD">
            <w:pPr>
              <w:snapToGrid w:val="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投标文件份数</w:t>
            </w:r>
          </w:p>
        </w:tc>
        <w:tc>
          <w:tcPr>
            <w:tcW w:w="6774" w:type="dxa"/>
            <w:tcBorders>
              <w:top w:val="single" w:color="auto" w:sz="4" w:space="0"/>
              <w:left w:val="single" w:color="auto" w:sz="4" w:space="0"/>
              <w:bottom w:val="single" w:color="auto" w:sz="4" w:space="0"/>
            </w:tcBorders>
            <w:noWrap w:val="0"/>
            <w:vAlign w:val="center"/>
          </w:tcPr>
          <w:p w14:paraId="77E0E354">
            <w:pPr>
              <w:snapToGrid w:val="0"/>
              <w:spacing w:line="400" w:lineRule="exact"/>
              <w:jc w:val="left"/>
              <w:rPr>
                <w:rFonts w:hint="eastAsia"/>
                <w:highlight w:val="none"/>
              </w:rPr>
            </w:pPr>
            <w:r>
              <w:rPr>
                <w:rFonts w:hint="eastAsia" w:ascii="仿宋" w:hAnsi="仿宋" w:eastAsia="仿宋" w:cs="仿宋"/>
                <w:sz w:val="24"/>
                <w:szCs w:val="24"/>
                <w:highlight w:val="none"/>
              </w:rPr>
              <w:t>网上按时递交电子投标文件1份以及纸质投标文件</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份</w:t>
            </w:r>
          </w:p>
        </w:tc>
      </w:tr>
      <w:tr w14:paraId="0EF77A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60D9F6E7">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96BE2C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实物样品</w:t>
            </w:r>
          </w:p>
        </w:tc>
        <w:tc>
          <w:tcPr>
            <w:tcW w:w="6774" w:type="dxa"/>
            <w:tcBorders>
              <w:top w:val="single" w:color="auto" w:sz="4" w:space="0"/>
              <w:left w:val="single" w:color="auto" w:sz="4" w:space="0"/>
              <w:bottom w:val="single" w:color="auto" w:sz="4" w:space="0"/>
            </w:tcBorders>
            <w:noWrap w:val="0"/>
            <w:vAlign w:val="center"/>
          </w:tcPr>
          <w:p w14:paraId="1F32BC3F">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无</w:t>
            </w:r>
          </w:p>
        </w:tc>
      </w:tr>
      <w:tr w14:paraId="5337BE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0EF54898">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16EE2C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现场踏勘</w:t>
            </w:r>
          </w:p>
        </w:tc>
        <w:tc>
          <w:tcPr>
            <w:tcW w:w="6774" w:type="dxa"/>
            <w:tcBorders>
              <w:top w:val="single" w:color="auto" w:sz="4" w:space="0"/>
              <w:left w:val="single" w:color="auto" w:sz="4" w:space="0"/>
              <w:bottom w:val="single" w:color="auto" w:sz="4" w:space="0"/>
            </w:tcBorders>
            <w:noWrap w:val="0"/>
            <w:vAlign w:val="center"/>
          </w:tcPr>
          <w:p w14:paraId="30ED9C6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不组织</w:t>
            </w:r>
          </w:p>
        </w:tc>
      </w:tr>
      <w:tr w14:paraId="65B761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51227C1D">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E85415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现场演示</w:t>
            </w:r>
          </w:p>
        </w:tc>
        <w:tc>
          <w:tcPr>
            <w:tcW w:w="6774" w:type="dxa"/>
            <w:tcBorders>
              <w:top w:val="single" w:color="auto" w:sz="4" w:space="0"/>
              <w:left w:val="single" w:color="auto" w:sz="4" w:space="0"/>
              <w:bottom w:val="single" w:color="auto" w:sz="4" w:space="0"/>
            </w:tcBorders>
            <w:noWrap w:val="0"/>
            <w:vAlign w:val="center"/>
          </w:tcPr>
          <w:p w14:paraId="2FD63D0D">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无</w:t>
            </w:r>
          </w:p>
        </w:tc>
      </w:tr>
      <w:tr w14:paraId="22D908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932" w:type="dxa"/>
            <w:tcBorders>
              <w:top w:val="single" w:color="auto" w:sz="4" w:space="0"/>
              <w:bottom w:val="single" w:color="auto" w:sz="4" w:space="0"/>
              <w:right w:val="single" w:color="auto" w:sz="4" w:space="0"/>
            </w:tcBorders>
            <w:noWrap w:val="0"/>
            <w:vAlign w:val="center"/>
          </w:tcPr>
          <w:p w14:paraId="14460E0F">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388197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投标预备会</w:t>
            </w:r>
          </w:p>
        </w:tc>
        <w:tc>
          <w:tcPr>
            <w:tcW w:w="6774" w:type="dxa"/>
            <w:tcBorders>
              <w:top w:val="single" w:color="auto" w:sz="4" w:space="0"/>
              <w:left w:val="single" w:color="auto" w:sz="4" w:space="0"/>
              <w:bottom w:val="single" w:color="auto" w:sz="4" w:space="0"/>
            </w:tcBorders>
            <w:noWrap w:val="0"/>
            <w:vAlign w:val="center"/>
          </w:tcPr>
          <w:p w14:paraId="00281B89">
            <w:pPr>
              <w:snapToGrid w:val="0"/>
              <w:spacing w:line="400" w:lineRule="exact"/>
              <w:textAlignment w:val="top"/>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不召开 </w:t>
            </w:r>
          </w:p>
        </w:tc>
      </w:tr>
      <w:tr w14:paraId="6F64E9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2" w:hRule="atLeast"/>
          <w:jc w:val="center"/>
        </w:trPr>
        <w:tc>
          <w:tcPr>
            <w:tcW w:w="932" w:type="dxa"/>
            <w:tcBorders>
              <w:top w:val="single" w:color="auto" w:sz="4" w:space="0"/>
              <w:bottom w:val="single" w:color="auto" w:sz="4" w:space="0"/>
              <w:right w:val="single" w:color="auto" w:sz="4" w:space="0"/>
            </w:tcBorders>
            <w:noWrap w:val="0"/>
            <w:vAlign w:val="center"/>
          </w:tcPr>
          <w:p w14:paraId="767ADA54">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8943BE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投标有效期</w:t>
            </w:r>
          </w:p>
        </w:tc>
        <w:tc>
          <w:tcPr>
            <w:tcW w:w="6774" w:type="dxa"/>
            <w:tcBorders>
              <w:top w:val="single" w:color="auto" w:sz="4" w:space="0"/>
              <w:left w:val="single" w:color="auto" w:sz="4" w:space="0"/>
              <w:bottom w:val="single" w:color="auto" w:sz="4" w:space="0"/>
            </w:tcBorders>
            <w:noWrap w:val="0"/>
            <w:vAlign w:val="center"/>
          </w:tcPr>
          <w:p w14:paraId="077E8626">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开标之日起90天</w:t>
            </w:r>
          </w:p>
        </w:tc>
      </w:tr>
      <w:tr w14:paraId="2E2E6B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3" w:hRule="atLeast"/>
          <w:jc w:val="center"/>
        </w:trPr>
        <w:tc>
          <w:tcPr>
            <w:tcW w:w="932" w:type="dxa"/>
            <w:tcBorders>
              <w:top w:val="single" w:color="auto" w:sz="4" w:space="0"/>
              <w:bottom w:val="single" w:color="auto" w:sz="4" w:space="0"/>
              <w:right w:val="single" w:color="auto" w:sz="4" w:space="0"/>
            </w:tcBorders>
            <w:noWrap w:val="0"/>
            <w:vAlign w:val="center"/>
          </w:tcPr>
          <w:p w14:paraId="16A0EBBD">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D9684F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投标文件递交时间及地点</w:t>
            </w:r>
          </w:p>
        </w:tc>
        <w:tc>
          <w:tcPr>
            <w:tcW w:w="6774" w:type="dxa"/>
            <w:tcBorders>
              <w:top w:val="single" w:color="auto" w:sz="4" w:space="0"/>
              <w:left w:val="single" w:color="auto" w:sz="4" w:space="0"/>
              <w:bottom w:val="single" w:color="auto" w:sz="4" w:space="0"/>
            </w:tcBorders>
            <w:noWrap w:val="0"/>
            <w:vAlign w:val="center"/>
          </w:tcPr>
          <w:p w14:paraId="7128C289">
            <w:pPr>
              <w:numPr>
                <w:ilvl w:val="0"/>
                <w:numId w:val="2"/>
              </w:num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电子投标文件递交截止时间：详见招标公告。</w:t>
            </w:r>
          </w:p>
          <w:p w14:paraId="1323F853">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递交网址：https://www.whgqcg.cn/login?redirect=%2Findex</w:t>
            </w:r>
          </w:p>
          <w:p w14:paraId="0AEAAC8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、纸质投标文件递交：基于项目资料归档的要求，纸质投标文件递交应在开标后三个工作日内，邮寄或送至招标代理处</w:t>
            </w:r>
            <w:r>
              <w:rPr>
                <w:rFonts w:eastAsia="仿宋"/>
                <w:sz w:val="24"/>
                <w:szCs w:val="24"/>
                <w:highlight w:val="none"/>
              </w:rPr>
              <w:t>（威海市古寨东路315号山东富尔工程咨询管理有限公司</w:t>
            </w:r>
            <w:r>
              <w:rPr>
                <w:rFonts w:hint="eastAsia" w:eastAsia="仿宋"/>
                <w:sz w:val="24"/>
                <w:szCs w:val="24"/>
                <w:highlight w:val="none"/>
              </w:rPr>
              <w:t>3楼招标代理部</w:t>
            </w:r>
            <w:r>
              <w:rPr>
                <w:rFonts w:eastAsia="仿宋"/>
                <w:sz w:val="24"/>
                <w:szCs w:val="24"/>
                <w:highlight w:val="none"/>
              </w:rPr>
              <w:t>）</w:t>
            </w:r>
            <w:r>
              <w:rPr>
                <w:rFonts w:hint="eastAsia" w:ascii="仿宋" w:hAnsi="仿宋" w:eastAsia="仿宋" w:cs="仿宋"/>
                <w:sz w:val="24"/>
                <w:szCs w:val="24"/>
                <w:highlight w:val="none"/>
              </w:rPr>
              <w:t>。</w:t>
            </w:r>
          </w:p>
          <w:p w14:paraId="7FE8DC7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纸质投标文件份数：</w:t>
            </w:r>
            <w:r>
              <w:rPr>
                <w:rFonts w:hint="eastAsia" w:ascii="仿宋" w:hAnsi="仿宋" w:eastAsia="仿宋" w:cs="仿宋"/>
                <w:sz w:val="24"/>
                <w:szCs w:val="24"/>
                <w:highlight w:val="none"/>
                <w:lang w:val="en-US" w:eastAsia="zh-CN"/>
              </w:rPr>
              <w:t>三</w:t>
            </w:r>
            <w:r>
              <w:rPr>
                <w:rFonts w:hint="eastAsia" w:ascii="仿宋" w:hAnsi="仿宋" w:eastAsia="仿宋" w:cs="仿宋"/>
                <w:sz w:val="24"/>
                <w:szCs w:val="24"/>
                <w:highlight w:val="none"/>
              </w:rPr>
              <w:t>份，胶装成册。</w:t>
            </w:r>
          </w:p>
        </w:tc>
      </w:tr>
      <w:tr w14:paraId="20C841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932" w:type="dxa"/>
            <w:tcBorders>
              <w:top w:val="single" w:color="auto" w:sz="4" w:space="0"/>
              <w:bottom w:val="single" w:color="auto" w:sz="4" w:space="0"/>
              <w:right w:val="single" w:color="auto" w:sz="4" w:space="0"/>
            </w:tcBorders>
            <w:noWrap w:val="0"/>
            <w:vAlign w:val="center"/>
          </w:tcPr>
          <w:p w14:paraId="07230BD5">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4EDC0469">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开标时间</w:t>
            </w:r>
          </w:p>
        </w:tc>
        <w:tc>
          <w:tcPr>
            <w:tcW w:w="6774" w:type="dxa"/>
            <w:tcBorders>
              <w:top w:val="single" w:color="auto" w:sz="4" w:space="0"/>
              <w:left w:val="single" w:color="auto" w:sz="4" w:space="0"/>
              <w:bottom w:val="single" w:color="auto" w:sz="4" w:space="0"/>
            </w:tcBorders>
            <w:noWrap w:val="0"/>
            <w:vAlign w:val="center"/>
          </w:tcPr>
          <w:p w14:paraId="5D630062">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14:paraId="4FCE01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7525BD2F">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5B4961EC">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开标地点</w:t>
            </w:r>
          </w:p>
        </w:tc>
        <w:tc>
          <w:tcPr>
            <w:tcW w:w="6774" w:type="dxa"/>
            <w:tcBorders>
              <w:top w:val="single" w:color="auto" w:sz="4" w:space="0"/>
              <w:left w:val="single" w:color="auto" w:sz="4" w:space="0"/>
              <w:bottom w:val="single" w:color="auto" w:sz="4" w:space="0"/>
            </w:tcBorders>
            <w:noWrap w:val="0"/>
            <w:vAlign w:val="center"/>
          </w:tcPr>
          <w:p w14:paraId="1A5888B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详见招标公告</w:t>
            </w:r>
          </w:p>
        </w:tc>
      </w:tr>
      <w:tr w14:paraId="10A50F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2F25F842">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605DF6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开标方式</w:t>
            </w:r>
          </w:p>
        </w:tc>
        <w:tc>
          <w:tcPr>
            <w:tcW w:w="6774" w:type="dxa"/>
            <w:tcBorders>
              <w:top w:val="single" w:color="auto" w:sz="4" w:space="0"/>
              <w:left w:val="single" w:color="auto" w:sz="4" w:space="0"/>
              <w:bottom w:val="single" w:color="auto" w:sz="4" w:space="0"/>
            </w:tcBorders>
            <w:noWrap w:val="0"/>
            <w:vAlign w:val="center"/>
          </w:tcPr>
          <w:p w14:paraId="519A3E7B">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投标人无需到现场参与开标，但开评审期间需实时关注交易系统相关通知，且被授权人的联络方式应保持畅通。</w:t>
            </w:r>
          </w:p>
        </w:tc>
      </w:tr>
      <w:tr w14:paraId="4B66A5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3" w:hRule="atLeast"/>
          <w:jc w:val="center"/>
        </w:trPr>
        <w:tc>
          <w:tcPr>
            <w:tcW w:w="932" w:type="dxa"/>
            <w:tcBorders>
              <w:top w:val="single" w:color="auto" w:sz="4" w:space="0"/>
              <w:bottom w:val="single" w:color="auto" w:sz="4" w:space="0"/>
              <w:right w:val="single" w:color="auto" w:sz="4" w:space="0"/>
            </w:tcBorders>
            <w:noWrap w:val="0"/>
            <w:vAlign w:val="center"/>
          </w:tcPr>
          <w:p w14:paraId="618F914E">
            <w:pPr>
              <w:snapToGrid w:val="0"/>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19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C45E73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开标程序</w:t>
            </w:r>
          </w:p>
        </w:tc>
        <w:tc>
          <w:tcPr>
            <w:tcW w:w="6774" w:type="dxa"/>
            <w:tcBorders>
              <w:top w:val="single" w:color="auto" w:sz="4" w:space="0"/>
              <w:left w:val="single" w:color="auto" w:sz="4" w:space="0"/>
              <w:bottom w:val="single" w:color="auto" w:sz="4" w:space="0"/>
            </w:tcBorders>
            <w:noWrap w:val="0"/>
            <w:vAlign w:val="center"/>
          </w:tcPr>
          <w:p w14:paraId="66AE7024">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签到时间：递交投标文件截止时间前完成</w:t>
            </w:r>
          </w:p>
          <w:p w14:paraId="737F2789">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解密时间：开始解密后15分钟内完成</w:t>
            </w:r>
          </w:p>
        </w:tc>
      </w:tr>
      <w:tr w14:paraId="534A8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14:paraId="15C5F19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20</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30D63D4">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资格审查方式</w:t>
            </w:r>
          </w:p>
        </w:tc>
        <w:tc>
          <w:tcPr>
            <w:tcW w:w="6774" w:type="dxa"/>
            <w:tcBorders>
              <w:top w:val="single" w:color="auto" w:sz="4" w:space="0"/>
              <w:left w:val="single" w:color="auto" w:sz="4" w:space="0"/>
              <w:bottom w:val="single" w:color="auto" w:sz="4" w:space="0"/>
            </w:tcBorders>
            <w:noWrap w:val="0"/>
            <w:vAlign w:val="center"/>
          </w:tcPr>
          <w:p w14:paraId="38D0E96E">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资格后审</w:t>
            </w:r>
          </w:p>
        </w:tc>
      </w:tr>
      <w:tr w14:paraId="17E4C2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5" w:hRule="atLeast"/>
          <w:jc w:val="center"/>
        </w:trPr>
        <w:tc>
          <w:tcPr>
            <w:tcW w:w="932" w:type="dxa"/>
            <w:tcBorders>
              <w:top w:val="single" w:color="auto" w:sz="4" w:space="0"/>
              <w:bottom w:val="single" w:color="auto" w:sz="4" w:space="0"/>
              <w:right w:val="single" w:color="auto" w:sz="4" w:space="0"/>
            </w:tcBorders>
            <w:noWrap w:val="0"/>
            <w:vAlign w:val="center"/>
          </w:tcPr>
          <w:p w14:paraId="682CA708">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21</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07271E4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评标办法</w:t>
            </w:r>
          </w:p>
        </w:tc>
        <w:tc>
          <w:tcPr>
            <w:tcW w:w="6774" w:type="dxa"/>
            <w:tcBorders>
              <w:top w:val="single" w:color="auto" w:sz="4" w:space="0"/>
              <w:left w:val="single" w:color="auto" w:sz="4" w:space="0"/>
              <w:bottom w:val="single" w:color="auto" w:sz="4" w:space="0"/>
            </w:tcBorders>
            <w:noWrap w:val="0"/>
            <w:vAlign w:val="center"/>
          </w:tcPr>
          <w:p w14:paraId="598A0D89">
            <w:pPr>
              <w:snapToGrid w:val="0"/>
              <w:spacing w:line="400" w:lineRule="exact"/>
              <w:ind w:right="-105" w:rightChars="-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综合评分法</w:t>
            </w:r>
          </w:p>
        </w:tc>
      </w:tr>
      <w:tr w14:paraId="5F4AC6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0F49ED4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22</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C3BA8E0">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联合体报价</w:t>
            </w:r>
          </w:p>
        </w:tc>
        <w:tc>
          <w:tcPr>
            <w:tcW w:w="6774" w:type="dxa"/>
            <w:tcBorders>
              <w:top w:val="single" w:color="auto" w:sz="4" w:space="0"/>
              <w:left w:val="single" w:color="auto" w:sz="4" w:space="0"/>
              <w:bottom w:val="single" w:color="auto" w:sz="4" w:space="0"/>
            </w:tcBorders>
            <w:noWrap w:val="0"/>
            <w:vAlign w:val="center"/>
          </w:tcPr>
          <w:p w14:paraId="6B1A9815">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3B6A1A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19CEFC5D">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23</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ADEF1BF">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分（转）包</w:t>
            </w:r>
          </w:p>
        </w:tc>
        <w:tc>
          <w:tcPr>
            <w:tcW w:w="6774" w:type="dxa"/>
            <w:tcBorders>
              <w:top w:val="single" w:color="auto" w:sz="4" w:space="0"/>
              <w:left w:val="single" w:color="auto" w:sz="4" w:space="0"/>
              <w:bottom w:val="single" w:color="auto" w:sz="4" w:space="0"/>
            </w:tcBorders>
            <w:noWrap w:val="0"/>
            <w:vAlign w:val="center"/>
          </w:tcPr>
          <w:p w14:paraId="39CDE9A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不允许</w:t>
            </w:r>
          </w:p>
        </w:tc>
      </w:tr>
      <w:tr w14:paraId="1A23F0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932" w:type="dxa"/>
            <w:tcBorders>
              <w:top w:val="single" w:color="auto" w:sz="4" w:space="0"/>
              <w:bottom w:val="single" w:color="auto" w:sz="4" w:space="0"/>
              <w:right w:val="single" w:color="auto" w:sz="4" w:space="0"/>
            </w:tcBorders>
            <w:noWrap w:val="0"/>
            <w:vAlign w:val="center"/>
          </w:tcPr>
          <w:p w14:paraId="2429EAE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24</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5D123D9">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投标保证金</w:t>
            </w:r>
          </w:p>
        </w:tc>
        <w:tc>
          <w:tcPr>
            <w:tcW w:w="6774" w:type="dxa"/>
            <w:tcBorders>
              <w:top w:val="single" w:color="auto" w:sz="4" w:space="0"/>
              <w:left w:val="single" w:color="auto" w:sz="4" w:space="0"/>
              <w:bottom w:val="single" w:color="auto" w:sz="4" w:space="0"/>
            </w:tcBorders>
            <w:noWrap w:val="0"/>
            <w:vAlign w:val="center"/>
          </w:tcPr>
          <w:p w14:paraId="484441AC">
            <w:pPr>
              <w:snapToGrid w:val="0"/>
              <w:spacing w:line="400" w:lineRule="exact"/>
              <w:jc w:val="left"/>
              <w:rPr>
                <w:rFonts w:hint="eastAsia" w:ascii="仿宋" w:hAnsi="仿宋" w:eastAsia="仿宋" w:cs="仿宋"/>
                <w:sz w:val="24"/>
                <w:szCs w:val="24"/>
                <w:highlight w:val="none"/>
                <w:lang w:eastAsia="zh-CN"/>
              </w:rPr>
            </w:pPr>
            <w:bookmarkStart w:id="11" w:name="_Hlk58068062"/>
            <w:r>
              <w:rPr>
                <w:rFonts w:hint="eastAsia" w:ascii="仿宋" w:hAnsi="仿宋" w:eastAsia="仿宋" w:cs="仿宋"/>
                <w:sz w:val="24"/>
                <w:szCs w:val="24"/>
                <w:highlight w:val="none"/>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本项目投标保证金</w:t>
            </w:r>
            <w:r>
              <w:rPr>
                <w:rFonts w:hint="eastAsia" w:ascii="仿宋" w:hAnsi="仿宋" w:eastAsia="仿宋" w:cs="仿宋"/>
                <w:sz w:val="24"/>
                <w:szCs w:val="24"/>
                <w:highlight w:val="none"/>
                <w:lang w:eastAsia="zh-CN"/>
              </w:rPr>
              <w:t>：</w:t>
            </w:r>
          </w:p>
          <w:p w14:paraId="17254B9D">
            <w:pPr>
              <w:snapToGrid w:val="0"/>
              <w:spacing w:line="400" w:lineRule="exact"/>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标包二：</w:t>
            </w:r>
            <w:r>
              <w:rPr>
                <w:rFonts w:hint="eastAsia" w:ascii="仿宋" w:hAnsi="仿宋" w:eastAsia="仿宋" w:cs="仿宋"/>
                <w:sz w:val="24"/>
                <w:szCs w:val="24"/>
                <w:highlight w:val="none"/>
              </w:rPr>
              <w:t>人民币</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000.00元</w:t>
            </w:r>
            <w:r>
              <w:rPr>
                <w:rFonts w:hint="eastAsia" w:ascii="仿宋" w:hAnsi="仿宋" w:eastAsia="仿宋" w:cs="仿宋"/>
                <w:sz w:val="24"/>
                <w:szCs w:val="24"/>
                <w:highlight w:val="none"/>
                <w:lang w:val="en-US" w:eastAsia="zh-CN"/>
              </w:rPr>
              <w:t>.</w:t>
            </w:r>
          </w:p>
          <w:p w14:paraId="5434B33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缴纳截止时间：投标文件递交截止时间前。</w:t>
            </w:r>
          </w:p>
          <w:bookmarkEnd w:id="11"/>
          <w:p w14:paraId="1D65B82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投标保证金的交纳单位必须与投标人名称一致，投标保证金须从其基本账户转出，否则其投标无效。</w:t>
            </w:r>
          </w:p>
          <w:p w14:paraId="4705463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本项目的投标保证金必须通过国企阳光采购平台交纳，使用说明参见威海市公共资源交易网（http://ggzyjy.weihai.cn）的 “办事指南—国企采购专区”中《威海市国有企业阳光采购电子化服务平台线上投标保证金操作手册》。</w:t>
            </w:r>
          </w:p>
          <w:p w14:paraId="2EE7D1A6">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确保投标工作有序进行，投标保证金应当在递交投标文件截止时间前（以到账时间为准）到达收款帐户，收款账户名称以投标单位在系统中获取到的虚拟子账号信息为准，以网银、电汇等方式一次性足额交纳保证金，不接受支付宝等第三方平台转账。禁止第三方代交。投标保证金交纳单位应与递交投标文件的投标人名称一致。（注：请投标单位务必注意以系统生成的交纳账号信息为准，进行保证金的交纳，并及时通过平台查询确认保证金到账情况，因操作不当造成投标保证金递交失败的，由投标单位自行承担相应责任）</w:t>
            </w:r>
            <w:r>
              <w:rPr>
                <w:rFonts w:hint="eastAsia" w:ascii="仿宋" w:hAnsi="仿宋" w:eastAsia="仿宋" w:cs="仿宋"/>
                <w:sz w:val="24"/>
                <w:szCs w:val="24"/>
                <w:highlight w:val="none"/>
                <w:lang w:eastAsia="zh-CN"/>
              </w:rPr>
              <w:t>。</w:t>
            </w:r>
          </w:p>
          <w:p w14:paraId="52E526AC">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6</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327123C4">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7</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退还保证金：目前系统采用自动退还保证金操作，分为未中标人退还和中标人退还。代理公司向中标人发送中标通知书后，系统自动退还未中标人保证金；招标人和中标人签署完合同后，系统自动退还中标人保证金。</w:t>
            </w:r>
          </w:p>
        </w:tc>
      </w:tr>
      <w:tr w14:paraId="4E2AA9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932" w:type="dxa"/>
            <w:tcBorders>
              <w:top w:val="single" w:color="auto" w:sz="4" w:space="0"/>
              <w:bottom w:val="single" w:color="auto" w:sz="4" w:space="0"/>
              <w:right w:val="single" w:color="auto" w:sz="4" w:space="0"/>
            </w:tcBorders>
            <w:noWrap w:val="0"/>
            <w:vAlign w:val="center"/>
          </w:tcPr>
          <w:p w14:paraId="445D6FE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25</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70FAA4B3">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履约保证金</w:t>
            </w:r>
          </w:p>
        </w:tc>
        <w:tc>
          <w:tcPr>
            <w:tcW w:w="6774" w:type="dxa"/>
            <w:tcBorders>
              <w:top w:val="single" w:color="auto" w:sz="4" w:space="0"/>
              <w:left w:val="single" w:color="auto" w:sz="4" w:space="0"/>
              <w:bottom w:val="single" w:color="auto" w:sz="4" w:space="0"/>
            </w:tcBorders>
            <w:noWrap w:val="0"/>
            <w:vAlign w:val="center"/>
          </w:tcPr>
          <w:p w14:paraId="6A3CDD1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按合同约定执行</w:t>
            </w:r>
          </w:p>
        </w:tc>
      </w:tr>
      <w:tr w14:paraId="2C2664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4" w:hRule="atLeast"/>
          <w:jc w:val="center"/>
        </w:trPr>
        <w:tc>
          <w:tcPr>
            <w:tcW w:w="932" w:type="dxa"/>
            <w:tcBorders>
              <w:top w:val="single" w:color="auto" w:sz="4" w:space="0"/>
              <w:bottom w:val="single" w:color="auto" w:sz="4" w:space="0"/>
              <w:right w:val="single" w:color="auto" w:sz="4" w:space="0"/>
            </w:tcBorders>
            <w:noWrap w:val="0"/>
            <w:vAlign w:val="center"/>
          </w:tcPr>
          <w:p w14:paraId="7D78248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26</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1B4231F5">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付款方式</w:t>
            </w:r>
          </w:p>
        </w:tc>
        <w:tc>
          <w:tcPr>
            <w:tcW w:w="6774" w:type="dxa"/>
            <w:tcBorders>
              <w:top w:val="single" w:color="auto" w:sz="4" w:space="0"/>
              <w:left w:val="single" w:color="auto" w:sz="4" w:space="0"/>
              <w:bottom w:val="single" w:color="auto" w:sz="4" w:space="0"/>
            </w:tcBorders>
            <w:noWrap w:val="0"/>
            <w:vAlign w:val="center"/>
          </w:tcPr>
          <w:p w14:paraId="7372673E">
            <w:pPr>
              <w:snapToGrid w:val="0"/>
              <w:spacing w:line="400" w:lineRule="exact"/>
              <w:jc w:val="left"/>
              <w:rPr>
                <w:rFonts w:ascii="仿宋" w:hAnsi="仿宋" w:eastAsia="仿宋" w:cs="仿宋"/>
                <w:sz w:val="24"/>
                <w:szCs w:val="24"/>
                <w:highlight w:val="none"/>
              </w:rPr>
            </w:pPr>
            <w:r>
              <w:rPr>
                <w:rFonts w:hint="eastAsia" w:ascii="仿宋" w:hAnsi="仿宋" w:eastAsia="仿宋" w:cs="仿宋"/>
                <w:sz w:val="24"/>
                <w:szCs w:val="24"/>
                <w:highlight w:val="none"/>
              </w:rPr>
              <w:t>见合同范本</w:t>
            </w:r>
          </w:p>
        </w:tc>
      </w:tr>
      <w:tr w14:paraId="2C73CB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932" w:type="dxa"/>
            <w:tcBorders>
              <w:top w:val="single" w:color="auto" w:sz="4" w:space="0"/>
              <w:right w:val="single" w:color="auto" w:sz="4" w:space="0"/>
            </w:tcBorders>
            <w:noWrap w:val="0"/>
            <w:vAlign w:val="center"/>
          </w:tcPr>
          <w:p w14:paraId="1B9E3E79">
            <w:pPr>
              <w:snapToGrid w:val="0"/>
              <w:spacing w:line="400" w:lineRule="exact"/>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27</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6C402992">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w:t>
            </w:r>
          </w:p>
        </w:tc>
        <w:tc>
          <w:tcPr>
            <w:tcW w:w="6774" w:type="dxa"/>
            <w:tcBorders>
              <w:top w:val="single" w:color="auto" w:sz="4" w:space="0"/>
              <w:left w:val="single" w:color="auto" w:sz="4" w:space="0"/>
              <w:bottom w:val="single" w:color="auto" w:sz="4" w:space="0"/>
            </w:tcBorders>
            <w:noWrap w:val="0"/>
            <w:vAlign w:val="center"/>
          </w:tcPr>
          <w:p w14:paraId="4E64178B">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专家评审费由中标单位缴纳，按实收取。</w:t>
            </w:r>
          </w:p>
        </w:tc>
      </w:tr>
      <w:tr w14:paraId="1F67B0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9" w:hRule="atLeast"/>
          <w:jc w:val="center"/>
        </w:trPr>
        <w:tc>
          <w:tcPr>
            <w:tcW w:w="932" w:type="dxa"/>
            <w:tcBorders>
              <w:top w:val="single" w:color="auto" w:sz="4" w:space="0"/>
              <w:bottom w:val="single" w:color="auto" w:sz="4" w:space="0"/>
              <w:right w:val="single" w:color="auto" w:sz="4" w:space="0"/>
            </w:tcBorders>
            <w:noWrap w:val="0"/>
            <w:vAlign w:val="center"/>
          </w:tcPr>
          <w:p w14:paraId="05CBCECB">
            <w:pPr>
              <w:snapToGrid w:val="0"/>
              <w:spacing w:line="400" w:lineRule="exact"/>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28</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362A8C57">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是否委托定标</w:t>
            </w:r>
          </w:p>
        </w:tc>
        <w:tc>
          <w:tcPr>
            <w:tcW w:w="6774" w:type="dxa"/>
            <w:tcBorders>
              <w:top w:val="single" w:color="auto" w:sz="4" w:space="0"/>
              <w:left w:val="single" w:color="auto" w:sz="4" w:space="0"/>
              <w:bottom w:val="single" w:color="auto" w:sz="4" w:space="0"/>
            </w:tcBorders>
            <w:noWrap w:val="0"/>
            <w:vAlign w:val="center"/>
          </w:tcPr>
          <w:p w14:paraId="41BE5D68">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否</w:t>
            </w:r>
          </w:p>
        </w:tc>
      </w:tr>
      <w:tr w14:paraId="19A250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932" w:type="dxa"/>
            <w:tcBorders>
              <w:top w:val="single" w:color="auto" w:sz="4" w:space="0"/>
              <w:bottom w:val="single" w:color="auto" w:sz="4" w:space="0"/>
              <w:right w:val="single" w:color="auto" w:sz="4" w:space="0"/>
            </w:tcBorders>
            <w:noWrap w:val="0"/>
            <w:vAlign w:val="center"/>
          </w:tcPr>
          <w:p w14:paraId="03C9C6D7">
            <w:pPr>
              <w:snapToGrid w:val="0"/>
              <w:spacing w:line="400" w:lineRule="exact"/>
              <w:jc w:val="center"/>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29</w:t>
            </w:r>
          </w:p>
        </w:tc>
        <w:tc>
          <w:tcPr>
            <w:tcW w:w="1761" w:type="dxa"/>
            <w:tcBorders>
              <w:top w:val="single" w:color="auto" w:sz="4" w:space="0"/>
              <w:left w:val="single" w:color="auto" w:sz="4" w:space="0"/>
              <w:bottom w:val="single" w:color="auto" w:sz="4" w:space="0"/>
              <w:right w:val="single" w:color="auto" w:sz="4" w:space="0"/>
            </w:tcBorders>
            <w:noWrap w:val="0"/>
            <w:vAlign w:val="center"/>
          </w:tcPr>
          <w:p w14:paraId="2B78AB71">
            <w:pPr>
              <w:snapToGrid w:val="0"/>
              <w:spacing w:line="40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其他</w:t>
            </w:r>
          </w:p>
        </w:tc>
        <w:tc>
          <w:tcPr>
            <w:tcW w:w="6774" w:type="dxa"/>
            <w:tcBorders>
              <w:top w:val="single" w:color="auto" w:sz="4" w:space="0"/>
              <w:left w:val="single" w:color="auto" w:sz="4" w:space="0"/>
              <w:bottom w:val="single" w:color="auto" w:sz="4" w:space="0"/>
            </w:tcBorders>
            <w:noWrap w:val="0"/>
            <w:vAlign w:val="center"/>
          </w:tcPr>
          <w:p w14:paraId="68809D60">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1.本项目</w:t>
            </w:r>
            <w:r>
              <w:rPr>
                <w:rFonts w:hint="eastAsia" w:ascii="仿宋" w:hAnsi="仿宋" w:eastAsia="仿宋" w:cs="仿宋"/>
                <w:sz w:val="24"/>
                <w:szCs w:val="24"/>
                <w:highlight w:val="none"/>
                <w:lang w:val="en-US" w:eastAsia="zh-CN"/>
              </w:rPr>
              <w:t>按服务类</w:t>
            </w:r>
            <w:r>
              <w:rPr>
                <w:rFonts w:hint="eastAsia" w:ascii="仿宋" w:hAnsi="仿宋" w:eastAsia="仿宋" w:cs="仿宋"/>
                <w:sz w:val="24"/>
                <w:szCs w:val="24"/>
                <w:highlight w:val="none"/>
              </w:rPr>
              <w:t>以公开招标方式实施采购。</w:t>
            </w:r>
          </w:p>
          <w:p w14:paraId="5694AC7C">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2.如投标单位在本次项目中弄虚作假成为中标人的,后期一经发现将取消其已中标资格，且今后不再录用，给招标人造成损失的，招标人有权索要赔偿。</w:t>
            </w:r>
          </w:p>
          <w:p w14:paraId="25628671">
            <w:pPr>
              <w:snapToGrid w:val="0"/>
              <w:spacing w:line="40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3.投标人在本次招标成功中标后，拒绝或不能按照招标人的要求完成任务等，招标人有权撤销其已中标资格，给招标人造成损失的，招标人有权索要赔偿。</w:t>
            </w:r>
          </w:p>
          <w:p w14:paraId="5557635C">
            <w:pPr>
              <w:snapToGrid w:val="0"/>
              <w:spacing w:line="400" w:lineRule="exact"/>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4.投标人不得对本项目进行分包或转包。如投标人在中标后出现上述情况，一经招标人发现立即取消其中标资格。</w:t>
            </w:r>
          </w:p>
        </w:tc>
      </w:tr>
    </w:tbl>
    <w:p w14:paraId="0FFBC47D">
      <w:pPr>
        <w:snapToGrid w:val="0"/>
        <w:spacing w:line="400" w:lineRule="exact"/>
        <w:jc w:val="center"/>
        <w:rPr>
          <w:rFonts w:ascii="仿宋" w:hAnsi="仿宋" w:eastAsia="仿宋" w:cs="仿宋"/>
          <w:sz w:val="24"/>
          <w:szCs w:val="24"/>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实质性条款一览表</w:t>
      </w:r>
    </w:p>
    <w:p w14:paraId="784144B3">
      <w:pPr>
        <w:snapToGrid w:val="0"/>
        <w:spacing w:line="400" w:lineRule="exact"/>
        <w:jc w:val="left"/>
        <w:rPr>
          <w:rFonts w:ascii="仿宋" w:hAnsi="仿宋" w:eastAsia="仿宋" w:cs="仿宋"/>
          <w:sz w:val="24"/>
          <w:szCs w:val="24"/>
          <w:highlight w:val="none"/>
        </w:rPr>
      </w:pPr>
    </w:p>
    <w:p w14:paraId="6DD5BB00">
      <w:pPr>
        <w:snapToGrid w:val="0"/>
        <w:spacing w:line="360" w:lineRule="auto"/>
        <w:ind w:firstLine="560"/>
        <w:jc w:val="left"/>
        <w:rPr>
          <w:rFonts w:ascii="仿宋" w:hAnsi="仿宋" w:eastAsia="仿宋" w:cs="仿宋"/>
          <w:sz w:val="24"/>
          <w:szCs w:val="24"/>
          <w:highlight w:val="none"/>
        </w:rPr>
      </w:pPr>
      <w:r>
        <w:rPr>
          <w:rFonts w:hint="eastAsia" w:ascii="仿宋" w:hAnsi="仿宋" w:eastAsia="仿宋" w:cs="仿宋"/>
          <w:sz w:val="24"/>
          <w:szCs w:val="24"/>
          <w:highlight w:val="none"/>
        </w:rPr>
        <w:t>说明：本表系招标文件及修改性文件中涉及的所有实质性条款的汇总。不允许有任何负偏离，否则投标将被否决。</w:t>
      </w:r>
    </w:p>
    <w:tbl>
      <w:tblPr>
        <w:tblStyle w:val="41"/>
        <w:tblW w:w="96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2"/>
        <w:gridCol w:w="2651"/>
        <w:gridCol w:w="6105"/>
      </w:tblGrid>
      <w:tr w14:paraId="708192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4" w:hRule="atLeast"/>
          <w:jc w:val="center"/>
        </w:trPr>
        <w:tc>
          <w:tcPr>
            <w:tcW w:w="942" w:type="dxa"/>
            <w:tcBorders>
              <w:top w:val="single" w:color="auto" w:sz="4" w:space="0"/>
              <w:bottom w:val="single" w:color="auto" w:sz="4" w:space="0"/>
              <w:right w:val="single" w:color="auto" w:sz="4" w:space="0"/>
            </w:tcBorders>
            <w:noWrap w:val="0"/>
            <w:vAlign w:val="center"/>
          </w:tcPr>
          <w:p w14:paraId="26BAC637">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11C92A0B">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6105" w:type="dxa"/>
            <w:tcBorders>
              <w:top w:val="single" w:color="auto" w:sz="4" w:space="0"/>
              <w:left w:val="single" w:color="auto" w:sz="4" w:space="0"/>
              <w:bottom w:val="single" w:color="auto" w:sz="4" w:space="0"/>
            </w:tcBorders>
            <w:noWrap w:val="0"/>
            <w:vAlign w:val="center"/>
          </w:tcPr>
          <w:p w14:paraId="55297F3E">
            <w:pPr>
              <w:keepNext w:val="0"/>
              <w:keepLines w:val="0"/>
              <w:pageBreakBefore w:val="0"/>
              <w:widowControl w:val="0"/>
              <w:kinsoku/>
              <w:wordWrap/>
              <w:overflowPunct/>
              <w:topLinePunct w:val="0"/>
              <w:autoSpaceDE/>
              <w:autoSpaceDN/>
              <w:bidi w:val="0"/>
              <w:adjustRightInd/>
              <w:snapToGrid w:val="0"/>
              <w:spacing w:line="420" w:lineRule="exact"/>
              <w:ind w:firstLine="482" w:firstLineChars="201"/>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内       容</w:t>
            </w:r>
          </w:p>
        </w:tc>
      </w:tr>
      <w:tr w14:paraId="0EC28F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942" w:type="dxa"/>
            <w:tcBorders>
              <w:top w:val="single" w:color="auto" w:sz="4" w:space="0"/>
              <w:bottom w:val="single" w:color="auto" w:sz="4" w:space="0"/>
              <w:right w:val="single" w:color="auto" w:sz="4" w:space="0"/>
            </w:tcBorders>
            <w:noWrap w:val="0"/>
            <w:vAlign w:val="center"/>
          </w:tcPr>
          <w:p w14:paraId="3978193F">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1</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08AB50FF">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资格性评审</w:t>
            </w:r>
          </w:p>
        </w:tc>
        <w:tc>
          <w:tcPr>
            <w:tcW w:w="6105" w:type="dxa"/>
            <w:tcBorders>
              <w:top w:val="single" w:color="auto" w:sz="4" w:space="0"/>
              <w:left w:val="single" w:color="auto" w:sz="4" w:space="0"/>
              <w:bottom w:val="single" w:color="auto" w:sz="4" w:space="0"/>
            </w:tcBorders>
            <w:noWrap w:val="0"/>
            <w:vAlign w:val="top"/>
          </w:tcPr>
          <w:p w14:paraId="7EA13DC9">
            <w:pPr>
              <w:keepNext w:val="0"/>
              <w:keepLines w:val="0"/>
              <w:pageBreakBefore w:val="0"/>
              <w:widowControl w:val="0"/>
              <w:numPr>
                <w:ilvl w:val="0"/>
                <w:numId w:val="3"/>
              </w:numPr>
              <w:kinsoku/>
              <w:wordWrap/>
              <w:overflowPunct/>
              <w:topLinePunct w:val="0"/>
              <w:autoSpaceDE/>
              <w:autoSpaceDN/>
              <w:bidi w:val="0"/>
              <w:adjustRightInd/>
              <w:snapToGrid w:val="0"/>
              <w:spacing w:line="420" w:lineRule="exact"/>
              <w:textAlignment w:val="auto"/>
              <w:rPr>
                <w:rFonts w:hint="eastAsia"/>
                <w:highlight w:val="none"/>
                <w:lang w:eastAsia="zh-CN"/>
              </w:rPr>
            </w:pPr>
            <w:r>
              <w:rPr>
                <w:rFonts w:hint="eastAsia" w:ascii="仿宋" w:hAnsi="仿宋" w:eastAsia="仿宋" w:cs="仿宋"/>
                <w:sz w:val="24"/>
                <w:szCs w:val="24"/>
                <w:highlight w:val="none"/>
                <w:lang w:eastAsia="zh-CN"/>
              </w:rPr>
              <w:t>有效的营业执照副本扫描件</w:t>
            </w:r>
            <w:r>
              <w:rPr>
                <w:rFonts w:hint="eastAsia" w:ascii="仿宋" w:hAnsi="仿宋" w:eastAsia="仿宋" w:cs="仿宋"/>
                <w:sz w:val="24"/>
                <w:szCs w:val="24"/>
                <w:highlight w:val="none"/>
              </w:rPr>
              <w:t>（若</w:t>
            </w:r>
            <w:r>
              <w:rPr>
                <w:rFonts w:hint="eastAsia" w:ascii="仿宋" w:hAnsi="仿宋" w:eastAsia="仿宋" w:cs="仿宋"/>
                <w:spacing w:val="8"/>
                <w:sz w:val="24"/>
                <w:szCs w:val="24"/>
                <w:highlight w:val="none"/>
                <w:lang w:val="en-US" w:eastAsia="zh-CN"/>
              </w:rPr>
              <w:t>分支机构</w:t>
            </w:r>
            <w:r>
              <w:rPr>
                <w:rFonts w:hint="eastAsia" w:ascii="仿宋" w:hAnsi="仿宋" w:eastAsia="仿宋" w:cs="仿宋"/>
                <w:sz w:val="24"/>
                <w:szCs w:val="24"/>
                <w:highlight w:val="none"/>
              </w:rPr>
              <w:t>参与投标的，</w:t>
            </w:r>
            <w:r>
              <w:rPr>
                <w:rFonts w:hint="eastAsia" w:ascii="仿宋" w:hAnsi="仿宋" w:eastAsia="仿宋" w:cs="仿宋"/>
                <w:spacing w:val="8"/>
                <w:sz w:val="24"/>
                <w:szCs w:val="24"/>
                <w:highlight w:val="none"/>
                <w:lang w:val="en-US" w:eastAsia="zh-CN"/>
              </w:rPr>
              <w:t>分支机构</w:t>
            </w:r>
            <w:r>
              <w:rPr>
                <w:rFonts w:hint="eastAsia" w:ascii="仿宋" w:hAnsi="仿宋" w:eastAsia="仿宋" w:cs="仿宋"/>
                <w:sz w:val="24"/>
                <w:szCs w:val="24"/>
                <w:highlight w:val="none"/>
              </w:rPr>
              <w:t>还需提供总公司</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rPr>
              <w:t>授权书）</w:t>
            </w:r>
            <w:r>
              <w:rPr>
                <w:rFonts w:hint="eastAsia" w:ascii="仿宋" w:hAnsi="仿宋" w:eastAsia="仿宋" w:cs="仿宋"/>
                <w:sz w:val="24"/>
                <w:szCs w:val="24"/>
                <w:highlight w:val="none"/>
                <w:lang w:eastAsia="zh-CN"/>
              </w:rPr>
              <w:t xml:space="preserve">； </w:t>
            </w:r>
          </w:p>
          <w:p w14:paraId="52CB23CB">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2.具有有效的《成品油零售经营批准证书》和《中华人民共和国危险化学品经营许可证》扫描件</w:t>
            </w:r>
            <w:r>
              <w:rPr>
                <w:rFonts w:hint="eastAsia" w:ascii="仿宋" w:hAnsi="仿宋" w:eastAsia="仿宋" w:cs="仿宋"/>
                <w:sz w:val="24"/>
                <w:szCs w:val="24"/>
                <w:highlight w:val="none"/>
                <w:lang w:eastAsia="zh-CN"/>
              </w:rPr>
              <w:t>；</w:t>
            </w:r>
          </w:p>
          <w:p w14:paraId="309F8F81">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法定代表人（</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身份证明或授权委托书:</w:t>
            </w:r>
          </w:p>
          <w:p w14:paraId="66937891">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若法定代表人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参加投标，投标文件附法定代表人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身份证明及法定代表人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身份证件扫描件；若授权代表参加投标，投标文件还需附</w:t>
            </w:r>
            <w:r>
              <w:rPr>
                <w:rFonts w:hint="eastAsia" w:ascii="仿宋" w:hAnsi="仿宋" w:eastAsia="仿宋" w:cs="仿宋"/>
                <w:sz w:val="24"/>
                <w:szCs w:val="24"/>
                <w:highlight w:val="none"/>
                <w:lang w:val="en-US" w:eastAsia="zh-CN"/>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授权委托书</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被授权人身份证扫描件</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授权委托代理人社保证明扫描件，社保证明指近一个月（</w:t>
            </w:r>
            <w:r>
              <w:rPr>
                <w:rFonts w:hint="eastAsia" w:ascii="仿宋" w:hAnsi="仿宋" w:eastAsia="仿宋" w:cs="仿宋"/>
                <w:sz w:val="24"/>
                <w:szCs w:val="24"/>
                <w:highlight w:val="none"/>
                <w:lang w:eastAsia="zh-CN"/>
              </w:rPr>
              <w:t>2026年8月或2026年9月</w:t>
            </w:r>
            <w:r>
              <w:rPr>
                <w:rFonts w:hint="eastAsia" w:ascii="仿宋" w:hAnsi="仿宋" w:eastAsia="仿宋" w:cs="仿宋"/>
                <w:sz w:val="24"/>
                <w:szCs w:val="24"/>
                <w:highlight w:val="none"/>
              </w:rPr>
              <w:t>）社保证明。若为退休人员可提供退休及返聘证明材料；</w:t>
            </w:r>
          </w:p>
          <w:p w14:paraId="2E80C932">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投标人参与投标的声明函；</w:t>
            </w:r>
          </w:p>
          <w:p w14:paraId="25F906C6">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r>
              <w:rPr>
                <w:rFonts w:hint="default" w:ascii="仿宋" w:hAnsi="仿宋" w:eastAsia="仿宋" w:cs="仿宋"/>
                <w:sz w:val="24"/>
                <w:szCs w:val="24"/>
                <w:highlight w:val="none"/>
                <w:lang w:val="en-US" w:eastAsia="zh-CN"/>
              </w:rPr>
              <w:t>投标人信用承诺书</w:t>
            </w:r>
            <w:r>
              <w:rPr>
                <w:rFonts w:hint="eastAsia" w:ascii="仿宋" w:hAnsi="仿宋" w:eastAsia="仿宋" w:cs="仿宋"/>
                <w:sz w:val="24"/>
                <w:szCs w:val="24"/>
                <w:highlight w:val="none"/>
                <w:lang w:val="en-US" w:eastAsia="zh-CN"/>
              </w:rPr>
              <w:t>；</w:t>
            </w:r>
          </w:p>
          <w:p w14:paraId="3CBFFA1B">
            <w:pPr>
              <w:keepNext w:val="0"/>
              <w:keepLines w:val="0"/>
              <w:pageBreakBefore w:val="0"/>
              <w:widowControl w:val="0"/>
              <w:numPr>
                <w:ilvl w:val="0"/>
                <w:numId w:val="0"/>
              </w:numPr>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投标人、法定代表人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、委托代理人未被最高法院（查询网址为：http://zxgk.court.gov.cn/shixin/）列入失信被执行人。投标文件附通过网站查询信息记录（省份为全部）；</w:t>
            </w:r>
          </w:p>
          <w:p w14:paraId="646967B3">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w:t>
            </w:r>
            <w:r>
              <w:rPr>
                <w:rFonts w:hint="eastAsia" w:ascii="仿宋" w:hAnsi="仿宋" w:eastAsia="仿宋" w:cs="仿宋"/>
                <w:color w:val="auto"/>
                <w:sz w:val="24"/>
                <w:szCs w:val="24"/>
                <w:highlight w:val="none"/>
              </w:rPr>
              <w:t>投标人近一年无严重失信记录，投标文件中需附通过信用中国（查询网址：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s://www.creditchina.gov.cn）或信用中国（山东）（https:/credit.shandong.gov.cn）查询的信用报告（个体工商户可提供通过\“信用中国\”各省级分站网站下载的无\“严重失信主体名单\”记录或无\“失信惩戒信息\”记录的公共信用信息报告）（）" </w:instrText>
            </w:r>
            <w:r>
              <w:rPr>
                <w:rFonts w:hint="eastAsia" w:ascii="仿宋" w:hAnsi="仿宋" w:eastAsia="仿宋" w:cs="仿宋"/>
                <w:color w:val="auto"/>
                <w:sz w:val="24"/>
                <w:szCs w:val="24"/>
                <w:highlight w:val="none"/>
              </w:rPr>
              <w:fldChar w:fldCharType="separate"/>
            </w:r>
            <w:r>
              <w:rPr>
                <w:rStyle w:val="52"/>
                <w:rFonts w:hint="eastAsia" w:ascii="仿宋" w:hAnsi="仿宋" w:eastAsia="仿宋" w:cs="仿宋"/>
                <w:color w:val="auto"/>
                <w:sz w:val="24"/>
                <w:szCs w:val="24"/>
                <w:highlight w:val="none"/>
              </w:rPr>
              <w:t>https://www.creditchina.gov.cn）或信用中国（山东）（https://credit.shandong.gov.cn）查询的信用报告</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，近一年是指2025年1月1日至查询日止，查询日期不早于招标文件开始获取日期</w:t>
            </w:r>
            <w:r>
              <w:rPr>
                <w:rFonts w:hint="eastAsia" w:ascii="仿宋" w:hAnsi="仿宋" w:eastAsia="仿宋" w:cs="仿宋"/>
                <w:sz w:val="24"/>
                <w:szCs w:val="24"/>
                <w:highlight w:val="none"/>
                <w:lang w:eastAsia="zh-CN"/>
              </w:rPr>
              <w:t>；</w:t>
            </w:r>
          </w:p>
          <w:p w14:paraId="06DFB6BA">
            <w:pPr>
              <w:keepNext w:val="0"/>
              <w:keepLines w:val="0"/>
              <w:pageBreakBefore w:val="0"/>
              <w:widowControl w:val="0"/>
              <w:kinsoku/>
              <w:wordWrap/>
              <w:overflowPunct/>
              <w:topLinePunct w:val="0"/>
              <w:autoSpaceDE/>
              <w:autoSpaceDN/>
              <w:bidi w:val="0"/>
              <w:adjustRightInd/>
              <w:snapToGrid w:val="0"/>
              <w:spacing w:line="420" w:lineRule="exact"/>
              <w:jc w:val="left"/>
              <w:textAlignment w:val="auto"/>
              <w:rPr>
                <w:rFonts w:hint="default" w:eastAsia="仿宋"/>
                <w:highlight w:val="none"/>
                <w:lang w:val="en-US" w:eastAsia="zh-CN"/>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.投标保证金：按招标文件要求交纳（标包二：人民币</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000.00元。），交纳投标保证金的证明材料两者缺一不可：（1）企业银行基本账户开户证明（如开户许可证或银行开户证明等）、（2）电汇凭证或电子汇款截图扫描件。</w:t>
            </w:r>
          </w:p>
        </w:tc>
      </w:tr>
      <w:tr w14:paraId="413463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942" w:type="dxa"/>
            <w:tcBorders>
              <w:top w:val="single" w:color="auto" w:sz="4" w:space="0"/>
              <w:bottom w:val="single" w:color="auto" w:sz="4" w:space="0"/>
              <w:right w:val="single" w:color="auto" w:sz="4" w:space="0"/>
            </w:tcBorders>
            <w:noWrap w:val="0"/>
            <w:vAlign w:val="center"/>
          </w:tcPr>
          <w:p w14:paraId="625A29AC">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2</w:t>
            </w:r>
          </w:p>
        </w:tc>
        <w:tc>
          <w:tcPr>
            <w:tcW w:w="2651" w:type="dxa"/>
            <w:tcBorders>
              <w:top w:val="single" w:color="auto" w:sz="4" w:space="0"/>
              <w:left w:val="single" w:color="auto" w:sz="4" w:space="0"/>
              <w:bottom w:val="single" w:color="auto" w:sz="4" w:space="0"/>
              <w:right w:val="single" w:color="auto" w:sz="4" w:space="0"/>
            </w:tcBorders>
            <w:noWrap w:val="0"/>
            <w:vAlign w:val="center"/>
          </w:tcPr>
          <w:p w14:paraId="5B01A828">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ascii="仿宋" w:hAnsi="仿宋" w:eastAsia="仿宋" w:cs="仿宋"/>
                <w:sz w:val="24"/>
                <w:szCs w:val="24"/>
                <w:highlight w:val="none"/>
              </w:rPr>
            </w:pPr>
            <w:r>
              <w:rPr>
                <w:rFonts w:hint="eastAsia" w:ascii="仿宋" w:hAnsi="仿宋" w:eastAsia="仿宋" w:cs="仿宋"/>
                <w:sz w:val="24"/>
                <w:szCs w:val="24"/>
                <w:highlight w:val="none"/>
              </w:rPr>
              <w:t>符合性评审</w:t>
            </w:r>
          </w:p>
        </w:tc>
        <w:tc>
          <w:tcPr>
            <w:tcW w:w="6105" w:type="dxa"/>
            <w:tcBorders>
              <w:top w:val="single" w:color="auto" w:sz="4" w:space="0"/>
              <w:left w:val="single" w:color="auto" w:sz="4" w:space="0"/>
              <w:bottom w:val="single" w:color="auto" w:sz="4" w:space="0"/>
            </w:tcBorders>
            <w:noWrap w:val="0"/>
            <w:vAlign w:val="center"/>
          </w:tcPr>
          <w:p w14:paraId="19A0A76D">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1.投标报价满足招标文件要求；</w:t>
            </w:r>
          </w:p>
          <w:p w14:paraId="0237B421">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服务期（</w:t>
            </w:r>
            <w:r>
              <w:rPr>
                <w:rFonts w:hint="eastAsia" w:ascii="仿宋" w:hAnsi="仿宋" w:eastAsia="仿宋" w:cs="Times New Roman"/>
                <w:color w:val="000000"/>
                <w:sz w:val="24"/>
                <w:highlight w:val="none"/>
                <w:lang w:eastAsia="zh-CN"/>
              </w:rPr>
              <w:t>自合同签订之日起一年,合同期满双方无异议后可以续签，但最长不超过三年）</w:t>
            </w:r>
            <w:r>
              <w:rPr>
                <w:rFonts w:hint="eastAsia" w:ascii="仿宋" w:hAnsi="仿宋" w:eastAsia="仿宋" w:cs="仿宋"/>
                <w:sz w:val="24"/>
                <w:szCs w:val="24"/>
                <w:highlight w:val="none"/>
                <w:lang w:val="en-US" w:eastAsia="zh-CN"/>
              </w:rPr>
              <w:t>及其他实质性要求</w:t>
            </w:r>
            <w:r>
              <w:rPr>
                <w:rFonts w:hint="eastAsia" w:ascii="仿宋" w:hAnsi="仿宋" w:eastAsia="仿宋" w:cs="仿宋"/>
                <w:sz w:val="24"/>
                <w:szCs w:val="24"/>
                <w:highlight w:val="none"/>
              </w:rPr>
              <w:t>满足招标文件要求；</w:t>
            </w:r>
          </w:p>
          <w:p w14:paraId="34CE52F9">
            <w:pPr>
              <w:keepNext w:val="0"/>
              <w:keepLines w:val="0"/>
              <w:pageBreakBefore w:val="0"/>
              <w:widowControl w:val="0"/>
              <w:kinsoku/>
              <w:wordWrap/>
              <w:overflowPunct/>
              <w:topLinePunct w:val="0"/>
              <w:autoSpaceDE/>
              <w:autoSpaceDN/>
              <w:bidi w:val="0"/>
              <w:adjustRightInd/>
              <w:snapToGrid w:val="0"/>
              <w:spacing w:line="420" w:lineRule="exac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.不存在招标文件规定的关于投标人串通投标的情形及其他投标无效的情形。</w:t>
            </w:r>
          </w:p>
        </w:tc>
      </w:tr>
    </w:tbl>
    <w:p w14:paraId="337F9DE0">
      <w:pPr>
        <w:rPr>
          <w:rFonts w:hint="eastAsia" w:ascii="仿宋" w:hAnsi="仿宋" w:eastAsia="仿宋" w:cs="仿宋"/>
          <w:b/>
          <w:sz w:val="24"/>
          <w:szCs w:val="24"/>
          <w:highlight w:val="none"/>
        </w:rPr>
      </w:pPr>
    </w:p>
    <w:p w14:paraId="68B2E8A9">
      <w:pPr>
        <w:rPr>
          <w:rFonts w:ascii="仿宋" w:hAnsi="仿宋" w:eastAsia="仿宋" w:cs="仿宋"/>
          <w:b/>
          <w:sz w:val="24"/>
          <w:szCs w:val="24"/>
          <w:highlight w:val="none"/>
        </w:rPr>
      </w:pPr>
      <w:r>
        <w:rPr>
          <w:rFonts w:hint="eastAsia" w:ascii="仿宋" w:hAnsi="仿宋" w:eastAsia="仿宋" w:cs="仿宋"/>
          <w:b/>
          <w:sz w:val="24"/>
          <w:szCs w:val="24"/>
          <w:highlight w:val="none"/>
        </w:rPr>
        <w:t>一、说明</w:t>
      </w:r>
    </w:p>
    <w:p w14:paraId="0615E3EF">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本文件依据《</w:t>
      </w:r>
      <w:r>
        <w:rPr>
          <w:rFonts w:hint="eastAsia" w:ascii="仿宋" w:hAnsi="仿宋" w:eastAsia="仿宋" w:cs="仿宋"/>
          <w:sz w:val="24"/>
          <w:szCs w:val="24"/>
          <w:highlight w:val="none"/>
          <w:lang w:eastAsia="zh-CN"/>
        </w:rPr>
        <w:t>山东省省属企业阳光采购监督管理办法</w:t>
      </w:r>
      <w:r>
        <w:rPr>
          <w:rFonts w:hint="eastAsia" w:ascii="仿宋" w:hAnsi="仿宋" w:eastAsia="仿宋" w:cs="仿宋"/>
          <w:sz w:val="24"/>
          <w:szCs w:val="24"/>
          <w:highlight w:val="none"/>
        </w:rPr>
        <w:t>》等法律法规，参照《国有企业采购操作规范》</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《国有企业采购管理规范》，结合《威海市市属国有企业阳光采购监督管理暂行办法》及国家和山东省有关法律、法规、规章制度编制。参加本项目投标人应接受本招标文件关于电子招投标各项规定。</w:t>
      </w:r>
    </w:p>
    <w:p w14:paraId="34C56B6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1.适用范围</w:t>
      </w:r>
    </w:p>
    <w:p w14:paraId="587DC12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 本招标文件仅适用于本次招标公告中所涉及的项目和内容。</w:t>
      </w:r>
    </w:p>
    <w:p w14:paraId="5ACEA75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 本招标文件的解释权为</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机构，以书面解释为准。</w:t>
      </w:r>
    </w:p>
    <w:p w14:paraId="133978A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1.3本招标文件未做须知明示，而又有相关法律、法规规定的，从其规定。</w:t>
      </w:r>
    </w:p>
    <w:p w14:paraId="14B3D5A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2.相关要求</w:t>
      </w:r>
    </w:p>
    <w:p w14:paraId="1F3FE6B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 投标人应承担所有准备和参加</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rPr>
        <w:t>的全部费用。不论电子投标结果如何，</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均无义务和责任承担这些费用。</w:t>
      </w:r>
    </w:p>
    <w:p w14:paraId="56C1C79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 本项目若涉及</w:t>
      </w:r>
      <w:r>
        <w:rPr>
          <w:rFonts w:hint="eastAsia" w:ascii="仿宋" w:hAnsi="仿宋" w:eastAsia="仿宋" w:cs="仿宋"/>
          <w:sz w:val="24"/>
          <w:szCs w:val="24"/>
          <w:highlight w:val="none"/>
          <w:lang w:eastAsia="zh-CN"/>
        </w:rPr>
        <w:t>招标</w:t>
      </w:r>
      <w:r>
        <w:rPr>
          <w:rFonts w:hint="eastAsia" w:ascii="仿宋" w:hAnsi="仿宋" w:eastAsia="仿宋" w:cs="仿宋"/>
          <w:sz w:val="24"/>
          <w:szCs w:val="24"/>
          <w:highlight w:val="none"/>
        </w:rPr>
        <w:t>货物，则合格的货物及相应服务应满足以下要求：</w:t>
      </w:r>
    </w:p>
    <w:p w14:paraId="1132EFE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 必须是全新、未使用过的原装合格正品（包括零部件），如安装或配置了软件的，须为正版软件。</w:t>
      </w:r>
    </w:p>
    <w:p w14:paraId="13EE483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 国产的货物及其有关服务必须符合中华人民共和国的设计和制造生产标准或行业标准。招标公告有其他要求的，亦应符合其要求。</w:t>
      </w:r>
    </w:p>
    <w:p w14:paraId="4A16017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2DA85AA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 投标人应保证，其所提供的货物在提供给</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单位前具有完全的所有权，</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4FC9E745">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2.3投标人应通过威海市公共资源交易网登录国企阳光采购平台获取招标文件，并通过国企阳光采购平台网上上传电子投标文件，电子投标文件成功上传后，将会生成投标回执，未通过国企阳光采购平台上传电子投标文件的，为无效投标。获取招标文件的投标人不足3家的，本项目直接废标。</w:t>
      </w:r>
    </w:p>
    <w:p w14:paraId="0F15175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二、招标文件</w:t>
      </w:r>
    </w:p>
    <w:p w14:paraId="411E6C6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3.招标文件的构成</w:t>
      </w:r>
    </w:p>
    <w:p w14:paraId="6F472E3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由各包段本文件（word格式）和各包段的数据文件（excel格式）构成，采用压缩包电子版文件格式提供。</w:t>
      </w:r>
    </w:p>
    <w:p w14:paraId="4A0E405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3.1 本文件（word格式）由下列文件组成：</w:t>
      </w:r>
    </w:p>
    <w:p w14:paraId="11B1727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w:t>
      </w:r>
    </w:p>
    <w:p w14:paraId="7DD16D1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（2）投标须知</w:t>
      </w:r>
    </w:p>
    <w:p w14:paraId="05C6A13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w:t>
      </w:r>
    </w:p>
    <w:p w14:paraId="757A3ED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（4）评标原则、程序与方法</w:t>
      </w:r>
    </w:p>
    <w:p w14:paraId="1321168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（5）投标文件格式</w:t>
      </w:r>
    </w:p>
    <w:p w14:paraId="6AF10C6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（6）合同（范本）</w:t>
      </w:r>
    </w:p>
    <w:p w14:paraId="77D84BC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过程中由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机构发出的修正和补充文件等（如有）</w:t>
      </w:r>
    </w:p>
    <w:p w14:paraId="77D74F2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 数据文件（excel格式）由下列文件组成：</w:t>
      </w:r>
    </w:p>
    <w:p w14:paraId="301F459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14:paraId="7882AC6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14:paraId="172A1F3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14:paraId="762DF55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14:paraId="0C8E5A8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14:paraId="70A7E6E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p w14:paraId="163575E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4.招标文件的澄清</w:t>
      </w:r>
    </w:p>
    <w:p w14:paraId="48BEEBC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4.1投标人在收到招标文件后，对招标文件若有任何疑问或要求澄清招标文件的，应在投标截止前2日内按“投标须知前附表”第四项向</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机构提出，必要时</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机构将协助</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组织所有获取招标文件</w:t>
      </w:r>
      <w:r>
        <w:rPr>
          <w:rFonts w:hint="eastAsia" w:ascii="仿宋" w:hAnsi="仿宋" w:eastAsia="仿宋" w:cs="仿宋"/>
          <w:sz w:val="24"/>
          <w:szCs w:val="24"/>
          <w:highlight w:val="none"/>
          <w:lang w:val="en-US" w:eastAsia="zh-CN"/>
        </w:rPr>
        <w:t>的</w:t>
      </w:r>
      <w:r>
        <w:rPr>
          <w:rFonts w:hint="eastAsia" w:ascii="仿宋" w:hAnsi="仿宋" w:eastAsia="仿宋" w:cs="仿宋"/>
          <w:sz w:val="24"/>
          <w:szCs w:val="24"/>
          <w:highlight w:val="none"/>
        </w:rPr>
        <w:t>投标人举行答疑会，</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根据需要主动对招标文件进行必要的澄清或根据投标人的要求对招标文件做出澄清，都将以原网站公开发布形式（包括电子交易系统推送）答复或发送给所有投标人。澄清文件作为招标文件的组成部分，对投标人起约束作用。</w:t>
      </w:r>
    </w:p>
    <w:p w14:paraId="55009C6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4.2投标人在规定的时间内未对招标文件澄清或提出疑问的，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机构将视其为接受招标文件的所有条款，对招标文件没有异议，此后也不再受理对招标文件的相关质疑。</w:t>
      </w:r>
    </w:p>
    <w:p w14:paraId="6B046592">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5.招标文件的修改</w:t>
      </w:r>
    </w:p>
    <w:p w14:paraId="005A5B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5.l 在投标截止时间2日以前，无论出于何种原因，</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可主动或在解答投标人提出的疑问时对招标文件进行修改。</w:t>
      </w:r>
    </w:p>
    <w:p w14:paraId="2756C96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5.2 修改后的内容是招标文件的组成部分，</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机构将会通过原发布媒体，以更正公告形式（电子交易系统发送更正提醒通知）一并告知所有潜在投标人，并对潜在投标人具有约束力。潜在投标人在收到上述通知后，应立即以书面形式向</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确认，如在24小时内无书面回函则视为同意修改内容，并有义务履行相应的义务。</w:t>
      </w:r>
    </w:p>
    <w:p w14:paraId="2A84BAD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5.3澄清或者修改的内容可能影响投标文件编制的，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在投标截止时间2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2日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机构将顺延提交投标文件的截止时间。</w:t>
      </w:r>
    </w:p>
    <w:p w14:paraId="136A847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三、投标文件的编制</w:t>
      </w:r>
    </w:p>
    <w:p w14:paraId="5D3C0F52">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6.投标文件编制要求</w:t>
      </w:r>
    </w:p>
    <w:p w14:paraId="167AA10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6.1投标人编写的文件和往来信件应以简体中文书写。如果投标文件或与投标有关的其它文件、信件及来往函电以其它语言书写的，投标人应将其译成中文，如未翻译该文件为无效文件。</w:t>
      </w:r>
    </w:p>
    <w:p w14:paraId="0BF47D7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6.2投标文件中使用的计量单位应使用中华人民共和国法定计量单位。</w:t>
      </w:r>
    </w:p>
    <w:p w14:paraId="6C277D6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6.3投标人必须保证投标文件所提供的全部资料真实可靠，并接受</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机构对其中任何资料进一步核实的要求。如果因为投标文件填报的内容不详，或没有提供招标文件中所要求的全部资料及数据，或提供虚假文件，由此造成的后果由投标人自负。</w:t>
      </w:r>
    </w:p>
    <w:p w14:paraId="35336D4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6.4投标人应按招标文件中提供的投标文件格式（详见第五部分投标文件格式）按包段编写投标文件，并使用A4规格编制。投标文件应编写目录，具有结构清晰的文档结构图（打开word视图中的“文档结构图”后能看到详细章节），页码连续。</w:t>
      </w:r>
    </w:p>
    <w:p w14:paraId="2AD4988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6.5投标人按照招标文件要求所提供的各种证明文件必须真实且合法有效,经扫描后粘贴到投标文件的相关页上，确保清晰度可辨认，评审时由于无法辨认所产生的后果，由投标人自行承担。</w:t>
      </w:r>
    </w:p>
    <w:p w14:paraId="5D5B8CB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73C5494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6.7为了保证系统整体效率，系统对所投递的电子文件有大小的限制，因此，投标人应尽可能降低本文件的大小，小尺寸投标文件将使递交更快捷、减少差错发生几率，避免投标截止时间前未能完整上传文件。</w:t>
      </w:r>
    </w:p>
    <w:p w14:paraId="1B04172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6.8投标文件具有法律效力，投标人与</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任何人的口头协议不影响投标文件的任何条款和内容。</w:t>
      </w:r>
    </w:p>
    <w:p w14:paraId="6D51F7C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6.9</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机构均无义务向投标人解释其中标或未中标的原因，且无论投标人是否中标，投标人所递交的投标文件均不予退还，不提供副本拷贝。</w:t>
      </w:r>
    </w:p>
    <w:p w14:paraId="6BF04F2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7.数据文件编制要求</w:t>
      </w:r>
    </w:p>
    <w:p w14:paraId="1431048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对工作表先后顺序的变动，以及对锁定区域内的数据进行更改、文件另存到其他文件等违规性操作，都会破坏本文件中的数字指纹，导致系统无法接收该文件使其投标失败。</w:t>
      </w:r>
    </w:p>
    <w:p w14:paraId="087C009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投标失败。</w:t>
      </w:r>
    </w:p>
    <w:p w14:paraId="788ECB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7.3投标人在对数据文件电子签章前，应按照上述2项的要求进行认真检查、确认。因投标人自身原因所导致其投标失败的，须自行承担相关责任。</w:t>
      </w:r>
    </w:p>
    <w:p w14:paraId="4519D8B0">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注：</w:t>
      </w:r>
      <w:r>
        <w:rPr>
          <w:rFonts w:hint="eastAsia" w:ascii="仿宋" w:hAnsi="仿宋" w:eastAsia="仿宋" w:cs="仿宋"/>
          <w:b/>
          <w:bCs/>
          <w:sz w:val="24"/>
          <w:szCs w:val="24"/>
          <w:highlight w:val="none"/>
        </w:rPr>
        <w:t>标包二的数据文件中的报价填写折扣（如折扣为国家发改委规定的当日成品油零售限价的95%，即95折，即数据文件填</w:t>
      </w:r>
      <w:r>
        <w:rPr>
          <w:rFonts w:hint="eastAsia" w:ascii="仿宋" w:hAnsi="仿宋" w:eastAsia="仿宋" w:cs="仿宋"/>
          <w:b/>
          <w:bCs/>
          <w:sz w:val="24"/>
          <w:szCs w:val="24"/>
          <w:highlight w:val="none"/>
          <w:lang w:val="en-US" w:eastAsia="zh-CN"/>
        </w:rPr>
        <w:t>95</w:t>
      </w:r>
      <w:r>
        <w:rPr>
          <w:rFonts w:hint="eastAsia" w:ascii="仿宋" w:hAnsi="仿宋" w:eastAsia="仿宋" w:cs="仿宋"/>
          <w:b/>
          <w:bCs/>
          <w:sz w:val="24"/>
          <w:szCs w:val="24"/>
          <w:highlight w:val="none"/>
        </w:rPr>
        <w:t>）。</w:t>
      </w:r>
    </w:p>
    <w:p w14:paraId="0C21C82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8.文件构成</w:t>
      </w:r>
    </w:p>
    <w:p w14:paraId="4FDFF0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投标人应按不同包段分别编制投标文件，每个包段的投标文件分两册必须包括：投标文件（pdf格式）（第一册）、数据文件（PDF格式）（第二册），以上内容缺一不可，否则为无效投标。</w:t>
      </w:r>
    </w:p>
    <w:p w14:paraId="1D949F1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8.1投标人编制的投标文件（pdf格式）（第一册）应包括但不少于下列内容：</w:t>
      </w:r>
    </w:p>
    <w:p w14:paraId="25094F2F">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属于固定格式的须按招标公司提供的格式填写，详见第五部分 投标文件（格式）</w:t>
      </w:r>
      <w:r>
        <w:rPr>
          <w:rFonts w:hint="eastAsia" w:ascii="仿宋" w:hAnsi="仿宋" w:eastAsia="仿宋" w:cs="仿宋"/>
          <w:sz w:val="24"/>
          <w:szCs w:val="24"/>
          <w:highlight w:val="none"/>
          <w:lang w:eastAsia="zh-CN"/>
        </w:rPr>
        <w:t>。</w:t>
      </w:r>
    </w:p>
    <w:p w14:paraId="13D6370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8.2数据文件（PDF格式）（第二册）</w:t>
      </w:r>
    </w:p>
    <w:p w14:paraId="647A160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须从本项目招标文件压缩包内获取对应包段的数据文件（EXCEL格式），并严格按照要求填写。填写完成后在国企阳光采购平台中上传该数据文件（EXCEL格式），系统将自动转换为PDF格式，再加盖投标人电子印章，未按要求填写或盖章为无效投标。数据文件（PDF格式）包含下列内容：</w:t>
      </w:r>
    </w:p>
    <w:p w14:paraId="4CFBCF3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（1）封面</w:t>
      </w:r>
    </w:p>
    <w:p w14:paraId="0275426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（2）投标报价表（含明细）</w:t>
      </w:r>
    </w:p>
    <w:p w14:paraId="4748D4D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（3）需求响应表（如有）</w:t>
      </w:r>
    </w:p>
    <w:p w14:paraId="415080F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（4）评审对照表</w:t>
      </w:r>
    </w:p>
    <w:p w14:paraId="11769D6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（5）评分对照表（如有）</w:t>
      </w:r>
    </w:p>
    <w:p w14:paraId="3B5B339F">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9.投标报价</w:t>
      </w:r>
    </w:p>
    <w:p w14:paraId="0AA6EFF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9.1投标人均以人民币报价，精确到小数点后两位。</w:t>
      </w:r>
    </w:p>
    <w:p w14:paraId="262346E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9.2投标人应按照“第三部分</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内容与要求”的</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内容、责任范围以及合同条款进行报价。并按数据文件中“投标报价表（含明细）”规定的格式报出分项价格和总价。</w:t>
      </w:r>
    </w:p>
    <w:p w14:paraId="6F2D114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9.3投标人应按数据文件“投标报价表（含明细）”要求的统一格式填写，并加盖电子公章。</w:t>
      </w:r>
    </w:p>
    <w:p w14:paraId="0D26F9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9.4《投标报价表（含明细）》填写时应响应下列要求：</w:t>
      </w:r>
    </w:p>
    <w:p w14:paraId="747E767C">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（1）所有根据合同或其它原因应由投标人支付的税款和其它应交纳的费用都要包括在投标人提交的报价中。</w:t>
      </w:r>
    </w:p>
    <w:p w14:paraId="66AC101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投标单位在投标报价时，应根据企业自身实力结合市场信息，充分考虑市场竞争因素和市场风险进行自主报价。投标人应充分考虑本项目合同实施期间可能发生的一切费用，并承担由此而带来的风险。凡投标人在报价中未列明但又为本次采购所必备的费用，招标人将一律视为已包括在其报价中，在合同执行中将不予考虑。</w:t>
      </w:r>
    </w:p>
    <w:p w14:paraId="09D06E8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（3）投标人应对本次招标的全部内容进行报价，缺项报价投标无效。如因投标人自身的原因报价失误而造成的损失，由投标人自行承担。</w:t>
      </w:r>
    </w:p>
    <w:p w14:paraId="4044579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（4）投标人须严格按照报价明细表说明进行填写，报价明细表中 “*”是必填项，任何必填项为空时都可能导致本次投标无效。</w:t>
      </w:r>
    </w:p>
    <w:p w14:paraId="0E1D4BA5">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（5）《投标报价表（含明细）》中合价将由单价*数量自动计算，无需手工录入。</w:t>
      </w:r>
    </w:p>
    <w:p w14:paraId="2A1E90E3">
      <w:pPr>
        <w:snapToGrid w:val="0"/>
        <w:spacing w:line="360" w:lineRule="auto"/>
        <w:ind w:firstLine="480" w:firstLineChars="20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（6）《投标报价表（含明细）》中“报价产品的型号”，型号填写的一般规则为：品牌+产品型号。</w:t>
      </w:r>
    </w:p>
    <w:p w14:paraId="6DADB50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9.5 《需求响应表（如有）》填写时应响应下列要求：</w:t>
      </w:r>
    </w:p>
    <w:p w14:paraId="5F8FF8B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（1）有底色标识的单元格须填写，有“*”的列是必输项，任何必输项为空都可能导致您的本次投标无效；</w:t>
      </w:r>
    </w:p>
    <w:p w14:paraId="72A073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（2）如想拷贝数据到某个待填写单元格，应采用选择性粘贴(只粘贴文本)，否则单元格填写无效或被锁死；</w:t>
      </w:r>
    </w:p>
    <w:p w14:paraId="4BAD7A6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（3）当招标需求列的内容显示不完整时，请点击编辑栏进行查看；</w:t>
      </w:r>
    </w:p>
    <w:p w14:paraId="23BCCDE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响应需求请按照商品(服务)的招标需求的逐一说明，如实填写。“响应需求”中需详细列明所报产品（服务）的明细；若与投标文件中提供的产品检测报告（如有）、生产厂家出具的产品彩页等证明材料的实质性响应情况不一致，按无效投标处理。</w:t>
      </w:r>
    </w:p>
    <w:p w14:paraId="16468C9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（5）按照该表显示位置加盖一个电子印章；</w:t>
      </w:r>
    </w:p>
    <w:p w14:paraId="3E7380E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（6）该表为固定格式且有数字指纹，必须在原表上填写，填写完毕后只可保存不可另存。删除该表、增加该表、增加行列、删除行列、对固定格式的任何改动均会导致无效投标；</w:t>
      </w:r>
    </w:p>
    <w:p w14:paraId="0698124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9.6 投标人的报价在合同执行过程中是固定不变的，不得以任何理由改变。所有价格折扣、优惠条件必须在报价明细表中注明，否则评审时不予认可。</w:t>
      </w:r>
    </w:p>
    <w:p w14:paraId="1870DE4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10.联合体投标</w:t>
      </w:r>
    </w:p>
    <w:p w14:paraId="7750A3F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两个以上的自然人、法人或者其他组织可以组成一个联合体，以一个投标人的身份共同参加国企采购。</w:t>
      </w:r>
    </w:p>
    <w:p w14:paraId="5FAE0C2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10.1以联合体形式进行国企采购的，参加联合体的投标人应当向招标人提交联合协议，载明联合体各方承担的工作和义务。联合体各方应当共同与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签订采购合同，就采购合同约定的事项对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承担连带责任。</w:t>
      </w:r>
    </w:p>
    <w:p w14:paraId="14AA401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10.2联合体中有同类资质的投标人按照联合体分工承担相同工作的，应当按照资质等级较低的投标人确定资质等级。</w:t>
      </w:r>
    </w:p>
    <w:p w14:paraId="7E99B50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10.3联合体的各方应当共同推荐一名联合体投标授权代表方，由联合体各方提交一份授权书，证明其有资格代表联合体各方签署投标文件，该授权书作为投标文件的组成部分一并提交给</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14:paraId="4963F5F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10.4以联合体形式参加国企采购活动的，联合体各方不得再单独参加或者与其他投标人另外组成联合体参加同一合同项下的国</w:t>
      </w:r>
      <w:r>
        <w:rPr>
          <w:rFonts w:hint="eastAsia" w:ascii="仿宋" w:hAnsi="仿宋" w:eastAsia="仿宋" w:cs="仿宋"/>
          <w:sz w:val="24"/>
          <w:szCs w:val="24"/>
          <w:highlight w:val="none"/>
          <w:lang w:eastAsia="zh-CN"/>
        </w:rPr>
        <w:t>企</w:t>
      </w:r>
      <w:r>
        <w:rPr>
          <w:rFonts w:hint="eastAsia" w:ascii="仿宋" w:hAnsi="仿宋" w:eastAsia="仿宋" w:cs="仿宋"/>
          <w:sz w:val="24"/>
          <w:szCs w:val="24"/>
          <w:highlight w:val="none"/>
        </w:rPr>
        <w:t>采购活动。</w:t>
      </w:r>
    </w:p>
    <w:p w14:paraId="2CC7B91B">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本项目是否接受联合体投标详见《投标须知前附表》。</w:t>
      </w:r>
    </w:p>
    <w:p w14:paraId="76446278">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11.关于分包</w:t>
      </w:r>
    </w:p>
    <w:p w14:paraId="53292CB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11.1投标人拟将成交项目的非主体、非关键性工作分包的，应当在投标文件中载明分包承担主体，分包承担主体应当具备相应资质条件且不得再次分包。</w:t>
      </w:r>
    </w:p>
    <w:p w14:paraId="0993E5CC">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11.2投标人应当就分包项目向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负责，分包承担主体就分包项目承担责任。</w:t>
      </w:r>
    </w:p>
    <w:p w14:paraId="6CDC5078">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本项目是否接受分包投标详见《投标须知前附表》</w:t>
      </w:r>
    </w:p>
    <w:p w14:paraId="5F0C1094">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12.现场踏勘</w:t>
      </w:r>
    </w:p>
    <w:p w14:paraId="60371C2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12.1如有需要，</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将组织投标人对项目现场及周围环境进行踏勘，以便投标人获取有关编制投标文件和签署合同所需的所有资料。踏勘现场所发生的费用由投标人自己承担，投标人应按招标</w:t>
      </w:r>
      <w:r>
        <w:rPr>
          <w:rFonts w:hint="eastAsia" w:ascii="仿宋" w:hAnsi="仿宋" w:eastAsia="仿宋" w:cs="仿宋"/>
          <w:sz w:val="24"/>
          <w:szCs w:val="24"/>
          <w:highlight w:val="none"/>
          <w:lang w:val="en-US" w:eastAsia="zh-CN"/>
        </w:rPr>
        <w:t>文件</w:t>
      </w:r>
      <w:r>
        <w:rPr>
          <w:rFonts w:hint="eastAsia" w:ascii="仿宋" w:hAnsi="仿宋" w:eastAsia="仿宋" w:cs="仿宋"/>
          <w:sz w:val="24"/>
          <w:szCs w:val="24"/>
          <w:highlight w:val="none"/>
        </w:rPr>
        <w:t>所约定的时间、地点踏勘现场。</w:t>
      </w:r>
    </w:p>
    <w:p w14:paraId="1629759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12.2投标人及其人员经过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的允许，可以踏勘目的进入</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单位的项目现场。若本项目招标文件要求投标人于统一时间地点踏勘现场的，投标人应当按时前往。</w:t>
      </w:r>
    </w:p>
    <w:p w14:paraId="786E5E5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12.3除</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的原因外，投标人自行负责在踏勘现场中所发生的人员伤亡和财产损失。</w:t>
      </w:r>
    </w:p>
    <w:p w14:paraId="52BCA5A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12.4未参与现场踏勘不作为否定投标人资格的理由。</w:t>
      </w:r>
    </w:p>
    <w:p w14:paraId="6980327D">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本项目是否组织现场踏勘详见《投标须知前附表》</w:t>
      </w:r>
    </w:p>
    <w:p w14:paraId="4DB7FF32">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13.投标的有效期</w:t>
      </w:r>
    </w:p>
    <w:p w14:paraId="00CD1DA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13.1从开标之日起，投标有效期为90天。投标有效期短于90天的，其投标为无效投标。</w:t>
      </w:r>
    </w:p>
    <w:p w14:paraId="41B5100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13.2特殊情况下，在投标有效期满之前，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机构可以要求投标人延长投标有效期，投标人可以书面形式拒绝或接受上述要求。同意延长投标有效期的投标人不得修改投标文件的实质性内容。</w:t>
      </w:r>
    </w:p>
    <w:p w14:paraId="26BA3E1A">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14.投标保证金</w:t>
      </w:r>
    </w:p>
    <w:p w14:paraId="0544EFC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14.1.本项目投标保证金要求：详见投标须知前附表。</w:t>
      </w:r>
    </w:p>
    <w:p w14:paraId="5031CF8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14.2.缴纳截止时间：投标文件递交截止时间</w:t>
      </w:r>
      <w:r>
        <w:rPr>
          <w:rFonts w:hint="eastAsia" w:ascii="仿宋" w:hAnsi="仿宋" w:eastAsia="仿宋" w:cs="仿宋"/>
          <w:sz w:val="24"/>
          <w:szCs w:val="24"/>
          <w:highlight w:val="none"/>
          <w:lang w:val="en-US" w:eastAsia="zh-CN"/>
        </w:rPr>
        <w:t>前</w:t>
      </w:r>
      <w:r>
        <w:rPr>
          <w:rFonts w:hint="eastAsia" w:ascii="仿宋" w:hAnsi="仿宋" w:eastAsia="仿宋" w:cs="仿宋"/>
          <w:sz w:val="24"/>
          <w:szCs w:val="24"/>
          <w:highlight w:val="none"/>
        </w:rPr>
        <w:t>。</w:t>
      </w:r>
    </w:p>
    <w:p w14:paraId="482B0E0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14.3.投标保证金的交纳单位必须与投标人名称一致，投标保证金须从其基本账户转出，否则其投标无效；</w:t>
      </w:r>
    </w:p>
    <w:p w14:paraId="78962496">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14.4本项目的投标保证金必须通过国企阳光采购平台交纳，使用说明参见威海市公共资源交易网（http://ggzyjy.weihai.cn）的 “办事指南—国企采购专区”中《威海市国有企业阳光采购电子化服务平台线上投标保证金操作手册》。</w:t>
      </w:r>
    </w:p>
    <w:p w14:paraId="2E71F608">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14.5为确保投标工作有序进行，投标保证金应当在递交投标文件截止时间前（以到账时间为准）到达威海公共资源交易服务有限公司账户，以网银、电汇等方式一次性足额交纳保证金，不接受支付宝等第三方平台转账。禁止第三方代交。投标保证金交纳单位应与递交投标文件的投标人名称一致。</w:t>
      </w:r>
    </w:p>
    <w:p w14:paraId="420BB36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14.6为确保投标人投标保证金及时足额到账，请尽量提前交纳保证金，由于银行系统原因，请至少在递交投标文件截止时间前12 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p>
    <w:p w14:paraId="345E079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14.7退还保证金：目前系统采用自动退还保证金操作，分为未中标人退还和中标人退还。代理公司向中标人发送中标通知书后，系统自动退还未中标人保证金；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和中标人签署完合同后，系统自动退还中标人保证金。非由中标人原因未能签订合同的，应在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作出处理结果之日起五个工作日内退还中标人的保证金。</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项目流标的，应在确定流标之日起五个工作日内退还所有投标人的保证金。</w:t>
      </w:r>
    </w:p>
    <w:p w14:paraId="15133817">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14.8有下列情况之一的，投标保证金</w:t>
      </w:r>
      <w:r>
        <w:rPr>
          <w:rFonts w:hint="eastAsia" w:ascii="仿宋" w:hAnsi="仿宋" w:eastAsia="仿宋" w:cs="仿宋"/>
          <w:b/>
          <w:bCs/>
          <w:sz w:val="24"/>
          <w:szCs w:val="24"/>
          <w:highlight w:val="none"/>
        </w:rPr>
        <w:t>不予返还</w:t>
      </w:r>
      <w:r>
        <w:rPr>
          <w:rFonts w:hint="eastAsia" w:ascii="仿宋" w:hAnsi="仿宋" w:eastAsia="仿宋" w:cs="仿宋"/>
          <w:sz w:val="24"/>
          <w:szCs w:val="24"/>
          <w:highlight w:val="none"/>
        </w:rPr>
        <w:t>。</w:t>
      </w:r>
    </w:p>
    <w:p w14:paraId="46CB234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(1)投标人提供不真实资格、资质证明文件的；</w:t>
      </w:r>
    </w:p>
    <w:p w14:paraId="439DFD67">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(2)在投标有效期内撤回</w:t>
      </w:r>
      <w:r>
        <w:rPr>
          <w:rFonts w:hint="eastAsia" w:ascii="仿宋" w:hAnsi="仿宋" w:eastAsia="仿宋" w:cs="仿宋"/>
          <w:sz w:val="24"/>
          <w:szCs w:val="24"/>
          <w:highlight w:val="none"/>
          <w:lang w:eastAsia="zh-CN"/>
        </w:rPr>
        <w:t>投标</w:t>
      </w:r>
      <w:r>
        <w:rPr>
          <w:rFonts w:hint="eastAsia" w:ascii="仿宋" w:hAnsi="仿宋" w:eastAsia="仿宋" w:cs="仿宋"/>
          <w:sz w:val="24"/>
          <w:szCs w:val="24"/>
          <w:highlight w:val="none"/>
        </w:rPr>
        <w:t>的；</w:t>
      </w:r>
    </w:p>
    <w:p w14:paraId="631F6DC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(3)除因不可抗力或招标文件认可的情形以外，中标人不与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签订合同的；</w:t>
      </w:r>
    </w:p>
    <w:p w14:paraId="0D8D98B2">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(4)投标人与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、其他投标人或者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机构恶意串通的；</w:t>
      </w:r>
    </w:p>
    <w:p w14:paraId="666A37F6">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w:t>
      </w:r>
      <w:r>
        <w:rPr>
          <w:rFonts w:hint="eastAsia" w:ascii="仿宋" w:hAnsi="仿宋" w:eastAsia="仿宋" w:cs="仿宋"/>
          <w:sz w:val="24"/>
          <w:szCs w:val="24"/>
          <w:highlight w:val="none"/>
          <w:lang w:val="en-US" w:eastAsia="zh-CN"/>
        </w:rPr>
        <w:t>标</w:t>
      </w:r>
      <w:r>
        <w:rPr>
          <w:rFonts w:hint="eastAsia" w:ascii="仿宋" w:hAnsi="仿宋" w:eastAsia="仿宋" w:cs="仿宋"/>
          <w:sz w:val="24"/>
          <w:szCs w:val="24"/>
          <w:highlight w:val="none"/>
        </w:rPr>
        <w:t>委员会认定的其他事项。</w:t>
      </w:r>
    </w:p>
    <w:p w14:paraId="48B8F96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对以提供虚假材料或恶意串通或采取不正当竞争手段谋取中标的投标人，一经发现将依法取消其投标人资格，投标保证金不予返还，列入平台黑名单。</w:t>
      </w:r>
    </w:p>
    <w:p w14:paraId="1D92ADB6">
      <w:pPr>
        <w:snapToGrid w:val="0"/>
        <w:spacing w:line="360" w:lineRule="auto"/>
        <w:ind w:firstLine="482" w:firstLineChars="200"/>
        <w:jc w:val="lef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本项目投标保证金收取情况见《投标须知前附表》。</w:t>
      </w:r>
    </w:p>
    <w:p w14:paraId="7802457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15.履约保证金的交纳与返还</w:t>
      </w:r>
    </w:p>
    <w:p w14:paraId="2075278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本项目无须交纳履约保证金。</w:t>
      </w:r>
    </w:p>
    <w:p w14:paraId="652C4EBB">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16.投标文件的数量和签署</w:t>
      </w:r>
    </w:p>
    <w:p w14:paraId="2475908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16.1投标文件（pdf格式）（第一册）1份</w:t>
      </w:r>
    </w:p>
    <w:p w14:paraId="598CC15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16.1.1投标人应使用带电子签章功能的CA锁对投标文件须盖章或签名的部位加盖电子印章（单位电子公章、法定代表人电子人名章），否则为无效投标，电子印章与实物印章具有同等法律效力。</w:t>
      </w:r>
    </w:p>
    <w:p w14:paraId="64A642D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16.1.2投标人应首先编制word格式投标文件，最后通过</w:t>
      </w:r>
      <w:r>
        <w:rPr>
          <w:rFonts w:hint="eastAsia" w:ascii="仿宋" w:hAnsi="仿宋" w:eastAsia="仿宋" w:cs="仿宋"/>
          <w:b/>
          <w:bCs/>
          <w:sz w:val="24"/>
          <w:szCs w:val="24"/>
          <w:highlight w:val="none"/>
        </w:rPr>
        <w:t>威海市国企采购电子交易系统</w:t>
      </w:r>
      <w:r>
        <w:rPr>
          <w:rFonts w:hint="eastAsia" w:ascii="仿宋" w:hAnsi="仿宋" w:eastAsia="仿宋" w:cs="仿宋"/>
          <w:sz w:val="24"/>
          <w:szCs w:val="24"/>
          <w:highlight w:val="none"/>
        </w:rPr>
        <w:t>的文件签章菜单的标书签章功能转换为pdf格式（或者其他pdf转换工具），之后通过签章功能在pdf文件上逐页加盖电子印章并保存到本地计算机，加盖了电子印章的pdf文件即为最终的投标文件，否则为无效投标。</w:t>
      </w:r>
    </w:p>
    <w:p w14:paraId="02056BA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16.1.3文件中要求法定代表人签字或签章的须加盖法定代表人电子人名章。</w:t>
      </w:r>
    </w:p>
    <w:p w14:paraId="34A159C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16.1.4须被授权人签字的，被授权人又无电子章，在word编制时可将被授权人手写签字扫描后的图片粘贴到投标文件中对应位置，并加盖单位电子公章。</w:t>
      </w:r>
    </w:p>
    <w:p w14:paraId="126F11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16.1.5可使用系统的批量盖章功能快速签章。但须逐页浏览检查并注意印章重叠及完整性。</w:t>
      </w:r>
    </w:p>
    <w:p w14:paraId="74E5335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16.1.6采用扫描粘贴投标人公章或扫描法定代表人人名章而不加盖单位电子公章的为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14:paraId="506F03F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16.2数据文件（PDF格式）（第二册）1份</w:t>
      </w:r>
    </w:p>
    <w:p w14:paraId="531AE1E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16.2.1投标人将填写完毕的数据文件（EXCEL格式），填写完成后在国企阳光采购平台中上传该数据文件（EXCEL格式），系统将自行转换为PDF格式，再加盖投标人电子印章，加盖了电子印章的pdf文件即为最终的数据文件。</w:t>
      </w:r>
    </w:p>
    <w:p w14:paraId="1337FB2F">
      <w:pPr>
        <w:snapToGrid w:val="0"/>
        <w:spacing w:line="360" w:lineRule="auto"/>
        <w:ind w:firstLine="480" w:firstLineChars="200"/>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16.2.2文件中要求法定代表人签字或签章的须加盖法定代表人电子人名章</w:t>
      </w:r>
      <w:r>
        <w:rPr>
          <w:rFonts w:hint="eastAsia" w:ascii="仿宋" w:hAnsi="仿宋" w:eastAsia="仿宋" w:cs="仿宋"/>
          <w:sz w:val="24"/>
          <w:szCs w:val="24"/>
          <w:highlight w:val="none"/>
          <w:lang w:eastAsia="zh-CN"/>
        </w:rPr>
        <w:t>。</w:t>
      </w:r>
    </w:p>
    <w:p w14:paraId="3F5C714B">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16.2.3采用扫描粘贴投标人公章或法定代表人人名章的为</w:t>
      </w:r>
      <w:r>
        <w:rPr>
          <w:rFonts w:hint="eastAsia" w:ascii="仿宋" w:hAnsi="仿宋" w:eastAsia="仿宋" w:cs="仿宋"/>
          <w:b/>
          <w:bCs/>
          <w:sz w:val="24"/>
          <w:szCs w:val="24"/>
          <w:highlight w:val="none"/>
        </w:rPr>
        <w:t>无效投标</w:t>
      </w:r>
      <w:r>
        <w:rPr>
          <w:rFonts w:hint="eastAsia" w:ascii="仿宋" w:hAnsi="仿宋" w:eastAsia="仿宋" w:cs="仿宋"/>
          <w:sz w:val="24"/>
          <w:szCs w:val="24"/>
          <w:highlight w:val="none"/>
        </w:rPr>
        <w:t>。</w:t>
      </w:r>
    </w:p>
    <w:p w14:paraId="2B8B3310">
      <w:pPr>
        <w:snapToGrid w:val="0"/>
        <w:spacing w:line="360" w:lineRule="auto"/>
        <w:ind w:firstLine="480" w:firstLineChars="200"/>
        <w:jc w:val="left"/>
        <w:rPr>
          <w:highlight w:val="none"/>
        </w:rPr>
      </w:pPr>
      <w:r>
        <w:rPr>
          <w:rFonts w:hint="eastAsia" w:ascii="仿宋" w:hAnsi="仿宋" w:eastAsia="仿宋" w:cs="仿宋"/>
          <w:sz w:val="24"/>
          <w:szCs w:val="24"/>
          <w:highlight w:val="none"/>
        </w:rPr>
        <w:t>16.3投标文件里单位盖章均指盖单位公章。</w:t>
      </w:r>
    </w:p>
    <w:p w14:paraId="0921100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四、投标文件的递交</w:t>
      </w:r>
    </w:p>
    <w:p w14:paraId="7AEFD276">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17.投标文件的密封和标记</w:t>
      </w:r>
    </w:p>
    <w:p w14:paraId="7E14FC6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17.1电子投标文件的密封和标记</w:t>
      </w:r>
    </w:p>
    <w:p w14:paraId="1423C92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17.1.1加盖了电子印章的电子投标文件（PDF格式）和数据文件（PDF格式）须在威海市国企采购电子交易系统的“我的投标”界面进行提交，提交前系统会自动在本地进行加密和数字签名，加密和电子签章后的文件除了会上传到系统中之外还会同步保存到本地计算机。</w:t>
      </w:r>
    </w:p>
    <w:p w14:paraId="5354787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17.2资质证明文件原件的密封和标记</w:t>
      </w:r>
    </w:p>
    <w:p w14:paraId="4D8FD328">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17.2.1不需要提供原件。</w:t>
      </w:r>
    </w:p>
    <w:p w14:paraId="6195A92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17.3文件递交</w:t>
      </w:r>
    </w:p>
    <w:p w14:paraId="74BBED04">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17.3.1投标人应在投标须知前附表规定的时间前在国企阳光采购平台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 w:hAnsi="仿宋" w:eastAsia="仿宋" w:cs="仿宋"/>
          <w:b/>
          <w:bCs/>
          <w:sz w:val="24"/>
          <w:szCs w:val="24"/>
          <w:highlight w:val="none"/>
        </w:rPr>
        <w:t>其投标将会被判定为无效。</w:t>
      </w:r>
    </w:p>
    <w:p w14:paraId="4D142F68">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17.3.2投标人须牢记投标加密密码，该密码将用于开标时解密其电子投标文件，如忘记密码或输入错误密码超过5次，其递交的电子投标文件将无法解密，导致无法提取数据和供他人阅读文件，致使其投标失败。</w:t>
      </w:r>
    </w:p>
    <w:p w14:paraId="7BA0A5E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17.3.3除投标须知前附表另有规定外，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机构拒绝接收纸质投标文件。</w:t>
      </w:r>
    </w:p>
    <w:p w14:paraId="75D4DF53">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17.3.4投标人应将网上递交的已盖章未加密的数据文件和投标文件谨慎保存备份，以便启动应急开标程序时备案使用。</w:t>
      </w:r>
    </w:p>
    <w:p w14:paraId="1DFD6AA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18.投标截止期</w:t>
      </w:r>
    </w:p>
    <w:p w14:paraId="406DF16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本次招标的投标截止期见《投标须知前附表》。</w:t>
      </w:r>
    </w:p>
    <w:p w14:paraId="19F28D2C">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19.迟交的投标文件</w:t>
      </w:r>
    </w:p>
    <w:p w14:paraId="1C6FBE0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国企阳光采购平台无法接收投标截止期后递交的电子投标文件。</w:t>
      </w:r>
    </w:p>
    <w:p w14:paraId="0BBDD77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20.现场演示/样品递交</w:t>
      </w:r>
    </w:p>
    <w:p w14:paraId="17F5DAF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20.1</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可以要求投标人对其提供的信息化、自动化等相关类别服务进行演示。投标人可以到现场演示，也可以使用系统“网上评标”中的“谈判”功能与评标专家进行远程演示。</w:t>
      </w:r>
    </w:p>
    <w:p w14:paraId="16B49CA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20.2若项目涉及货物时，</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可以要求投标人提供样品，样品作为投标文件的一部分。未中标投标人提供的样品将于评审结束后退还。中标人的样品由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保留，作为验收的依据。</w:t>
      </w:r>
    </w:p>
    <w:p w14:paraId="4A8C882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是否要求投标人提供演示/提交样品，详见招标文件《投标须知前附表》的有关规定。</w:t>
      </w:r>
    </w:p>
    <w:p w14:paraId="437ABB0C">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21.投标文件的修改和撤回</w:t>
      </w:r>
    </w:p>
    <w:p w14:paraId="36B187D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21.1投标人必须在规定的投标截止期之前将修改的投标文件和数据文件上传到国企阳光采购平台,在投标截止期之后，投标人不得对其投标文件做任何修改。</w:t>
      </w:r>
    </w:p>
    <w:p w14:paraId="51CEA06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21.2投标人在递交投标文件后，可以在投标截止期之前撤回其投标。</w:t>
      </w:r>
    </w:p>
    <w:p w14:paraId="261983F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21.3开标后不允许对投标文件做实质性修改和补充，不得撤回投标文件。</w:t>
      </w:r>
    </w:p>
    <w:p w14:paraId="4DD9682E">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五、开标与评审</w:t>
      </w:r>
    </w:p>
    <w:p w14:paraId="77117208">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22.开标</w:t>
      </w:r>
    </w:p>
    <w:p w14:paraId="3720022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22.1投标截止时间结束后，投标人不足3家的不得开标。</w:t>
      </w:r>
    </w:p>
    <w:p w14:paraId="7565457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22.2</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机构在招标公告规定的时间和地点组织开标。到现场开标的投标人须携带CA锁和笔记本电脑，以便进行开标操作。不到现场开标的投标人需提前准备已配置好环境的电脑，在规定的时间进行远程开标的各项操作。</w:t>
      </w:r>
    </w:p>
    <w:p w14:paraId="07C8EDC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22.3现场开标和远程开标的投标人代表应在签到表格相应位置上加盖CA锁中的法定代表人（单位负责人）电子人名章以证明其出席，在开标时间前未完成签到的将会被视作认同开标结果。</w:t>
      </w:r>
    </w:p>
    <w:p w14:paraId="4885978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22.4投标须知前附表规定了文件解密时间，投标人输入密码错误（5次输入机会）、未能按时完成解密、其《数据文件》填写、盖章不规范等导致系统无法解析的，将会被视为无效投标。</w:t>
      </w:r>
    </w:p>
    <w:p w14:paraId="613795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22.5开标过程应当由</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机构负责记录，最终形成开标一览表并由各投标人代表签字或盖章确认。</w:t>
      </w:r>
    </w:p>
    <w:p w14:paraId="68201E3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22.6投标人代表对开标过程和开标记录有疑义，以及认为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机构相关工作人员有需要回避的情形的，应当场提出询问或者回避申请。</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机构对投标人代表提出的询问或者回避申请应当及时处理。</w:t>
      </w:r>
    </w:p>
    <w:p w14:paraId="02A5B55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22.7录音、录像：威海市公共资源交易中心负责从递交投标文件开始到确定中标结果全过程的录音、录像工作，确保声音清楚、图像清晰、内容无遗漏。</w:t>
      </w:r>
    </w:p>
    <w:p w14:paraId="2278D66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22.8评审过程中，如遇特殊情况，服从威海市公共资源交易中心场地调配，并遵守相关规章制度。</w:t>
      </w:r>
    </w:p>
    <w:p w14:paraId="46F2792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22.9对投标文件报价出现前后不一致的，按以下规定修正：</w:t>
      </w:r>
    </w:p>
    <w:p w14:paraId="4446ACE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（1）“投标（报价）一览表”的报价与“报价明细表”的总报价不一致的，以“投标（报价）一览表”的报价为准；</w:t>
      </w:r>
    </w:p>
    <w:p w14:paraId="24DAB89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（2）大写金额和小写金额不一致的，以大写金额为准；</w:t>
      </w:r>
    </w:p>
    <w:p w14:paraId="44BDDD3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（3）单价金额小数点或者百分比有明显错位的，以投标（报价）一览表的总价为准，并修改单价。</w:t>
      </w:r>
    </w:p>
    <w:p w14:paraId="203855E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（4）总价金额与按单价汇总金额不一致的，以单价金额计算结果为准。</w:t>
      </w:r>
    </w:p>
    <w:p w14:paraId="0C22072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（5）同时出现两种以上不一致的，按照前款规定的顺序修正。修正后的报价经投标人确认后产生约束力，投标人不确认的，其投标无效。</w:t>
      </w:r>
    </w:p>
    <w:p w14:paraId="2D71C01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22.10开标程序</w:t>
      </w:r>
    </w:p>
    <w:p w14:paraId="3ECEE58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22.10.1签到：在投标须知前附表规定的时间完成签到。</w:t>
      </w:r>
    </w:p>
    <w:p w14:paraId="74F29F9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22.10.2开标：工作人员在投标须知前附表规定的开标时间启动开标。</w:t>
      </w:r>
    </w:p>
    <w:p w14:paraId="1917C81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22.10.3解密：开标后工作人员启动开始解密指令，投标人开始输入解密密码，解密时间到后工作人员启动停止解密指令。</w:t>
      </w:r>
    </w:p>
    <w:p w14:paraId="713380A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22.10.4唱标：停止解密后现场工作人员将根据电子交易系统自动提取各投标人数据文件中的相关数据进行公开唱标，唱标结束系统将自动生成开标一览表。投标人应及时关注开标过程，查看开标结果并在开标一览表上进行电子签署。若投标人不进行相关签署，将被视为其对开标一览表中所载内容无疑议。</w:t>
      </w:r>
    </w:p>
    <w:p w14:paraId="7078619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22.10.5投标人可使用电子交易系统“网上开标”中的“看直播”功能参与开标程序。</w:t>
      </w:r>
    </w:p>
    <w:p w14:paraId="0284CB4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22.11应急开标程序</w:t>
      </w:r>
    </w:p>
    <w:p w14:paraId="052CDB9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电子开标过程中如出现下列情况，导致系统无法正常运行，或者无法保证开标过程的公平、公正和信息安全时，经与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沟通后可启动应急开标程序。</w:t>
      </w:r>
    </w:p>
    <w:p w14:paraId="0E58302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（1）系统服务器发生故障，无法访问或无法使用系统；</w:t>
      </w:r>
    </w:p>
    <w:p w14:paraId="1AB2B74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（2）系统的软件或数据库出现错误，不能进行正常操作；</w:t>
      </w:r>
    </w:p>
    <w:p w14:paraId="2D3452E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（3）系统发现有安全漏洞，有潜在的泄密危险；</w:t>
      </w:r>
    </w:p>
    <w:p w14:paraId="141059B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（4）病毒发作或受到外来病毒的攻击；</w:t>
      </w:r>
    </w:p>
    <w:p w14:paraId="70B975B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（5）其他无法保证开标过程公平、公正和信息安全的情形。</w:t>
      </w:r>
    </w:p>
    <w:p w14:paraId="2472F7A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应急开标程序包括：</w:t>
      </w:r>
    </w:p>
    <w:p w14:paraId="5331D49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（1）对未在系统中开标的可暂停开标；</w:t>
      </w:r>
    </w:p>
    <w:p w14:paraId="33BA06A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（2）对已在系统中开标的应停止，等待系统恢复正常后再组织进行开标。</w:t>
      </w:r>
    </w:p>
    <w:p w14:paraId="0344BB0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无效投标处理。</w:t>
      </w:r>
    </w:p>
    <w:p w14:paraId="5E82099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（4）备案功能故障且系统长时间无法恢复正常的，在</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代理机构的监督下可针对所有在平台中已投标的投标人，启用其电子邮件递交的投标文件进行开标，同时开标由线上转为线下，开标、评标均以电子邮件递交的投标文件为准，投标人必须在获取招标文件时留有本单位详细的邮箱和电话，否则由此产生的不利后果由投标人自己承担。对未按规定递交或递交的文件未按要求进行编制、签署的投标人作无效投标处理。</w:t>
      </w:r>
    </w:p>
    <w:p w14:paraId="157E5B5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22.12应急开标电子邮件递交规定</w:t>
      </w:r>
    </w:p>
    <w:p w14:paraId="23AFEF49">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接收电子邮箱：</w:t>
      </w:r>
      <w:r>
        <w:rPr>
          <w:rFonts w:hint="eastAsia" w:ascii="仿宋" w:hAnsi="仿宋" w:eastAsia="仿宋" w:cs="仿宋"/>
          <w:sz w:val="24"/>
          <w:szCs w:val="24"/>
          <w:highlight w:val="none"/>
          <w:lang w:eastAsia="zh-CN"/>
        </w:rPr>
        <w:t>sdfullzb@163.com</w:t>
      </w:r>
    </w:p>
    <w:p w14:paraId="7B95515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递交时间：以电子邮件或电话通知的时间为准；</w:t>
      </w:r>
    </w:p>
    <w:p w14:paraId="27908B7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邮件数量：一封；</w:t>
      </w:r>
    </w:p>
    <w:p w14:paraId="06FD2FC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邮件主题：项目编号、投标人名称；</w:t>
      </w:r>
    </w:p>
    <w:p w14:paraId="0E6525A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文件，导致投标无效。</w:t>
      </w:r>
    </w:p>
    <w:p w14:paraId="7CFB549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22.13启动电子邮件开标流程</w:t>
      </w:r>
    </w:p>
    <w:p w14:paraId="7417DD6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工作人员电话通知所有投标人启动应急开标程序；</w:t>
      </w:r>
    </w:p>
    <w:p w14:paraId="0238EE1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投标人收到通知后在规定时间内通过电子邮件递交投标文件（在非应急开标期间</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机构不接受、不处理任何通过电子邮件提交的投标文件）；</w:t>
      </w:r>
    </w:p>
    <w:p w14:paraId="2F5BF44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递交截止时间到，工作人员开始下载投标文件，将投标报价形成开标报告并邮件回复各投标人；</w:t>
      </w:r>
    </w:p>
    <w:p w14:paraId="305999D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投标人确认报价并邮件回复，不及时回复的视为对开标报告的内容无异议。</w:t>
      </w:r>
    </w:p>
    <w:p w14:paraId="350DB85F">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23.评标委员会的组成和评标方法</w:t>
      </w:r>
    </w:p>
    <w:p w14:paraId="1501631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负责组织评标工作，具体评审事务由依法组建的评标委员会负责，评标委员会成员由招标人代表和评审专家5人以上的单数组成或全部由专家5人以上的单数组成。情况特殊的，通过随机方式难以确定合适的评审专家的项目，经主管部门同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可以自行选定评审专家。</w:t>
      </w:r>
    </w:p>
    <w:p w14:paraId="4380610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23.2</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员及相关人员与投标人有利害关系的应当回避。曾参与项目征询意见或论证的专家，不得再作为评审专家参加评审。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不得以专家身份参与本项目的评审。</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机构工作人员离职或退休不满三年的，不能作为专家参加评审工作。</w:t>
      </w:r>
    </w:p>
    <w:p w14:paraId="578C9CB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23.3评标委员会成员职责：</w:t>
      </w:r>
    </w:p>
    <w:p w14:paraId="058C8A5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（1）评标前，评标委员会成员应当主动确认与投标人及其制造商是否有利害关系。如有利害关系应当主动回避，如无利害关系，应当在含有相关内容的《无利害关系声明》上签字；</w:t>
      </w:r>
    </w:p>
    <w:p w14:paraId="2C02705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（2）按照招标文件中确定的评标办法，对投标文件的内容进行评审，并对评审结果承担责任；</w:t>
      </w:r>
    </w:p>
    <w:p w14:paraId="74A3D10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（3）对评标过程和结果，以及投标人的商业秘密进行保密；</w:t>
      </w:r>
    </w:p>
    <w:p w14:paraId="1CBB069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（4）在评标委员会集体起草的评标报告上签字；</w:t>
      </w:r>
    </w:p>
    <w:p w14:paraId="5076E8D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（5）配合</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机构答复投标人质疑；</w:t>
      </w:r>
    </w:p>
    <w:p w14:paraId="436AE58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（6）配合主管部门处理投标人投诉；</w:t>
      </w:r>
    </w:p>
    <w:p w14:paraId="4B5A943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反映评审工作中的问题，提出意见和建议。</w:t>
      </w:r>
    </w:p>
    <w:p w14:paraId="7544B7C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23.4评标委员会集体职责：</w:t>
      </w:r>
    </w:p>
    <w:p w14:paraId="2CB83BD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175EF3B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（2）配合</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机构答复投标人的质疑；</w:t>
      </w:r>
    </w:p>
    <w:p w14:paraId="2966EC6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（3）配合主管部门做好投诉处理工作；</w:t>
      </w:r>
    </w:p>
    <w:p w14:paraId="4F56DDF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（4）必要时，向投标人解释评审结果；</w:t>
      </w:r>
    </w:p>
    <w:p w14:paraId="4FDE682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（5）向主管部门或者有关部门报告非法干预评审工作的行为。</w:t>
      </w:r>
    </w:p>
    <w:p w14:paraId="41C80F3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23.5</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的职责：</w:t>
      </w:r>
    </w:p>
    <w:p w14:paraId="04BFF80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（1）核对评标委员会专家身份和</w:t>
      </w:r>
      <w:r>
        <w:rPr>
          <w:rFonts w:hint="eastAsia" w:ascii="仿宋" w:hAnsi="仿宋" w:eastAsia="仿宋" w:cs="仿宋"/>
          <w:sz w:val="24"/>
          <w:szCs w:val="24"/>
          <w:highlight w:val="none"/>
          <w:lang w:eastAsia="zh-CN"/>
        </w:rPr>
        <w:t>招标人代表授权书（</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，对评标委员会专家在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活动中的职责履行情况予以记录，并及时将有关违法违规行为向主管部门报告；</w:t>
      </w:r>
    </w:p>
    <w:p w14:paraId="4A3C94B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（2）宣布评审纪律；</w:t>
      </w:r>
    </w:p>
    <w:p w14:paraId="2518A3C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（3）公布投标人名单，告知评标委员会专家应当回避的情形；</w:t>
      </w:r>
    </w:p>
    <w:p w14:paraId="7B6095C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（4）组织评标委员会推选评标组长，</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不得担任组长；</w:t>
      </w:r>
    </w:p>
    <w:p w14:paraId="0E21C6F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（5）在评审期间采取必要的通讯管理措施，保证评审活动不受外界干扰；</w:t>
      </w:r>
    </w:p>
    <w:p w14:paraId="2CADDD3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（6）根据评标委员会的要求介绍阳光国企采购相关政策法规、招标文件；</w:t>
      </w:r>
    </w:p>
    <w:p w14:paraId="305A445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（7）维护评审秩序，监督评标委员会依照招标文件规定的评标程序、方法和标准进行独立评审，及时制止和纠正</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代表、评标专家的倾向性言论或者违法违规行为；</w:t>
      </w:r>
    </w:p>
    <w:p w14:paraId="098AEA0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核对评标结果，存在分值汇总计算错误的、分项评分超出评分标准范围的、评标委员会成员对客观评审因素评分不一致的，经评标委员会认定评分畸高畸低的情形，要求评标委员会复核或者书面说明理由，评标委员会拒绝的，应予记录并向主管部门报告。</w:t>
      </w:r>
    </w:p>
    <w:p w14:paraId="7F99AB0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评审工作完成后，按照规定向评标专家支付劳务报酬和异地评审差旅费，不得向评标专家以外的其他人员支付评审劳务报酬；专家劳务报酬标准参照山东省财政厅《关于印发&lt;山东省政府采购评审劳务报酬标准&gt;的通知》（鲁财采〔2017〕28号）规定执行。</w:t>
      </w:r>
    </w:p>
    <w:p w14:paraId="1653747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（10）处理与评标有关的其他事项。</w:t>
      </w:r>
    </w:p>
    <w:p w14:paraId="2031753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可以在评标前说明项目背景和</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需求，说明内容不得含有歧视性、倾向性意见，不得超出招标文件所述范围。</w:t>
      </w:r>
    </w:p>
    <w:p w14:paraId="62CA457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23.6评标委员会采用集中办公、封闭方式进行评审。评标前，</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机构工作人员向评标委员会成员宣布评标纪律和工作规则。评标委员会成员签署《无利害关系声明表》，并遵照执行。</w:t>
      </w:r>
    </w:p>
    <w:p w14:paraId="5E89BA4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23.7评标委员会成员对与自己有利害关系的评标项目应当主动提出回避。</w:t>
      </w:r>
    </w:p>
    <w:p w14:paraId="4C4962B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23.8评标委员会将按照招标文件确定的评标原则和方法进行评标。</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评委对投标人进行资格性审查，评标委员会对投标文件的评审内容分为资格性审查、符合性审查、商务评议、技术评议和价格评议。</w:t>
      </w:r>
    </w:p>
    <w:p w14:paraId="7EB1A67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23.9评标委员会独立履行下列职责：</w:t>
      </w:r>
    </w:p>
    <w:p w14:paraId="75B8A5A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（1）审查、评价投标文件是否符合招标文件的商务、技术等实质性要求；</w:t>
      </w:r>
    </w:p>
    <w:p w14:paraId="4E96A72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（2）要求投标人对投标文件有关事项作出澄清或者说明；</w:t>
      </w:r>
    </w:p>
    <w:p w14:paraId="72067F2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（3）对投标文件进行比较和评价；</w:t>
      </w:r>
    </w:p>
    <w:p w14:paraId="12B4A1E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（4）确定中标候选人名单，以及根据</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委托直接确定中标人；</w:t>
      </w:r>
    </w:p>
    <w:p w14:paraId="1C729A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机构或者有关部门报告评标中发现的违法行为。</w:t>
      </w:r>
    </w:p>
    <w:p w14:paraId="16D9043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23.10 评标中因评标委员会成员缺席、回避或者健康等特殊原因导致评标委员会组成不符合本办法规定的，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应当依法补足后继续评标。被更换的评标委员会成员所作出的评标意见无效。</w:t>
      </w:r>
    </w:p>
    <w:p w14:paraId="7EC9997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无法及时补足评标委员会成员的，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机构应当停止评标活动，封存所有投标文件和开标、评标资料，依法重新组建评标委员会进行评标。原评标委员会作出的评标意见无效。</w:t>
      </w:r>
    </w:p>
    <w:p w14:paraId="21E2576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机构应当将变更、重新组建评标委员会的情况予以记录，并随招标文件一并存档。</w:t>
      </w:r>
    </w:p>
    <w:p w14:paraId="014586E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24.投标文件的初审</w:t>
      </w:r>
    </w:p>
    <w:p w14:paraId="2E1F691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24.1资格性审查。在</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项目开标结束后,评标委员会对投标人的资格进行审查。合格投标人不足3家的，不得评标。在资格性检查时,如有下列情况之一的，经评标委员会认定，视为非实质性响应，为无效投标：</w:t>
      </w:r>
    </w:p>
    <w:p w14:paraId="4592566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存在利害关系且可能影响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活动的公正性；</w:t>
      </w:r>
    </w:p>
    <w:p w14:paraId="256A839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项目的其他投标人为同一个单位负责人；</w:t>
      </w:r>
    </w:p>
    <w:p w14:paraId="6E84C71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项目的其他投标人存在控股、管理关系；</w:t>
      </w:r>
    </w:p>
    <w:p w14:paraId="7430721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项目提供过设计、编制技术规范和其他文件的咨询服务；</w:t>
      </w:r>
    </w:p>
    <w:p w14:paraId="4CE304F4">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（5）为本项目的相关监理人，或者与本项目的相关监理人存在隶属关系或者其他利害关系；</w:t>
      </w:r>
    </w:p>
    <w:p w14:paraId="3B053AF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（6）为本</w:t>
      </w:r>
      <w:bookmarkStart w:id="12" w:name="OLE_LINK4"/>
      <w:r>
        <w:rPr>
          <w:rFonts w:hint="eastAsia" w:ascii="仿宋" w:hAnsi="仿宋" w:eastAsia="仿宋" w:cs="仿宋"/>
          <w:sz w:val="24"/>
          <w:szCs w:val="24"/>
          <w:highlight w:val="none"/>
          <w:lang w:val="en-US" w:eastAsia="zh-CN"/>
        </w:rPr>
        <w:t>招标</w:t>
      </w:r>
      <w:bookmarkEnd w:id="12"/>
      <w:r>
        <w:rPr>
          <w:rFonts w:hint="eastAsia" w:ascii="仿宋" w:hAnsi="仿宋" w:eastAsia="仿宋" w:cs="仿宋"/>
          <w:sz w:val="24"/>
          <w:szCs w:val="24"/>
          <w:highlight w:val="none"/>
        </w:rPr>
        <w:t>项目的代建人；</w:t>
      </w:r>
    </w:p>
    <w:p w14:paraId="4A3A81A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（7）为本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w:t>
      </w:r>
    </w:p>
    <w:p w14:paraId="7948162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机构同为一个法定代表人；</w:t>
      </w:r>
    </w:p>
    <w:p w14:paraId="3D95512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（9）与本</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项目的监理人或代建人或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机构存在控股或参股关系；</w:t>
      </w:r>
    </w:p>
    <w:p w14:paraId="316739C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（10）被依法暂停或者取消投标资格；</w:t>
      </w:r>
    </w:p>
    <w:p w14:paraId="79F3CAC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（11）被责令停产停业、暂扣或者吊销许可证、暂扣或者吊销执照；</w:t>
      </w:r>
    </w:p>
    <w:p w14:paraId="6CB2F3B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（12）进入清算程序，或被宣告破产，或其他丧失履约能力的情形；</w:t>
      </w:r>
    </w:p>
    <w:p w14:paraId="7F6074E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（13）法律法规规定的其他情形；</w:t>
      </w:r>
    </w:p>
    <w:p w14:paraId="4EB8B75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（14）投标人资格证明文件不满足招标文件要求和过期失效的。</w:t>
      </w:r>
    </w:p>
    <w:p w14:paraId="6A848F7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24.2符合性审查。</w:t>
      </w:r>
    </w:p>
    <w:p w14:paraId="01443B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24.2.1评标委员会应当对符合资格的投标人的投标文件进行符合性审查，以确定其是否满足招标文件的实质性要求。评标委员会决定投标的响应性只根据投标文件本身的内容，而不依据外部的证据。在符合性检查时,如有不满足下列情况之一的，经评标委员会认定，视为非实质性响应，为无效投标。</w:t>
      </w:r>
    </w:p>
    <w:p w14:paraId="7753244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具体内容详见《投标须知》-《实质性条款一览表》中符合性审查条件。</w:t>
      </w:r>
    </w:p>
    <w:p w14:paraId="7EA90E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24.2.2投标人有下列情形之一的，视为投标人串通投标，其投标无效：</w:t>
      </w:r>
    </w:p>
    <w:p w14:paraId="01432EB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（1）不同投标人的投标文件由同一单位或者个人编制的；</w:t>
      </w:r>
    </w:p>
    <w:p w14:paraId="24EE6EB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（2）不同投标人使用同一个投标单位或者同一个自然人的IP地址、设备下载招标文件或者制作、上传投标文件的；</w:t>
      </w:r>
    </w:p>
    <w:p w14:paraId="52F2875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（3）不同投标人委托同一单位或者个人办理投标事宜；</w:t>
      </w:r>
    </w:p>
    <w:p w14:paraId="2600D9C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（4）不同投标人的投标文件载明的项目管理成员或者联系人员为同一人；</w:t>
      </w:r>
    </w:p>
    <w:p w14:paraId="758D9D7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（5）不同投标人的投标文件重要内容异常一致、或者投标报价呈现规律性差异；</w:t>
      </w:r>
    </w:p>
    <w:p w14:paraId="6524C96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（6）不同投标人编制的投标文件存在两处以上错误一致的；</w:t>
      </w:r>
    </w:p>
    <w:p w14:paraId="6C13DA3C">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（7）不同投标人的投标文件相互混装；</w:t>
      </w:r>
    </w:p>
    <w:p w14:paraId="2D3E80A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（8）不同投标人的投标保证金从同一单位或者个人的账户转出；</w:t>
      </w:r>
    </w:p>
    <w:p w14:paraId="6EF553D3">
      <w:pPr>
        <w:snapToGrid w:val="0"/>
        <w:spacing w:line="360" w:lineRule="auto"/>
        <w:ind w:firstLine="480" w:firstLineChars="200"/>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（9）不同投标人制作的电子投标文件经系统审查存在cpu编码、硬盘编码及MAC地址三项编码均相同的</w:t>
      </w:r>
      <w:r>
        <w:rPr>
          <w:rFonts w:hint="eastAsia" w:ascii="仿宋" w:hAnsi="仿宋" w:eastAsia="仿宋" w:cs="仿宋"/>
          <w:sz w:val="24"/>
          <w:szCs w:val="24"/>
          <w:highlight w:val="none"/>
          <w:lang w:eastAsia="zh-CN"/>
        </w:rPr>
        <w:t>；</w:t>
      </w:r>
    </w:p>
    <w:p w14:paraId="22A8CAD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（10）法律法规规定的其他情形。</w:t>
      </w:r>
    </w:p>
    <w:p w14:paraId="0AE0CA4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24.3投标截止后投标人不足3家或者通过资格审查或符合性审查的投标人不足3家的，除</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任务取消情形外，按照以下方式处理：</w:t>
      </w:r>
    </w:p>
    <w:p w14:paraId="7374B06A">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（1）招标文件存在不合理条款或者招标程序不符合规定的，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机构改正后依法重新招标；</w:t>
      </w:r>
    </w:p>
    <w:p w14:paraId="5FDD2A9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（2）招标文件没有不合理条款、招标程序符合规定，需要采用其他</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方式采购的，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应当依法报主管部门批准或按照</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管理制度执行。</w:t>
      </w:r>
    </w:p>
    <w:p w14:paraId="1BE874A3">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25.投标文件的澄清</w:t>
      </w:r>
    </w:p>
    <w:p w14:paraId="1CC5F9F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25.1评标委员会有权向投标人询标，对于投标文件中含义不明确、同类问题表述不一致或者有明显文字和计算错误的内容，评标委员会应当以书面形式要求投标人作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6E12EE7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25.2投标人的澄清、说明或者补正应当采用书面形式，并加盖公章。投标人的澄清、说明或者补正不得超出投标文件的范围或者改变对投标文件的实质性内容。此书面文件是投标文件的组成部分。</w:t>
      </w:r>
    </w:p>
    <w:p w14:paraId="5D456E98">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26.投标文件的评价</w:t>
      </w:r>
    </w:p>
    <w:p w14:paraId="17B0AED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26.1评审采用百分制。评标委员会各成员分别独立对实质上响应投标文件的投标人进行逐项评价打分，对评标委员会各成员每一因素的打分汇总后的得分为投标人的得分，汇总得分保留两位小数。</w:t>
      </w:r>
    </w:p>
    <w:p w14:paraId="27C709B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26.2评标委员会只对确定为实质响应招标文件要求的投标文件进行评价和比较。必要时需标明评审理由。</w:t>
      </w:r>
    </w:p>
    <w:p w14:paraId="1BF598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26.3评标采用综合评分法的，价格分值由评审系统根据投标人上传的《投标（报价）一览表》中的投标报价，依据规定公式自动计算，其结果由评标委员会所有成员签字确认。</w:t>
      </w:r>
    </w:p>
    <w:p w14:paraId="411A0AA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代理机构工作人员负责复核、统计评标委员会成员的评审情况，发现评审意见有失公正时，提请该评标委员会成员修改评审意见，并形成书面意见备查。</w:t>
      </w:r>
    </w:p>
    <w:p w14:paraId="72703D4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26.4评审时除考虑投标人的报价之外，还将考虑以下因素：</w:t>
      </w:r>
    </w:p>
    <w:p w14:paraId="5B85786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（1）投标文件的响应状况（包括是否按照招标文件要求制作）；</w:t>
      </w:r>
    </w:p>
    <w:p w14:paraId="50B6DAB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（2）招标文件规定的其它评审因素。</w:t>
      </w:r>
    </w:p>
    <w:p w14:paraId="0CB2639B">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046CAF2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26.6评标委员会发现招标文件存在歧义、重大缺陷导致评标工作无法进行，或者招标文件内容违反国家有关强制性规定的，应当停止评标工作，与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机构沟通并作书面记录。</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确认后，应当修改招标文件，重新组织</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w:t>
      </w:r>
    </w:p>
    <w:p w14:paraId="4A3CC47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26.7投标人应当遵循公平竞争的原则，不得恶意串通，不得妨碍其他投标人的竞争行为，不得损坏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或者其他投标人的合法权益。在评标过程中发现投标人有上述情形的，评标委员会应当认定其投标无效，并书面报告本级主管部门。</w:t>
      </w:r>
    </w:p>
    <w:p w14:paraId="548771DA">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27.废标条款</w:t>
      </w:r>
    </w:p>
    <w:p w14:paraId="5B7F1CF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在招标</w:t>
      </w:r>
      <w:r>
        <w:rPr>
          <w:rFonts w:hint="eastAsia" w:ascii="仿宋" w:hAnsi="仿宋" w:eastAsia="仿宋" w:cs="仿宋"/>
          <w:sz w:val="24"/>
          <w:szCs w:val="24"/>
          <w:highlight w:val="none"/>
          <w:lang w:val="en-US" w:eastAsia="zh-CN"/>
        </w:rPr>
        <w:t>活动</w:t>
      </w:r>
      <w:r>
        <w:rPr>
          <w:rFonts w:hint="eastAsia" w:ascii="仿宋" w:hAnsi="仿宋" w:eastAsia="仿宋" w:cs="仿宋"/>
          <w:sz w:val="24"/>
          <w:szCs w:val="24"/>
          <w:highlight w:val="none"/>
        </w:rPr>
        <w:t>中，出现下列情形之一的，应予废标：</w:t>
      </w:r>
    </w:p>
    <w:p w14:paraId="4BB03A7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（1）合格的投标人或参加投标的企业不足三家的；</w:t>
      </w:r>
    </w:p>
    <w:p w14:paraId="373281B5">
      <w:pPr>
        <w:snapToGrid w:val="0"/>
        <w:spacing w:line="360" w:lineRule="auto"/>
        <w:ind w:firstLine="480" w:firstLineChars="200"/>
        <w:jc w:val="both"/>
        <w:rPr>
          <w:rFonts w:ascii="仿宋" w:hAnsi="仿宋" w:eastAsia="仿宋" w:cs="仿宋"/>
          <w:sz w:val="24"/>
          <w:szCs w:val="24"/>
          <w:highlight w:val="none"/>
        </w:rPr>
      </w:pPr>
      <w:r>
        <w:rPr>
          <w:rFonts w:hint="eastAsia" w:ascii="仿宋" w:hAnsi="仿宋" w:eastAsia="仿宋" w:cs="仿宋"/>
          <w:sz w:val="24"/>
          <w:szCs w:val="24"/>
          <w:highlight w:val="none"/>
        </w:rPr>
        <w:t>（2）出现影响</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公正的违法、违规行为的；</w:t>
      </w:r>
    </w:p>
    <w:p w14:paraId="2E3EEB6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（3）所有投标报价均超过招标文件中规定的预算金额，</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不能支付的；</w:t>
      </w:r>
    </w:p>
    <w:p w14:paraId="75D0549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（4）因重大变故，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任务取消的。</w:t>
      </w:r>
    </w:p>
    <w:p w14:paraId="7AD51CF1">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六、定标</w:t>
      </w:r>
    </w:p>
    <w:p w14:paraId="278472D1">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28.确定中标候选人</w:t>
      </w:r>
    </w:p>
    <w:p w14:paraId="0890C9C6">
      <w:pPr>
        <w:snapToGrid w:val="0"/>
        <w:spacing w:line="360" w:lineRule="auto"/>
        <w:ind w:firstLine="480" w:firstLineChars="200"/>
        <w:jc w:val="left"/>
        <w:rPr>
          <w:rFonts w:ascii="仿宋" w:hAnsi="仿宋" w:eastAsia="仿宋" w:cs="仿宋"/>
          <w:b/>
          <w:bCs/>
          <w:sz w:val="24"/>
          <w:szCs w:val="24"/>
          <w:highlight w:val="none"/>
        </w:rPr>
      </w:pPr>
      <w:r>
        <w:rPr>
          <w:rFonts w:hint="eastAsia" w:ascii="仿宋" w:hAnsi="仿宋" w:eastAsia="仿宋" w:cs="仿宋"/>
          <w:sz w:val="24"/>
          <w:szCs w:val="24"/>
          <w:highlight w:val="none"/>
        </w:rPr>
        <w:t>28.1评标委员会按照招标文件确定的评标方法、步骤、标准，对投标文件进行评审。评标结束后，对投标人的评审名次进行排序，确定中标候选人，根据全体评标成员签字的原始评标记录和评标结果编写评标报告。</w:t>
      </w:r>
    </w:p>
    <w:p w14:paraId="1BC9A130">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28.2评标委员会所有成员应当在评标报告上签字确认，评标报告的主要内容包括：</w:t>
      </w:r>
    </w:p>
    <w:p w14:paraId="48AB9B8E">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（1）招标公告刊登的媒介名称、开标日期和地点；</w:t>
      </w:r>
    </w:p>
    <w:p w14:paraId="6F946F4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（2）投标人名单和评标委员会成员名单；</w:t>
      </w:r>
    </w:p>
    <w:p w14:paraId="15C83A2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（3）评标方法和评标标准；</w:t>
      </w:r>
    </w:p>
    <w:p w14:paraId="62E25A0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（4）开标记录和评标情况及说明，包括投标无效投标人名单及原因；</w:t>
      </w:r>
    </w:p>
    <w:p w14:paraId="2554B7E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（5）评标结果，确定的中标候选人名单或者经</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委托直接确定的中标人；</w:t>
      </w:r>
    </w:p>
    <w:p w14:paraId="44B6C38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（6）其他需要说明的情况，包括评标过程中投标人根据评标委员会要求进行澄清、说明或者补正，评标委员会成员的更换等。</w:t>
      </w:r>
    </w:p>
    <w:p w14:paraId="4B72669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29.确定中标人</w:t>
      </w:r>
    </w:p>
    <w:p w14:paraId="18010BED">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29.1招标人可委托评标委员会直接定标，</w:t>
      </w:r>
      <w:r>
        <w:rPr>
          <w:rFonts w:hint="eastAsia" w:ascii="仿宋" w:hAnsi="仿宋" w:eastAsia="仿宋" w:cs="仿宋"/>
          <w:sz w:val="24"/>
          <w:szCs w:val="24"/>
          <w:highlight w:val="none"/>
          <w:lang w:val="en-US" w:eastAsia="zh-CN"/>
        </w:rPr>
        <w:t>标包二</w:t>
      </w:r>
      <w:r>
        <w:rPr>
          <w:rFonts w:hint="eastAsia" w:ascii="仿宋" w:hAnsi="仿宋" w:eastAsia="仿宋" w:cs="仿宋"/>
          <w:sz w:val="24"/>
          <w:szCs w:val="24"/>
          <w:highlight w:val="none"/>
        </w:rPr>
        <w:t>确定</w:t>
      </w:r>
      <w:r>
        <w:rPr>
          <w:rFonts w:hint="eastAsia" w:ascii="仿宋" w:hAnsi="仿宋" w:eastAsia="仿宋" w:cs="仿宋"/>
          <w:sz w:val="24"/>
          <w:szCs w:val="24"/>
          <w:highlight w:val="none"/>
          <w:lang w:val="en-US" w:eastAsia="zh-CN"/>
        </w:rPr>
        <w:t>排名第一</w:t>
      </w:r>
      <w:r>
        <w:rPr>
          <w:rFonts w:hint="eastAsia" w:ascii="仿宋" w:hAnsi="仿宋" w:eastAsia="仿宋" w:cs="仿宋"/>
          <w:sz w:val="24"/>
          <w:szCs w:val="24"/>
          <w:highlight w:val="none"/>
        </w:rPr>
        <w:t>的投标人为中标人；也可以自主定标。自主定标的，招标人应当在收到评审报告后3个工作日内确定中标人，招标人逾期未确定中标人且不提出异议的</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标包二</w:t>
      </w:r>
      <w:r>
        <w:rPr>
          <w:rFonts w:hint="eastAsia" w:ascii="仿宋" w:hAnsi="仿宋" w:eastAsia="仿宋" w:cs="仿宋"/>
          <w:sz w:val="24"/>
          <w:szCs w:val="24"/>
          <w:highlight w:val="none"/>
        </w:rPr>
        <w:t>视为确定评审报告提出的</w:t>
      </w:r>
      <w:r>
        <w:rPr>
          <w:rFonts w:hint="eastAsia" w:ascii="仿宋" w:hAnsi="仿宋" w:eastAsia="仿宋" w:cs="仿宋"/>
          <w:sz w:val="24"/>
          <w:szCs w:val="24"/>
          <w:highlight w:val="none"/>
          <w:lang w:val="en-US" w:eastAsia="zh-CN"/>
        </w:rPr>
        <w:t>排名第一</w:t>
      </w:r>
      <w:r>
        <w:rPr>
          <w:rFonts w:hint="eastAsia" w:ascii="仿宋" w:hAnsi="仿宋" w:eastAsia="仿宋" w:cs="仿宋"/>
          <w:sz w:val="24"/>
          <w:szCs w:val="24"/>
          <w:highlight w:val="none"/>
        </w:rPr>
        <w:t>的投标人为中标人。</w:t>
      </w:r>
    </w:p>
    <w:p w14:paraId="3912CA9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评标结果汇总完成后，除下列情形外，任何人不得修改评标结果：</w:t>
      </w:r>
    </w:p>
    <w:p w14:paraId="52CDD521">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（1）分值汇总计算错误的；</w:t>
      </w:r>
    </w:p>
    <w:p w14:paraId="6DF62FB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（2）分项评分超出评分标准范围的；</w:t>
      </w:r>
    </w:p>
    <w:p w14:paraId="652421E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（3）评标委员会成员对客观评审因素评分不一致的；</w:t>
      </w:r>
    </w:p>
    <w:p w14:paraId="7C2C7A10">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（4）经评标委员会认定评分畸高、畸低的；</w:t>
      </w:r>
    </w:p>
    <w:p w14:paraId="4FAD1167">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（5）评标委员会认定的其他情形。</w:t>
      </w:r>
    </w:p>
    <w:p w14:paraId="5D5244FF">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评标报告签署前，经复核发现存在以上情形之一的，评标委员会应当当场修改评标结果，并在评标报告中记载；评标报告签署后，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机构发现存在以上情形之一的，应当组织原评标委员会进行重新评审，重新评审改变结果的，书面报告本级主管部门。投标人对本条上述情形提出质疑的，</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或者</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代理机构可以组织原评标委员会进行重新评审，重新评审改变评标结果的，应当书面报告主管部门。</w:t>
      </w:r>
    </w:p>
    <w:p w14:paraId="588C8AA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29.</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中标人在规定的期限内无正当理由拒绝签订合同，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可以按照评审报告推荐的中标候选人名单排序，确定下一候选人为中标人，也可以重新开展招标活动。</w:t>
      </w:r>
    </w:p>
    <w:p w14:paraId="42667FA7">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七、结果公示和公告</w:t>
      </w:r>
    </w:p>
    <w:p w14:paraId="787A846A">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30.结果公告</w:t>
      </w:r>
    </w:p>
    <w:p w14:paraId="22E82879">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招标人应当自定标结束后在招标公告发布媒介公示中标人。公示期为</w:t>
      </w:r>
      <w:r>
        <w:rPr>
          <w:rFonts w:hint="eastAsia" w:ascii="仿宋" w:hAnsi="仿宋" w:eastAsia="仿宋" w:cs="仿宋"/>
          <w:sz w:val="24"/>
          <w:szCs w:val="24"/>
          <w:highlight w:val="none"/>
          <w:lang w:val="en-US" w:eastAsia="zh-CN"/>
        </w:rPr>
        <w:t>1个工作</w:t>
      </w:r>
      <w:r>
        <w:rPr>
          <w:rFonts w:hint="eastAsia" w:ascii="仿宋" w:hAnsi="仿宋" w:eastAsia="仿宋" w:cs="仿宋"/>
          <w:sz w:val="24"/>
          <w:szCs w:val="24"/>
          <w:highlight w:val="none"/>
        </w:rPr>
        <w:t>日。</w:t>
      </w:r>
    </w:p>
    <w:p w14:paraId="7CCA200A">
      <w:pPr>
        <w:snapToGrid w:val="0"/>
        <w:spacing w:line="360" w:lineRule="auto"/>
        <w:ind w:left="479" w:leftChars="228"/>
        <w:jc w:val="left"/>
        <w:rPr>
          <w:rFonts w:ascii="仿宋" w:hAnsi="仿宋" w:eastAsia="仿宋" w:cs="仿宋"/>
          <w:sz w:val="24"/>
          <w:szCs w:val="24"/>
          <w:highlight w:val="none"/>
        </w:rPr>
      </w:pPr>
      <w:r>
        <w:rPr>
          <w:rFonts w:hint="eastAsia" w:ascii="仿宋" w:hAnsi="仿宋" w:eastAsia="仿宋" w:cs="仿宋"/>
          <w:b/>
          <w:bCs/>
          <w:sz w:val="24"/>
          <w:szCs w:val="24"/>
          <w:highlight w:val="none"/>
        </w:rPr>
        <w:t>31.签发中标通知书</w:t>
      </w:r>
    </w:p>
    <w:p w14:paraId="22F86E5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中标公告结束且无尚未处理的异议后，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和代理机构联合向中标人发出中标通知书。《中标通知书》是合同的组成部分,对中标人和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具有同等法律效力。《中标通知书》发出后，</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不得违法改变中标结果，中标人无正当理由不得放弃中标。</w:t>
      </w:r>
    </w:p>
    <w:p w14:paraId="24C11F90">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八、质疑</w:t>
      </w:r>
    </w:p>
    <w:p w14:paraId="14BF421E">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32.质疑</w:t>
      </w:r>
    </w:p>
    <w:p w14:paraId="5EA8E2E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32.1依据《威海市市属国有企业阳光采购监督管理办法》规定，投标人认为</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文件、</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过程、成交结果使自己的权益受到损害，应于法律法规的规定期限内以书面形式向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机构提出质疑。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机构应当在收到投标人的书面质疑后3个工作日内做出书面答复，但答复内容不得涉及商业秘密。投标人提出的质疑超出</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对</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机构委托授权范围的，</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机构应当告知投标人向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提出。投标人应按照下列规定进行质疑：</w:t>
      </w:r>
    </w:p>
    <w:p w14:paraId="4A111254">
      <w:pPr>
        <w:snapToGrid w:val="0"/>
        <w:spacing w:line="360" w:lineRule="auto"/>
        <w:ind w:firstLine="480" w:firstLineChars="200"/>
        <w:jc w:val="both"/>
        <w:rPr>
          <w:rFonts w:ascii="仿宋" w:hAnsi="仿宋" w:eastAsia="仿宋" w:cs="仿宋"/>
          <w:sz w:val="24"/>
          <w:szCs w:val="24"/>
          <w:highlight w:val="none"/>
        </w:rPr>
      </w:pPr>
      <w:r>
        <w:rPr>
          <w:rFonts w:hint="eastAsia" w:ascii="仿宋" w:hAnsi="仿宋" w:eastAsia="仿宋" w:cs="仿宋"/>
          <w:sz w:val="24"/>
          <w:szCs w:val="24"/>
          <w:highlight w:val="none"/>
        </w:rPr>
        <w:t>32.2提出质疑的投标人应当是参与本项目</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活动的投标人。</w:t>
      </w:r>
    </w:p>
    <w:p w14:paraId="5E13EC7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32.3投标人应在法定质疑期内一次性提出针对同一</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程序环节的质疑。</w:t>
      </w:r>
    </w:p>
    <w:p w14:paraId="4C68CBB4">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32.4 质疑采用实名制，为了使提出的质疑事项在规定时间内得到有效答复、处理，提交的质疑函务必提供以下内容。</w:t>
      </w:r>
    </w:p>
    <w:p w14:paraId="33B4B229">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（1）投标人的姓名或名称、地址（邮箱）、邮编、联系人及联系电话；</w:t>
      </w:r>
    </w:p>
    <w:p w14:paraId="25CB2D6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（2）质疑项目的名称、编号；</w:t>
      </w:r>
    </w:p>
    <w:p w14:paraId="1AFA4A8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（3）具体、明确的质疑事项和与质疑事项相关的请求；</w:t>
      </w:r>
    </w:p>
    <w:p w14:paraId="5100BD0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（4）事实依据；</w:t>
      </w:r>
    </w:p>
    <w:p w14:paraId="5C92DF5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（5）必要的法律依据；</w:t>
      </w:r>
    </w:p>
    <w:p w14:paraId="4D9B3A0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（6）提出质疑的日期。</w:t>
      </w:r>
    </w:p>
    <w:p w14:paraId="69FCAD02">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投标人为自然人的，应当由本人签字；投标人为法人或者其他组织的，应当由法定代表人、单位负责人，或者其被授权人签字或者盖章，并加盖公章。</w:t>
      </w:r>
    </w:p>
    <w:p w14:paraId="6FE70CD8">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32.5</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或</w:t>
      </w:r>
      <w:r>
        <w:rPr>
          <w:rFonts w:hint="eastAsia" w:ascii="仿宋" w:hAnsi="仿宋" w:eastAsia="仿宋" w:cs="仿宋"/>
          <w:sz w:val="24"/>
          <w:szCs w:val="24"/>
          <w:highlight w:val="none"/>
          <w:lang w:eastAsia="zh-CN"/>
        </w:rPr>
        <w:t>招标代理</w:t>
      </w:r>
      <w:r>
        <w:rPr>
          <w:rFonts w:hint="eastAsia" w:ascii="仿宋" w:hAnsi="仿宋" w:eastAsia="仿宋" w:cs="仿宋"/>
          <w:sz w:val="24"/>
          <w:szCs w:val="24"/>
          <w:highlight w:val="none"/>
        </w:rPr>
        <w:t>机构正式受理后方可生效。否则，为无效质疑。</w:t>
      </w:r>
    </w:p>
    <w:p w14:paraId="1DC6C316">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32.6 有下列情况之一的质疑不予受理：</w:t>
      </w:r>
    </w:p>
    <w:p w14:paraId="4BA3B335">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（1）无质疑函件或质疑函件缺少投标人法人印章、投标人法定代表人签字、有效授权书和联系方式之一的质疑；</w:t>
      </w:r>
    </w:p>
    <w:p w14:paraId="45A301D3">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（2）质疑函件无实质性内容或佐证文件资料，主观臆断及推理得出结论的质疑；</w:t>
      </w:r>
    </w:p>
    <w:p w14:paraId="4450D637">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（3）相应证明材料不真实或来源不合法的质疑；</w:t>
      </w:r>
    </w:p>
    <w:p w14:paraId="326CC51A">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（4）未按规定时间或超过公示期限提出的质疑；</w:t>
      </w:r>
    </w:p>
    <w:p w14:paraId="093E35EE">
      <w:pPr>
        <w:snapToGrid w:val="0"/>
        <w:spacing w:line="360" w:lineRule="auto"/>
        <w:ind w:firstLine="480" w:firstLineChars="20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32.7对捏造事实，提供虚假材料或者以非法手段取得证明材料进行恶意质疑的，一经查实，将列入平台黑名单。</w:t>
      </w:r>
    </w:p>
    <w:p w14:paraId="1404DBAF">
      <w:pPr>
        <w:snapToGrid w:val="0"/>
        <w:spacing w:line="360" w:lineRule="auto"/>
        <w:ind w:firstLine="482" w:firstLineChars="200"/>
        <w:jc w:val="left"/>
        <w:rPr>
          <w:rFonts w:ascii="仿宋" w:hAnsi="仿宋" w:eastAsia="仿宋" w:cs="仿宋"/>
          <w:sz w:val="24"/>
          <w:szCs w:val="24"/>
          <w:highlight w:val="none"/>
        </w:rPr>
      </w:pPr>
      <w:r>
        <w:rPr>
          <w:rFonts w:hint="eastAsia" w:ascii="仿宋" w:hAnsi="仿宋" w:eastAsia="仿宋" w:cs="仿宋"/>
          <w:b/>
          <w:bCs/>
          <w:sz w:val="24"/>
          <w:szCs w:val="24"/>
          <w:highlight w:val="none"/>
        </w:rPr>
        <w:t>33.仲裁或起诉</w:t>
      </w:r>
    </w:p>
    <w:p w14:paraId="0CE060E1">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投标人对答复不满意，或者</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、代理机构未在规定的时间内做出书面答复的，投标人可以在答复期满后向</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所在地仲裁机构、人民法院申请仲裁或起诉。</w:t>
      </w:r>
    </w:p>
    <w:p w14:paraId="13AE1AB2">
      <w:pPr>
        <w:snapToGrid w:val="0"/>
        <w:spacing w:line="360" w:lineRule="auto"/>
        <w:ind w:firstLine="482" w:firstLineChars="200"/>
        <w:jc w:val="left"/>
        <w:rPr>
          <w:rFonts w:ascii="仿宋" w:hAnsi="仿宋" w:eastAsia="仿宋" w:cs="仿宋"/>
          <w:b/>
          <w:bCs/>
          <w:sz w:val="24"/>
          <w:szCs w:val="24"/>
          <w:highlight w:val="none"/>
        </w:rPr>
      </w:pPr>
      <w:r>
        <w:rPr>
          <w:rFonts w:hint="eastAsia" w:ascii="仿宋" w:hAnsi="仿宋" w:eastAsia="仿宋" w:cs="仿宋"/>
          <w:b/>
          <w:bCs/>
          <w:sz w:val="24"/>
          <w:szCs w:val="24"/>
          <w:highlight w:val="none"/>
        </w:rPr>
        <w:t>九、签订合同</w:t>
      </w:r>
    </w:p>
    <w:p w14:paraId="4C68320D">
      <w:pPr>
        <w:snapToGrid w:val="0"/>
        <w:spacing w:line="360" w:lineRule="auto"/>
        <w:ind w:firstLine="480" w:firstLineChars="200"/>
        <w:jc w:val="left"/>
        <w:rPr>
          <w:rFonts w:ascii="仿宋" w:hAnsi="仿宋" w:eastAsia="仿宋" w:cs="仿宋"/>
          <w:sz w:val="24"/>
          <w:szCs w:val="24"/>
          <w:highlight w:val="none"/>
        </w:rPr>
      </w:pPr>
      <w:r>
        <w:rPr>
          <w:rFonts w:hint="eastAsia" w:ascii="仿宋" w:hAnsi="仿宋" w:eastAsia="仿宋" w:cs="仿宋"/>
          <w:sz w:val="24"/>
          <w:szCs w:val="24"/>
          <w:highlight w:val="none"/>
        </w:rPr>
        <w:t>中标通知书发出之日起30日内，按招标文件、中标人的投标文件签订采购合同。</w:t>
      </w:r>
    </w:p>
    <w:p w14:paraId="38C11A79">
      <w:pPr>
        <w:snapToGrid w:val="0"/>
        <w:spacing w:line="360" w:lineRule="auto"/>
        <w:ind w:firstLine="480" w:firstLineChars="200"/>
        <w:jc w:val="left"/>
        <w:rPr>
          <w:rFonts w:hint="eastAsia" w:ascii="仿宋" w:hAnsi="仿宋" w:cs="仿宋"/>
          <w:sz w:val="24"/>
          <w:szCs w:val="24"/>
          <w:highlight w:val="none"/>
        </w:rPr>
        <w:sectPr>
          <w:headerReference r:id="rId14" w:type="first"/>
          <w:footerReference r:id="rId16" w:type="first"/>
          <w:headerReference r:id="rId13" w:type="default"/>
          <w:footerReference r:id="rId15" w:type="default"/>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pP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应当按照招标文件和中标人投标文件的规定，与中标人签订书面合同。</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与中标人所签订的合同不得对招标文件和中标人的投标文件作实质性修改。</w:t>
      </w:r>
      <w:r>
        <w:rPr>
          <w:rFonts w:hint="eastAsia" w:ascii="仿宋" w:hAnsi="仿宋" w:eastAsia="仿宋" w:cs="仿宋"/>
          <w:sz w:val="24"/>
          <w:szCs w:val="24"/>
          <w:highlight w:val="none"/>
          <w:lang w:eastAsia="zh-CN"/>
        </w:rPr>
        <w:t>招标人</w:t>
      </w:r>
      <w:r>
        <w:rPr>
          <w:rFonts w:hint="eastAsia" w:ascii="仿宋" w:hAnsi="仿宋" w:eastAsia="仿宋" w:cs="仿宋"/>
          <w:sz w:val="24"/>
          <w:szCs w:val="24"/>
          <w:highlight w:val="none"/>
        </w:rPr>
        <w:t>不得向中标人提出任何不合理的要求，作为签订合同的条件，不得与中标人私下订立背离合同实质性内容的协议。合同原则以第六部分 合同</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范本</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为基础，并根据响应、答疑情况进行修改补充，自签订之日起生效。</w:t>
      </w:r>
    </w:p>
    <w:p w14:paraId="079BAB34">
      <w:pPr>
        <w:pStyle w:val="3"/>
        <w:numPr>
          <w:ilvl w:val="0"/>
          <w:numId w:val="0"/>
        </w:numPr>
        <w:tabs>
          <w:tab w:val="left" w:pos="432"/>
        </w:tabs>
        <w:bidi w:val="0"/>
        <w:ind w:leftChars="0"/>
        <w:jc w:val="center"/>
        <w:rPr>
          <w:rFonts w:hint="eastAsia" w:ascii="仿宋" w:hAnsi="仿宋" w:eastAsia="仿宋" w:cs="仿宋"/>
          <w:b w:val="0"/>
          <w:bCs/>
          <w:szCs w:val="30"/>
          <w:highlight w:val="none"/>
        </w:rPr>
      </w:pPr>
      <w:bookmarkStart w:id="13" w:name="_Toc10256"/>
      <w:r>
        <w:rPr>
          <w:rFonts w:hint="eastAsia"/>
          <w:highlight w:val="none"/>
          <w:lang w:val="en-US" w:eastAsia="zh-CN"/>
        </w:rPr>
        <w:t>第三部分</w:t>
      </w:r>
      <w:r>
        <w:rPr>
          <w:rFonts w:hint="eastAsia"/>
          <w:highlight w:val="none"/>
        </w:rPr>
        <w:t xml:space="preserve"> </w:t>
      </w:r>
      <w:r>
        <w:rPr>
          <w:rFonts w:hint="eastAsia"/>
          <w:highlight w:val="none"/>
          <w:lang w:eastAsia="zh-CN"/>
        </w:rPr>
        <w:t>招标</w:t>
      </w:r>
      <w:r>
        <w:rPr>
          <w:rFonts w:hint="eastAsia"/>
          <w:highlight w:val="none"/>
        </w:rPr>
        <w:t>内容与要求</w:t>
      </w:r>
      <w:bookmarkEnd w:id="13"/>
    </w:p>
    <w:p w14:paraId="535D41B8">
      <w:pPr>
        <w:keepNext w:val="0"/>
        <w:keepLines w:val="0"/>
        <w:pageBreakBefore w:val="0"/>
        <w:kinsoku/>
        <w:wordWrap/>
        <w:overflowPunct/>
        <w:topLinePunct w:val="0"/>
        <w:autoSpaceDE/>
        <w:autoSpaceDN/>
        <w:bidi w:val="0"/>
        <w:snapToGrid/>
        <w:spacing w:line="410" w:lineRule="exact"/>
        <w:ind w:firstLine="482" w:firstLineChars="200"/>
        <w:contextualSpacing/>
        <w:textAlignment w:val="auto"/>
        <w:rPr>
          <w:rFonts w:hint="eastAsia" w:ascii="仿宋" w:hAnsi="仿宋" w:eastAsia="仿宋" w:cs="仿宋"/>
          <w:b/>
          <w:bCs/>
          <w:sz w:val="24"/>
          <w:szCs w:val="24"/>
          <w:highlight w:val="none"/>
          <w:lang w:eastAsia="zh-CN"/>
        </w:rPr>
      </w:pPr>
      <w:bookmarkStart w:id="14" w:name="_Hlk163316215"/>
      <w:bookmarkStart w:id="15" w:name="_Toc484525621"/>
      <w:r>
        <w:rPr>
          <w:rFonts w:hint="eastAsia" w:ascii="仿宋" w:hAnsi="仿宋" w:eastAsia="仿宋" w:cs="仿宋"/>
          <w:b/>
          <w:bCs/>
          <w:sz w:val="24"/>
          <w:szCs w:val="24"/>
          <w:highlight w:val="none"/>
          <w:lang w:val="en-US" w:eastAsia="zh-CN"/>
        </w:rPr>
        <w:t>一、</w:t>
      </w:r>
      <w:r>
        <w:rPr>
          <w:rFonts w:hint="eastAsia" w:ascii="仿宋" w:hAnsi="仿宋" w:eastAsia="仿宋" w:cs="仿宋"/>
          <w:b/>
          <w:bCs/>
          <w:sz w:val="24"/>
          <w:szCs w:val="24"/>
          <w:highlight w:val="none"/>
        </w:rPr>
        <w:t>项目名称：</w:t>
      </w:r>
      <w:r>
        <w:rPr>
          <w:rFonts w:hint="eastAsia" w:ascii="仿宋" w:hAnsi="仿宋" w:eastAsia="仿宋" w:cs="仿宋"/>
          <w:b w:val="0"/>
          <w:bCs w:val="0"/>
          <w:sz w:val="24"/>
          <w:szCs w:val="24"/>
          <w:highlight w:val="none"/>
          <w:lang w:eastAsia="zh-CN"/>
        </w:rPr>
        <w:t>选定车辆定点加油服务单位</w:t>
      </w:r>
    </w:p>
    <w:p w14:paraId="4E92300C">
      <w:pPr>
        <w:pStyle w:val="13"/>
        <w:spacing w:line="480" w:lineRule="exact"/>
        <w:ind w:left="0" w:leftChars="0" w:firstLine="482" w:firstLineChars="200"/>
        <w:contextualSpacing/>
        <w:rPr>
          <w:rFonts w:hint="eastAsia" w:ascii="仿宋" w:hAnsi="仿宋" w:eastAsia="仿宋" w:cs="仿宋"/>
          <w:spacing w:val="8"/>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二、服务期：</w:t>
      </w:r>
      <w:r>
        <w:rPr>
          <w:rFonts w:hint="eastAsia" w:ascii="仿宋" w:hAnsi="仿宋" w:eastAsia="仿宋" w:cs="仿宋"/>
          <w:b w:val="0"/>
          <w:bCs w:val="0"/>
          <w:kern w:val="2"/>
          <w:sz w:val="24"/>
          <w:szCs w:val="24"/>
          <w:highlight w:val="none"/>
          <w:lang w:val="en-US" w:eastAsia="zh-CN" w:bidi="ar-SA"/>
        </w:rPr>
        <w:t>自</w:t>
      </w:r>
      <w:r>
        <w:rPr>
          <w:rFonts w:hint="eastAsia" w:ascii="仿宋" w:hAnsi="仿宋" w:eastAsia="仿宋" w:cs="仿宋"/>
          <w:spacing w:val="8"/>
          <w:kern w:val="2"/>
          <w:sz w:val="24"/>
          <w:szCs w:val="24"/>
          <w:highlight w:val="none"/>
          <w:lang w:val="en-US" w:eastAsia="zh-CN" w:bidi="ar-SA"/>
        </w:rPr>
        <w:t>合同签订之日起一年,合同期满双方无异议后可以续签，但最长不超过三年。</w:t>
      </w:r>
    </w:p>
    <w:p w14:paraId="6ADB40D9">
      <w:pPr>
        <w:pStyle w:val="13"/>
        <w:spacing w:line="480" w:lineRule="exact"/>
        <w:ind w:left="0" w:leftChars="0" w:firstLine="514" w:firstLineChars="200"/>
        <w:contextualSpacing/>
        <w:rPr>
          <w:rFonts w:hint="eastAsia" w:ascii="仿宋" w:hAnsi="仿宋" w:eastAsia="仿宋" w:cs="仿宋"/>
          <w:b/>
          <w:bCs/>
          <w:spacing w:val="8"/>
          <w:kern w:val="2"/>
          <w:sz w:val="24"/>
          <w:szCs w:val="24"/>
          <w:highlight w:val="none"/>
          <w:lang w:val="en-US" w:eastAsia="zh-CN" w:bidi="ar-SA"/>
        </w:rPr>
      </w:pPr>
      <w:r>
        <w:rPr>
          <w:rFonts w:hint="eastAsia" w:ascii="仿宋" w:hAnsi="仿宋" w:eastAsia="仿宋" w:cs="仿宋"/>
          <w:b/>
          <w:bCs/>
          <w:spacing w:val="8"/>
          <w:kern w:val="2"/>
          <w:sz w:val="24"/>
          <w:szCs w:val="24"/>
          <w:highlight w:val="none"/>
          <w:lang w:val="en-US" w:eastAsia="zh-CN" w:bidi="ar-SA"/>
        </w:rPr>
        <w:t>三、招标控制价：</w:t>
      </w:r>
    </w:p>
    <w:p w14:paraId="5091228A">
      <w:pPr>
        <w:pStyle w:val="13"/>
        <w:spacing w:line="480" w:lineRule="exact"/>
        <w:ind w:left="0" w:leftChars="0" w:firstLine="514" w:firstLineChars="200"/>
        <w:contextualSpacing/>
        <w:rPr>
          <w:rFonts w:hint="default" w:ascii="仿宋" w:hAnsi="仿宋" w:eastAsia="仿宋" w:cs="仿宋"/>
          <w:b/>
          <w:bCs/>
          <w:spacing w:val="8"/>
          <w:kern w:val="2"/>
          <w:sz w:val="24"/>
          <w:szCs w:val="24"/>
          <w:highlight w:val="none"/>
          <w:lang w:val="en-US" w:eastAsia="zh-CN" w:bidi="ar-SA"/>
        </w:rPr>
      </w:pPr>
      <w:r>
        <w:rPr>
          <w:rFonts w:hint="eastAsia" w:ascii="仿宋" w:hAnsi="仿宋" w:eastAsia="仿宋" w:cs="仿宋"/>
          <w:b/>
          <w:bCs/>
          <w:spacing w:val="8"/>
          <w:kern w:val="2"/>
          <w:sz w:val="24"/>
          <w:szCs w:val="24"/>
          <w:highlight w:val="none"/>
          <w:lang w:val="en-US" w:eastAsia="zh-CN" w:bidi="ar-SA"/>
        </w:rPr>
        <w:t>标包二：在国家发改</w:t>
      </w:r>
      <w:r>
        <w:rPr>
          <w:rFonts w:hint="eastAsia" w:ascii="仿宋" w:hAnsi="仿宋" w:eastAsia="仿宋" w:cs="仿宋"/>
          <w:b/>
          <w:bCs/>
          <w:color w:val="000000"/>
          <w:kern w:val="0"/>
          <w:sz w:val="24"/>
          <w:szCs w:val="24"/>
          <w:highlight w:val="none"/>
        </w:rPr>
        <w:t>委规定的当日成品油零售限价</w:t>
      </w:r>
      <w:r>
        <w:rPr>
          <w:rFonts w:hint="eastAsia" w:ascii="仿宋" w:hAnsi="仿宋" w:eastAsia="仿宋" w:cs="仿宋"/>
          <w:b/>
          <w:bCs/>
          <w:color w:val="000000"/>
          <w:kern w:val="0"/>
          <w:sz w:val="24"/>
          <w:szCs w:val="24"/>
          <w:highlight w:val="none"/>
          <w:lang w:val="en-US" w:eastAsia="zh-CN"/>
        </w:rPr>
        <w:t>的</w:t>
      </w:r>
      <w:r>
        <w:rPr>
          <w:rFonts w:hint="eastAsia" w:ascii="仿宋" w:hAnsi="仿宋" w:eastAsia="仿宋" w:cs="仿宋"/>
          <w:b/>
          <w:bCs/>
          <w:color w:val="000000"/>
          <w:kern w:val="0"/>
          <w:sz w:val="24"/>
          <w:szCs w:val="24"/>
          <w:highlight w:val="none"/>
        </w:rPr>
        <w:t>基础上</w:t>
      </w:r>
      <w:r>
        <w:rPr>
          <w:rFonts w:hint="eastAsia" w:ascii="仿宋" w:hAnsi="仿宋" w:eastAsia="仿宋" w:cs="仿宋"/>
          <w:b/>
          <w:bCs/>
          <w:color w:val="000000"/>
          <w:kern w:val="0"/>
          <w:sz w:val="24"/>
          <w:szCs w:val="24"/>
          <w:highlight w:val="none"/>
          <w:lang w:eastAsia="zh-CN"/>
        </w:rPr>
        <w:t>，</w:t>
      </w:r>
      <w:r>
        <w:rPr>
          <w:rFonts w:hint="eastAsia" w:ascii="仿宋" w:hAnsi="仿宋" w:eastAsia="仿宋" w:cs="仿宋"/>
          <w:b/>
          <w:bCs/>
          <w:color w:val="000000"/>
          <w:kern w:val="0"/>
          <w:sz w:val="24"/>
          <w:szCs w:val="24"/>
          <w:highlight w:val="none"/>
          <w:lang w:val="en-US" w:eastAsia="zh-CN"/>
        </w:rPr>
        <w:t>折扣率不高于97%（仅在</w:t>
      </w:r>
      <w:r>
        <w:rPr>
          <w:rFonts w:hint="eastAsia" w:ascii="仿宋" w:hAnsi="仿宋" w:eastAsia="仿宋" w:cs="仿宋"/>
          <w:b/>
          <w:bCs/>
          <w:spacing w:val="8"/>
          <w:kern w:val="2"/>
          <w:sz w:val="24"/>
          <w:szCs w:val="24"/>
          <w:highlight w:val="none"/>
          <w:lang w:val="en-US" w:eastAsia="zh-CN" w:bidi="ar-SA"/>
        </w:rPr>
        <w:t>山东省内的加油站点执行折扣优惠</w:t>
      </w:r>
      <w:r>
        <w:rPr>
          <w:rFonts w:hint="eastAsia" w:ascii="仿宋" w:hAnsi="仿宋" w:eastAsia="仿宋" w:cs="仿宋"/>
          <w:b/>
          <w:bCs/>
          <w:color w:val="000000"/>
          <w:kern w:val="0"/>
          <w:sz w:val="24"/>
          <w:szCs w:val="24"/>
          <w:highlight w:val="none"/>
          <w:lang w:val="en-US" w:eastAsia="zh-CN"/>
        </w:rPr>
        <w:t>）。</w:t>
      </w:r>
    </w:p>
    <w:p w14:paraId="4FB82656">
      <w:pPr>
        <w:pStyle w:val="13"/>
        <w:spacing w:line="480" w:lineRule="exact"/>
        <w:ind w:left="0" w:leftChars="0" w:firstLine="514" w:firstLineChars="200"/>
        <w:contextualSpacing/>
        <w:rPr>
          <w:rFonts w:hint="eastAsia" w:ascii="仿宋" w:hAnsi="仿宋" w:eastAsia="仿宋" w:cs="仿宋"/>
          <w:b/>
          <w:bCs/>
          <w:spacing w:val="8"/>
          <w:kern w:val="2"/>
          <w:sz w:val="24"/>
          <w:szCs w:val="24"/>
          <w:highlight w:val="none"/>
          <w:lang w:val="en-US" w:eastAsia="zh-CN" w:bidi="ar-SA"/>
        </w:rPr>
      </w:pPr>
      <w:r>
        <w:rPr>
          <w:rFonts w:hint="eastAsia" w:ascii="仿宋" w:hAnsi="仿宋" w:eastAsia="仿宋" w:cs="仿宋"/>
          <w:b/>
          <w:bCs/>
          <w:spacing w:val="8"/>
          <w:kern w:val="2"/>
          <w:sz w:val="24"/>
          <w:szCs w:val="24"/>
          <w:highlight w:val="none"/>
          <w:lang w:val="en-US" w:eastAsia="zh-CN" w:bidi="ar-SA"/>
        </w:rPr>
        <w:t>四、具体要求</w:t>
      </w:r>
    </w:p>
    <w:p w14:paraId="201A18A7">
      <w:pPr>
        <w:pStyle w:val="13"/>
        <w:spacing w:line="480" w:lineRule="exact"/>
        <w:ind w:left="0" w:leftChars="0" w:firstLine="482" w:firstLineChars="200"/>
        <w:contextualSpacing/>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标包二</w:t>
      </w:r>
      <w:r>
        <w:rPr>
          <w:rFonts w:hint="eastAsia" w:ascii="仿宋" w:hAnsi="仿宋" w:eastAsia="仿宋" w:cs="仿宋"/>
          <w:b/>
          <w:bCs/>
          <w:sz w:val="24"/>
          <w:szCs w:val="24"/>
          <w:highlight w:val="none"/>
        </w:rPr>
        <w:t>：选定全国范围</w:t>
      </w:r>
      <w:r>
        <w:rPr>
          <w:rFonts w:hint="eastAsia" w:ascii="仿宋" w:hAnsi="仿宋" w:eastAsia="仿宋" w:cs="仿宋"/>
          <w:b/>
          <w:bCs/>
          <w:sz w:val="24"/>
          <w:szCs w:val="24"/>
          <w:highlight w:val="none"/>
          <w:lang w:eastAsia="zh-CN"/>
        </w:rPr>
        <w:t>定点加油服务单位</w:t>
      </w:r>
      <w:r>
        <w:rPr>
          <w:rFonts w:hint="eastAsia" w:ascii="仿宋" w:hAnsi="仿宋" w:eastAsia="仿宋" w:cs="仿宋"/>
          <w:b/>
          <w:bCs/>
          <w:sz w:val="24"/>
          <w:szCs w:val="24"/>
          <w:highlight w:val="none"/>
        </w:rPr>
        <w:t xml:space="preserve">            </w:t>
      </w:r>
    </w:p>
    <w:p w14:paraId="4ABAE40B">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（一）油品品种：包括各种标号的汽油和柴油等成品油。</w:t>
      </w:r>
    </w:p>
    <w:p w14:paraId="4364C2CD">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w:t>
      </w:r>
      <w:r>
        <w:rPr>
          <w:rFonts w:hint="eastAsia" w:ascii="仿宋" w:hAnsi="仿宋" w:eastAsia="仿宋" w:cs="仿宋"/>
          <w:color w:val="000000"/>
          <w:kern w:val="0"/>
          <w:sz w:val="24"/>
          <w:szCs w:val="24"/>
          <w:highlight w:val="none"/>
          <w:lang w:val="en-US" w:eastAsia="zh-CN"/>
        </w:rPr>
        <w:t>二</w:t>
      </w:r>
      <w:r>
        <w:rPr>
          <w:rFonts w:hint="eastAsia" w:ascii="仿宋" w:hAnsi="仿宋" w:eastAsia="仿宋" w:cs="仿宋"/>
          <w:color w:val="000000"/>
          <w:kern w:val="0"/>
          <w:sz w:val="24"/>
          <w:szCs w:val="24"/>
          <w:highlight w:val="none"/>
        </w:rPr>
        <w:t>）具有国家法规规定的油品销售（批发）资质，具有合法的运输车辆，确保供应油品质量达到国家法定标准。</w:t>
      </w:r>
    </w:p>
    <w:p w14:paraId="1655EE1B">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w:t>
      </w:r>
      <w:r>
        <w:rPr>
          <w:rFonts w:hint="eastAsia" w:ascii="仿宋" w:hAnsi="仿宋" w:eastAsia="仿宋" w:cs="仿宋"/>
          <w:color w:val="000000"/>
          <w:kern w:val="0"/>
          <w:sz w:val="24"/>
          <w:szCs w:val="24"/>
          <w:highlight w:val="none"/>
          <w:lang w:val="en-US" w:eastAsia="zh-CN"/>
        </w:rPr>
        <w:t>三</w:t>
      </w:r>
      <w:r>
        <w:rPr>
          <w:rFonts w:hint="eastAsia" w:ascii="仿宋" w:hAnsi="仿宋" w:eastAsia="仿宋" w:cs="仿宋"/>
          <w:color w:val="000000"/>
          <w:kern w:val="0"/>
          <w:sz w:val="24"/>
          <w:szCs w:val="24"/>
          <w:highlight w:val="none"/>
        </w:rPr>
        <w:t>）服务要求</w:t>
      </w:r>
    </w:p>
    <w:p w14:paraId="1675EFC7">
      <w:pPr>
        <w:pStyle w:val="13"/>
        <w:spacing w:line="480" w:lineRule="exact"/>
        <w:rPr>
          <w:rFonts w:hint="eastAsia" w:ascii="仿宋" w:hAnsi="仿宋" w:eastAsia="仿宋" w:cs="仿宋"/>
          <w:color w:val="000000"/>
          <w:kern w:val="0"/>
          <w:sz w:val="24"/>
          <w:szCs w:val="24"/>
          <w:highlight w:val="none"/>
          <w:lang w:eastAsia="zh-CN"/>
        </w:rPr>
      </w:pPr>
      <w:r>
        <w:rPr>
          <w:rFonts w:hint="eastAsia" w:ascii="仿宋" w:hAnsi="仿宋" w:eastAsia="仿宋" w:cs="仿宋"/>
          <w:color w:val="000000"/>
          <w:kern w:val="0"/>
          <w:sz w:val="24"/>
          <w:szCs w:val="24"/>
          <w:highlight w:val="none"/>
          <w:lang w:val="en-US" w:eastAsia="zh-CN"/>
        </w:rPr>
        <w:t>1.</w:t>
      </w:r>
      <w:r>
        <w:rPr>
          <w:rFonts w:hint="eastAsia" w:ascii="仿宋" w:hAnsi="仿宋" w:eastAsia="仿宋" w:cs="仿宋"/>
          <w:color w:val="000000"/>
          <w:kern w:val="0"/>
          <w:sz w:val="24"/>
          <w:szCs w:val="24"/>
          <w:highlight w:val="none"/>
        </w:rPr>
        <w:t>投标人定点加油站</w:t>
      </w:r>
      <w:r>
        <w:rPr>
          <w:rFonts w:hint="eastAsia" w:ascii="仿宋" w:hAnsi="仿宋" w:eastAsia="仿宋" w:cs="仿宋"/>
          <w:color w:val="000000"/>
          <w:kern w:val="0"/>
          <w:sz w:val="24"/>
          <w:szCs w:val="24"/>
          <w:highlight w:val="none"/>
          <w:lang w:val="en-US" w:eastAsia="zh-CN"/>
        </w:rPr>
        <w:t>须</w:t>
      </w:r>
      <w:r>
        <w:rPr>
          <w:rFonts w:hint="eastAsia" w:ascii="仿宋" w:hAnsi="仿宋" w:eastAsia="仿宋" w:cs="仿宋"/>
          <w:color w:val="000000"/>
          <w:kern w:val="0"/>
          <w:sz w:val="24"/>
          <w:szCs w:val="24"/>
          <w:highlight w:val="none"/>
        </w:rPr>
        <w:t>设施齐备，</w:t>
      </w:r>
      <w:r>
        <w:rPr>
          <w:rFonts w:hint="eastAsia" w:ascii="仿宋" w:hAnsi="仿宋" w:eastAsia="仿宋" w:cs="仿宋"/>
          <w:color w:val="000000"/>
          <w:kern w:val="0"/>
          <w:sz w:val="24"/>
          <w:szCs w:val="24"/>
          <w:highlight w:val="none"/>
          <w:lang w:val="en-US" w:eastAsia="zh-CN"/>
        </w:rPr>
        <w:t>合规运营、</w:t>
      </w:r>
      <w:r>
        <w:rPr>
          <w:rFonts w:hint="eastAsia" w:ascii="仿宋" w:hAnsi="仿宋" w:eastAsia="仿宋" w:cs="仿宋"/>
          <w:color w:val="000000"/>
          <w:kern w:val="0"/>
          <w:sz w:val="24"/>
          <w:szCs w:val="24"/>
          <w:highlight w:val="none"/>
        </w:rPr>
        <w:t>服务优良</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须具有布局合理的定点加油站点网络，报定点加油站基本状况表</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有效备案定点加油站数量充足</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加油站点至少覆盖山东省所有地级市</w:t>
      </w:r>
      <w:r>
        <w:rPr>
          <w:rFonts w:hint="eastAsia" w:ascii="仿宋" w:hAnsi="仿宋" w:eastAsia="仿宋" w:cs="仿宋"/>
          <w:color w:val="000000"/>
          <w:kern w:val="0"/>
          <w:sz w:val="24"/>
          <w:szCs w:val="24"/>
          <w:highlight w:val="none"/>
          <w:lang w:eastAsia="zh-CN"/>
        </w:rPr>
        <w:t>，在</w:t>
      </w:r>
      <w:r>
        <w:rPr>
          <w:rFonts w:hint="eastAsia" w:ascii="仿宋" w:hAnsi="仿宋" w:eastAsia="仿宋" w:cs="仿宋"/>
          <w:color w:val="000000"/>
          <w:kern w:val="0"/>
          <w:sz w:val="24"/>
          <w:szCs w:val="24"/>
          <w:highlight w:val="none"/>
          <w:lang w:val="en-US" w:eastAsia="zh-CN"/>
        </w:rPr>
        <w:t>主城区、</w:t>
      </w:r>
      <w:r>
        <w:rPr>
          <w:rFonts w:hint="eastAsia" w:ascii="仿宋" w:hAnsi="仿宋" w:eastAsia="仿宋" w:cs="仿宋"/>
          <w:color w:val="000000"/>
          <w:kern w:val="0"/>
          <w:sz w:val="24"/>
          <w:szCs w:val="24"/>
          <w:highlight w:val="none"/>
        </w:rPr>
        <w:t>高速服务区、重点交通枢纽站点密集，杜绝局部区域无站点、站点稀疏、加油不便的问题。能够满足采购人车辆日常、跨区域、应急加油需求</w:t>
      </w:r>
      <w:r>
        <w:rPr>
          <w:rFonts w:hint="eastAsia" w:ascii="仿宋" w:hAnsi="仿宋" w:eastAsia="仿宋" w:cs="仿宋"/>
          <w:color w:val="000000"/>
          <w:kern w:val="0"/>
          <w:sz w:val="24"/>
          <w:szCs w:val="24"/>
          <w:highlight w:val="none"/>
          <w:lang w:eastAsia="zh-CN"/>
        </w:rPr>
        <w:t>。</w:t>
      </w:r>
    </w:p>
    <w:p w14:paraId="09FE8806">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2、车辆加油采用加油IC卡方式，</w:t>
      </w:r>
      <w:r>
        <w:rPr>
          <w:rFonts w:hint="eastAsia" w:ascii="仿宋" w:hAnsi="仿宋" w:eastAsia="仿宋" w:cs="仿宋"/>
          <w:color w:val="000000"/>
          <w:kern w:val="0"/>
          <w:sz w:val="24"/>
          <w:szCs w:val="24"/>
          <w:highlight w:val="none"/>
          <w:lang w:eastAsia="zh-CN"/>
        </w:rPr>
        <w:t>并实行联网统计、加油数据实时同步、台账可查、账目清晰。</w:t>
      </w:r>
      <w:r>
        <w:rPr>
          <w:rFonts w:hint="eastAsia" w:ascii="仿宋" w:hAnsi="仿宋" w:eastAsia="仿宋" w:cs="仿宋"/>
          <w:color w:val="000000"/>
          <w:kern w:val="0"/>
          <w:sz w:val="24"/>
          <w:szCs w:val="24"/>
          <w:highlight w:val="none"/>
        </w:rPr>
        <w:t>加油费用由采购人与中标人按本次招标确定的优惠率自行结算，实现机动车辆加油计算机处理，有统一的数据库。</w:t>
      </w:r>
    </w:p>
    <w:p w14:paraId="1FFB8812">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3</w:t>
      </w:r>
      <w:r>
        <w:rPr>
          <w:rFonts w:hint="eastAsia" w:ascii="仿宋" w:hAnsi="仿宋" w:eastAsia="仿宋" w:cs="仿宋"/>
          <w:color w:val="000000"/>
          <w:kern w:val="0"/>
          <w:sz w:val="24"/>
          <w:szCs w:val="24"/>
          <w:highlight w:val="none"/>
          <w:lang w:eastAsia="zh-CN"/>
        </w:rPr>
        <w:t>、</w:t>
      </w:r>
      <w:r>
        <w:rPr>
          <w:rFonts w:hint="eastAsia" w:ascii="仿宋" w:hAnsi="仿宋" w:eastAsia="仿宋" w:cs="仿宋"/>
          <w:color w:val="000000"/>
          <w:kern w:val="0"/>
          <w:sz w:val="24"/>
          <w:szCs w:val="24"/>
          <w:highlight w:val="none"/>
        </w:rPr>
        <w:t>油质要求：投标人所经销油品必须全部从国家正规炼油厂、国有石油公司采购,绝不能掺杂使假,以次充好，采购人将不定期对中标人的油品质量进行抽查。</w:t>
      </w:r>
    </w:p>
    <w:p w14:paraId="24ED7D07">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4、油量要求：投标人必须使用符合国家规定的加油机加油,绝不允许缺斤短两,克扣用户。</w:t>
      </w:r>
    </w:p>
    <w:p w14:paraId="2CB30A70">
      <w:pPr>
        <w:spacing w:line="480" w:lineRule="exact"/>
        <w:ind w:firstLine="480" w:firstLineChars="200"/>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5、油品价格要求：投标价格</w:t>
      </w:r>
      <w:r>
        <w:rPr>
          <w:rFonts w:hint="eastAsia" w:ascii="仿宋" w:hAnsi="仿宋" w:eastAsia="仿宋" w:cs="仿宋"/>
          <w:color w:val="000000"/>
          <w:kern w:val="0"/>
          <w:sz w:val="24"/>
          <w:szCs w:val="24"/>
          <w:highlight w:val="none"/>
          <w:lang w:val="en-US" w:eastAsia="zh-CN"/>
        </w:rPr>
        <w:t>在招标控制价的</w:t>
      </w:r>
      <w:r>
        <w:rPr>
          <w:rFonts w:hint="eastAsia" w:ascii="仿宋" w:hAnsi="仿宋" w:eastAsia="仿宋" w:cs="仿宋"/>
          <w:color w:val="000000"/>
          <w:kern w:val="0"/>
          <w:sz w:val="24"/>
          <w:szCs w:val="24"/>
          <w:highlight w:val="none"/>
        </w:rPr>
        <w:t>基础上,给予最大</w:t>
      </w:r>
      <w:r>
        <w:rPr>
          <w:rFonts w:hint="eastAsia" w:ascii="仿宋" w:hAnsi="仿宋" w:eastAsia="仿宋" w:cs="仿宋"/>
          <w:color w:val="000000"/>
          <w:kern w:val="0"/>
          <w:sz w:val="24"/>
          <w:szCs w:val="24"/>
          <w:highlight w:val="none"/>
          <w:lang w:val="en-US" w:eastAsia="zh-CN"/>
        </w:rPr>
        <w:t>的折扣力度</w:t>
      </w:r>
      <w:r>
        <w:rPr>
          <w:rFonts w:hint="eastAsia" w:ascii="仿宋" w:hAnsi="仿宋" w:eastAsia="仿宋" w:cs="仿宋"/>
          <w:b/>
          <w:bCs/>
          <w:color w:val="000000"/>
          <w:kern w:val="0"/>
          <w:sz w:val="24"/>
          <w:szCs w:val="24"/>
          <w:highlight w:val="none"/>
          <w:lang w:val="en-US" w:eastAsia="zh-CN"/>
        </w:rPr>
        <w:t>（仅在</w:t>
      </w:r>
      <w:r>
        <w:rPr>
          <w:rFonts w:hint="eastAsia" w:ascii="仿宋" w:hAnsi="仿宋" w:eastAsia="仿宋" w:cs="仿宋"/>
          <w:b/>
          <w:bCs/>
          <w:spacing w:val="8"/>
          <w:kern w:val="2"/>
          <w:sz w:val="24"/>
          <w:szCs w:val="24"/>
          <w:highlight w:val="none"/>
          <w:lang w:val="en-US" w:eastAsia="zh-CN" w:bidi="ar-SA"/>
        </w:rPr>
        <w:t>山东省内的加油站点执行折扣优惠</w:t>
      </w:r>
      <w:r>
        <w:rPr>
          <w:rFonts w:hint="eastAsia" w:ascii="仿宋" w:hAnsi="仿宋" w:eastAsia="仿宋" w:cs="仿宋"/>
          <w:b/>
          <w:bCs/>
          <w:color w:val="000000"/>
          <w:kern w:val="0"/>
          <w:sz w:val="24"/>
          <w:szCs w:val="24"/>
          <w:highlight w:val="none"/>
          <w:lang w:val="en-US" w:eastAsia="zh-CN"/>
        </w:rPr>
        <w:t>）</w:t>
      </w:r>
      <w:r>
        <w:rPr>
          <w:rFonts w:hint="eastAsia" w:ascii="仿宋" w:hAnsi="仿宋" w:eastAsia="仿宋" w:cs="仿宋"/>
          <w:color w:val="auto"/>
          <w:kern w:val="2"/>
          <w:sz w:val="24"/>
          <w:szCs w:val="24"/>
          <w:highlight w:val="none"/>
          <w:lang w:eastAsia="zh-CN" w:bidi="ar-SA"/>
        </w:rPr>
        <w:t>。</w:t>
      </w:r>
      <w:r>
        <w:rPr>
          <w:rFonts w:hint="eastAsia" w:ascii="仿宋" w:hAnsi="仿宋" w:eastAsia="仿宋" w:cs="仿宋"/>
          <w:color w:val="000000"/>
          <w:kern w:val="0"/>
          <w:sz w:val="24"/>
          <w:szCs w:val="24"/>
          <w:highlight w:val="none"/>
        </w:rPr>
        <w:t>中标人要在醒目位置公布价格表,并在结算时说明优惠金额,以利监督。</w:t>
      </w:r>
    </w:p>
    <w:p w14:paraId="42410BB8">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6、服务要求：礼貌待客,热情服务,车到人到,随来随加。</w:t>
      </w:r>
    </w:p>
    <w:p w14:paraId="655A1F7D">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7、守纪律。认真遵守职业道德和行业规范,严格执行财经纪律,坚决杜绝送礼品、给回扣、报销费用等一切不正当竞争行为。</w:t>
      </w:r>
    </w:p>
    <w:p w14:paraId="62F85159">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8、接受采购人定期对加油情况进行监督、检查,定期向采购人提供有关资料,接受采购人的业务指导、管理和工作调度。</w:t>
      </w:r>
    </w:p>
    <w:p w14:paraId="0208A154">
      <w:pPr>
        <w:pStyle w:val="13"/>
        <w:spacing w:line="480" w:lineRule="exact"/>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9、投标人必须保证在油品供应紧张时，优先保证采购人车辆，定点加油站油品不断档，采购人车辆加油不限量。</w:t>
      </w:r>
    </w:p>
    <w:p w14:paraId="15A317C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b w:val="0"/>
          <w:bCs/>
          <w:color w:val="000000"/>
          <w:kern w:val="0"/>
          <w:sz w:val="24"/>
          <w:szCs w:val="24"/>
          <w:highlight w:val="none"/>
        </w:rPr>
        <w:t>（六）结算方式</w:t>
      </w:r>
      <w:r>
        <w:rPr>
          <w:rFonts w:hint="eastAsia" w:ascii="仿宋" w:hAnsi="仿宋" w:eastAsia="仿宋" w:cs="仿宋"/>
          <w:b/>
          <w:color w:val="000000"/>
          <w:kern w:val="0"/>
          <w:sz w:val="24"/>
          <w:szCs w:val="24"/>
          <w:highlight w:val="none"/>
        </w:rPr>
        <w:t>：</w:t>
      </w:r>
      <w:r>
        <w:rPr>
          <w:rFonts w:hint="eastAsia" w:ascii="仿宋" w:hAnsi="仿宋" w:eastAsia="仿宋" w:cs="仿宋"/>
          <w:color w:val="000000"/>
          <w:kern w:val="0"/>
          <w:sz w:val="24"/>
          <w:szCs w:val="24"/>
          <w:highlight w:val="none"/>
        </w:rPr>
        <w:t>由采购人与定点加油服务商根据实际使用量据实结算，并</w:t>
      </w:r>
      <w:r>
        <w:rPr>
          <w:rFonts w:hint="eastAsia" w:ascii="仿宋" w:hAnsi="仿宋" w:eastAsia="仿宋" w:cs="仿宋"/>
          <w:color w:val="000000"/>
          <w:kern w:val="0"/>
          <w:sz w:val="24"/>
          <w:szCs w:val="24"/>
          <w:highlight w:val="none"/>
          <w:lang w:eastAsia="zh-CN"/>
        </w:rPr>
        <w:t>每月</w:t>
      </w:r>
      <w:r>
        <w:rPr>
          <w:rFonts w:hint="eastAsia" w:ascii="仿宋" w:hAnsi="仿宋" w:eastAsia="仿宋" w:cs="仿宋"/>
          <w:color w:val="000000"/>
          <w:kern w:val="0"/>
          <w:sz w:val="24"/>
          <w:szCs w:val="24"/>
          <w:highlight w:val="none"/>
        </w:rPr>
        <w:t>开具增值税专用发票。</w:t>
      </w:r>
    </w:p>
    <w:p w14:paraId="1CD675F4">
      <w:pPr>
        <w:pStyle w:val="13"/>
        <w:rPr>
          <w:rFonts w:hint="eastAsia"/>
          <w:highlight w:val="none"/>
          <w:lang w:val="en-US" w:eastAsia="zh-CN"/>
        </w:rPr>
      </w:pPr>
    </w:p>
    <w:p w14:paraId="4305C002">
      <w:pPr>
        <w:pStyle w:val="36"/>
        <w:keepNext w:val="0"/>
        <w:keepLines w:val="0"/>
        <w:pageBreakBefore w:val="0"/>
        <w:kinsoku/>
        <w:wordWrap/>
        <w:overflowPunct/>
        <w:topLinePunct w:val="0"/>
        <w:autoSpaceDE/>
        <w:autoSpaceDN/>
        <w:bidi w:val="0"/>
        <w:adjustRightInd/>
        <w:snapToGrid/>
        <w:spacing w:line="360" w:lineRule="auto"/>
        <w:ind w:firstLine="480" w:firstLineChars="200"/>
        <w:jc w:val="center"/>
        <w:textAlignment w:val="auto"/>
        <w:rPr>
          <w:rStyle w:val="105"/>
          <w:highlight w:val="none"/>
        </w:rPr>
      </w:pPr>
      <w:r>
        <w:rPr>
          <w:rFonts w:hint="eastAsia" w:ascii="仿宋" w:hAnsi="仿宋" w:eastAsia="仿宋" w:cs="Times New Roman"/>
          <w:b w:val="0"/>
          <w:bCs w:val="0"/>
          <w:sz w:val="24"/>
          <w:szCs w:val="24"/>
          <w:highlight w:val="none"/>
          <w:lang w:val="en-US" w:eastAsia="zh-CN"/>
        </w:rPr>
        <w:br w:type="page"/>
      </w:r>
      <w:bookmarkEnd w:id="14"/>
      <w:bookmarkStart w:id="16" w:name="_Toc16250"/>
      <w:r>
        <w:rPr>
          <w:rStyle w:val="105"/>
          <w:rFonts w:hint="eastAsia"/>
          <w:highlight w:val="none"/>
        </w:rPr>
        <w:t>第四部分  评标原则、程序与方法</w:t>
      </w:r>
    </w:p>
    <w:bookmarkEnd w:id="16"/>
    <w:p w14:paraId="70AB8806">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一、评审原则 </w:t>
      </w:r>
    </w:p>
    <w:p w14:paraId="082CE992">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“公平、公正、科学、择优”为本次评标的基本原则，评标委员会将按照这一原则的要求，公正、平等地对待各投标人，同时，在评标时恪守以下原则：</w:t>
      </w:r>
    </w:p>
    <w:p w14:paraId="56986EAC">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1.客观性原则：评标委员会将严格按照招标文件的要求，对投标人的投标文件进行认真评审，评标委员会对投标文件的评审仅依据投标文件本身，而不依靠投标文件以外的任何因素。 </w:t>
      </w:r>
    </w:p>
    <w:p w14:paraId="13A9FA75">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2.统一性原则：评标委员会将按照统一的评标原则和评标方法，采用统一标准进行评标。</w:t>
      </w:r>
    </w:p>
    <w:p w14:paraId="5675BAAA">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3.独立性原则：评标工作在评标委员会内部独立进行，不受外界任何因素的干扰和影响。</w:t>
      </w:r>
    </w:p>
    <w:p w14:paraId="77E9D22E">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4.保密性原则：评标委员会及熟知情况的有关工作人员必须对每位评委的评标意见和投标人的商业秘密严格保密，不得外泄。</w:t>
      </w:r>
    </w:p>
    <w:p w14:paraId="2275116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5.综合性原则：评标委员会将综合分析、评审投标人的各项指标，而不以单项指标的优劣评定出中标人。</w:t>
      </w:r>
    </w:p>
    <w:p w14:paraId="043A5917">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二、评标程序</w:t>
      </w:r>
    </w:p>
    <w:p w14:paraId="234AB800">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1</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宣布评标纪律</w:t>
      </w:r>
      <w:r>
        <w:rPr>
          <w:rFonts w:hint="eastAsia" w:ascii="仿宋" w:hAnsi="仿宋" w:eastAsia="仿宋" w:cs="仿宋"/>
          <w:bCs/>
          <w:sz w:val="24"/>
          <w:szCs w:val="24"/>
          <w:highlight w:val="none"/>
          <w:lang w:eastAsia="zh-CN"/>
        </w:rPr>
        <w:t>。</w:t>
      </w:r>
    </w:p>
    <w:p w14:paraId="7680E167">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2</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公布投标人名单，告知评审专家应当回避的情形</w:t>
      </w:r>
      <w:r>
        <w:rPr>
          <w:rFonts w:hint="eastAsia" w:ascii="仿宋" w:hAnsi="仿宋" w:eastAsia="仿宋" w:cs="仿宋"/>
          <w:bCs/>
          <w:sz w:val="24"/>
          <w:szCs w:val="24"/>
          <w:highlight w:val="none"/>
          <w:lang w:eastAsia="zh-CN"/>
        </w:rPr>
        <w:t>。</w:t>
      </w:r>
    </w:p>
    <w:p w14:paraId="2BC749DC">
      <w:pPr>
        <w:snapToGrid w:val="0"/>
        <w:spacing w:line="360" w:lineRule="auto"/>
        <w:ind w:firstLine="480" w:firstLineChars="200"/>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3</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组织评标委员会推选评标组长，</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代表不得担任组长</w:t>
      </w:r>
      <w:r>
        <w:rPr>
          <w:rFonts w:hint="eastAsia" w:ascii="仿宋" w:hAnsi="仿宋" w:eastAsia="仿宋" w:cs="仿宋"/>
          <w:bCs/>
          <w:sz w:val="24"/>
          <w:szCs w:val="24"/>
          <w:highlight w:val="none"/>
          <w:lang w:eastAsia="zh-CN"/>
        </w:rPr>
        <w:t>。</w:t>
      </w:r>
    </w:p>
    <w:p w14:paraId="5E4030EB">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核对评审专家身份和</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代表授权函。</w:t>
      </w:r>
    </w:p>
    <w:p w14:paraId="71729279">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5</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开标结束后，</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或者</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机构依法对投标人的资格进行审查。</w:t>
      </w:r>
    </w:p>
    <w:p w14:paraId="40CBA38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6</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评标委员会对符合资格的投标人的投标文件进行符合性审查，以确定其是否满足招标文件的实质性要求。</w:t>
      </w:r>
    </w:p>
    <w:p w14:paraId="6C7F143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7</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出现下列情形之一的，视为对招标文件未做出实质性响应，按照无效投标处理。</w:t>
      </w:r>
    </w:p>
    <w:p w14:paraId="03919240">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详见《投标须知前附表》-《实质性条款一览表》中符合性检查条款。</w:t>
      </w:r>
    </w:p>
    <w:p w14:paraId="18BB1E8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8</w:t>
      </w:r>
      <w:r>
        <w:rPr>
          <w:rFonts w:hint="eastAsia" w:ascii="仿宋" w:hAnsi="仿宋" w:eastAsia="仿宋" w:cs="仿宋"/>
          <w:bCs/>
          <w:sz w:val="24"/>
          <w:szCs w:val="24"/>
          <w:highlight w:val="none"/>
          <w:lang w:eastAsia="zh-CN"/>
        </w:rPr>
        <w:t>.</w:t>
      </w:r>
      <w:r>
        <w:rPr>
          <w:rFonts w:hint="eastAsia" w:ascii="仿宋" w:hAnsi="仿宋" w:eastAsia="仿宋" w:cs="仿宋"/>
          <w:bCs/>
          <w:sz w:val="24"/>
          <w:szCs w:val="24"/>
          <w:highlight w:val="none"/>
        </w:rPr>
        <w:t>属于无效投标的，投标人不能通过修正或撤销投标文件中不符合之处而成为实质性响应的投标，</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将通知投标人，并说明无效投标理由；属于有效投标文件的，将进行下一轮次的询标和澄清、说明或补正。</w:t>
      </w:r>
    </w:p>
    <w:p w14:paraId="2C5CE49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9.澄清、说明或者补正</w:t>
      </w:r>
    </w:p>
    <w:p w14:paraId="12BC89E5">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63D01D6D">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(2)投标人依据评审要求进行澄清、说明或者补正的内容构成投标文件的组成部分。</w:t>
      </w:r>
    </w:p>
    <w:p w14:paraId="67989FDF">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10.比较与评价</w:t>
      </w:r>
    </w:p>
    <w:p w14:paraId="4D498CA3">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评标委员会按招标文件中规定的评标方法和评标标准对有效投标文件的商务和技术进行评估，综合比较和评价，按综合得分高低列出中标候选人排序，若总分相同，以报价得分高的排前；若总分、价格得分都相同，则以投标技术方面得分高的排前。</w:t>
      </w:r>
    </w:p>
    <w:p w14:paraId="19139D5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11.出现下列情况之一的，均予以废标</w:t>
      </w:r>
    </w:p>
    <w:p w14:paraId="072FD61D">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(1)合格的投标人或参加投标的企业不足三家的；</w:t>
      </w:r>
    </w:p>
    <w:p w14:paraId="675E227E">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(2)出现影响</w:t>
      </w:r>
      <w:r>
        <w:rPr>
          <w:rFonts w:hint="eastAsia" w:ascii="仿宋" w:hAnsi="仿宋" w:eastAsia="仿宋" w:cs="仿宋"/>
          <w:bCs/>
          <w:sz w:val="24"/>
          <w:szCs w:val="24"/>
          <w:highlight w:val="none"/>
          <w:lang w:val="en-US" w:eastAsia="zh-CN"/>
        </w:rPr>
        <w:t>招标</w:t>
      </w:r>
      <w:r>
        <w:rPr>
          <w:rFonts w:hint="eastAsia" w:ascii="仿宋" w:hAnsi="仿宋" w:eastAsia="仿宋" w:cs="仿宋"/>
          <w:bCs/>
          <w:sz w:val="24"/>
          <w:szCs w:val="24"/>
          <w:highlight w:val="none"/>
        </w:rPr>
        <w:t>公正的违法、违规行为的；</w:t>
      </w:r>
    </w:p>
    <w:p w14:paraId="2A01AC2C">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(3)投标人的报价均超过了预算上限价格，</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不能支付的；</w:t>
      </w:r>
    </w:p>
    <w:p w14:paraId="08858B07">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(4)因重大变故，</w:t>
      </w:r>
      <w:r>
        <w:rPr>
          <w:rFonts w:hint="eastAsia" w:ascii="仿宋" w:hAnsi="仿宋" w:eastAsia="仿宋" w:cs="仿宋"/>
          <w:bCs/>
          <w:sz w:val="24"/>
          <w:szCs w:val="24"/>
          <w:highlight w:val="none"/>
          <w:lang w:val="en-US" w:eastAsia="zh-CN"/>
        </w:rPr>
        <w:t>招标</w:t>
      </w:r>
      <w:r>
        <w:rPr>
          <w:rFonts w:hint="eastAsia" w:ascii="仿宋" w:hAnsi="仿宋" w:eastAsia="仿宋" w:cs="仿宋"/>
          <w:bCs/>
          <w:sz w:val="24"/>
          <w:szCs w:val="24"/>
          <w:highlight w:val="none"/>
        </w:rPr>
        <w:t>任务取消的。</w:t>
      </w:r>
    </w:p>
    <w:p w14:paraId="6028751D">
      <w:pPr>
        <w:snapToGrid w:val="0"/>
        <w:spacing w:line="360" w:lineRule="auto"/>
        <w:rPr>
          <w:rFonts w:ascii="仿宋" w:hAnsi="仿宋" w:eastAsia="仿宋" w:cs="仿宋"/>
          <w:b/>
          <w:sz w:val="24"/>
          <w:szCs w:val="24"/>
          <w:highlight w:val="none"/>
        </w:rPr>
      </w:pPr>
      <w:r>
        <w:rPr>
          <w:rFonts w:hint="eastAsia" w:ascii="仿宋" w:hAnsi="仿宋" w:eastAsia="仿宋" w:cs="仿宋"/>
          <w:b/>
          <w:sz w:val="24"/>
          <w:szCs w:val="24"/>
          <w:highlight w:val="none"/>
        </w:rPr>
        <w:t>三、评标方法</w:t>
      </w:r>
    </w:p>
    <w:p w14:paraId="06AFBBC1">
      <w:pPr>
        <w:snapToGrid w:val="0"/>
        <w:spacing w:line="360" w:lineRule="auto"/>
        <w:ind w:firstLine="480" w:firstLineChars="200"/>
        <w:rPr>
          <w:rFonts w:ascii="仿宋" w:hAnsi="仿宋" w:eastAsia="仿宋" w:cs="仿宋"/>
          <w:bCs/>
          <w:sz w:val="24"/>
          <w:szCs w:val="24"/>
          <w:highlight w:val="none"/>
        </w:rPr>
      </w:pPr>
      <w:r>
        <w:rPr>
          <w:rFonts w:hint="eastAsia" w:ascii="仿宋" w:hAnsi="仿宋" w:eastAsia="仿宋" w:cs="仿宋"/>
          <w:bCs/>
          <w:sz w:val="24"/>
          <w:szCs w:val="24"/>
          <w:highlight w:val="none"/>
        </w:rPr>
        <w:t>（1）评标方法：综合评分法，即投标人的投标文件满足招标文件全部实质性要求，对评审因素的量化指标进行打分。</w:t>
      </w:r>
    </w:p>
    <w:p w14:paraId="1FA7087D">
      <w:pPr>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（2）评标细则</w:t>
      </w:r>
    </w:p>
    <w:p w14:paraId="5A704555">
      <w:pPr>
        <w:pStyle w:val="13"/>
        <w:ind w:left="0" w:leftChars="0" w:firstLine="0" w:firstLineChars="0"/>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标包二：</w:t>
      </w:r>
    </w:p>
    <w:tbl>
      <w:tblPr>
        <w:tblStyle w:val="41"/>
        <w:tblW w:w="9063"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0" w:type="dxa"/>
          <w:bottom w:w="0" w:type="dxa"/>
          <w:right w:w="0" w:type="dxa"/>
        </w:tblCellMar>
      </w:tblPr>
      <w:tblGrid>
        <w:gridCol w:w="1996"/>
        <w:gridCol w:w="835"/>
        <w:gridCol w:w="6232"/>
      </w:tblGrid>
      <w:tr w14:paraId="131ED1A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56" w:hRule="atLeast"/>
          <w:jc w:val="center"/>
        </w:trPr>
        <w:tc>
          <w:tcPr>
            <w:tcW w:w="1996" w:type="dxa"/>
            <w:noWrap w:val="0"/>
            <w:vAlign w:val="center"/>
          </w:tcPr>
          <w:p w14:paraId="0AF46A27">
            <w:pPr>
              <w:keepNext w:val="0"/>
              <w:keepLines w:val="0"/>
              <w:pageBreakBefore w:val="0"/>
              <w:widowControl w:val="0"/>
              <w:kinsoku/>
              <w:wordWrap/>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评审项目</w:t>
            </w:r>
          </w:p>
        </w:tc>
        <w:tc>
          <w:tcPr>
            <w:tcW w:w="835" w:type="dxa"/>
            <w:noWrap w:val="0"/>
            <w:vAlign w:val="center"/>
          </w:tcPr>
          <w:p w14:paraId="778B7FF9">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标准分</w:t>
            </w:r>
          </w:p>
        </w:tc>
        <w:tc>
          <w:tcPr>
            <w:tcW w:w="6232" w:type="dxa"/>
            <w:noWrap w:val="0"/>
            <w:vAlign w:val="center"/>
          </w:tcPr>
          <w:p w14:paraId="7CA59ED2">
            <w:pPr>
              <w:keepNext w:val="0"/>
              <w:keepLines w:val="0"/>
              <w:pageBreakBefore w:val="0"/>
              <w:widowControl w:val="0"/>
              <w:kinsoku/>
              <w:wordWrap/>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评  分  标  准</w:t>
            </w:r>
          </w:p>
        </w:tc>
      </w:tr>
      <w:tr w14:paraId="08FE6E9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1424" w:hRule="atLeast"/>
          <w:jc w:val="center"/>
        </w:trPr>
        <w:tc>
          <w:tcPr>
            <w:tcW w:w="1996" w:type="dxa"/>
            <w:tcBorders>
              <w:right w:val="single" w:color="auto" w:sz="4" w:space="0"/>
            </w:tcBorders>
            <w:noWrap w:val="0"/>
            <w:vAlign w:val="center"/>
          </w:tcPr>
          <w:p w14:paraId="6A371017">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报价</w:t>
            </w:r>
          </w:p>
        </w:tc>
        <w:tc>
          <w:tcPr>
            <w:tcW w:w="835" w:type="dxa"/>
            <w:tcBorders>
              <w:top w:val="single" w:color="auto" w:sz="4" w:space="0"/>
              <w:left w:val="single" w:color="auto" w:sz="4" w:space="0"/>
            </w:tcBorders>
            <w:noWrap w:val="0"/>
            <w:vAlign w:val="center"/>
          </w:tcPr>
          <w:p w14:paraId="7CF5733E">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20</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118A3645">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满足招标文件要求且投标折扣最低的折扣为评标基准</w:t>
            </w:r>
            <w:r>
              <w:rPr>
                <w:rFonts w:hint="eastAsia" w:ascii="仿宋" w:hAnsi="仿宋" w:eastAsia="仿宋" w:cs="仿宋"/>
                <w:sz w:val="24"/>
                <w:szCs w:val="24"/>
                <w:highlight w:val="none"/>
                <w:lang w:val="en-US" w:eastAsia="zh-CN"/>
              </w:rPr>
              <w:t>价</w:t>
            </w:r>
            <w:r>
              <w:rPr>
                <w:rFonts w:hint="eastAsia" w:ascii="仿宋" w:hAnsi="仿宋" w:eastAsia="仿宋" w:cs="仿宋"/>
                <w:sz w:val="24"/>
                <w:szCs w:val="24"/>
                <w:highlight w:val="none"/>
              </w:rPr>
              <w:t>，其</w:t>
            </w:r>
            <w:r>
              <w:rPr>
                <w:rFonts w:hint="eastAsia" w:ascii="仿宋" w:hAnsi="仿宋" w:eastAsia="仿宋" w:cs="仿宋"/>
                <w:sz w:val="24"/>
                <w:szCs w:val="24"/>
                <w:highlight w:val="none"/>
                <w:lang w:val="en-US" w:eastAsia="zh-CN"/>
              </w:rPr>
              <w:t>价格</w:t>
            </w:r>
            <w:r>
              <w:rPr>
                <w:rFonts w:hint="eastAsia" w:ascii="仿宋" w:hAnsi="仿宋" w:eastAsia="仿宋" w:cs="仿宋"/>
                <w:sz w:val="24"/>
                <w:szCs w:val="24"/>
                <w:highlight w:val="none"/>
              </w:rPr>
              <w:t>为满分（标准分）。其他投标人的</w:t>
            </w:r>
            <w:r>
              <w:rPr>
                <w:rFonts w:hint="eastAsia" w:ascii="仿宋" w:hAnsi="仿宋" w:eastAsia="仿宋" w:cs="仿宋"/>
                <w:sz w:val="24"/>
                <w:szCs w:val="24"/>
                <w:highlight w:val="none"/>
                <w:lang w:val="en-US" w:eastAsia="zh-CN"/>
              </w:rPr>
              <w:t>报价得分</w:t>
            </w:r>
            <w:r>
              <w:rPr>
                <w:rFonts w:hint="eastAsia" w:ascii="仿宋" w:hAnsi="仿宋" w:eastAsia="仿宋" w:cs="仿宋"/>
                <w:sz w:val="24"/>
                <w:szCs w:val="24"/>
                <w:highlight w:val="none"/>
              </w:rPr>
              <w:t>统一按照下列公式计算：</w:t>
            </w:r>
            <w:r>
              <w:rPr>
                <w:rFonts w:hint="eastAsia" w:ascii="仿宋" w:hAnsi="仿宋" w:eastAsia="仿宋" w:cs="仿宋"/>
                <w:sz w:val="24"/>
                <w:szCs w:val="24"/>
                <w:highlight w:val="none"/>
                <w:lang w:val="en-US" w:eastAsia="zh-CN"/>
              </w:rPr>
              <w:t>报价得分</w:t>
            </w:r>
            <w:r>
              <w:rPr>
                <w:rFonts w:hint="eastAsia" w:ascii="仿宋" w:hAnsi="仿宋" w:eastAsia="仿宋" w:cs="仿宋"/>
                <w:sz w:val="24"/>
                <w:szCs w:val="24"/>
                <w:highlight w:val="none"/>
              </w:rPr>
              <w:t>=(评标基准</w:t>
            </w:r>
            <w:r>
              <w:rPr>
                <w:rFonts w:hint="eastAsia" w:ascii="仿宋" w:hAnsi="仿宋" w:eastAsia="仿宋" w:cs="仿宋"/>
                <w:sz w:val="24"/>
                <w:szCs w:val="24"/>
                <w:highlight w:val="none"/>
                <w:lang w:val="en-US" w:eastAsia="zh-CN"/>
              </w:rPr>
              <w:t>价</w:t>
            </w:r>
            <w:r>
              <w:rPr>
                <w:rFonts w:hint="eastAsia" w:ascii="仿宋" w:hAnsi="仿宋" w:eastAsia="仿宋" w:cs="仿宋"/>
                <w:sz w:val="24"/>
                <w:szCs w:val="24"/>
                <w:highlight w:val="none"/>
              </w:rPr>
              <w:t>／投标折扣)×20。</w:t>
            </w:r>
          </w:p>
        </w:tc>
      </w:tr>
      <w:tr w14:paraId="727A9EE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268" w:hRule="atLeast"/>
          <w:jc w:val="center"/>
        </w:trPr>
        <w:tc>
          <w:tcPr>
            <w:tcW w:w="1996" w:type="dxa"/>
            <w:tcBorders>
              <w:right w:val="single" w:color="auto" w:sz="4" w:space="0"/>
            </w:tcBorders>
            <w:noWrap w:val="0"/>
            <w:vAlign w:val="center"/>
          </w:tcPr>
          <w:p w14:paraId="42432224">
            <w:pPr>
              <w:keepNext w:val="0"/>
              <w:keepLines w:val="0"/>
              <w:pageBreakBefore w:val="0"/>
              <w:widowControl w:val="0"/>
              <w:kinsoku/>
              <w:wordWrap/>
              <w:overflowPunct/>
              <w:topLinePunct w:val="0"/>
              <w:autoSpaceDE/>
              <w:autoSpaceDN/>
              <w:bidi w:val="0"/>
              <w:adjustRightInd/>
              <w:snapToGrid w:val="0"/>
              <w:spacing w:line="400" w:lineRule="exact"/>
              <w:ind w:firstLine="240" w:firstLineChars="100"/>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业绩</w:t>
            </w:r>
          </w:p>
        </w:tc>
        <w:tc>
          <w:tcPr>
            <w:tcW w:w="835" w:type="dxa"/>
            <w:tcBorders>
              <w:top w:val="single" w:color="auto" w:sz="4" w:space="0"/>
              <w:left w:val="single" w:color="auto" w:sz="4" w:space="0"/>
              <w:bottom w:val="single" w:color="auto" w:sz="4" w:space="0"/>
            </w:tcBorders>
            <w:noWrap w:val="0"/>
            <w:vAlign w:val="center"/>
          </w:tcPr>
          <w:p w14:paraId="02AA9734">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lang w:val="en-US" w:eastAsia="zh-CN"/>
              </w:rPr>
              <w:t>5</w:t>
            </w:r>
            <w:r>
              <w:rPr>
                <w:rFonts w:hint="eastAsia" w:ascii="仿宋" w:hAnsi="仿宋" w:eastAsia="仿宋" w:cs="仿宋"/>
                <w:kern w:val="0"/>
                <w:sz w:val="24"/>
                <w:szCs w:val="24"/>
                <w:highlight w:val="none"/>
              </w:rPr>
              <w:t>分</w:t>
            </w:r>
          </w:p>
        </w:tc>
        <w:tc>
          <w:tcPr>
            <w:tcW w:w="6232" w:type="dxa"/>
            <w:tcBorders>
              <w:top w:val="single" w:color="auto" w:sz="4" w:space="0"/>
              <w:bottom w:val="single" w:color="auto" w:sz="4" w:space="0"/>
            </w:tcBorders>
            <w:noWrap w:val="0"/>
            <w:vAlign w:val="center"/>
          </w:tcPr>
          <w:p w14:paraId="1B026FFA">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rPr>
            </w:pPr>
            <w:r>
              <w:rPr>
                <w:rFonts w:hint="eastAsia" w:ascii="仿宋" w:hAnsi="仿宋" w:eastAsia="仿宋" w:cs="仿宋"/>
                <w:sz w:val="24"/>
                <w:szCs w:val="24"/>
                <w:highlight w:val="none"/>
              </w:rPr>
              <w:t>投标人自20</w:t>
            </w:r>
            <w:r>
              <w:rPr>
                <w:rFonts w:hint="eastAsia" w:ascii="仿宋" w:hAnsi="仿宋" w:eastAsia="仿宋" w:cs="仿宋"/>
                <w:sz w:val="24"/>
                <w:szCs w:val="24"/>
                <w:highlight w:val="none"/>
                <w:lang w:val="en-US" w:eastAsia="zh-CN"/>
              </w:rPr>
              <w:t>23</w:t>
            </w:r>
            <w:r>
              <w:rPr>
                <w:rFonts w:hint="eastAsia" w:ascii="仿宋" w:hAnsi="仿宋" w:eastAsia="仿宋" w:cs="仿宋"/>
                <w:sz w:val="24"/>
                <w:szCs w:val="24"/>
                <w:highlight w:val="none"/>
              </w:rPr>
              <w:t>年1月1日至今有同类项目业绩的，每提供一项业绩得1分，最高得5分。（须提供业绩合同书扫描件并加盖公章）</w:t>
            </w:r>
          </w:p>
        </w:tc>
      </w:tr>
      <w:tr w14:paraId="276B359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559AF040">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sz w:val="24"/>
                <w:szCs w:val="24"/>
                <w:highlight w:val="none"/>
              </w:rPr>
              <w:t>油品来源及质量保证措施</w:t>
            </w:r>
          </w:p>
        </w:tc>
        <w:tc>
          <w:tcPr>
            <w:tcW w:w="835" w:type="dxa"/>
            <w:tcBorders>
              <w:top w:val="single" w:color="auto" w:sz="4" w:space="0"/>
              <w:left w:val="single" w:color="auto" w:sz="4" w:space="0"/>
            </w:tcBorders>
            <w:noWrap w:val="0"/>
            <w:vAlign w:val="center"/>
          </w:tcPr>
          <w:p w14:paraId="4C4A16A1">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15分</w:t>
            </w:r>
          </w:p>
        </w:tc>
        <w:tc>
          <w:tcPr>
            <w:tcW w:w="6232" w:type="dxa"/>
            <w:tcBorders>
              <w:top w:val="single" w:color="auto" w:sz="4" w:space="0"/>
            </w:tcBorders>
            <w:noWrap w:val="0"/>
            <w:vAlign w:val="center"/>
          </w:tcPr>
          <w:p w14:paraId="6F1E474C">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292A7EDE">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【11分-15分】：投标人提报的油品来源好，质量保证措施完善性、可行性较高。</w:t>
            </w:r>
          </w:p>
          <w:p w14:paraId="0216A40D">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【6分-10分】：投标人提报的油品来源较好，质量保证措施完善性、可行性一般。</w:t>
            </w:r>
          </w:p>
          <w:p w14:paraId="083E6498">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sz w:val="24"/>
                <w:szCs w:val="24"/>
                <w:highlight w:val="none"/>
              </w:rPr>
              <w:t>【1分-5分】：投标人提报的油品来一般，质量保证措施完善性、可行性一般，存在瑕疵。</w:t>
            </w:r>
          </w:p>
        </w:tc>
      </w:tr>
      <w:tr w14:paraId="4875153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311" w:hRule="atLeast"/>
          <w:jc w:val="center"/>
        </w:trPr>
        <w:tc>
          <w:tcPr>
            <w:tcW w:w="1996" w:type="dxa"/>
            <w:tcBorders>
              <w:right w:val="single" w:color="auto" w:sz="4" w:space="0"/>
            </w:tcBorders>
            <w:shd w:val="clear" w:color="auto" w:fill="auto"/>
            <w:noWrap w:val="0"/>
            <w:vAlign w:val="center"/>
          </w:tcPr>
          <w:p w14:paraId="329ACCEF">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highlight w:val="none"/>
              </w:rPr>
              <w:t>加油网点布局情况、位置及规模</w:t>
            </w:r>
          </w:p>
        </w:tc>
        <w:tc>
          <w:tcPr>
            <w:tcW w:w="835" w:type="dxa"/>
            <w:tcBorders>
              <w:top w:val="single" w:color="auto" w:sz="4" w:space="0"/>
              <w:left w:val="single" w:color="auto" w:sz="4" w:space="0"/>
            </w:tcBorders>
            <w:noWrap w:val="0"/>
            <w:vAlign w:val="center"/>
          </w:tcPr>
          <w:p w14:paraId="7A7FFA7D">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25分</w:t>
            </w:r>
          </w:p>
        </w:tc>
        <w:tc>
          <w:tcPr>
            <w:tcW w:w="6232" w:type="dxa"/>
            <w:tcBorders>
              <w:top w:val="single" w:color="auto" w:sz="4" w:space="0"/>
            </w:tcBorders>
            <w:shd w:val="clear" w:color="auto" w:fill="auto"/>
            <w:noWrap w:val="0"/>
            <w:vAlign w:val="center"/>
          </w:tcPr>
          <w:p w14:paraId="371B4650">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6360EE66">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【17分-25分】：投标人的加油网点数量多</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全部或大部分为直营网点，</w:t>
            </w:r>
            <w:r>
              <w:rPr>
                <w:rFonts w:hint="eastAsia" w:ascii="仿宋" w:hAnsi="仿宋" w:eastAsia="仿宋" w:cs="仿宋"/>
                <w:sz w:val="24"/>
                <w:szCs w:val="24"/>
                <w:highlight w:val="none"/>
              </w:rPr>
              <w:t>覆盖山东省所有地级市</w:t>
            </w:r>
            <w:r>
              <w:rPr>
                <w:rFonts w:hint="eastAsia" w:ascii="仿宋" w:hAnsi="仿宋" w:eastAsia="仿宋" w:cs="仿宋"/>
                <w:sz w:val="24"/>
                <w:szCs w:val="24"/>
                <w:highlight w:val="none"/>
                <w:lang w:eastAsia="zh-CN"/>
              </w:rPr>
              <w:t>，在</w:t>
            </w:r>
            <w:r>
              <w:rPr>
                <w:rFonts w:hint="eastAsia" w:ascii="仿宋" w:hAnsi="仿宋" w:eastAsia="仿宋" w:cs="仿宋"/>
                <w:sz w:val="24"/>
                <w:szCs w:val="24"/>
                <w:highlight w:val="none"/>
                <w:lang w:val="en-US" w:eastAsia="zh-CN"/>
              </w:rPr>
              <w:t>主城区、</w:t>
            </w:r>
            <w:r>
              <w:rPr>
                <w:rFonts w:hint="eastAsia" w:ascii="仿宋" w:hAnsi="仿宋" w:eastAsia="仿宋" w:cs="仿宋"/>
                <w:sz w:val="24"/>
                <w:szCs w:val="24"/>
                <w:highlight w:val="none"/>
              </w:rPr>
              <w:t>高速服务区、重点交通枢纽站点密集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，所处地理位置优越、交通便利、有突出的位置和配套优势。</w:t>
            </w:r>
          </w:p>
          <w:p w14:paraId="1EFB7FCB">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【9分-16分】：投标人加油网点数量较多</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其中直营网点较多，不能完全</w:t>
            </w:r>
            <w:r>
              <w:rPr>
                <w:rFonts w:hint="eastAsia" w:ascii="仿宋" w:hAnsi="仿宋" w:eastAsia="仿宋" w:cs="仿宋"/>
                <w:sz w:val="24"/>
                <w:szCs w:val="24"/>
                <w:highlight w:val="none"/>
              </w:rPr>
              <w:t>覆盖山东省所有地级市</w:t>
            </w:r>
            <w:r>
              <w:rPr>
                <w:rFonts w:hint="eastAsia" w:ascii="仿宋" w:hAnsi="仿宋" w:eastAsia="仿宋" w:cs="仿宋"/>
                <w:sz w:val="24"/>
                <w:szCs w:val="24"/>
                <w:highlight w:val="none"/>
                <w:lang w:eastAsia="zh-CN"/>
              </w:rPr>
              <w:t>，在</w:t>
            </w:r>
            <w:r>
              <w:rPr>
                <w:rFonts w:hint="eastAsia" w:ascii="仿宋" w:hAnsi="仿宋" w:eastAsia="仿宋" w:cs="仿宋"/>
                <w:sz w:val="24"/>
                <w:szCs w:val="24"/>
                <w:highlight w:val="none"/>
                <w:lang w:val="en-US" w:eastAsia="zh-CN"/>
              </w:rPr>
              <w:t>主城区、</w:t>
            </w:r>
            <w:r>
              <w:rPr>
                <w:rFonts w:hint="eastAsia" w:ascii="仿宋" w:hAnsi="仿宋" w:eastAsia="仿宋" w:cs="仿宋"/>
                <w:sz w:val="24"/>
                <w:szCs w:val="24"/>
                <w:highlight w:val="none"/>
              </w:rPr>
              <w:t>高速服务区、重点交通枢纽站点</w:t>
            </w:r>
            <w:r>
              <w:rPr>
                <w:rFonts w:hint="eastAsia" w:ascii="仿宋" w:hAnsi="仿宋" w:eastAsia="仿宋" w:cs="仿宋"/>
                <w:sz w:val="24"/>
                <w:szCs w:val="24"/>
                <w:highlight w:val="none"/>
                <w:lang w:val="en-US" w:eastAsia="zh-CN"/>
              </w:rPr>
              <w:t>稀疏</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，所处地理位置及环境较好，交通较方便，能够较好的满足定点加油服务的要求。</w:t>
            </w:r>
          </w:p>
          <w:p w14:paraId="562FD0E9">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【1分-8分】：投标人的加油网点数量、布局及地理位置等情况，</w:t>
            </w:r>
            <w:r>
              <w:rPr>
                <w:rFonts w:hint="eastAsia" w:ascii="仿宋" w:hAnsi="仿宋" w:eastAsia="仿宋" w:cs="仿宋"/>
                <w:sz w:val="24"/>
                <w:szCs w:val="24"/>
                <w:highlight w:val="none"/>
                <w:lang w:val="en-US" w:eastAsia="zh-CN"/>
              </w:rPr>
              <w:t>无法</w:t>
            </w:r>
            <w:r>
              <w:rPr>
                <w:rFonts w:hint="eastAsia" w:ascii="仿宋" w:hAnsi="仿宋" w:eastAsia="仿宋" w:cs="仿宋"/>
                <w:sz w:val="24"/>
                <w:szCs w:val="24"/>
                <w:highlight w:val="none"/>
              </w:rPr>
              <w:t>满足采购人车辆日常、跨区域、应急加油需求。</w:t>
            </w:r>
          </w:p>
        </w:tc>
      </w:tr>
      <w:tr w14:paraId="1F6E522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shd w:val="clear" w:color="auto" w:fill="auto"/>
            <w:noWrap w:val="0"/>
            <w:vAlign w:val="center"/>
          </w:tcPr>
          <w:p w14:paraId="7BCAB863">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highlight w:val="none"/>
              </w:rPr>
              <w:t>加油服务软硬件设备、设施状况</w:t>
            </w:r>
          </w:p>
        </w:tc>
        <w:tc>
          <w:tcPr>
            <w:tcW w:w="835" w:type="dxa"/>
            <w:tcBorders>
              <w:top w:val="single" w:color="auto" w:sz="4" w:space="0"/>
              <w:left w:val="single" w:color="auto" w:sz="4" w:space="0"/>
            </w:tcBorders>
            <w:noWrap w:val="0"/>
            <w:vAlign w:val="center"/>
          </w:tcPr>
          <w:p w14:paraId="03C77DD1">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20分</w:t>
            </w:r>
          </w:p>
        </w:tc>
        <w:tc>
          <w:tcPr>
            <w:tcW w:w="6232" w:type="dxa"/>
            <w:tcBorders>
              <w:top w:val="single" w:color="auto" w:sz="4" w:space="0"/>
            </w:tcBorders>
            <w:shd w:val="clear" w:color="auto" w:fill="auto"/>
            <w:noWrap w:val="0"/>
            <w:vAlign w:val="center"/>
          </w:tcPr>
          <w:p w14:paraId="1B90BF83">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由评委审核各投标人的投标文件后根据以下标准按进行打分：</w:t>
            </w:r>
          </w:p>
          <w:p w14:paraId="4CC2D7FC">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【15分-20分】：投标人的软、硬件服务设施完备，智能化管理系统先进，网络硬件配备完善，采用加油IC卡方式，</w:t>
            </w:r>
            <w:r>
              <w:rPr>
                <w:rFonts w:hint="eastAsia" w:ascii="仿宋" w:hAnsi="仿宋" w:eastAsia="仿宋" w:cs="仿宋"/>
                <w:sz w:val="24"/>
                <w:szCs w:val="24"/>
                <w:highlight w:val="none"/>
                <w:lang w:eastAsia="zh-CN"/>
              </w:rPr>
              <w:t>并实行联网统计、加油数据实时同步、台账可查、账目清晰，</w:t>
            </w:r>
            <w:r>
              <w:rPr>
                <w:rFonts w:hint="eastAsia" w:ascii="仿宋" w:hAnsi="仿宋" w:eastAsia="仿宋" w:cs="仿宋"/>
                <w:sz w:val="24"/>
                <w:szCs w:val="24"/>
                <w:highlight w:val="none"/>
              </w:rPr>
              <w:t>有突出的软硬件优势。</w:t>
            </w:r>
          </w:p>
          <w:p w14:paraId="645AF33F">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【7分-14分】：投标人的软、硬件服务设施齐全，智能化管理系统完备，网络硬件配备得当。</w:t>
            </w:r>
          </w:p>
          <w:p w14:paraId="6B8991CC">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【1分-6分】：投标人的软、硬件服务设施及智能化管理系统、网络硬件配备等情况能基本满足定点加油服务的要求。</w:t>
            </w:r>
          </w:p>
        </w:tc>
      </w:tr>
      <w:tr w14:paraId="20D947F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noWrap w:val="0"/>
            <w:vAlign w:val="center"/>
          </w:tcPr>
          <w:p w14:paraId="57C6CD4D">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eastAsia="zh-CN"/>
              </w:rPr>
            </w:pPr>
            <w:r>
              <w:rPr>
                <w:rFonts w:hint="eastAsia" w:ascii="仿宋" w:hAnsi="仿宋" w:eastAsia="仿宋" w:cs="仿宋"/>
                <w:sz w:val="24"/>
                <w:highlight w:val="none"/>
              </w:rPr>
              <w:t>管理措施</w:t>
            </w:r>
          </w:p>
        </w:tc>
        <w:tc>
          <w:tcPr>
            <w:tcW w:w="835" w:type="dxa"/>
            <w:tcBorders>
              <w:top w:val="single" w:color="auto" w:sz="4" w:space="0"/>
              <w:left w:val="single" w:color="auto" w:sz="4" w:space="0"/>
              <w:bottom w:val="single" w:color="auto" w:sz="4" w:space="0"/>
            </w:tcBorders>
            <w:noWrap w:val="0"/>
            <w:vAlign w:val="center"/>
          </w:tcPr>
          <w:p w14:paraId="78B175A9">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8分</w:t>
            </w:r>
          </w:p>
        </w:tc>
        <w:tc>
          <w:tcPr>
            <w:tcW w:w="6232" w:type="dxa"/>
            <w:tcBorders>
              <w:top w:val="single" w:color="auto" w:sz="4" w:space="0"/>
              <w:bottom w:val="single" w:color="auto" w:sz="4" w:space="0"/>
            </w:tcBorders>
            <w:shd w:val="clear" w:color="auto" w:fill="auto"/>
            <w:noWrap w:val="0"/>
            <w:vAlign w:val="center"/>
          </w:tcPr>
          <w:p w14:paraId="3F4B48F3">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21AABAA3">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【6分-8分】：投标人投标文件中提报的服务、油品质量控制、财务、消防等方面的管理措施全面、内容完备，有较突出的优势。</w:t>
            </w:r>
          </w:p>
          <w:p w14:paraId="7D483F5A">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【3分-5分】：投标人投标文件中提报的服务、油品质量控制、财务、消防等方面的管理措施和内容比较全面。</w:t>
            </w:r>
          </w:p>
          <w:p w14:paraId="4040FF36">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【1分-2分】：投标人投标文件中提报的各项管理措施能够基本满足定点加油服务的要求。</w:t>
            </w:r>
          </w:p>
        </w:tc>
      </w:tr>
      <w:tr w14:paraId="2B4E4EF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0" w:type="dxa"/>
            <w:bottom w:w="0" w:type="dxa"/>
            <w:right w:w="0" w:type="dxa"/>
          </w:tblCellMar>
        </w:tblPrEx>
        <w:trPr>
          <w:trHeight w:val="666" w:hRule="atLeast"/>
          <w:jc w:val="center"/>
        </w:trPr>
        <w:tc>
          <w:tcPr>
            <w:tcW w:w="1996" w:type="dxa"/>
            <w:tcBorders>
              <w:right w:val="single" w:color="auto" w:sz="4" w:space="0"/>
            </w:tcBorders>
            <w:shd w:val="clear" w:color="auto" w:fill="auto"/>
            <w:noWrap w:val="0"/>
            <w:vAlign w:val="center"/>
          </w:tcPr>
          <w:p w14:paraId="14A4890C">
            <w:pPr>
              <w:pStyle w:val="13"/>
              <w:keepNext w:val="0"/>
              <w:keepLines w:val="0"/>
              <w:pageBreakBefore w:val="0"/>
              <w:widowControl w:val="0"/>
              <w:kinsoku/>
              <w:wordWrap/>
              <w:overflowPunct/>
              <w:topLinePunct w:val="0"/>
              <w:autoSpaceDE/>
              <w:autoSpaceDN/>
              <w:bidi w:val="0"/>
              <w:adjustRightInd/>
              <w:snapToGrid w:val="0"/>
              <w:spacing w:line="400" w:lineRule="exact"/>
              <w:ind w:left="0" w:leftChars="0" w:firstLine="0" w:firstLineChars="0"/>
              <w:jc w:val="center"/>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highlight w:val="none"/>
              </w:rPr>
              <w:t>服务承诺</w:t>
            </w:r>
          </w:p>
        </w:tc>
        <w:tc>
          <w:tcPr>
            <w:tcW w:w="835" w:type="dxa"/>
            <w:tcBorders>
              <w:top w:val="single" w:color="auto" w:sz="4" w:space="0"/>
              <w:left w:val="single" w:color="auto" w:sz="4" w:space="0"/>
            </w:tcBorders>
            <w:noWrap w:val="0"/>
            <w:vAlign w:val="center"/>
          </w:tcPr>
          <w:p w14:paraId="4118908B">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仿宋" w:hAnsi="仿宋" w:eastAsia="仿宋" w:cs="仿宋"/>
                <w:kern w:val="0"/>
                <w:sz w:val="24"/>
                <w:szCs w:val="24"/>
                <w:highlight w:val="none"/>
                <w:lang w:val="en-US" w:eastAsia="zh-CN"/>
              </w:rPr>
            </w:pPr>
            <w:r>
              <w:rPr>
                <w:rFonts w:hint="eastAsia" w:ascii="仿宋" w:hAnsi="仿宋" w:eastAsia="仿宋" w:cs="仿宋"/>
                <w:kern w:val="0"/>
                <w:sz w:val="24"/>
                <w:szCs w:val="24"/>
                <w:highlight w:val="none"/>
                <w:lang w:val="en-US" w:eastAsia="zh-CN"/>
              </w:rPr>
              <w:t>7分</w:t>
            </w:r>
          </w:p>
        </w:tc>
        <w:tc>
          <w:tcPr>
            <w:tcW w:w="6232" w:type="dxa"/>
            <w:tcBorders>
              <w:top w:val="single" w:color="auto" w:sz="4" w:space="0"/>
            </w:tcBorders>
            <w:shd w:val="clear" w:color="auto" w:fill="auto"/>
            <w:noWrap w:val="0"/>
            <w:vAlign w:val="center"/>
          </w:tcPr>
          <w:p w14:paraId="350772E7">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由评委审核各投标人的投标文件后根据以下标准进行打分：</w:t>
            </w:r>
          </w:p>
          <w:p w14:paraId="60646965">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【5分-7分】：投标人投标文件中提报的服务内容全面、工作安排合理有序，承诺的服务水平高，有突出的服务优势。</w:t>
            </w:r>
          </w:p>
          <w:p w14:paraId="5101F03C">
            <w:pPr>
              <w:pStyle w:val="13"/>
              <w:keepNext w:val="0"/>
              <w:keepLines w:val="0"/>
              <w:pageBreakBefore w:val="0"/>
              <w:widowControl w:val="0"/>
              <w:kinsoku/>
              <w:wordWrap/>
              <w:overflowPunct/>
              <w:topLinePunct w:val="0"/>
              <w:autoSpaceDE/>
              <w:autoSpaceDN/>
              <w:bidi w:val="0"/>
              <w:adjustRightInd/>
              <w:snapToGrid w:val="0"/>
              <w:spacing w:line="400" w:lineRule="exact"/>
              <w:ind w:firstLine="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【3分-4分】：投标人投标文件中提报的服务内容比较全面，工作安排较为合理，能够较好的满足定点加油服务的要求。</w:t>
            </w:r>
          </w:p>
          <w:p w14:paraId="1BEA2252">
            <w:pPr>
              <w:pStyle w:val="13"/>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z w:val="24"/>
                <w:szCs w:val="24"/>
                <w:highlight w:val="none"/>
              </w:rPr>
              <w:t>【1分-2分】：投标人投标文件中提报的服务内容，能够基本满足定点加油服务的要求。</w:t>
            </w:r>
          </w:p>
        </w:tc>
      </w:tr>
    </w:tbl>
    <w:p w14:paraId="2B7DC8F3">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注：①本细则只针对有效投标文件予以评分。</w:t>
      </w:r>
    </w:p>
    <w:p w14:paraId="5E50C430">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②计算得分时，四舍五入</w:t>
      </w:r>
      <w:r>
        <w:rPr>
          <w:rFonts w:hint="eastAsia" w:ascii="仿宋" w:hAnsi="仿宋" w:eastAsia="仿宋" w:cs="仿宋"/>
          <w:b/>
          <w:sz w:val="24"/>
          <w:szCs w:val="24"/>
          <w:highlight w:val="none"/>
          <w:lang w:eastAsia="zh-CN"/>
        </w:rPr>
        <w:t>保留至小数点后两位</w:t>
      </w:r>
      <w:r>
        <w:rPr>
          <w:rFonts w:hint="eastAsia" w:ascii="仿宋" w:hAnsi="仿宋" w:eastAsia="仿宋" w:cs="仿宋"/>
          <w:b/>
          <w:sz w:val="24"/>
          <w:szCs w:val="24"/>
          <w:highlight w:val="none"/>
        </w:rPr>
        <w:t>。</w:t>
      </w:r>
    </w:p>
    <w:p w14:paraId="28B72EF9">
      <w:pPr>
        <w:spacing w:line="44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③汇总各评委打分进行算术平均，计算出各投标人的综合得分。</w:t>
      </w:r>
    </w:p>
    <w:p w14:paraId="3105AF55">
      <w:pPr>
        <w:spacing w:line="440" w:lineRule="exact"/>
        <w:contextualSpacing/>
        <w:rPr>
          <w:rFonts w:ascii="仿宋" w:hAnsi="仿宋" w:eastAsia="仿宋" w:cs="仿宋"/>
          <w:b/>
          <w:sz w:val="24"/>
          <w:szCs w:val="24"/>
          <w:highlight w:val="none"/>
        </w:rPr>
      </w:pPr>
      <w:r>
        <w:rPr>
          <w:rFonts w:hint="eastAsia" w:ascii="仿宋" w:hAnsi="仿宋" w:eastAsia="仿宋" w:cs="仿宋"/>
          <w:b/>
          <w:sz w:val="24"/>
          <w:szCs w:val="24"/>
          <w:highlight w:val="none"/>
        </w:rPr>
        <w:t>四、定标</w:t>
      </w:r>
    </w:p>
    <w:p w14:paraId="5ED5999F">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1、评标委员会根据招标文件载明的评标细则进行综合评审，并按评审后得分由高到低顺序排列，确定排序前</w:t>
      </w:r>
      <w:r>
        <w:rPr>
          <w:rFonts w:hint="eastAsia" w:ascii="仿宋" w:hAnsi="仿宋" w:eastAsia="仿宋" w:cs="仿宋"/>
          <w:bCs/>
          <w:sz w:val="24"/>
          <w:szCs w:val="24"/>
          <w:highlight w:val="none"/>
          <w:lang w:val="en-US" w:eastAsia="zh-CN"/>
        </w:rPr>
        <w:t>三</w:t>
      </w:r>
      <w:r>
        <w:rPr>
          <w:rFonts w:hint="eastAsia" w:ascii="仿宋" w:hAnsi="仿宋" w:eastAsia="仿宋" w:cs="仿宋"/>
          <w:bCs/>
          <w:sz w:val="24"/>
          <w:szCs w:val="24"/>
          <w:highlight w:val="none"/>
        </w:rPr>
        <w:t>名的为中标候选人。</w:t>
      </w:r>
    </w:p>
    <w:p w14:paraId="30AF746A">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2、评标结束后，公示无异议标包</w:t>
      </w:r>
      <w:r>
        <w:rPr>
          <w:rFonts w:hint="eastAsia" w:ascii="仿宋" w:hAnsi="仿宋" w:eastAsia="仿宋" w:cs="仿宋"/>
          <w:bCs/>
          <w:sz w:val="24"/>
          <w:szCs w:val="24"/>
          <w:highlight w:val="none"/>
          <w:lang w:val="en-US" w:eastAsia="zh-CN"/>
        </w:rPr>
        <w:t>二</w:t>
      </w:r>
      <w:r>
        <w:rPr>
          <w:rFonts w:hint="eastAsia" w:ascii="仿宋" w:hAnsi="仿宋" w:eastAsia="仿宋" w:cs="仿宋"/>
          <w:bCs/>
          <w:sz w:val="24"/>
          <w:szCs w:val="24"/>
          <w:highlight w:val="none"/>
        </w:rPr>
        <w:t>确定排</w:t>
      </w:r>
      <w:r>
        <w:rPr>
          <w:rFonts w:hint="eastAsia" w:ascii="仿宋" w:hAnsi="仿宋" w:eastAsia="仿宋" w:cs="仿宋"/>
          <w:bCs/>
          <w:sz w:val="24"/>
          <w:szCs w:val="24"/>
          <w:highlight w:val="none"/>
          <w:lang w:val="en-US" w:eastAsia="zh-CN"/>
        </w:rPr>
        <w:t>名第一</w:t>
      </w:r>
      <w:r>
        <w:rPr>
          <w:rFonts w:hint="eastAsia" w:ascii="仿宋" w:hAnsi="仿宋" w:eastAsia="仿宋" w:cs="仿宋"/>
          <w:bCs/>
          <w:sz w:val="24"/>
          <w:szCs w:val="24"/>
          <w:highlight w:val="none"/>
        </w:rPr>
        <w:t>的中标候选人为中标人。如发现中标候选人存在与招标文件、投标文件不符或弄虚作假等其它违法行为，经招标单位同意：取消中标候选人资格，由排名次之的候选人中标，依次类推或重新招标。</w:t>
      </w:r>
    </w:p>
    <w:p w14:paraId="591B43F8">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3、评标结果将在原招标公告发布媒介予以公告。</w:t>
      </w:r>
    </w:p>
    <w:p w14:paraId="1DC29272">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五、编写评标报告</w:t>
      </w:r>
    </w:p>
    <w:p w14:paraId="554521E0">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依据评委评标签字的原始记录和评标结果，按照规定的内容要求编写评标报告，并由全体评委签名。</w:t>
      </w:r>
    </w:p>
    <w:p w14:paraId="77335CB1">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六、签订合同 </w:t>
      </w:r>
    </w:p>
    <w:p w14:paraId="4FD03D53">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1.评标结果公告后，由</w:t>
      </w:r>
      <w:r>
        <w:rPr>
          <w:rFonts w:hint="eastAsia" w:ascii="仿宋" w:hAnsi="仿宋" w:eastAsia="仿宋" w:cs="仿宋"/>
          <w:bCs/>
          <w:sz w:val="24"/>
          <w:szCs w:val="24"/>
          <w:highlight w:val="none"/>
          <w:lang w:eastAsia="zh-CN"/>
        </w:rPr>
        <w:t>招标人</w:t>
      </w:r>
      <w:r>
        <w:rPr>
          <w:rFonts w:hint="eastAsia" w:ascii="仿宋" w:hAnsi="仿宋" w:eastAsia="仿宋" w:cs="仿宋"/>
          <w:bCs/>
          <w:sz w:val="24"/>
          <w:szCs w:val="24"/>
          <w:highlight w:val="none"/>
        </w:rPr>
        <w:t>、</w:t>
      </w:r>
      <w:r>
        <w:rPr>
          <w:rFonts w:hint="eastAsia" w:ascii="仿宋" w:hAnsi="仿宋" w:eastAsia="仿宋" w:cs="仿宋"/>
          <w:bCs/>
          <w:sz w:val="24"/>
          <w:szCs w:val="24"/>
          <w:highlight w:val="none"/>
          <w:lang w:eastAsia="zh-CN"/>
        </w:rPr>
        <w:t>招标代理</w:t>
      </w:r>
      <w:r>
        <w:rPr>
          <w:rFonts w:hint="eastAsia" w:ascii="仿宋" w:hAnsi="仿宋" w:eastAsia="仿宋" w:cs="仿宋"/>
          <w:bCs/>
          <w:sz w:val="24"/>
          <w:szCs w:val="24"/>
          <w:highlight w:val="none"/>
        </w:rPr>
        <w:t>向中标人签发中标通知书。</w:t>
      </w:r>
    </w:p>
    <w:p w14:paraId="5C855416">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ascii="仿宋" w:hAnsi="仿宋" w:eastAsia="仿宋" w:cs="仿宋"/>
          <w:bCs/>
          <w:sz w:val="24"/>
          <w:szCs w:val="24"/>
          <w:highlight w:val="none"/>
        </w:rPr>
      </w:pPr>
      <w:r>
        <w:rPr>
          <w:rFonts w:hint="eastAsia" w:ascii="仿宋" w:hAnsi="仿宋" w:eastAsia="仿宋" w:cs="仿宋"/>
          <w:bCs/>
          <w:sz w:val="24"/>
          <w:szCs w:val="24"/>
          <w:highlight w:val="none"/>
        </w:rPr>
        <w:t>2.中标合同原则以第六部分 合同（范本）为基础，并根据投标、答疑情况进行修改补充，自签订之日起生效。</w:t>
      </w:r>
    </w:p>
    <w:p w14:paraId="3736EE56">
      <w:pPr>
        <w:keepNext w:val="0"/>
        <w:keepLines w:val="0"/>
        <w:pageBreakBefore w:val="0"/>
        <w:widowControl w:val="0"/>
        <w:kinsoku/>
        <w:wordWrap/>
        <w:overflowPunct/>
        <w:topLinePunct w:val="0"/>
        <w:autoSpaceDE/>
        <w:autoSpaceDN/>
        <w:bidi w:val="0"/>
        <w:adjustRightInd/>
        <w:snapToGrid/>
        <w:spacing w:line="420" w:lineRule="exact"/>
        <w:ind w:firstLine="480" w:firstLineChars="200"/>
        <w:contextualSpacing/>
        <w:textAlignment w:val="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3.中标人在规定的期限内无正当理由拒绝签订合同,取消原中标决定，与排名次之的中标候选人签订合同或重新组织招标。</w:t>
      </w:r>
    </w:p>
    <w:p w14:paraId="123CEB18">
      <w:pPr>
        <w:jc w:val="center"/>
        <w:outlineLvl w:val="0"/>
        <w:rPr>
          <w:rStyle w:val="105"/>
          <w:highlight w:val="none"/>
        </w:rPr>
      </w:pPr>
      <w:r>
        <w:rPr>
          <w:rFonts w:hint="eastAsia" w:ascii="仿宋" w:hAnsi="仿宋" w:eastAsia="仿宋" w:cs="仿宋"/>
          <w:bCs/>
          <w:sz w:val="24"/>
          <w:szCs w:val="24"/>
          <w:highlight w:val="none"/>
        </w:rPr>
        <w:br w:type="page"/>
      </w:r>
      <w:bookmarkStart w:id="17" w:name="_Toc5498"/>
      <w:r>
        <w:rPr>
          <w:rStyle w:val="105"/>
          <w:rFonts w:hint="eastAsia"/>
          <w:highlight w:val="none"/>
        </w:rPr>
        <w:t>第五部分    投标文件（格式）</w:t>
      </w:r>
      <w:bookmarkEnd w:id="17"/>
    </w:p>
    <w:p w14:paraId="6C462680">
      <w:pPr>
        <w:jc w:val="center"/>
        <w:rPr>
          <w:rFonts w:hint="eastAsia" w:ascii="仿宋" w:hAnsi="仿宋" w:eastAsia="仿宋" w:cs="仿宋"/>
          <w:bCs/>
          <w:sz w:val="30"/>
          <w:szCs w:val="30"/>
          <w:highlight w:val="none"/>
        </w:rPr>
      </w:pPr>
    </w:p>
    <w:p w14:paraId="6D503C27">
      <w:pPr>
        <w:jc w:val="center"/>
        <w:rPr>
          <w:rFonts w:hint="eastAsia" w:ascii="仿宋" w:hAnsi="仿宋" w:eastAsia="仿宋" w:cs="仿宋"/>
          <w:bCs/>
          <w:sz w:val="30"/>
          <w:szCs w:val="30"/>
          <w:highlight w:val="none"/>
        </w:rPr>
      </w:pPr>
    </w:p>
    <w:p w14:paraId="171786DD">
      <w:pPr>
        <w:jc w:val="center"/>
        <w:rPr>
          <w:rFonts w:hint="eastAsia" w:ascii="仿宋" w:hAnsi="仿宋" w:eastAsia="仿宋" w:cs="仿宋"/>
          <w:bCs/>
          <w:sz w:val="30"/>
          <w:szCs w:val="30"/>
          <w:highlight w:val="none"/>
        </w:rPr>
      </w:pPr>
    </w:p>
    <w:p w14:paraId="203F3E1E">
      <w:pPr>
        <w:jc w:val="center"/>
        <w:rPr>
          <w:rFonts w:ascii="仿宋" w:hAnsi="仿宋" w:eastAsia="仿宋" w:cs="仿宋"/>
          <w:bCs/>
          <w:sz w:val="30"/>
          <w:szCs w:val="30"/>
          <w:highlight w:val="none"/>
        </w:rPr>
      </w:pPr>
      <w:r>
        <w:rPr>
          <w:rFonts w:hint="eastAsia" w:ascii="仿宋" w:hAnsi="仿宋" w:eastAsia="仿宋" w:cs="仿宋"/>
          <w:bCs/>
          <w:sz w:val="30"/>
          <w:szCs w:val="30"/>
          <w:highlight w:val="none"/>
        </w:rPr>
        <w:t>投 标 文 件</w:t>
      </w:r>
    </w:p>
    <w:p w14:paraId="0EA24A59">
      <w:pPr>
        <w:jc w:val="center"/>
        <w:rPr>
          <w:rFonts w:ascii="仿宋" w:hAnsi="仿宋" w:eastAsia="仿宋" w:cs="仿宋"/>
          <w:sz w:val="30"/>
          <w:szCs w:val="30"/>
          <w:highlight w:val="none"/>
        </w:rPr>
      </w:pPr>
      <w:r>
        <w:rPr>
          <w:rFonts w:hint="eastAsia" w:ascii="仿宋" w:hAnsi="仿宋" w:eastAsia="仿宋" w:cs="仿宋"/>
          <w:sz w:val="30"/>
          <w:szCs w:val="30"/>
          <w:highlight w:val="none"/>
        </w:rPr>
        <w:t>（第一册）</w:t>
      </w:r>
    </w:p>
    <w:p w14:paraId="44202607">
      <w:pPr>
        <w:ind w:firstLine="900" w:firstLineChars="300"/>
        <w:jc w:val="left"/>
        <w:rPr>
          <w:rFonts w:ascii="仿宋" w:hAnsi="仿宋" w:eastAsia="仿宋" w:cs="仿宋"/>
          <w:bCs/>
          <w:sz w:val="30"/>
          <w:szCs w:val="30"/>
          <w:highlight w:val="none"/>
        </w:rPr>
      </w:pPr>
    </w:p>
    <w:p w14:paraId="3553024D">
      <w:pPr>
        <w:ind w:firstLine="900" w:firstLineChars="300"/>
        <w:jc w:val="left"/>
        <w:rPr>
          <w:rFonts w:ascii="仿宋" w:hAnsi="仿宋" w:eastAsia="仿宋" w:cs="仿宋"/>
          <w:sz w:val="30"/>
          <w:szCs w:val="30"/>
          <w:highlight w:val="none"/>
        </w:rPr>
      </w:pPr>
      <w:r>
        <w:rPr>
          <w:rFonts w:hint="eastAsia" w:ascii="仿宋" w:hAnsi="仿宋" w:eastAsia="仿宋" w:cs="仿宋"/>
          <w:bCs/>
          <w:sz w:val="30"/>
          <w:szCs w:val="30"/>
          <w:highlight w:val="none"/>
        </w:rPr>
        <w:t>项目名称：</w:t>
      </w:r>
    </w:p>
    <w:p w14:paraId="654EE462">
      <w:pPr>
        <w:ind w:firstLine="900" w:firstLineChars="300"/>
        <w:jc w:val="left"/>
        <w:rPr>
          <w:rFonts w:ascii="仿宋" w:hAnsi="仿宋" w:eastAsia="仿宋" w:cs="仿宋"/>
          <w:bCs/>
          <w:sz w:val="30"/>
          <w:szCs w:val="30"/>
          <w:highlight w:val="none"/>
        </w:rPr>
      </w:pPr>
    </w:p>
    <w:p w14:paraId="6238D047">
      <w:pPr>
        <w:ind w:firstLine="900" w:firstLineChars="300"/>
        <w:jc w:val="left"/>
        <w:rPr>
          <w:rFonts w:hint="eastAsia" w:ascii="仿宋" w:hAnsi="仿宋" w:eastAsia="仿宋" w:cs="仿宋"/>
          <w:bCs/>
          <w:sz w:val="30"/>
          <w:szCs w:val="30"/>
          <w:highlight w:val="none"/>
        </w:rPr>
      </w:pPr>
      <w:r>
        <w:rPr>
          <w:rFonts w:hint="eastAsia" w:ascii="仿宋" w:hAnsi="仿宋" w:eastAsia="仿宋" w:cs="仿宋"/>
          <w:bCs/>
          <w:sz w:val="30"/>
          <w:szCs w:val="30"/>
          <w:highlight w:val="none"/>
          <w:lang w:val="en-US" w:eastAsia="zh-CN"/>
        </w:rPr>
        <w:t>招标</w:t>
      </w:r>
      <w:r>
        <w:rPr>
          <w:rFonts w:hint="eastAsia" w:ascii="仿宋" w:hAnsi="仿宋" w:eastAsia="仿宋" w:cs="仿宋"/>
          <w:bCs/>
          <w:sz w:val="30"/>
          <w:szCs w:val="30"/>
          <w:highlight w:val="none"/>
        </w:rPr>
        <w:t>编号：</w:t>
      </w:r>
    </w:p>
    <w:p w14:paraId="6A695AED">
      <w:pPr>
        <w:ind w:firstLine="900" w:firstLineChars="300"/>
        <w:jc w:val="left"/>
        <w:rPr>
          <w:rFonts w:hint="eastAsia" w:ascii="仿宋" w:hAnsi="仿宋" w:eastAsia="仿宋" w:cs="仿宋"/>
          <w:bCs/>
          <w:sz w:val="30"/>
          <w:szCs w:val="30"/>
          <w:highlight w:val="none"/>
        </w:rPr>
      </w:pPr>
    </w:p>
    <w:p w14:paraId="4241D1BD">
      <w:pPr>
        <w:ind w:firstLine="900" w:firstLineChars="300"/>
        <w:jc w:val="left"/>
        <w:rPr>
          <w:rFonts w:hint="eastAsia" w:ascii="仿宋" w:hAnsi="仿宋" w:eastAsia="仿宋" w:cs="仿宋"/>
          <w:bCs/>
          <w:sz w:val="30"/>
          <w:szCs w:val="30"/>
          <w:highlight w:val="none"/>
        </w:rPr>
      </w:pPr>
      <w:r>
        <w:rPr>
          <w:rFonts w:hint="eastAsia" w:ascii="仿宋" w:hAnsi="仿宋" w:eastAsia="仿宋" w:cs="仿宋"/>
          <w:bCs/>
          <w:sz w:val="30"/>
          <w:szCs w:val="30"/>
          <w:highlight w:val="none"/>
          <w:lang w:val="en-US" w:eastAsia="zh-CN"/>
        </w:rPr>
        <w:t>标包</w:t>
      </w:r>
      <w:r>
        <w:rPr>
          <w:rFonts w:hint="eastAsia" w:ascii="仿宋" w:hAnsi="仿宋" w:eastAsia="仿宋" w:cs="仿宋"/>
          <w:bCs/>
          <w:sz w:val="30"/>
          <w:szCs w:val="30"/>
          <w:highlight w:val="none"/>
        </w:rPr>
        <w:t>号：</w:t>
      </w:r>
    </w:p>
    <w:p w14:paraId="3C5BF481">
      <w:pPr>
        <w:ind w:firstLine="900" w:firstLineChars="300"/>
        <w:jc w:val="left"/>
        <w:rPr>
          <w:rFonts w:hint="eastAsia" w:ascii="仿宋" w:hAnsi="仿宋" w:eastAsia="仿宋" w:cs="仿宋"/>
          <w:bCs/>
          <w:sz w:val="30"/>
          <w:szCs w:val="30"/>
          <w:highlight w:val="none"/>
        </w:rPr>
      </w:pPr>
    </w:p>
    <w:p w14:paraId="61849DA9">
      <w:pPr>
        <w:pStyle w:val="58"/>
        <w:rPr>
          <w:rFonts w:hint="eastAsia"/>
          <w:highlight w:val="none"/>
        </w:rPr>
      </w:pPr>
    </w:p>
    <w:p w14:paraId="62A43C8D">
      <w:pPr>
        <w:ind w:firstLine="900" w:firstLineChars="300"/>
        <w:jc w:val="left"/>
        <w:rPr>
          <w:rFonts w:hint="eastAsia" w:ascii="仿宋" w:hAnsi="仿宋" w:eastAsia="仿宋" w:cs="仿宋"/>
          <w:bCs/>
          <w:sz w:val="30"/>
          <w:szCs w:val="30"/>
          <w:highlight w:val="none"/>
        </w:rPr>
      </w:pPr>
    </w:p>
    <w:p w14:paraId="5C63DEF3">
      <w:pPr>
        <w:pStyle w:val="23"/>
        <w:rPr>
          <w:rFonts w:ascii="仿宋" w:hAnsi="仿宋" w:eastAsia="仿宋" w:cs="仿宋"/>
          <w:kern w:val="0"/>
          <w:sz w:val="30"/>
          <w:szCs w:val="30"/>
          <w:highlight w:val="none"/>
        </w:rPr>
      </w:pPr>
    </w:p>
    <w:p w14:paraId="773C9120">
      <w:pPr>
        <w:pStyle w:val="36"/>
        <w:rPr>
          <w:rFonts w:ascii="仿宋" w:hAnsi="仿宋" w:eastAsia="仿宋" w:cs="仿宋"/>
          <w:sz w:val="30"/>
          <w:szCs w:val="30"/>
          <w:highlight w:val="none"/>
        </w:rPr>
      </w:pPr>
    </w:p>
    <w:p w14:paraId="3E469438">
      <w:pPr>
        <w:pStyle w:val="36"/>
        <w:rPr>
          <w:rFonts w:ascii="仿宋" w:hAnsi="仿宋" w:eastAsia="仿宋" w:cs="仿宋"/>
          <w:sz w:val="30"/>
          <w:szCs w:val="30"/>
          <w:highlight w:val="none"/>
        </w:rPr>
      </w:pPr>
    </w:p>
    <w:p w14:paraId="3A677E89">
      <w:pPr>
        <w:pStyle w:val="36"/>
        <w:rPr>
          <w:rFonts w:ascii="仿宋" w:hAnsi="仿宋" w:eastAsia="仿宋" w:cs="仿宋"/>
          <w:sz w:val="30"/>
          <w:szCs w:val="30"/>
          <w:highlight w:val="none"/>
        </w:rPr>
      </w:pPr>
      <w:r>
        <w:rPr>
          <w:rFonts w:hint="eastAsia" w:ascii="仿宋" w:hAnsi="仿宋" w:eastAsia="仿宋" w:cs="仿宋"/>
          <w:sz w:val="30"/>
          <w:szCs w:val="30"/>
          <w:highlight w:val="none"/>
        </w:rPr>
        <w:t xml:space="preserve">       </w:t>
      </w:r>
    </w:p>
    <w:p w14:paraId="172C1F3E">
      <w:pPr>
        <w:tabs>
          <w:tab w:val="left" w:pos="580"/>
        </w:tabs>
        <w:jc w:val="center"/>
        <w:rPr>
          <w:rFonts w:ascii="仿宋" w:hAnsi="仿宋" w:eastAsia="仿宋" w:cs="仿宋"/>
          <w:kern w:val="0"/>
          <w:sz w:val="30"/>
          <w:szCs w:val="30"/>
          <w:highlight w:val="none"/>
        </w:rPr>
      </w:pPr>
      <w:r>
        <w:rPr>
          <w:rFonts w:hint="eastAsia" w:ascii="仿宋" w:hAnsi="仿宋" w:eastAsia="仿宋" w:cs="仿宋"/>
          <w:kern w:val="0"/>
          <w:sz w:val="30"/>
          <w:szCs w:val="30"/>
          <w:highlight w:val="none"/>
        </w:rPr>
        <w:t>投标人名称： ***有限公司</w:t>
      </w:r>
    </w:p>
    <w:p w14:paraId="7AD92F62">
      <w:pPr>
        <w:tabs>
          <w:tab w:val="left" w:pos="580"/>
        </w:tabs>
        <w:jc w:val="center"/>
        <w:rPr>
          <w:rFonts w:hint="eastAsia" w:ascii="仿宋" w:hAnsi="仿宋" w:eastAsia="仿宋" w:cs="仿宋"/>
          <w:kern w:val="0"/>
          <w:sz w:val="30"/>
          <w:szCs w:val="30"/>
          <w:highlight w:val="none"/>
        </w:rPr>
      </w:pPr>
      <w:r>
        <w:rPr>
          <w:rFonts w:hint="eastAsia" w:ascii="仿宋" w:hAnsi="仿宋" w:eastAsia="仿宋" w:cs="仿宋"/>
          <w:kern w:val="0"/>
          <w:sz w:val="30"/>
          <w:szCs w:val="30"/>
          <w:highlight w:val="none"/>
        </w:rPr>
        <w:t>日      期：   年  月  日</w:t>
      </w:r>
    </w:p>
    <w:p w14:paraId="7B0766C6">
      <w:pPr>
        <w:rPr>
          <w:rFonts w:hint="eastAsia" w:ascii="仿宋" w:hAnsi="仿宋" w:eastAsia="仿宋" w:cs="仿宋"/>
          <w:kern w:val="0"/>
          <w:sz w:val="30"/>
          <w:szCs w:val="30"/>
          <w:highlight w:val="none"/>
        </w:rPr>
      </w:pPr>
      <w:r>
        <w:rPr>
          <w:rFonts w:hint="eastAsia" w:ascii="仿宋" w:hAnsi="仿宋" w:eastAsia="仿宋" w:cs="仿宋"/>
          <w:kern w:val="0"/>
          <w:sz w:val="30"/>
          <w:szCs w:val="30"/>
          <w:highlight w:val="none"/>
        </w:rPr>
        <w:br w:type="page"/>
      </w:r>
    </w:p>
    <w:p w14:paraId="6A530C60">
      <w:pPr>
        <w:pStyle w:val="13"/>
        <w:rPr>
          <w:rFonts w:hint="eastAsia"/>
          <w:highlight w:val="none"/>
        </w:rPr>
      </w:pPr>
    </w:p>
    <w:p w14:paraId="09B1BE0D">
      <w:pPr>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t>目  录</w:t>
      </w:r>
    </w:p>
    <w:p w14:paraId="5E8DC0C4">
      <w:pPr>
        <w:jc w:val="center"/>
        <w:rPr>
          <w:rFonts w:ascii="仿宋" w:hAnsi="仿宋" w:eastAsia="仿宋" w:cs="仿宋"/>
          <w:sz w:val="24"/>
          <w:szCs w:val="24"/>
          <w:highlight w:val="none"/>
        </w:rPr>
      </w:pPr>
      <w:r>
        <w:rPr>
          <w:rFonts w:hint="eastAsia" w:ascii="仿宋" w:hAnsi="仿宋" w:eastAsia="仿宋" w:cs="仿宋"/>
          <w:sz w:val="24"/>
          <w:szCs w:val="24"/>
          <w:highlight w:val="none"/>
        </w:rPr>
        <w:t>（由投标人自行编制）</w:t>
      </w:r>
    </w:p>
    <w:p w14:paraId="4DC75B59">
      <w:pPr>
        <w:jc w:val="center"/>
        <w:rPr>
          <w:rFonts w:ascii="仿宋" w:hAnsi="仿宋" w:eastAsia="仿宋" w:cs="仿宋"/>
          <w:b/>
          <w:bCs/>
          <w:sz w:val="24"/>
          <w:szCs w:val="24"/>
          <w:highlight w:val="none"/>
        </w:rPr>
      </w:pPr>
    </w:p>
    <w:p w14:paraId="7C86D2F8">
      <w:pPr>
        <w:jc w:val="center"/>
        <w:rPr>
          <w:rFonts w:ascii="仿宋" w:hAnsi="仿宋" w:eastAsia="仿宋" w:cs="仿宋"/>
          <w:sz w:val="36"/>
          <w:szCs w:val="36"/>
          <w:highlight w:val="none"/>
        </w:rPr>
      </w:pPr>
      <w:r>
        <w:rPr>
          <w:rFonts w:ascii="仿宋" w:hAnsi="仿宋" w:eastAsia="仿宋" w:cs="仿宋"/>
          <w:b/>
          <w:sz w:val="24"/>
          <w:szCs w:val="24"/>
          <w:highlight w:val="none"/>
        </w:rPr>
        <w:br w:type="page"/>
      </w:r>
      <w:r>
        <w:rPr>
          <w:rFonts w:hint="eastAsia" w:ascii="仿宋" w:hAnsi="仿宋" w:eastAsia="仿宋" w:cs="仿宋"/>
          <w:b/>
          <w:bCs/>
          <w:sz w:val="30"/>
          <w:szCs w:val="30"/>
          <w:highlight w:val="none"/>
        </w:rPr>
        <w:t>投标承诺函</w:t>
      </w:r>
    </w:p>
    <w:p w14:paraId="21774470">
      <w:pPr>
        <w:snapToGrid w:val="0"/>
        <w:spacing w:line="360" w:lineRule="auto"/>
        <w:rPr>
          <w:rFonts w:ascii="仿宋" w:hAnsi="仿宋" w:eastAsia="仿宋" w:cs="仿宋"/>
          <w:kern w:val="0"/>
          <w:sz w:val="24"/>
          <w:szCs w:val="24"/>
          <w:highlight w:val="none"/>
        </w:rPr>
      </w:pPr>
      <w:r>
        <w:rPr>
          <w:rFonts w:hint="eastAsia" w:ascii="仿宋" w:hAnsi="仿宋" w:eastAsia="仿宋" w:cs="仿宋"/>
          <w:sz w:val="24"/>
          <w:szCs w:val="24"/>
          <w:highlight w:val="none"/>
        </w:rPr>
        <w:t>山东富尔工程咨询管理有限公司</w:t>
      </w:r>
      <w:r>
        <w:rPr>
          <w:rFonts w:hint="eastAsia" w:ascii="仿宋" w:hAnsi="仿宋" w:eastAsia="仿宋" w:cs="仿宋"/>
          <w:kern w:val="0"/>
          <w:sz w:val="24"/>
          <w:szCs w:val="24"/>
          <w:highlight w:val="none"/>
        </w:rPr>
        <w:t>：</w:t>
      </w:r>
    </w:p>
    <w:p w14:paraId="50ADCBD2">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我方根据编号为</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的招标文件的要求，经详细研究决定参加</w:t>
      </w:r>
      <w:r>
        <w:rPr>
          <w:rFonts w:hint="eastAsia" w:ascii="仿宋" w:hAnsi="仿宋" w:eastAsia="仿宋" w:cs="仿宋"/>
          <w:kern w:val="0"/>
          <w:sz w:val="24"/>
          <w:szCs w:val="24"/>
          <w:highlight w:val="none"/>
          <w:lang w:val="en-US" w:eastAsia="zh-CN"/>
        </w:rPr>
        <w:t>标包</w:t>
      </w:r>
      <w:r>
        <w:rPr>
          <w:rFonts w:hint="eastAsia" w:ascii="仿宋" w:hAnsi="仿宋" w:eastAsia="仿宋" w:cs="仿宋"/>
          <w:kern w:val="0"/>
          <w:sz w:val="24"/>
          <w:szCs w:val="24"/>
          <w:highlight w:val="none"/>
          <w:u w:val="single"/>
          <w:lang w:val="en-US" w:eastAsia="zh-CN"/>
        </w:rPr>
        <w:t xml:space="preserve">  </w:t>
      </w:r>
      <w:r>
        <w:rPr>
          <w:rFonts w:hint="eastAsia" w:ascii="仿宋" w:hAnsi="仿宋" w:eastAsia="仿宋" w:cs="仿宋"/>
          <w:kern w:val="0"/>
          <w:sz w:val="24"/>
          <w:szCs w:val="24"/>
          <w:highlight w:val="none"/>
        </w:rPr>
        <w:t>投标。</w:t>
      </w:r>
    </w:p>
    <w:p w14:paraId="0C985AC7">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1.我方接受本招标文件中关于电子招投标的各项规定，遵守《中华人民共和国电子签名法》关于电子签名的各项规定。我方愿意按照招标文件的规定和要求提供货物及服务，报价详见《开标（报价）一览表》。</w:t>
      </w:r>
    </w:p>
    <w:p w14:paraId="28A77390">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2.我方同意90天的投标有效期，严格遵守投标文件的各项承诺。在此期限届满之前，本投标文件始终对我方具有约束力，并随时接受中标。我方承诺在投标有效期内不修改、撤销投标文件。</w:t>
      </w:r>
    </w:p>
    <w:p w14:paraId="34C13E43">
      <w:pPr>
        <w:snapToGrid w:val="0"/>
        <w:spacing w:line="360" w:lineRule="auto"/>
        <w:ind w:firstLine="480" w:firstLineChars="200"/>
        <w:rPr>
          <w:rFonts w:ascii="仿宋" w:hAnsi="仿宋" w:eastAsia="仿宋" w:cs="仿宋"/>
          <w:b/>
          <w:strike/>
          <w:kern w:val="0"/>
          <w:sz w:val="24"/>
          <w:szCs w:val="24"/>
          <w:highlight w:val="none"/>
        </w:rPr>
      </w:pPr>
      <w:r>
        <w:rPr>
          <w:rFonts w:hint="eastAsia" w:ascii="仿宋" w:hAnsi="仿宋" w:eastAsia="仿宋" w:cs="仿宋"/>
          <w:kern w:val="0"/>
          <w:sz w:val="24"/>
          <w:szCs w:val="24"/>
          <w:highlight w:val="none"/>
        </w:rPr>
        <w:t>3. 我方愿意遵守本招标文件的规定和要求并提供招标文件中要求的所有资料，若投标文件中存在虚假资料的，则视为我方隐瞒真实情况、提供虚假资料，我方愿意接受主管部门做出的行政处罚。</w:t>
      </w:r>
    </w:p>
    <w:p w14:paraId="6578BD69">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4.我方同意价格是中标的主要选择标准，但不是唯一的选择标准。</w:t>
      </w:r>
    </w:p>
    <w:p w14:paraId="594F472F">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 5.如果我方中标：</w:t>
      </w:r>
    </w:p>
    <w:p w14:paraId="6CFCB0F6">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（1）我方承诺在中标通知书发出后，在规定期限内与</w:t>
      </w:r>
      <w:r>
        <w:rPr>
          <w:rFonts w:hint="eastAsia" w:ascii="仿宋" w:hAnsi="仿宋" w:eastAsia="仿宋" w:cs="仿宋"/>
          <w:kern w:val="0"/>
          <w:sz w:val="24"/>
          <w:szCs w:val="24"/>
          <w:highlight w:val="none"/>
          <w:lang w:eastAsia="zh-CN"/>
        </w:rPr>
        <w:t>招标人</w:t>
      </w:r>
      <w:r>
        <w:rPr>
          <w:rFonts w:hint="eastAsia" w:ascii="仿宋" w:hAnsi="仿宋" w:eastAsia="仿宋" w:cs="仿宋"/>
          <w:kern w:val="0"/>
          <w:sz w:val="24"/>
          <w:szCs w:val="24"/>
          <w:highlight w:val="none"/>
        </w:rPr>
        <w:t>签订合同；</w:t>
      </w:r>
    </w:p>
    <w:p w14:paraId="248AA1C3">
      <w:pPr>
        <w:snapToGrid w:val="0"/>
        <w:spacing w:line="360" w:lineRule="auto"/>
        <w:ind w:firstLine="360" w:firstLineChars="150"/>
        <w:rPr>
          <w:rFonts w:ascii="仿宋" w:hAnsi="仿宋" w:eastAsia="仿宋" w:cs="仿宋"/>
          <w:kern w:val="0"/>
          <w:sz w:val="24"/>
          <w:szCs w:val="24"/>
          <w:highlight w:val="none"/>
        </w:rPr>
      </w:pPr>
      <w:r>
        <w:rPr>
          <w:rFonts w:hint="eastAsia" w:ascii="仿宋" w:hAnsi="仿宋" w:eastAsia="仿宋" w:cs="仿宋"/>
          <w:kern w:val="0"/>
          <w:sz w:val="24"/>
          <w:szCs w:val="24"/>
          <w:highlight w:val="none"/>
        </w:rPr>
        <w:t>（2）我方承诺在合同约定的期限内，按期、保质、保量完成</w:t>
      </w:r>
      <w:r>
        <w:rPr>
          <w:rFonts w:hint="eastAsia" w:ascii="仿宋" w:hAnsi="仿宋" w:eastAsia="仿宋" w:cs="仿宋"/>
          <w:kern w:val="0"/>
          <w:sz w:val="24"/>
          <w:szCs w:val="24"/>
          <w:highlight w:val="none"/>
          <w:lang w:val="en-US" w:eastAsia="zh-CN"/>
        </w:rPr>
        <w:t>本项目</w:t>
      </w:r>
      <w:r>
        <w:rPr>
          <w:rFonts w:hint="eastAsia" w:ascii="仿宋" w:hAnsi="仿宋" w:eastAsia="仿宋" w:cs="仿宋"/>
          <w:kern w:val="0"/>
          <w:sz w:val="24"/>
          <w:szCs w:val="24"/>
          <w:highlight w:val="none"/>
        </w:rPr>
        <w:t>任务；</w:t>
      </w:r>
    </w:p>
    <w:p w14:paraId="1A4D2740">
      <w:pPr>
        <w:snapToGrid w:val="0"/>
        <w:spacing w:line="360" w:lineRule="auto"/>
        <w:ind w:firstLine="360" w:firstLineChars="150"/>
        <w:rPr>
          <w:rFonts w:eastAsia="仿宋"/>
          <w:highlight w:val="none"/>
        </w:rPr>
      </w:pPr>
      <w:r>
        <w:rPr>
          <w:rFonts w:hint="eastAsia" w:ascii="仿宋" w:hAnsi="仿宋" w:eastAsia="仿宋" w:cs="仿宋"/>
          <w:kern w:val="0"/>
          <w:sz w:val="24"/>
          <w:szCs w:val="24"/>
          <w:highlight w:val="none"/>
        </w:rPr>
        <w:t>（3）我方承诺响应招标文件中的付款方式；</w:t>
      </w:r>
    </w:p>
    <w:p w14:paraId="61DC4ADA">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6.</w:t>
      </w:r>
      <w:r>
        <w:rPr>
          <w:rFonts w:hint="eastAsia" w:ascii="仿宋" w:hAnsi="仿宋" w:eastAsia="仿宋" w:cs="仿宋"/>
          <w:sz w:val="24"/>
          <w:szCs w:val="24"/>
          <w:highlight w:val="none"/>
        </w:rPr>
        <w:t xml:space="preserve"> </w:t>
      </w:r>
      <w:r>
        <w:rPr>
          <w:rFonts w:hint="eastAsia" w:ascii="仿宋" w:hAnsi="仿宋" w:eastAsia="仿宋" w:cs="仿宋"/>
          <w:kern w:val="0"/>
          <w:sz w:val="24"/>
          <w:szCs w:val="24"/>
          <w:highlight w:val="none"/>
        </w:rPr>
        <w:t>我方在此声明，所递交的投标文件及有关资料内容完整、真实和准确，如有弄虚作假，一旦中标将取消中标资格。</w:t>
      </w:r>
    </w:p>
    <w:p w14:paraId="71848307">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7.所有有关本</w:t>
      </w:r>
      <w:r>
        <w:rPr>
          <w:rFonts w:hint="eastAsia" w:ascii="仿宋" w:hAnsi="仿宋" w:eastAsia="仿宋" w:cs="仿宋"/>
          <w:kern w:val="0"/>
          <w:sz w:val="24"/>
          <w:szCs w:val="24"/>
          <w:highlight w:val="none"/>
          <w:lang w:val="en-US" w:eastAsia="zh-CN"/>
        </w:rPr>
        <w:t>投标</w:t>
      </w:r>
      <w:r>
        <w:rPr>
          <w:rFonts w:hint="eastAsia" w:ascii="仿宋" w:hAnsi="仿宋" w:eastAsia="仿宋" w:cs="仿宋"/>
          <w:kern w:val="0"/>
          <w:sz w:val="24"/>
          <w:szCs w:val="24"/>
          <w:highlight w:val="none"/>
        </w:rPr>
        <w:t>的函电，请按下列地址联系：</w:t>
      </w:r>
    </w:p>
    <w:p w14:paraId="743BCBBF">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单    位：                     邮政编码：</w:t>
      </w:r>
    </w:p>
    <w:p w14:paraId="6EFC0B6F">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地    址：                     联 系 人：</w:t>
      </w:r>
    </w:p>
    <w:p w14:paraId="631FE8C9">
      <w:pPr>
        <w:snapToGrid w:val="0"/>
        <w:spacing w:line="360" w:lineRule="auto"/>
        <w:ind w:firstLine="480" w:firstLineChars="200"/>
        <w:rPr>
          <w:rFonts w:ascii="仿宋" w:hAnsi="仿宋" w:eastAsia="仿宋" w:cs="仿宋"/>
          <w:kern w:val="0"/>
          <w:sz w:val="24"/>
          <w:szCs w:val="24"/>
          <w:highlight w:val="none"/>
        </w:rPr>
      </w:pPr>
      <w:r>
        <w:rPr>
          <w:rFonts w:hint="eastAsia" w:ascii="仿宋" w:hAnsi="仿宋" w:eastAsia="仿宋" w:cs="仿宋"/>
          <w:kern w:val="0"/>
          <w:sz w:val="24"/>
          <w:szCs w:val="24"/>
          <w:highlight w:val="none"/>
        </w:rPr>
        <w:t>电    话：                     传    真：</w:t>
      </w:r>
    </w:p>
    <w:p w14:paraId="2F0B4F45">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开户名称：                     开户银行：</w:t>
      </w:r>
    </w:p>
    <w:p w14:paraId="21ED9595">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开户账号：</w:t>
      </w:r>
    </w:p>
    <w:p w14:paraId="009AA044">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投标人（盖章）：</w:t>
      </w:r>
    </w:p>
    <w:p w14:paraId="7CE1259C">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kern w:val="0"/>
          <w:sz w:val="24"/>
          <w:szCs w:val="24"/>
          <w:highlight w:val="none"/>
        </w:rPr>
        <w:t>或被授权人（签字或盖章）：</w:t>
      </w:r>
    </w:p>
    <w:p w14:paraId="759F5827">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开标日期：××年××月××日</w:t>
      </w:r>
    </w:p>
    <w:p w14:paraId="42F3A306">
      <w:pPr>
        <w:jc w:val="center"/>
        <w:rPr>
          <w:rFonts w:ascii="仿宋" w:hAnsi="仿宋" w:eastAsia="仿宋" w:cs="仿宋"/>
          <w:sz w:val="36"/>
          <w:szCs w:val="36"/>
          <w:highlight w:val="none"/>
          <w:u w:val="single"/>
        </w:rPr>
      </w:pPr>
      <w:r>
        <w:rPr>
          <w:rFonts w:hint="eastAsia" w:ascii="仿宋" w:hAnsi="仿宋" w:eastAsia="仿宋" w:cs="仿宋"/>
          <w:sz w:val="24"/>
          <w:szCs w:val="24"/>
          <w:highlight w:val="none"/>
        </w:rPr>
        <w:br w:type="page"/>
      </w:r>
      <w:r>
        <w:rPr>
          <w:rFonts w:hint="eastAsia" w:ascii="仿宋" w:hAnsi="仿宋" w:eastAsia="仿宋" w:cs="仿宋"/>
          <w:b/>
          <w:bCs/>
          <w:sz w:val="30"/>
          <w:szCs w:val="30"/>
          <w:highlight w:val="none"/>
        </w:rPr>
        <w:t>开标一览表</w:t>
      </w:r>
    </w:p>
    <w:p w14:paraId="0A9DBBFC">
      <w:pPr>
        <w:pStyle w:val="23"/>
        <w:wordWrap w:val="0"/>
        <w:spacing w:line="520" w:lineRule="exact"/>
        <w:rPr>
          <w:rFonts w:hint="eastAsia" w:ascii="仿宋" w:hAnsi="仿宋" w:eastAsia="仿宋" w:cs="Times New Roman"/>
          <w:color w:val="auto"/>
          <w:sz w:val="24"/>
          <w:szCs w:val="24"/>
          <w:highlight w:val="none"/>
        </w:rPr>
      </w:pPr>
      <w:r>
        <w:rPr>
          <w:rFonts w:hint="eastAsia" w:ascii="仿宋" w:hAnsi="仿宋" w:eastAsia="仿宋"/>
          <w:color w:val="auto"/>
          <w:sz w:val="24"/>
          <w:szCs w:val="24"/>
          <w:highlight w:val="none"/>
          <w:lang w:val="en-US" w:eastAsia="zh-CN"/>
        </w:rPr>
        <w:t>招标</w:t>
      </w:r>
      <w:r>
        <w:rPr>
          <w:rFonts w:hint="eastAsia" w:ascii="仿宋" w:hAnsi="仿宋" w:eastAsia="仿宋"/>
          <w:color w:val="auto"/>
          <w:sz w:val="24"/>
          <w:szCs w:val="24"/>
          <w:highlight w:val="none"/>
        </w:rPr>
        <w:t>编号：</w:t>
      </w:r>
      <w:r>
        <w:rPr>
          <w:rFonts w:hint="eastAsia" w:ascii="仿宋" w:hAnsi="仿宋" w:eastAsia="仿宋"/>
          <w:color w:val="auto"/>
          <w:sz w:val="24"/>
          <w:szCs w:val="24"/>
          <w:highlight w:val="none"/>
          <w:lang w:eastAsia="zh-CN"/>
        </w:rPr>
        <w:t>WHJTCZ2026-0007</w:t>
      </w:r>
    </w:p>
    <w:p w14:paraId="0A6269B1">
      <w:pPr>
        <w:pStyle w:val="23"/>
        <w:wordWrap w:val="0"/>
        <w:spacing w:line="520" w:lineRule="exact"/>
        <w:rPr>
          <w:rFonts w:hint="eastAsia"/>
          <w:highlight w:val="none"/>
        </w:rPr>
      </w:pPr>
      <w:r>
        <w:rPr>
          <w:rFonts w:hint="eastAsia" w:ascii="仿宋" w:hAnsi="仿宋" w:eastAsia="仿宋"/>
          <w:color w:val="auto"/>
          <w:sz w:val="24"/>
          <w:szCs w:val="24"/>
          <w:highlight w:val="none"/>
        </w:rPr>
        <w:t>项目名称：</w:t>
      </w:r>
      <w:r>
        <w:rPr>
          <w:rFonts w:hint="eastAsia" w:ascii="仿宋" w:hAnsi="仿宋" w:eastAsia="仿宋"/>
          <w:color w:val="auto"/>
          <w:sz w:val="24"/>
          <w:szCs w:val="24"/>
          <w:highlight w:val="none"/>
          <w:lang w:eastAsia="zh-CN"/>
        </w:rPr>
        <w:t>选定车辆定点加油服务单位</w:t>
      </w:r>
    </w:p>
    <w:tbl>
      <w:tblPr>
        <w:tblStyle w:val="41"/>
        <w:tblW w:w="9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88"/>
        <w:gridCol w:w="1124"/>
        <w:gridCol w:w="5267"/>
      </w:tblGrid>
      <w:tr w14:paraId="58D59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3288" w:type="dxa"/>
            <w:noWrap w:val="0"/>
            <w:vAlign w:val="center"/>
          </w:tcPr>
          <w:p w14:paraId="5709F5B3">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val="en-US" w:eastAsia="zh-CN"/>
              </w:rPr>
              <w:t>标包号</w:t>
            </w:r>
          </w:p>
        </w:tc>
        <w:tc>
          <w:tcPr>
            <w:tcW w:w="6391" w:type="dxa"/>
            <w:gridSpan w:val="2"/>
            <w:noWrap w:val="0"/>
            <w:vAlign w:val="center"/>
          </w:tcPr>
          <w:p w14:paraId="36D1AC3D">
            <w:pPr>
              <w:tabs>
                <w:tab w:val="left" w:pos="4860"/>
              </w:tabs>
              <w:spacing w:line="440" w:lineRule="exact"/>
              <w:rPr>
                <w:rFonts w:hint="default" w:ascii="仿宋" w:hAnsi="仿宋" w:eastAsia="仿宋" w:cs="仿宋"/>
                <w:sz w:val="24"/>
                <w:highlight w:val="none"/>
                <w:u w:val="single"/>
                <w:lang w:val="en-US" w:eastAsia="zh-CN"/>
              </w:rPr>
            </w:pPr>
            <w:r>
              <w:rPr>
                <w:rFonts w:hint="eastAsia" w:ascii="仿宋" w:hAnsi="仿宋" w:eastAsia="仿宋" w:cs="仿宋"/>
                <w:sz w:val="24"/>
                <w:highlight w:val="none"/>
                <w:u w:val="none"/>
                <w:lang w:val="en-US" w:eastAsia="zh-CN"/>
              </w:rPr>
              <w:t>标包</w:t>
            </w:r>
            <w:r>
              <w:rPr>
                <w:rFonts w:hint="eastAsia" w:ascii="仿宋" w:hAnsi="仿宋" w:eastAsia="仿宋" w:cs="仿宋"/>
                <w:sz w:val="24"/>
                <w:highlight w:val="none"/>
                <w:u w:val="single"/>
                <w:lang w:val="en-US" w:eastAsia="zh-CN"/>
              </w:rPr>
              <w:t xml:space="preserve"> 二 </w:t>
            </w:r>
          </w:p>
        </w:tc>
      </w:tr>
      <w:tr w14:paraId="288B6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7" w:hRule="atLeast"/>
          <w:jc w:val="center"/>
        </w:trPr>
        <w:tc>
          <w:tcPr>
            <w:tcW w:w="3288" w:type="dxa"/>
            <w:noWrap w:val="0"/>
            <w:vAlign w:val="center"/>
          </w:tcPr>
          <w:p w14:paraId="44DD5E0D">
            <w:pPr>
              <w:tabs>
                <w:tab w:val="left" w:pos="4860"/>
              </w:tabs>
              <w:spacing w:line="44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Hans"/>
              </w:rPr>
              <w:t>投标报价</w:t>
            </w:r>
          </w:p>
        </w:tc>
        <w:tc>
          <w:tcPr>
            <w:tcW w:w="1124" w:type="dxa"/>
            <w:noWrap w:val="0"/>
            <w:vAlign w:val="center"/>
          </w:tcPr>
          <w:p w14:paraId="2638DFB5">
            <w:pPr>
              <w:tabs>
                <w:tab w:val="left" w:pos="4860"/>
              </w:tabs>
              <w:spacing w:line="440" w:lineRule="exact"/>
              <w:rPr>
                <w:rFonts w:hint="eastAsia" w:ascii="仿宋" w:hAnsi="仿宋" w:eastAsia="仿宋" w:cs="仿宋"/>
                <w:sz w:val="24"/>
                <w:highlight w:val="none"/>
                <w:u w:val="none"/>
                <w:lang w:val="en-US" w:eastAsia="zh-CN"/>
              </w:rPr>
            </w:pPr>
            <w:r>
              <w:rPr>
                <w:rFonts w:hint="eastAsia" w:ascii="仿宋" w:hAnsi="仿宋" w:eastAsia="仿宋" w:cs="仿宋"/>
                <w:sz w:val="24"/>
                <w:highlight w:val="none"/>
                <w:u w:val="none"/>
                <w:lang w:val="en-US" w:eastAsia="zh-CN"/>
              </w:rPr>
              <w:t>标包二</w:t>
            </w:r>
          </w:p>
        </w:tc>
        <w:tc>
          <w:tcPr>
            <w:tcW w:w="5267" w:type="dxa"/>
            <w:noWrap w:val="0"/>
            <w:vAlign w:val="center"/>
          </w:tcPr>
          <w:p w14:paraId="6CBE8929">
            <w:pPr>
              <w:snapToGrid w:val="0"/>
              <w:spacing w:line="400" w:lineRule="exact"/>
              <w:jc w:val="left"/>
              <w:rPr>
                <w:rFonts w:hint="eastAsia" w:ascii="仿宋" w:hAnsi="仿宋" w:eastAsia="仿宋" w:cs="仿宋"/>
                <w:sz w:val="24"/>
                <w:highlight w:val="none"/>
                <w:u w:val="single"/>
                <w:lang w:val="en-US" w:eastAsia="zh-CN"/>
              </w:rPr>
            </w:pPr>
            <w:r>
              <w:rPr>
                <w:rFonts w:hint="eastAsia" w:ascii="仿宋" w:hAnsi="仿宋" w:eastAsia="仿宋" w:cs="仿宋"/>
                <w:b w:val="0"/>
                <w:bCs w:val="0"/>
                <w:color w:val="000000"/>
                <w:kern w:val="0"/>
                <w:sz w:val="24"/>
                <w:szCs w:val="24"/>
                <w:highlight w:val="none"/>
                <w:lang w:val="en-US" w:eastAsia="zh-CN"/>
              </w:rPr>
              <w:t>在</w:t>
            </w:r>
            <w:r>
              <w:rPr>
                <w:rFonts w:hint="eastAsia" w:ascii="仿宋" w:hAnsi="仿宋" w:eastAsia="仿宋" w:cs="仿宋"/>
                <w:b w:val="0"/>
                <w:bCs w:val="0"/>
                <w:color w:val="000000"/>
                <w:kern w:val="0"/>
                <w:sz w:val="24"/>
                <w:szCs w:val="24"/>
                <w:highlight w:val="none"/>
              </w:rPr>
              <w:t>国家发改委规定的当日成品油零售限价</w:t>
            </w:r>
            <w:r>
              <w:rPr>
                <w:rFonts w:hint="eastAsia" w:ascii="仿宋" w:hAnsi="仿宋" w:eastAsia="仿宋" w:cs="仿宋"/>
                <w:b w:val="0"/>
                <w:bCs w:val="0"/>
                <w:color w:val="000000"/>
                <w:kern w:val="0"/>
                <w:sz w:val="24"/>
                <w:szCs w:val="24"/>
                <w:highlight w:val="none"/>
                <w:lang w:val="en-US" w:eastAsia="zh-CN"/>
              </w:rPr>
              <w:t>的</w:t>
            </w:r>
            <w:r>
              <w:rPr>
                <w:rFonts w:hint="eastAsia" w:ascii="仿宋" w:hAnsi="仿宋" w:eastAsia="仿宋" w:cs="仿宋"/>
                <w:b w:val="0"/>
                <w:bCs w:val="0"/>
                <w:color w:val="000000"/>
                <w:kern w:val="0"/>
                <w:sz w:val="24"/>
                <w:szCs w:val="24"/>
                <w:highlight w:val="none"/>
              </w:rPr>
              <w:t>基础上</w:t>
            </w:r>
            <w:r>
              <w:rPr>
                <w:rFonts w:hint="eastAsia" w:ascii="仿宋" w:hAnsi="仿宋" w:eastAsia="仿宋" w:cs="仿宋"/>
                <w:b w:val="0"/>
                <w:bCs w:val="0"/>
                <w:color w:val="000000"/>
                <w:kern w:val="0"/>
                <w:sz w:val="24"/>
                <w:szCs w:val="24"/>
                <w:highlight w:val="none"/>
                <w:lang w:eastAsia="zh-CN"/>
              </w:rPr>
              <w:t>，</w:t>
            </w:r>
            <w:r>
              <w:rPr>
                <w:rFonts w:hint="eastAsia" w:ascii="仿宋" w:hAnsi="仿宋" w:eastAsia="仿宋" w:cs="仿宋"/>
                <w:b w:val="0"/>
                <w:bCs w:val="0"/>
                <w:color w:val="000000"/>
                <w:kern w:val="0"/>
                <w:sz w:val="24"/>
                <w:szCs w:val="24"/>
                <w:highlight w:val="none"/>
                <w:lang w:val="en-US" w:eastAsia="zh-CN"/>
              </w:rPr>
              <w:t>折扣率为</w:t>
            </w:r>
            <w:r>
              <w:rPr>
                <w:rFonts w:hint="eastAsia" w:ascii="仿宋" w:hAnsi="仿宋" w:eastAsia="仿宋" w:cs="仿宋"/>
                <w:b w:val="0"/>
                <w:bCs w:val="0"/>
                <w:kern w:val="0"/>
                <w:sz w:val="24"/>
                <w:szCs w:val="24"/>
                <w:highlight w:val="none"/>
                <w:u w:val="single"/>
                <w:lang w:val="en-US" w:eastAsia="zh-CN"/>
              </w:rPr>
              <w:t xml:space="preserve">     </w:t>
            </w:r>
            <w:r>
              <w:rPr>
                <w:rFonts w:hint="eastAsia" w:ascii="仿宋" w:hAnsi="仿宋" w:eastAsia="仿宋" w:cs="仿宋"/>
                <w:b w:val="0"/>
                <w:bCs w:val="0"/>
                <w:kern w:val="0"/>
                <w:sz w:val="24"/>
                <w:szCs w:val="24"/>
                <w:highlight w:val="none"/>
                <w:lang w:val="en-US" w:eastAsia="zh-CN"/>
              </w:rPr>
              <w:t>%</w:t>
            </w:r>
            <w:r>
              <w:rPr>
                <w:rFonts w:hint="eastAsia" w:ascii="仿宋" w:hAnsi="仿宋" w:eastAsia="仿宋" w:cs="仿宋"/>
                <w:b/>
                <w:bCs/>
                <w:kern w:val="0"/>
                <w:sz w:val="24"/>
                <w:szCs w:val="24"/>
                <w:highlight w:val="none"/>
                <w:lang w:val="en-US" w:eastAsia="zh-CN"/>
              </w:rPr>
              <w:t>（</w:t>
            </w:r>
            <w:r>
              <w:rPr>
                <w:rFonts w:hint="eastAsia" w:ascii="仿宋" w:hAnsi="仿宋" w:eastAsia="仿宋" w:cs="仿宋"/>
                <w:b/>
                <w:bCs/>
                <w:color w:val="000000"/>
                <w:kern w:val="0"/>
                <w:sz w:val="24"/>
                <w:szCs w:val="24"/>
                <w:highlight w:val="none"/>
                <w:lang w:val="en-US" w:eastAsia="zh-CN"/>
              </w:rPr>
              <w:t>仅在</w:t>
            </w:r>
            <w:r>
              <w:rPr>
                <w:rFonts w:hint="eastAsia" w:ascii="仿宋" w:hAnsi="仿宋" w:eastAsia="仿宋" w:cs="仿宋"/>
                <w:b/>
                <w:bCs/>
                <w:spacing w:val="8"/>
                <w:kern w:val="2"/>
                <w:sz w:val="24"/>
                <w:szCs w:val="24"/>
                <w:highlight w:val="none"/>
                <w:lang w:val="en-US" w:eastAsia="zh-CN" w:bidi="ar-SA"/>
              </w:rPr>
              <w:t>山东省内的加油站点执行折扣优惠</w:t>
            </w:r>
            <w:r>
              <w:rPr>
                <w:rFonts w:hint="eastAsia" w:ascii="仿宋" w:hAnsi="仿宋" w:eastAsia="仿宋" w:cs="仿宋"/>
                <w:b/>
                <w:bCs/>
                <w:kern w:val="0"/>
                <w:sz w:val="24"/>
                <w:szCs w:val="24"/>
                <w:highlight w:val="none"/>
                <w:lang w:val="en-US" w:eastAsia="zh-CN"/>
              </w:rPr>
              <w:t>）</w:t>
            </w:r>
          </w:p>
        </w:tc>
      </w:tr>
      <w:tr w14:paraId="204C8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3288" w:type="dxa"/>
            <w:noWrap w:val="0"/>
            <w:vAlign w:val="center"/>
          </w:tcPr>
          <w:p w14:paraId="39BB4C40">
            <w:pPr>
              <w:tabs>
                <w:tab w:val="left" w:pos="4860"/>
              </w:tabs>
              <w:spacing w:line="440" w:lineRule="exact"/>
              <w:jc w:val="center"/>
              <w:rPr>
                <w:rFonts w:hint="eastAsia" w:ascii="仿宋" w:hAnsi="仿宋" w:eastAsia="仿宋" w:cs="仿宋"/>
                <w:sz w:val="24"/>
                <w:highlight w:val="none"/>
                <w:lang w:eastAsia="zh-CN"/>
              </w:rPr>
            </w:pPr>
            <w:r>
              <w:rPr>
                <w:rFonts w:hint="eastAsia" w:ascii="仿宋" w:hAnsi="仿宋" w:eastAsia="仿宋" w:cs="仿宋"/>
                <w:sz w:val="24"/>
                <w:highlight w:val="none"/>
                <w:lang w:val="en-US" w:eastAsia="zh-CN"/>
              </w:rPr>
              <w:t>服务期</w:t>
            </w:r>
          </w:p>
        </w:tc>
        <w:tc>
          <w:tcPr>
            <w:tcW w:w="6391" w:type="dxa"/>
            <w:gridSpan w:val="2"/>
            <w:noWrap w:val="0"/>
            <w:vAlign w:val="center"/>
          </w:tcPr>
          <w:p w14:paraId="494AFB2F">
            <w:pPr>
              <w:tabs>
                <w:tab w:val="left" w:pos="4860"/>
              </w:tabs>
              <w:spacing w:line="440" w:lineRule="exact"/>
              <w:ind w:hanging="4"/>
              <w:rPr>
                <w:rFonts w:hint="eastAsia" w:ascii="仿宋" w:hAnsi="仿宋" w:eastAsia="仿宋" w:cs="仿宋"/>
                <w:sz w:val="24"/>
                <w:highlight w:val="none"/>
              </w:rPr>
            </w:pPr>
            <w:r>
              <w:rPr>
                <w:rFonts w:hint="eastAsia" w:ascii="仿宋" w:hAnsi="仿宋" w:eastAsia="仿宋" w:cs="仿宋"/>
                <w:sz w:val="24"/>
                <w:highlight w:val="none"/>
              </w:rPr>
              <w:t>自合同签订之日起一年,合同期满双方无异议</w:t>
            </w:r>
            <w:r>
              <w:rPr>
                <w:rFonts w:hint="eastAsia" w:ascii="仿宋" w:hAnsi="仿宋" w:eastAsia="仿宋" w:cs="仿宋"/>
                <w:sz w:val="24"/>
                <w:highlight w:val="none"/>
                <w:lang w:val="en-US" w:eastAsia="zh-CN"/>
              </w:rPr>
              <w:t>后</w:t>
            </w:r>
            <w:r>
              <w:rPr>
                <w:rFonts w:hint="eastAsia" w:ascii="仿宋" w:hAnsi="仿宋" w:eastAsia="仿宋" w:cs="仿宋"/>
                <w:sz w:val="24"/>
                <w:highlight w:val="none"/>
              </w:rPr>
              <w:t>可以续签，但最长不超过三年</w:t>
            </w:r>
          </w:p>
        </w:tc>
      </w:tr>
      <w:tr w14:paraId="665FA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3288" w:type="dxa"/>
            <w:noWrap w:val="0"/>
            <w:vAlign w:val="center"/>
          </w:tcPr>
          <w:p w14:paraId="414A0F65">
            <w:pPr>
              <w:tabs>
                <w:tab w:val="left" w:pos="4860"/>
              </w:tabs>
              <w:spacing w:line="440" w:lineRule="exact"/>
              <w:jc w:val="center"/>
              <w:rPr>
                <w:rFonts w:hint="eastAsia" w:ascii="仿宋" w:hAnsi="仿宋" w:eastAsia="仿宋" w:cs="仿宋"/>
                <w:sz w:val="24"/>
                <w:highlight w:val="none"/>
                <w:lang w:val="en-US" w:eastAsia="zh-CN"/>
              </w:rPr>
            </w:pPr>
            <w:r>
              <w:rPr>
                <w:rFonts w:hint="eastAsia" w:ascii="仿宋" w:hAnsi="仿宋" w:eastAsia="仿宋" w:cs="仿宋"/>
                <w:sz w:val="24"/>
                <w:highlight w:val="none"/>
                <w:lang w:eastAsia="zh-Hans"/>
              </w:rPr>
              <w:t>报价声明</w:t>
            </w:r>
          </w:p>
        </w:tc>
        <w:tc>
          <w:tcPr>
            <w:tcW w:w="6391" w:type="dxa"/>
            <w:gridSpan w:val="2"/>
            <w:noWrap w:val="0"/>
            <w:vAlign w:val="center"/>
          </w:tcPr>
          <w:p w14:paraId="2DAF7FB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仿宋" w:hAnsi="仿宋" w:eastAsia="仿宋" w:cs="仿宋"/>
                <w:b/>
                <w:bCs/>
                <w:color w:val="auto"/>
                <w:kern w:val="2"/>
                <w:sz w:val="24"/>
                <w:szCs w:val="24"/>
                <w:highlight w:val="none"/>
                <w:shd w:val="clear" w:color="auto" w:fill="FFFFFF"/>
                <w:lang w:val="en-US" w:eastAsia="zh-CN" w:bidi="ar-SA"/>
              </w:rPr>
            </w:pPr>
          </w:p>
        </w:tc>
      </w:tr>
    </w:tbl>
    <w:p w14:paraId="464D3A24">
      <w:pPr>
        <w:snapToGrid w:val="0"/>
        <w:spacing w:line="360" w:lineRule="auto"/>
        <w:ind w:firstLine="240" w:firstLineChars="100"/>
        <w:jc w:val="left"/>
        <w:rPr>
          <w:rFonts w:hint="eastAsia" w:ascii="仿宋" w:hAnsi="仿宋" w:eastAsia="仿宋" w:cs="仿宋"/>
          <w:sz w:val="24"/>
          <w:szCs w:val="24"/>
          <w:highlight w:val="none"/>
          <w:lang w:val="en-US" w:eastAsia="zh-CN"/>
        </w:rPr>
      </w:pPr>
    </w:p>
    <w:p w14:paraId="576E2B3D">
      <w:pPr>
        <w:pStyle w:val="58"/>
        <w:rPr>
          <w:rFonts w:hint="eastAsia"/>
          <w:highlight w:val="none"/>
        </w:rPr>
      </w:pPr>
    </w:p>
    <w:p w14:paraId="027A6342">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7492D417">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38408573">
      <w:pPr>
        <w:snapToGrid w:val="0"/>
        <w:spacing w:line="360" w:lineRule="auto"/>
        <w:ind w:firstLine="240" w:firstLineChars="10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0E0983D6">
      <w:pPr>
        <w:snapToGrid w:val="0"/>
        <w:spacing w:line="360" w:lineRule="auto"/>
        <w:ind w:firstLine="301" w:firstLineChars="100"/>
        <w:jc w:val="center"/>
        <w:rPr>
          <w:rFonts w:hint="eastAsia" w:ascii="仿宋" w:hAnsi="仿宋" w:eastAsia="仿宋" w:cs="仿宋"/>
          <w:b/>
          <w:bCs/>
          <w:kern w:val="2"/>
          <w:sz w:val="30"/>
          <w:szCs w:val="30"/>
          <w:highlight w:val="none"/>
          <w:lang w:val="en-US" w:eastAsia="zh-CN" w:bidi="ar-SA"/>
        </w:rPr>
        <w:sectPr>
          <w:headerReference r:id="rId17" w:type="default"/>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p>
    <w:p w14:paraId="61856B63">
      <w:pPr>
        <w:jc w:val="center"/>
        <w:rPr>
          <w:rFonts w:hint="eastAsia" w:ascii="仿宋" w:hAnsi="仿宋" w:eastAsia="仿宋" w:cs="仿宋"/>
          <w:b/>
          <w:bCs/>
          <w:sz w:val="36"/>
          <w:szCs w:val="36"/>
          <w:highlight w:val="none"/>
        </w:rPr>
      </w:pPr>
      <w:r>
        <w:rPr>
          <w:rFonts w:hint="eastAsia" w:ascii="仿宋" w:hAnsi="仿宋" w:eastAsia="仿宋" w:cs="仿宋"/>
          <w:b/>
          <w:bCs/>
          <w:sz w:val="30"/>
          <w:szCs w:val="30"/>
          <w:highlight w:val="none"/>
        </w:rPr>
        <w:t>投标人信用承诺书</w:t>
      </w:r>
    </w:p>
    <w:p w14:paraId="75630CAE">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为营造公平竞争、规范有序的市场环境，树立诚信守法经营形象。本单位郑重承诺：</w:t>
      </w:r>
    </w:p>
    <w:p w14:paraId="796E31D5">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一、我方在此声明，本次招标投标活动中申报的所有资料都是真实、准确完整的，如发现提供虚假资料，或与事实不符而导致投标无效，甚至造成任何法律和经济责任，完全由我方负责。</w:t>
      </w:r>
    </w:p>
    <w:p w14:paraId="63606D9A">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二、我方在本次投标活动中绝无资质挂靠、串标、围标情形，若经贵方查出，立即取消我方投标资格并承担相应的法律责任。</w:t>
      </w:r>
    </w:p>
    <w:p w14:paraId="6949212F">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三、我方在以往的招标投标活动中，无重大违法、违规的不良记录；或虽有不良记录，但已超过处理期限。</w:t>
      </w:r>
    </w:p>
    <w:p w14:paraId="72616DD4">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四、我方及参与本次投标的相关人员承诺近三年无行贿犯罪记录。如有不实，愿意承担一切后果。</w:t>
      </w:r>
    </w:p>
    <w:p w14:paraId="76795AA4">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五、我方一旦中标，将按规定及时与招标人签订合同，严格按照投标文件中所承诺的报价等内容组织实施。</w:t>
      </w:r>
    </w:p>
    <w:p w14:paraId="249D0039">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六、自觉接受社会各界的监督，依法接受有关行政机关的事中事后监管和执法检查，并如实提供有关情况和材料。</w:t>
      </w:r>
    </w:p>
    <w:p w14:paraId="57803798">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七、严格遵守国家法律、法规、规章和相关政策规定，积极参与社会信用体系建设，倡树以信笃行，以诚兴业的传统美德，争当信用市民，争创信用企业。</w:t>
      </w:r>
    </w:p>
    <w:p w14:paraId="70763BC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color w:val="000000"/>
          <w:kern w:val="0"/>
          <w:sz w:val="24"/>
          <w:szCs w:val="24"/>
          <w:highlight w:val="none"/>
        </w:rPr>
      </w:pPr>
      <w:r>
        <w:rPr>
          <w:rFonts w:hint="eastAsia" w:ascii="仿宋" w:hAnsi="仿宋" w:eastAsia="仿宋" w:cs="仿宋"/>
          <w:bCs/>
          <w:color w:val="000000"/>
          <w:sz w:val="24"/>
          <w:szCs w:val="24"/>
          <w:highlight w:val="none"/>
        </w:rPr>
        <w:t>八、本《信用承诺书》同意向社会公开。</w:t>
      </w:r>
    </w:p>
    <w:p w14:paraId="085D524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color w:val="000000"/>
          <w:kern w:val="0"/>
          <w:sz w:val="24"/>
          <w:szCs w:val="24"/>
          <w:highlight w:val="none"/>
        </w:rPr>
      </w:pPr>
    </w:p>
    <w:p w14:paraId="4210EA1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rPr>
        <w:t xml:space="preserve"> 承诺单位：                          （盖电子公章）</w:t>
      </w:r>
    </w:p>
    <w:p w14:paraId="7ADA3EC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仿宋" w:hAnsi="仿宋" w:eastAsia="仿宋" w:cs="仿宋"/>
          <w:color w:val="000000"/>
          <w:kern w:val="0"/>
          <w:sz w:val="24"/>
          <w:szCs w:val="24"/>
          <w:highlight w:val="none"/>
        </w:rPr>
      </w:pPr>
    </w:p>
    <w:p w14:paraId="358A253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ascii="仿宋" w:hAnsi="仿宋" w:eastAsia="仿宋" w:cs="仿宋"/>
          <w:bCs/>
          <w:color w:val="000000"/>
          <w:sz w:val="24"/>
          <w:szCs w:val="24"/>
          <w:highlight w:val="none"/>
        </w:rPr>
      </w:pPr>
      <w:r>
        <w:rPr>
          <w:rFonts w:hint="eastAsia" w:ascii="仿宋" w:hAnsi="仿宋" w:eastAsia="仿宋" w:cs="仿宋"/>
          <w:color w:val="000000"/>
          <w:kern w:val="0"/>
          <w:sz w:val="24"/>
          <w:szCs w:val="24"/>
          <w:highlight w:val="none"/>
        </w:rPr>
        <w:t xml:space="preserve">                                     年    月    日</w:t>
      </w:r>
    </w:p>
    <w:p w14:paraId="02F3B23A">
      <w:pPr>
        <w:pStyle w:val="36"/>
        <w:jc w:val="center"/>
        <w:rPr>
          <w:rFonts w:hint="eastAsia" w:ascii="仿宋" w:hAnsi="仿宋" w:eastAsia="仿宋" w:cs="仿宋"/>
          <w:b/>
          <w:bCs/>
          <w:kern w:val="2"/>
          <w:sz w:val="36"/>
          <w:szCs w:val="36"/>
          <w:highlight w:val="none"/>
        </w:rPr>
      </w:pPr>
    </w:p>
    <w:p w14:paraId="2EEA7AA6">
      <w:pPr>
        <w:pStyle w:val="36"/>
        <w:jc w:val="both"/>
        <w:rPr>
          <w:rFonts w:hint="eastAsia" w:ascii="仿宋" w:hAnsi="仿宋" w:eastAsia="仿宋" w:cs="仿宋"/>
          <w:b/>
          <w:bCs/>
          <w:kern w:val="2"/>
          <w:sz w:val="36"/>
          <w:szCs w:val="36"/>
          <w:highlight w:val="none"/>
        </w:rPr>
      </w:pPr>
    </w:p>
    <w:p w14:paraId="75BB7D78">
      <w:pPr>
        <w:pStyle w:val="36"/>
        <w:jc w:val="center"/>
        <w:rPr>
          <w:rFonts w:ascii="仿宋" w:hAnsi="仿宋" w:eastAsia="仿宋" w:cs="仿宋"/>
          <w:b/>
          <w:bCs/>
          <w:sz w:val="30"/>
          <w:szCs w:val="30"/>
          <w:highlight w:val="none"/>
        </w:rPr>
      </w:pPr>
      <w:r>
        <w:rPr>
          <w:rFonts w:hint="eastAsia" w:ascii="仿宋" w:hAnsi="仿宋" w:eastAsia="仿宋" w:cs="仿宋"/>
          <w:b/>
          <w:bCs/>
          <w:kern w:val="2"/>
          <w:sz w:val="30"/>
          <w:szCs w:val="30"/>
          <w:highlight w:val="none"/>
        </w:rPr>
        <w:br w:type="page"/>
      </w:r>
      <w:r>
        <w:rPr>
          <w:rFonts w:hint="eastAsia" w:ascii="仿宋" w:hAnsi="仿宋" w:eastAsia="仿宋" w:cs="仿宋"/>
          <w:b/>
          <w:bCs/>
          <w:kern w:val="2"/>
          <w:sz w:val="30"/>
          <w:szCs w:val="30"/>
          <w:highlight w:val="none"/>
        </w:rPr>
        <w:t>投标人资格证明文件</w:t>
      </w:r>
    </w:p>
    <w:p w14:paraId="5729EBA2">
      <w:pPr>
        <w:pStyle w:val="23"/>
        <w:jc w:val="center"/>
        <w:rPr>
          <w:rFonts w:hint="eastAsia" w:ascii="仿宋" w:hAnsi="仿宋" w:eastAsia="仿宋" w:cs="仿宋"/>
          <w:b/>
          <w:bCs w:val="0"/>
          <w:kern w:val="2"/>
          <w:sz w:val="28"/>
          <w:szCs w:val="21"/>
          <w:highlight w:val="none"/>
        </w:rPr>
      </w:pPr>
      <w:r>
        <w:rPr>
          <w:rFonts w:hint="eastAsia" w:ascii="仿宋" w:hAnsi="仿宋" w:eastAsia="仿宋" w:cs="仿宋"/>
          <w:b/>
          <w:bCs w:val="0"/>
          <w:kern w:val="2"/>
          <w:sz w:val="28"/>
          <w:szCs w:val="21"/>
          <w:highlight w:val="none"/>
        </w:rPr>
        <w:t>投标人基本情况表</w:t>
      </w:r>
    </w:p>
    <w:tbl>
      <w:tblPr>
        <w:tblStyle w:val="41"/>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
        <w:gridCol w:w="1915"/>
        <w:gridCol w:w="2260"/>
        <w:gridCol w:w="2140"/>
        <w:gridCol w:w="427"/>
        <w:gridCol w:w="1581"/>
      </w:tblGrid>
      <w:tr w14:paraId="7B86E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2350" w:type="dxa"/>
            <w:gridSpan w:val="2"/>
            <w:noWrap w:val="0"/>
            <w:vAlign w:val="center"/>
          </w:tcPr>
          <w:p w14:paraId="3FED7F30">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单位名称</w:t>
            </w:r>
          </w:p>
        </w:tc>
        <w:tc>
          <w:tcPr>
            <w:tcW w:w="2260" w:type="dxa"/>
            <w:noWrap w:val="0"/>
            <w:vAlign w:val="center"/>
          </w:tcPr>
          <w:p w14:paraId="6719F89B">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608CA9C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p>
        </w:tc>
        <w:tc>
          <w:tcPr>
            <w:tcW w:w="1581" w:type="dxa"/>
            <w:noWrap w:val="0"/>
            <w:vAlign w:val="center"/>
          </w:tcPr>
          <w:p w14:paraId="7C050ECC">
            <w:pPr>
              <w:spacing w:line="440" w:lineRule="exact"/>
              <w:jc w:val="center"/>
              <w:rPr>
                <w:rFonts w:hint="eastAsia" w:ascii="仿宋" w:hAnsi="仿宋" w:eastAsia="仿宋" w:cs="仿宋"/>
                <w:sz w:val="24"/>
                <w:szCs w:val="24"/>
                <w:highlight w:val="none"/>
              </w:rPr>
            </w:pPr>
          </w:p>
        </w:tc>
      </w:tr>
      <w:tr w14:paraId="119BD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2350" w:type="dxa"/>
            <w:gridSpan w:val="2"/>
            <w:noWrap w:val="0"/>
            <w:vAlign w:val="center"/>
          </w:tcPr>
          <w:p w14:paraId="24240DF5">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办公电话/传真</w:t>
            </w:r>
          </w:p>
        </w:tc>
        <w:tc>
          <w:tcPr>
            <w:tcW w:w="2260" w:type="dxa"/>
            <w:noWrap w:val="0"/>
            <w:vAlign w:val="center"/>
          </w:tcPr>
          <w:p w14:paraId="06DE9216">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5FA9C3BF">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联系人</w:t>
            </w:r>
          </w:p>
        </w:tc>
        <w:tc>
          <w:tcPr>
            <w:tcW w:w="1581" w:type="dxa"/>
            <w:noWrap w:val="0"/>
            <w:vAlign w:val="center"/>
          </w:tcPr>
          <w:p w14:paraId="0882170C">
            <w:pPr>
              <w:spacing w:line="440" w:lineRule="exact"/>
              <w:jc w:val="center"/>
              <w:rPr>
                <w:rFonts w:hint="eastAsia" w:ascii="仿宋" w:hAnsi="仿宋" w:eastAsia="仿宋" w:cs="仿宋"/>
                <w:sz w:val="24"/>
                <w:szCs w:val="24"/>
                <w:highlight w:val="none"/>
              </w:rPr>
            </w:pPr>
          </w:p>
        </w:tc>
      </w:tr>
      <w:tr w14:paraId="367D7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2350" w:type="dxa"/>
            <w:gridSpan w:val="2"/>
            <w:noWrap w:val="0"/>
            <w:vAlign w:val="center"/>
          </w:tcPr>
          <w:p w14:paraId="5BE5ACDE">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总经理</w:t>
            </w:r>
          </w:p>
        </w:tc>
        <w:tc>
          <w:tcPr>
            <w:tcW w:w="2260" w:type="dxa"/>
            <w:noWrap w:val="0"/>
            <w:vAlign w:val="center"/>
          </w:tcPr>
          <w:p w14:paraId="1161304E">
            <w:pPr>
              <w:spacing w:line="440" w:lineRule="exact"/>
              <w:jc w:val="center"/>
              <w:rPr>
                <w:rFonts w:hint="eastAsia" w:ascii="仿宋" w:hAnsi="仿宋" w:eastAsia="仿宋" w:cs="仿宋"/>
                <w:sz w:val="24"/>
                <w:szCs w:val="24"/>
                <w:highlight w:val="none"/>
              </w:rPr>
            </w:pPr>
          </w:p>
        </w:tc>
        <w:tc>
          <w:tcPr>
            <w:tcW w:w="2567" w:type="dxa"/>
            <w:gridSpan w:val="2"/>
            <w:noWrap w:val="0"/>
            <w:vAlign w:val="center"/>
          </w:tcPr>
          <w:p w14:paraId="7179CB42">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固定办公面积</w:t>
            </w:r>
          </w:p>
          <w:p w14:paraId="2A251834">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（平米）</w:t>
            </w:r>
          </w:p>
        </w:tc>
        <w:tc>
          <w:tcPr>
            <w:tcW w:w="1581" w:type="dxa"/>
            <w:noWrap w:val="0"/>
            <w:vAlign w:val="center"/>
          </w:tcPr>
          <w:p w14:paraId="07562BD5">
            <w:pPr>
              <w:spacing w:line="440" w:lineRule="exact"/>
              <w:jc w:val="center"/>
              <w:rPr>
                <w:rFonts w:hint="eastAsia" w:ascii="仿宋" w:hAnsi="仿宋" w:eastAsia="仿宋" w:cs="仿宋"/>
                <w:sz w:val="24"/>
                <w:szCs w:val="24"/>
                <w:highlight w:val="none"/>
              </w:rPr>
            </w:pPr>
          </w:p>
        </w:tc>
      </w:tr>
      <w:tr w14:paraId="4E500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jc w:val="center"/>
        </w:trPr>
        <w:tc>
          <w:tcPr>
            <w:tcW w:w="435" w:type="dxa"/>
            <w:vMerge w:val="restart"/>
            <w:noWrap w:val="0"/>
            <w:vAlign w:val="center"/>
          </w:tcPr>
          <w:p w14:paraId="65F6FF2C">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注册情况</w:t>
            </w:r>
          </w:p>
        </w:tc>
        <w:tc>
          <w:tcPr>
            <w:tcW w:w="1915" w:type="dxa"/>
            <w:noWrap w:val="0"/>
            <w:vAlign w:val="center"/>
          </w:tcPr>
          <w:p w14:paraId="346706FD">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工商注册号</w:t>
            </w:r>
          </w:p>
        </w:tc>
        <w:tc>
          <w:tcPr>
            <w:tcW w:w="6408" w:type="dxa"/>
            <w:gridSpan w:val="4"/>
            <w:noWrap w:val="0"/>
            <w:vAlign w:val="top"/>
          </w:tcPr>
          <w:p w14:paraId="3809099D">
            <w:pPr>
              <w:spacing w:line="440" w:lineRule="exact"/>
              <w:jc w:val="center"/>
              <w:rPr>
                <w:rFonts w:hint="eastAsia" w:ascii="仿宋" w:hAnsi="仿宋" w:eastAsia="仿宋" w:cs="仿宋"/>
                <w:sz w:val="24"/>
                <w:szCs w:val="24"/>
                <w:highlight w:val="none"/>
              </w:rPr>
            </w:pPr>
          </w:p>
        </w:tc>
      </w:tr>
      <w:tr w14:paraId="132AE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8" w:hRule="atLeast"/>
          <w:jc w:val="center"/>
        </w:trPr>
        <w:tc>
          <w:tcPr>
            <w:tcW w:w="435" w:type="dxa"/>
            <w:vMerge w:val="continue"/>
            <w:noWrap w:val="0"/>
            <w:textDirection w:val="tbRlV"/>
            <w:vAlign w:val="center"/>
          </w:tcPr>
          <w:p w14:paraId="756B4384">
            <w:pPr>
              <w:spacing w:line="440" w:lineRule="exact"/>
              <w:jc w:val="center"/>
              <w:rPr>
                <w:rFonts w:hint="eastAsia" w:ascii="仿宋" w:hAnsi="仿宋" w:eastAsia="仿宋" w:cs="仿宋"/>
                <w:sz w:val="24"/>
                <w:szCs w:val="24"/>
                <w:highlight w:val="none"/>
              </w:rPr>
            </w:pPr>
          </w:p>
        </w:tc>
        <w:tc>
          <w:tcPr>
            <w:tcW w:w="1915" w:type="dxa"/>
            <w:noWrap w:val="0"/>
            <w:vAlign w:val="center"/>
          </w:tcPr>
          <w:p w14:paraId="1DE0747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注册资本（万元）</w:t>
            </w:r>
          </w:p>
        </w:tc>
        <w:tc>
          <w:tcPr>
            <w:tcW w:w="6408" w:type="dxa"/>
            <w:gridSpan w:val="4"/>
            <w:noWrap w:val="0"/>
            <w:vAlign w:val="top"/>
          </w:tcPr>
          <w:p w14:paraId="1E3330BB">
            <w:pPr>
              <w:spacing w:line="440" w:lineRule="exact"/>
              <w:jc w:val="center"/>
              <w:rPr>
                <w:rFonts w:hint="eastAsia" w:ascii="仿宋" w:hAnsi="仿宋" w:eastAsia="仿宋" w:cs="仿宋"/>
                <w:sz w:val="24"/>
                <w:szCs w:val="24"/>
                <w:highlight w:val="none"/>
              </w:rPr>
            </w:pPr>
          </w:p>
        </w:tc>
      </w:tr>
      <w:tr w14:paraId="3FDAB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5" w:hRule="atLeast"/>
          <w:jc w:val="center"/>
        </w:trPr>
        <w:tc>
          <w:tcPr>
            <w:tcW w:w="435" w:type="dxa"/>
            <w:vMerge w:val="continue"/>
            <w:noWrap w:val="0"/>
            <w:textDirection w:val="tbRlV"/>
            <w:vAlign w:val="center"/>
          </w:tcPr>
          <w:p w14:paraId="095C6D12">
            <w:pPr>
              <w:spacing w:line="440" w:lineRule="exact"/>
              <w:jc w:val="center"/>
              <w:rPr>
                <w:rFonts w:hint="eastAsia" w:ascii="仿宋" w:hAnsi="仿宋" w:eastAsia="仿宋" w:cs="仿宋"/>
                <w:sz w:val="24"/>
                <w:szCs w:val="24"/>
                <w:highlight w:val="none"/>
              </w:rPr>
            </w:pPr>
          </w:p>
        </w:tc>
        <w:tc>
          <w:tcPr>
            <w:tcW w:w="1915" w:type="dxa"/>
            <w:noWrap w:val="0"/>
            <w:vAlign w:val="center"/>
          </w:tcPr>
          <w:p w14:paraId="59D5C052">
            <w:pPr>
              <w:spacing w:line="440" w:lineRule="exact"/>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p>
        </w:tc>
        <w:tc>
          <w:tcPr>
            <w:tcW w:w="2260" w:type="dxa"/>
            <w:noWrap w:val="0"/>
            <w:vAlign w:val="center"/>
          </w:tcPr>
          <w:p w14:paraId="692923DF">
            <w:pPr>
              <w:spacing w:line="440" w:lineRule="exact"/>
              <w:jc w:val="center"/>
              <w:rPr>
                <w:rFonts w:hint="eastAsia" w:ascii="仿宋" w:hAnsi="仿宋" w:eastAsia="仿宋" w:cs="仿宋"/>
                <w:sz w:val="24"/>
                <w:szCs w:val="24"/>
                <w:highlight w:val="none"/>
              </w:rPr>
            </w:pPr>
          </w:p>
        </w:tc>
        <w:tc>
          <w:tcPr>
            <w:tcW w:w="2140" w:type="dxa"/>
            <w:noWrap w:val="0"/>
            <w:vAlign w:val="center"/>
          </w:tcPr>
          <w:p w14:paraId="59E2C9D5">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单位类型</w:t>
            </w:r>
          </w:p>
        </w:tc>
        <w:tc>
          <w:tcPr>
            <w:tcW w:w="2008" w:type="dxa"/>
            <w:gridSpan w:val="2"/>
            <w:noWrap w:val="0"/>
            <w:vAlign w:val="center"/>
          </w:tcPr>
          <w:p w14:paraId="4D9DC98E">
            <w:pPr>
              <w:spacing w:line="440" w:lineRule="exact"/>
              <w:jc w:val="center"/>
              <w:rPr>
                <w:rFonts w:hint="eastAsia" w:ascii="仿宋" w:hAnsi="仿宋" w:eastAsia="仿宋" w:cs="仿宋"/>
                <w:sz w:val="24"/>
                <w:szCs w:val="24"/>
                <w:highlight w:val="none"/>
              </w:rPr>
            </w:pPr>
          </w:p>
        </w:tc>
      </w:tr>
      <w:tr w14:paraId="6A174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435" w:type="dxa"/>
            <w:vMerge w:val="continue"/>
            <w:noWrap w:val="0"/>
            <w:textDirection w:val="tbRlV"/>
            <w:vAlign w:val="center"/>
          </w:tcPr>
          <w:p w14:paraId="6B227ADC">
            <w:pPr>
              <w:spacing w:line="440" w:lineRule="exact"/>
              <w:jc w:val="center"/>
              <w:rPr>
                <w:rFonts w:hint="eastAsia" w:ascii="仿宋" w:hAnsi="仿宋" w:eastAsia="仿宋" w:cs="仿宋"/>
                <w:sz w:val="24"/>
                <w:szCs w:val="24"/>
                <w:highlight w:val="none"/>
              </w:rPr>
            </w:pPr>
          </w:p>
        </w:tc>
        <w:tc>
          <w:tcPr>
            <w:tcW w:w="1915" w:type="dxa"/>
            <w:noWrap w:val="0"/>
            <w:vAlign w:val="center"/>
          </w:tcPr>
          <w:p w14:paraId="70909981">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p>
        </w:tc>
        <w:tc>
          <w:tcPr>
            <w:tcW w:w="2260" w:type="dxa"/>
            <w:noWrap w:val="0"/>
            <w:vAlign w:val="center"/>
          </w:tcPr>
          <w:p w14:paraId="5F0587EB">
            <w:pPr>
              <w:spacing w:line="440" w:lineRule="exact"/>
              <w:jc w:val="center"/>
              <w:rPr>
                <w:rFonts w:hint="eastAsia" w:ascii="仿宋" w:hAnsi="仿宋" w:eastAsia="仿宋" w:cs="仿宋"/>
                <w:sz w:val="24"/>
                <w:szCs w:val="24"/>
                <w:highlight w:val="none"/>
              </w:rPr>
            </w:pPr>
          </w:p>
        </w:tc>
        <w:tc>
          <w:tcPr>
            <w:tcW w:w="2140" w:type="dxa"/>
            <w:noWrap w:val="0"/>
            <w:vAlign w:val="center"/>
          </w:tcPr>
          <w:p w14:paraId="4B5DB753">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营业期限</w:t>
            </w:r>
          </w:p>
        </w:tc>
        <w:tc>
          <w:tcPr>
            <w:tcW w:w="2008" w:type="dxa"/>
            <w:gridSpan w:val="2"/>
            <w:noWrap w:val="0"/>
            <w:vAlign w:val="center"/>
          </w:tcPr>
          <w:p w14:paraId="6C54D7B1">
            <w:pPr>
              <w:spacing w:line="440" w:lineRule="exact"/>
              <w:jc w:val="center"/>
              <w:rPr>
                <w:rFonts w:hint="eastAsia" w:ascii="仿宋" w:hAnsi="仿宋" w:eastAsia="仿宋" w:cs="仿宋"/>
                <w:sz w:val="24"/>
                <w:szCs w:val="24"/>
                <w:highlight w:val="none"/>
              </w:rPr>
            </w:pPr>
          </w:p>
        </w:tc>
      </w:tr>
      <w:tr w14:paraId="60394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atLeast"/>
          <w:jc w:val="center"/>
        </w:trPr>
        <w:tc>
          <w:tcPr>
            <w:tcW w:w="435" w:type="dxa"/>
            <w:vMerge w:val="continue"/>
            <w:noWrap w:val="0"/>
            <w:textDirection w:val="tbRlV"/>
            <w:vAlign w:val="center"/>
          </w:tcPr>
          <w:p w14:paraId="38EA163A">
            <w:pPr>
              <w:spacing w:line="440" w:lineRule="exact"/>
              <w:jc w:val="center"/>
              <w:rPr>
                <w:rFonts w:hint="eastAsia" w:ascii="仿宋" w:hAnsi="仿宋" w:eastAsia="仿宋" w:cs="仿宋"/>
                <w:sz w:val="24"/>
                <w:szCs w:val="24"/>
                <w:highlight w:val="none"/>
              </w:rPr>
            </w:pPr>
          </w:p>
        </w:tc>
        <w:tc>
          <w:tcPr>
            <w:tcW w:w="1915" w:type="dxa"/>
            <w:noWrap w:val="0"/>
            <w:vAlign w:val="center"/>
          </w:tcPr>
          <w:p w14:paraId="3733BD62">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经营范围</w:t>
            </w:r>
          </w:p>
        </w:tc>
        <w:tc>
          <w:tcPr>
            <w:tcW w:w="6408" w:type="dxa"/>
            <w:gridSpan w:val="4"/>
            <w:noWrap w:val="0"/>
            <w:vAlign w:val="top"/>
          </w:tcPr>
          <w:p w14:paraId="4929EAF0">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tc>
      </w:tr>
      <w:tr w14:paraId="7D35A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8758" w:type="dxa"/>
            <w:gridSpan w:val="6"/>
            <w:noWrap w:val="0"/>
            <w:vAlign w:val="top"/>
          </w:tcPr>
          <w:p w14:paraId="623ED186">
            <w:pPr>
              <w:spacing w:line="4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投标人情况简介</w:t>
            </w:r>
          </w:p>
        </w:tc>
      </w:tr>
      <w:tr w14:paraId="2216E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22" w:hRule="atLeast"/>
          <w:jc w:val="center"/>
        </w:trPr>
        <w:tc>
          <w:tcPr>
            <w:tcW w:w="8758" w:type="dxa"/>
            <w:gridSpan w:val="6"/>
            <w:noWrap w:val="0"/>
            <w:vAlign w:val="top"/>
          </w:tcPr>
          <w:p w14:paraId="4F075151">
            <w:pPr>
              <w:spacing w:line="440" w:lineRule="exact"/>
              <w:rPr>
                <w:rFonts w:hint="eastAsia" w:ascii="仿宋" w:hAnsi="仿宋" w:eastAsia="仿宋" w:cs="仿宋"/>
                <w:sz w:val="24"/>
                <w:szCs w:val="24"/>
                <w:highlight w:val="none"/>
              </w:rPr>
            </w:pPr>
          </w:p>
        </w:tc>
      </w:tr>
    </w:tbl>
    <w:p w14:paraId="17575A81">
      <w:pPr>
        <w:snapToGrid w:val="0"/>
        <w:spacing w:line="360" w:lineRule="auto"/>
        <w:ind w:firstLine="240" w:firstLineChars="100"/>
        <w:rPr>
          <w:rFonts w:hint="eastAsia" w:ascii="仿宋" w:hAnsi="仿宋" w:eastAsia="仿宋" w:cs="仿宋"/>
          <w:sz w:val="24"/>
          <w:szCs w:val="24"/>
          <w:highlight w:val="none"/>
        </w:rPr>
      </w:pPr>
    </w:p>
    <w:p w14:paraId="7BB74102">
      <w:pPr>
        <w:snapToGrid w:val="0"/>
        <w:spacing w:line="360" w:lineRule="auto"/>
        <w:ind w:left="0" w:leftChars="0"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7E4DEE41">
      <w:pPr>
        <w:snapToGrid w:val="0"/>
        <w:spacing w:line="360" w:lineRule="auto"/>
        <w:ind w:left="0" w:leftChars="0" w:firstLine="0" w:firstLineChars="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2062AA98">
      <w:pPr>
        <w:snapToGrid w:val="0"/>
        <w:spacing w:line="360" w:lineRule="auto"/>
        <w:ind w:left="0" w:leftChars="0" w:firstLine="0" w:firstLineChars="0"/>
        <w:rPr>
          <w:rFonts w:hint="eastAsia" w:ascii="仿宋" w:hAnsi="仿宋" w:eastAsia="仿宋" w:cs="仿宋"/>
          <w:sz w:val="32"/>
          <w:szCs w:val="32"/>
          <w:highlight w:val="none"/>
        </w:rPr>
      </w:pPr>
      <w:r>
        <w:rPr>
          <w:rFonts w:hint="eastAsia" w:ascii="仿宋" w:hAnsi="仿宋" w:eastAsia="仿宋" w:cs="仿宋"/>
          <w:sz w:val="24"/>
          <w:szCs w:val="24"/>
          <w:highlight w:val="none"/>
        </w:rPr>
        <w:t>日期：</w:t>
      </w:r>
      <w:r>
        <w:rPr>
          <w:rFonts w:hint="eastAsia" w:ascii="仿宋" w:hAnsi="仿宋" w:eastAsia="仿宋" w:cs="仿宋"/>
          <w:sz w:val="32"/>
          <w:szCs w:val="32"/>
          <w:highlight w:val="none"/>
        </w:rPr>
        <w:t xml:space="preserve"> </w:t>
      </w:r>
      <w:r>
        <w:rPr>
          <w:rFonts w:hint="eastAsia" w:ascii="仿宋" w:hAnsi="仿宋" w:eastAsia="仿宋" w:cs="仿宋"/>
          <w:sz w:val="28"/>
          <w:szCs w:val="28"/>
          <w:highlight w:val="none"/>
        </w:rPr>
        <w:t xml:space="preserve">  </w:t>
      </w:r>
      <w:r>
        <w:rPr>
          <w:rFonts w:hint="eastAsia" w:ascii="仿宋" w:hAnsi="仿宋" w:eastAsia="仿宋" w:cs="仿宋"/>
          <w:sz w:val="32"/>
          <w:szCs w:val="32"/>
          <w:highlight w:val="none"/>
        </w:rPr>
        <w:t xml:space="preserve">  </w:t>
      </w:r>
    </w:p>
    <w:p w14:paraId="46C7E83E">
      <w:pPr>
        <w:spacing w:line="600" w:lineRule="auto"/>
        <w:jc w:val="center"/>
        <w:rPr>
          <w:rFonts w:hint="eastAsia" w:ascii="仿宋" w:hAnsi="仿宋" w:eastAsia="仿宋" w:cs="仿宋"/>
          <w:b/>
          <w:bCs w:val="0"/>
          <w:kern w:val="2"/>
          <w:sz w:val="30"/>
          <w:szCs w:val="30"/>
          <w:highlight w:val="none"/>
          <w:lang w:eastAsia="zh-CN"/>
        </w:rPr>
      </w:pPr>
      <w:r>
        <w:rPr>
          <w:rFonts w:hint="eastAsia" w:ascii="仿宋" w:hAnsi="仿宋" w:eastAsia="仿宋" w:cs="仿宋"/>
          <w:b/>
          <w:bCs w:val="0"/>
          <w:kern w:val="2"/>
          <w:sz w:val="30"/>
          <w:szCs w:val="30"/>
          <w:highlight w:val="none"/>
          <w:lang w:eastAsia="zh-CN"/>
        </w:rPr>
        <w:br w:type="page"/>
      </w:r>
    </w:p>
    <w:p w14:paraId="4B9ECC7C">
      <w:pPr>
        <w:jc w:val="center"/>
        <w:rPr>
          <w:rFonts w:hint="eastAsia" w:ascii="仿宋" w:hAnsi="仿宋" w:eastAsia="仿宋" w:cs="仿宋"/>
          <w:b/>
          <w:bCs w:val="0"/>
          <w:kern w:val="2"/>
          <w:sz w:val="28"/>
          <w:szCs w:val="21"/>
          <w:highlight w:val="none"/>
          <w:lang w:val="en-US" w:eastAsia="zh-CN" w:bidi="ar-SA"/>
        </w:rPr>
      </w:pPr>
      <w:r>
        <w:rPr>
          <w:rFonts w:hint="eastAsia" w:ascii="仿宋" w:hAnsi="仿宋" w:eastAsia="仿宋" w:cs="仿宋"/>
          <w:b/>
          <w:bCs w:val="0"/>
          <w:kern w:val="2"/>
          <w:sz w:val="28"/>
          <w:szCs w:val="21"/>
          <w:highlight w:val="none"/>
          <w:lang w:val="en-US" w:eastAsia="zh-CN" w:bidi="ar-SA"/>
        </w:rPr>
        <w:t>有效的营业执照副本复印件（若分支机构参与投标的，分支机构还需提供总公司的授权书）</w:t>
      </w:r>
      <w:r>
        <w:rPr>
          <w:rFonts w:hint="eastAsia" w:ascii="仿宋" w:hAnsi="仿宋" w:eastAsia="仿宋" w:cs="仿宋"/>
          <w:b/>
          <w:bCs w:val="0"/>
          <w:kern w:val="2"/>
          <w:sz w:val="28"/>
          <w:szCs w:val="21"/>
          <w:highlight w:val="none"/>
          <w:lang w:val="en-US" w:eastAsia="zh-CN" w:bidi="ar-SA"/>
        </w:rPr>
        <w:br w:type="page"/>
      </w:r>
    </w:p>
    <w:p w14:paraId="37C29A73">
      <w:pPr>
        <w:jc w:val="center"/>
        <w:rPr>
          <w:rFonts w:hint="eastAsia" w:ascii="仿宋" w:hAnsi="仿宋" w:eastAsia="仿宋" w:cs="仿宋"/>
          <w:b/>
          <w:bCs/>
          <w:kern w:val="2"/>
          <w:sz w:val="30"/>
          <w:szCs w:val="30"/>
          <w:highlight w:val="none"/>
        </w:rPr>
      </w:pPr>
      <w:r>
        <w:rPr>
          <w:rFonts w:hint="eastAsia" w:ascii="仿宋" w:hAnsi="仿宋" w:eastAsia="仿宋" w:cs="仿宋"/>
          <w:b/>
          <w:bCs w:val="0"/>
          <w:color w:val="auto"/>
          <w:kern w:val="2"/>
          <w:sz w:val="30"/>
          <w:szCs w:val="30"/>
          <w:highlight w:val="none"/>
          <w:lang w:val="en-US" w:eastAsia="zh-CN" w:bidi="ar-SA"/>
        </w:rPr>
        <w:t>具有有效的《成品油零售经营批准证书》和《中华人民共和国危险化学品经营许可证》扫描件</w:t>
      </w:r>
    </w:p>
    <w:p w14:paraId="63AAFD49">
      <w:pPr>
        <w:rPr>
          <w:rFonts w:hint="eastAsia" w:ascii="仿宋" w:hAnsi="仿宋" w:eastAsia="仿宋" w:cs="仿宋"/>
          <w:b/>
          <w:bCs/>
          <w:kern w:val="2"/>
          <w:sz w:val="30"/>
          <w:szCs w:val="30"/>
          <w:highlight w:val="none"/>
        </w:rPr>
      </w:pPr>
      <w:r>
        <w:rPr>
          <w:rFonts w:hint="eastAsia" w:ascii="仿宋" w:hAnsi="仿宋" w:eastAsia="仿宋" w:cs="仿宋"/>
          <w:b/>
          <w:bCs/>
          <w:kern w:val="2"/>
          <w:sz w:val="30"/>
          <w:szCs w:val="30"/>
          <w:highlight w:val="none"/>
        </w:rPr>
        <w:br w:type="page"/>
      </w:r>
    </w:p>
    <w:p w14:paraId="28F0F1BC">
      <w:pPr>
        <w:keepNext w:val="0"/>
        <w:keepLines w:val="0"/>
        <w:pageBreakBefore w:val="0"/>
        <w:widowControl w:val="0"/>
        <w:kinsoku/>
        <w:wordWrap/>
        <w:overflowPunct/>
        <w:topLinePunct w:val="0"/>
        <w:autoSpaceDE/>
        <w:autoSpaceDN/>
        <w:bidi w:val="0"/>
        <w:adjustRightInd/>
        <w:snapToGrid w:val="0"/>
        <w:spacing w:line="420" w:lineRule="exact"/>
        <w:jc w:val="center"/>
        <w:textAlignment w:val="auto"/>
        <w:rPr>
          <w:rFonts w:hint="eastAsia" w:ascii="仿宋" w:hAnsi="仿宋" w:eastAsia="仿宋" w:cs="仿宋"/>
          <w:b/>
          <w:bCs/>
          <w:kern w:val="2"/>
          <w:sz w:val="30"/>
          <w:szCs w:val="30"/>
          <w:highlight w:val="none"/>
        </w:rPr>
      </w:pPr>
      <w:r>
        <w:rPr>
          <w:rFonts w:hint="eastAsia" w:ascii="仿宋" w:hAnsi="仿宋" w:eastAsia="仿宋" w:cs="仿宋"/>
          <w:b/>
          <w:bCs/>
          <w:kern w:val="2"/>
          <w:sz w:val="30"/>
          <w:szCs w:val="30"/>
          <w:highlight w:val="none"/>
        </w:rPr>
        <w:t>法定代表人</w:t>
      </w:r>
      <w:r>
        <w:rPr>
          <w:rFonts w:hint="eastAsia" w:ascii="仿宋" w:hAnsi="仿宋" w:eastAsia="仿宋" w:cs="仿宋"/>
          <w:b/>
          <w:bCs/>
          <w:kern w:val="2"/>
          <w:sz w:val="30"/>
          <w:szCs w:val="30"/>
          <w:highlight w:val="none"/>
          <w:lang w:eastAsia="zh-CN"/>
        </w:rPr>
        <w:t>（</w:t>
      </w:r>
      <w:r>
        <w:rPr>
          <w:rFonts w:hint="eastAsia" w:ascii="仿宋" w:hAnsi="仿宋" w:eastAsia="仿宋" w:cs="仿宋"/>
          <w:b/>
          <w:bCs/>
          <w:kern w:val="2"/>
          <w:sz w:val="30"/>
          <w:szCs w:val="30"/>
          <w:highlight w:val="none"/>
          <w:lang w:val="en-US" w:eastAsia="zh-CN"/>
        </w:rPr>
        <w:t>负责人</w:t>
      </w:r>
      <w:r>
        <w:rPr>
          <w:rFonts w:hint="eastAsia" w:ascii="仿宋" w:hAnsi="仿宋" w:eastAsia="仿宋" w:cs="仿宋"/>
          <w:b/>
          <w:bCs/>
          <w:kern w:val="2"/>
          <w:sz w:val="30"/>
          <w:szCs w:val="30"/>
          <w:highlight w:val="none"/>
          <w:lang w:eastAsia="zh-CN"/>
        </w:rPr>
        <w:t>）</w:t>
      </w:r>
      <w:r>
        <w:rPr>
          <w:rFonts w:hint="eastAsia" w:ascii="仿宋" w:hAnsi="仿宋" w:eastAsia="仿宋" w:cs="仿宋"/>
          <w:b/>
          <w:bCs/>
          <w:kern w:val="2"/>
          <w:sz w:val="30"/>
          <w:szCs w:val="30"/>
          <w:highlight w:val="none"/>
        </w:rPr>
        <w:t>身份证明</w:t>
      </w:r>
    </w:p>
    <w:p w14:paraId="15F92446">
      <w:pPr>
        <w:spacing w:line="440" w:lineRule="exact"/>
        <w:rPr>
          <w:szCs w:val="20"/>
          <w:highlight w:val="none"/>
        </w:rPr>
      </w:pPr>
    </w:p>
    <w:p w14:paraId="61BE6E78">
      <w:pPr>
        <w:spacing w:line="440" w:lineRule="exact"/>
        <w:rPr>
          <w:szCs w:val="21"/>
          <w:highlight w:val="none"/>
        </w:rPr>
      </w:pPr>
    </w:p>
    <w:p w14:paraId="580031AA">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投标人名称：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453814F0">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单位性质：</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3A1A525F">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地址：</w:t>
      </w:r>
      <w:r>
        <w:rPr>
          <w:rFonts w:hint="eastAsia" w:ascii="仿宋" w:hAnsi="仿宋" w:eastAsia="仿宋" w:cs="仿宋"/>
          <w:sz w:val="24"/>
          <w:szCs w:val="24"/>
          <w:highlight w:val="none"/>
          <w:u w:val="single"/>
        </w:rPr>
        <w:t xml:space="preserve">                                   </w:t>
      </w:r>
    </w:p>
    <w:p w14:paraId="7ECC42AE">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成立时间：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087667BD">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经营期限：</w:t>
      </w:r>
      <w:r>
        <w:rPr>
          <w:rFonts w:hint="eastAsia" w:ascii="仿宋" w:hAnsi="仿宋" w:eastAsia="仿宋" w:cs="仿宋"/>
          <w:sz w:val="24"/>
          <w:szCs w:val="24"/>
          <w:highlight w:val="none"/>
          <w:u w:val="single"/>
        </w:rPr>
        <w:t xml:space="preserve">                               </w:t>
      </w:r>
    </w:p>
    <w:p w14:paraId="08F3CA42">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姓名：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性别：</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职务：</w:t>
      </w:r>
      <w:r>
        <w:rPr>
          <w:rFonts w:hint="eastAsia" w:ascii="仿宋" w:hAnsi="仿宋" w:eastAsia="仿宋" w:cs="仿宋"/>
          <w:sz w:val="24"/>
          <w:szCs w:val="24"/>
          <w:highlight w:val="none"/>
          <w:u w:val="single"/>
        </w:rPr>
        <w:t xml:space="preserve">        </w:t>
      </w:r>
    </w:p>
    <w:p w14:paraId="1E63BA8B">
      <w:pPr>
        <w:spacing w:line="44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系</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（投标人名称）的法定代表人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w:t>
      </w:r>
    </w:p>
    <w:p w14:paraId="61960827">
      <w:pPr>
        <w:spacing w:line="44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特此证明。</w:t>
      </w:r>
    </w:p>
    <w:p w14:paraId="2CE27C4A">
      <w:pPr>
        <w:spacing w:line="440" w:lineRule="exact"/>
        <w:rPr>
          <w:rFonts w:hint="eastAsia" w:ascii="仿宋" w:hAnsi="仿宋" w:eastAsia="仿宋" w:cs="仿宋"/>
          <w:sz w:val="24"/>
          <w:szCs w:val="24"/>
          <w:highlight w:val="none"/>
        </w:rPr>
      </w:pPr>
    </w:p>
    <w:p w14:paraId="5142F997">
      <w:pPr>
        <w:spacing w:line="440" w:lineRule="exact"/>
        <w:rPr>
          <w:rFonts w:hint="eastAsia" w:ascii="仿宋" w:hAnsi="仿宋" w:eastAsia="仿宋" w:cs="仿宋"/>
          <w:sz w:val="24"/>
          <w:szCs w:val="24"/>
          <w:highlight w:val="none"/>
        </w:rPr>
      </w:pPr>
    </w:p>
    <w:p w14:paraId="3E7A32A4">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09F0BED5">
      <w:pPr>
        <w:snapToGrid w:val="0"/>
        <w:spacing w:line="360" w:lineRule="auto"/>
        <w:ind w:firstLine="240" w:firstLineChars="100"/>
        <w:rPr>
          <w:rFonts w:ascii="仿宋" w:hAnsi="仿宋" w:eastAsia="仿宋" w:cs="仿宋"/>
          <w:sz w:val="24"/>
          <w:szCs w:val="24"/>
          <w:highlight w:val="none"/>
          <w:lang w:val="zh-CN"/>
        </w:rPr>
      </w:pPr>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7D9DEA72">
      <w:pPr>
        <w:spacing w:line="440" w:lineRule="exact"/>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日期：    </w:t>
      </w:r>
    </w:p>
    <w:p w14:paraId="593D3182">
      <w:pPr>
        <w:spacing w:line="440" w:lineRule="exact"/>
        <w:rPr>
          <w:rFonts w:eastAsia="黑体"/>
          <w:szCs w:val="20"/>
          <w:highlight w:val="none"/>
        </w:rPr>
      </w:pPr>
    </w:p>
    <w:tbl>
      <w:tblPr>
        <w:tblStyle w:val="41"/>
        <w:tblpPr w:leftFromText="180" w:rightFromText="180" w:vertAnchor="text" w:horzAnchor="page" w:tblpXSpec="center" w:tblpY="968"/>
        <w:tblOverlap w:val="never"/>
        <w:tblW w:w="8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0"/>
      </w:tblGrid>
      <w:tr w14:paraId="17750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5" w:hRule="atLeast"/>
          <w:jc w:val="center"/>
        </w:trPr>
        <w:tc>
          <w:tcPr>
            <w:tcW w:w="8300" w:type="dxa"/>
            <w:noWrap w:val="0"/>
            <w:vAlign w:val="center"/>
          </w:tcPr>
          <w:p w14:paraId="39FA2784">
            <w:pPr>
              <w:pStyle w:val="37"/>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color w:val="auto"/>
                <w:kern w:val="2"/>
                <w:highlight w:val="none"/>
              </w:rPr>
              <w:t>身份证</w:t>
            </w:r>
            <w:r>
              <w:rPr>
                <w:rFonts w:hint="eastAsia" w:ascii="仿宋" w:hAnsi="仿宋" w:eastAsia="仿宋" w:cs="仿宋"/>
                <w:color w:val="auto"/>
                <w:kern w:val="2"/>
                <w:highlight w:val="none"/>
                <w:lang w:eastAsia="zh-CN"/>
              </w:rPr>
              <w:t>正反面</w:t>
            </w:r>
            <w:r>
              <w:rPr>
                <w:rFonts w:hint="eastAsia" w:ascii="仿宋" w:hAnsi="仿宋" w:eastAsia="仿宋" w:cs="仿宋"/>
                <w:color w:val="auto"/>
                <w:kern w:val="2"/>
                <w:highlight w:val="none"/>
              </w:rPr>
              <w:t>扫描件）</w:t>
            </w:r>
          </w:p>
        </w:tc>
      </w:tr>
    </w:tbl>
    <w:p w14:paraId="55726914">
      <w:pPr>
        <w:spacing w:line="440" w:lineRule="exact"/>
        <w:jc w:val="center"/>
        <w:rPr>
          <w:rFonts w:ascii="仿宋" w:hAnsi="仿宋" w:eastAsia="仿宋" w:cs="仿宋"/>
          <w:sz w:val="30"/>
          <w:szCs w:val="30"/>
          <w:highlight w:val="none"/>
        </w:rPr>
      </w:pPr>
      <w:r>
        <w:rPr>
          <w:rFonts w:hint="eastAsia" w:ascii="仿宋" w:hAnsi="仿宋" w:eastAsia="仿宋" w:cs="仿宋"/>
          <w:sz w:val="24"/>
          <w:szCs w:val="24"/>
          <w:highlight w:val="none"/>
        </w:rPr>
        <w:br w:type="page"/>
      </w:r>
      <w:r>
        <w:rPr>
          <w:rFonts w:hint="eastAsia" w:ascii="仿宋" w:hAnsi="仿宋" w:eastAsia="仿宋" w:cs="仿宋"/>
          <w:b/>
          <w:bCs/>
          <w:sz w:val="30"/>
          <w:szCs w:val="30"/>
          <w:highlight w:val="none"/>
        </w:rPr>
        <w:t>法</w:t>
      </w:r>
      <w:r>
        <w:rPr>
          <w:rFonts w:hint="eastAsia" w:ascii="仿宋" w:hAnsi="仿宋" w:eastAsia="仿宋" w:cs="仿宋"/>
          <w:b/>
          <w:bCs/>
          <w:sz w:val="30"/>
          <w:szCs w:val="30"/>
          <w:highlight w:val="none"/>
          <w:lang w:val="en-US" w:eastAsia="zh-CN"/>
        </w:rPr>
        <w:t>定代表人（负责人）</w:t>
      </w:r>
      <w:r>
        <w:rPr>
          <w:rFonts w:hint="eastAsia" w:ascii="仿宋" w:hAnsi="仿宋" w:eastAsia="仿宋" w:cs="仿宋"/>
          <w:b/>
          <w:bCs/>
          <w:sz w:val="30"/>
          <w:szCs w:val="30"/>
          <w:highlight w:val="none"/>
        </w:rPr>
        <w:t>授权委托书</w:t>
      </w:r>
    </w:p>
    <w:p w14:paraId="20322A1F">
      <w:pPr>
        <w:pStyle w:val="23"/>
        <w:spacing w:line="520" w:lineRule="exact"/>
        <w:ind w:firstLine="1110"/>
        <w:jc w:val="center"/>
        <w:rPr>
          <w:rFonts w:ascii="仿宋" w:hAnsi="仿宋" w:eastAsia="仿宋" w:cs="仿宋"/>
          <w:b/>
          <w:bCs/>
          <w:sz w:val="24"/>
          <w:szCs w:val="24"/>
          <w:highlight w:val="none"/>
        </w:rPr>
      </w:pPr>
    </w:p>
    <w:p w14:paraId="3FB32681">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本授权书声明：注册于</w:t>
      </w:r>
      <w:r>
        <w:rPr>
          <w:rFonts w:hint="eastAsia" w:ascii="仿宋" w:hAnsi="仿宋" w:eastAsia="仿宋" w:cs="仿宋"/>
          <w:sz w:val="24"/>
          <w:szCs w:val="24"/>
          <w:highlight w:val="none"/>
          <w:u w:val="single"/>
        </w:rPr>
        <w:t xml:space="preserve">   (国家或地区的名称)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(公司名称)  </w:t>
      </w:r>
      <w:r>
        <w:rPr>
          <w:rFonts w:hint="eastAsia" w:ascii="仿宋" w:hAnsi="仿宋" w:eastAsia="仿宋" w:cs="仿宋"/>
          <w:sz w:val="24"/>
          <w:szCs w:val="24"/>
          <w:highlight w:val="none"/>
        </w:rPr>
        <w:t>的</w:t>
      </w:r>
      <w:r>
        <w:rPr>
          <w:rFonts w:hint="eastAsia" w:ascii="仿宋" w:hAnsi="仿宋" w:eastAsia="仿宋" w:cs="仿宋"/>
          <w:sz w:val="24"/>
          <w:szCs w:val="24"/>
          <w:highlight w:val="none"/>
          <w:u w:val="single"/>
        </w:rPr>
        <w:t xml:space="preserve"> (法人代表</w:t>
      </w:r>
      <w:r>
        <w:rPr>
          <w:rFonts w:hint="eastAsia" w:ascii="仿宋" w:hAnsi="仿宋" w:eastAsia="仿宋" w:cs="仿宋"/>
          <w:sz w:val="24"/>
          <w:szCs w:val="24"/>
          <w:highlight w:val="none"/>
          <w:u w:val="single"/>
          <w:lang w:eastAsia="zh-CN"/>
        </w:rPr>
        <w:t>（</w:t>
      </w:r>
      <w:r>
        <w:rPr>
          <w:rFonts w:hint="eastAsia" w:ascii="仿宋" w:hAnsi="仿宋" w:eastAsia="仿宋" w:cs="仿宋"/>
          <w:sz w:val="24"/>
          <w:szCs w:val="24"/>
          <w:highlight w:val="none"/>
          <w:u w:val="single"/>
          <w:lang w:val="en-US" w:eastAsia="zh-CN"/>
        </w:rPr>
        <w:t>负责人</w:t>
      </w:r>
      <w:r>
        <w:rPr>
          <w:rFonts w:hint="eastAsia" w:ascii="仿宋" w:hAnsi="仿宋" w:eastAsia="仿宋" w:cs="仿宋"/>
          <w:sz w:val="24"/>
          <w:szCs w:val="24"/>
          <w:highlight w:val="none"/>
          <w:u w:val="single"/>
          <w:lang w:eastAsia="zh-CN"/>
        </w:rPr>
        <w:t>）</w:t>
      </w:r>
      <w:r>
        <w:rPr>
          <w:rFonts w:hint="eastAsia" w:ascii="仿宋" w:hAnsi="仿宋" w:eastAsia="仿宋" w:cs="仿宋"/>
          <w:sz w:val="24"/>
          <w:szCs w:val="24"/>
          <w:highlight w:val="none"/>
          <w:u w:val="single"/>
        </w:rPr>
        <w:t xml:space="preserve">姓名、职务)  </w:t>
      </w:r>
      <w:r>
        <w:rPr>
          <w:rFonts w:hint="eastAsia" w:ascii="仿宋" w:hAnsi="仿宋" w:eastAsia="仿宋" w:cs="仿宋"/>
          <w:sz w:val="24"/>
          <w:szCs w:val="24"/>
          <w:highlight w:val="none"/>
        </w:rPr>
        <w:t>，代表本公司授权</w:t>
      </w:r>
      <w:r>
        <w:rPr>
          <w:rFonts w:hint="eastAsia" w:ascii="仿宋" w:hAnsi="仿宋" w:eastAsia="仿宋" w:cs="仿宋"/>
          <w:sz w:val="24"/>
          <w:szCs w:val="24"/>
          <w:highlight w:val="none"/>
          <w:u w:val="single"/>
        </w:rPr>
        <w:t xml:space="preserve">  (被授权单位名称)  </w:t>
      </w:r>
      <w:r>
        <w:rPr>
          <w:rFonts w:hint="eastAsia" w:ascii="仿宋" w:hAnsi="仿宋" w:eastAsia="仿宋" w:cs="仿宋"/>
          <w:sz w:val="24"/>
          <w:szCs w:val="24"/>
          <w:highlight w:val="none"/>
        </w:rPr>
        <w:t>的</w:t>
      </w:r>
    </w:p>
    <w:p w14:paraId="48660FFA">
      <w:pPr>
        <w:pStyle w:val="23"/>
        <w:spacing w:line="520" w:lineRule="exact"/>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(被授权人的姓名、职务)</w:t>
      </w:r>
      <w:r>
        <w:rPr>
          <w:rFonts w:hint="eastAsia" w:ascii="仿宋" w:hAnsi="仿宋" w:eastAsia="仿宋" w:cs="仿宋"/>
          <w:sz w:val="24"/>
          <w:szCs w:val="24"/>
          <w:highlight w:val="none"/>
        </w:rPr>
        <w:t>为本公司的合法代理人，参加编号为</w:t>
      </w:r>
    </w:p>
    <w:p w14:paraId="6F01D0D8">
      <w:pPr>
        <w:pStyle w:val="23"/>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号的公开招标活动，以本公司名义处理一切与之有关的事宜。</w:t>
      </w:r>
    </w:p>
    <w:p w14:paraId="7687BA03">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如果本公司在此次</w:t>
      </w:r>
      <w:r>
        <w:rPr>
          <w:rFonts w:hint="eastAsia" w:ascii="仿宋" w:hAnsi="仿宋" w:eastAsia="仿宋" w:cs="仿宋"/>
          <w:sz w:val="24"/>
          <w:szCs w:val="24"/>
          <w:highlight w:val="none"/>
          <w:lang w:val="en-US" w:eastAsia="zh-CN"/>
        </w:rPr>
        <w:t>招标</w:t>
      </w:r>
      <w:r>
        <w:rPr>
          <w:rFonts w:hint="eastAsia" w:ascii="仿宋" w:hAnsi="仿宋" w:eastAsia="仿宋" w:cs="仿宋"/>
          <w:sz w:val="24"/>
          <w:szCs w:val="24"/>
          <w:highlight w:val="none"/>
        </w:rPr>
        <w:t>活动中中标，被授权人有权代表本公司签署合同。</w:t>
      </w:r>
    </w:p>
    <w:p w14:paraId="02003A98">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本授权书于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签字或盖章并由被授权人签字、单位盖章生效，特此声明。</w:t>
      </w:r>
    </w:p>
    <w:p w14:paraId="4FF4CD93">
      <w:pPr>
        <w:pStyle w:val="23"/>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被授权人无转委托权。</w:t>
      </w:r>
    </w:p>
    <w:p w14:paraId="64A2D1B5">
      <w:pPr>
        <w:pStyle w:val="23"/>
        <w:spacing w:line="520" w:lineRule="exact"/>
        <w:ind w:firstLine="1111"/>
        <w:rPr>
          <w:rFonts w:ascii="仿宋" w:hAnsi="仿宋" w:eastAsia="仿宋" w:cs="仿宋"/>
          <w:sz w:val="24"/>
          <w:szCs w:val="24"/>
          <w:highlight w:val="none"/>
        </w:rPr>
      </w:pPr>
    </w:p>
    <w:p w14:paraId="6E6A9BF4">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签字或盖章：</w:t>
      </w:r>
    </w:p>
    <w:p w14:paraId="6133645B">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被授权人签字：</w:t>
      </w:r>
    </w:p>
    <w:p w14:paraId="6C3892DC">
      <w:pPr>
        <w:pStyle w:val="23"/>
        <w:spacing w:line="520" w:lineRule="exact"/>
        <w:ind w:firstLine="480" w:firstLineChars="200"/>
        <w:rPr>
          <w:rFonts w:ascii="仿宋" w:hAnsi="仿宋" w:eastAsia="仿宋" w:cs="仿宋"/>
          <w:sz w:val="24"/>
          <w:szCs w:val="24"/>
          <w:highlight w:val="none"/>
        </w:rPr>
      </w:pPr>
      <w:r>
        <w:rPr>
          <w:rFonts w:hint="eastAsia" w:ascii="仿宋" w:hAnsi="仿宋" w:eastAsia="仿宋" w:cs="仿宋"/>
          <w:sz w:val="24"/>
          <w:szCs w:val="24"/>
          <w:highlight w:val="none"/>
        </w:rPr>
        <w:t>投标人公章:</w:t>
      </w:r>
    </w:p>
    <w:p w14:paraId="6D213173">
      <w:pPr>
        <w:pStyle w:val="23"/>
        <w:spacing w:line="520" w:lineRule="exact"/>
        <w:rPr>
          <w:rFonts w:ascii="仿宋" w:hAnsi="仿宋" w:eastAsia="仿宋" w:cs="仿宋"/>
          <w:sz w:val="24"/>
          <w:szCs w:val="24"/>
          <w:highlight w:val="none"/>
        </w:rPr>
      </w:pPr>
    </w:p>
    <w:p w14:paraId="3945FB80">
      <w:pPr>
        <w:pStyle w:val="23"/>
        <w:spacing w:line="520" w:lineRule="exact"/>
        <w:rPr>
          <w:rFonts w:ascii="仿宋" w:hAnsi="仿宋" w:eastAsia="仿宋" w:cs="仿宋"/>
          <w:sz w:val="24"/>
          <w:szCs w:val="24"/>
          <w:highlight w:val="none"/>
        </w:rPr>
      </w:pPr>
    </w:p>
    <w:tbl>
      <w:tblPr>
        <w:tblStyle w:val="41"/>
        <w:tblpPr w:leftFromText="180" w:rightFromText="180" w:vertAnchor="text" w:tblpXSpec="center" w:tblpY="1"/>
        <w:tblOverlap w:val="never"/>
        <w:tblW w:w="8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0"/>
      </w:tblGrid>
      <w:tr w14:paraId="44514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2" w:hRule="atLeast"/>
        </w:trPr>
        <w:tc>
          <w:tcPr>
            <w:tcW w:w="8960" w:type="dxa"/>
            <w:noWrap w:val="0"/>
            <w:vAlign w:val="center"/>
          </w:tcPr>
          <w:p w14:paraId="45D7A2BC">
            <w:pPr>
              <w:pStyle w:val="37"/>
              <w:spacing w:line="440" w:lineRule="exact"/>
              <w:jc w:val="center"/>
              <w:rPr>
                <w:rFonts w:ascii="仿宋" w:hAnsi="仿宋" w:eastAsia="仿宋" w:cs="仿宋"/>
                <w:color w:val="auto"/>
                <w:highlight w:val="none"/>
              </w:rPr>
            </w:pPr>
            <w:r>
              <w:rPr>
                <w:rFonts w:hint="eastAsia" w:ascii="仿宋" w:hAnsi="仿宋" w:eastAsia="仿宋" w:cs="仿宋"/>
                <w:color w:val="auto"/>
                <w:kern w:val="2"/>
                <w:highlight w:val="none"/>
              </w:rPr>
              <w:t>（被授权人身份证</w:t>
            </w:r>
            <w:r>
              <w:rPr>
                <w:rFonts w:hint="eastAsia" w:ascii="仿宋" w:hAnsi="仿宋" w:eastAsia="仿宋" w:cs="仿宋"/>
                <w:color w:val="auto"/>
                <w:kern w:val="2"/>
                <w:highlight w:val="none"/>
                <w:lang w:eastAsia="zh-CN"/>
              </w:rPr>
              <w:t>正反面</w:t>
            </w:r>
            <w:r>
              <w:rPr>
                <w:rFonts w:hint="eastAsia" w:ascii="仿宋" w:hAnsi="仿宋" w:eastAsia="仿宋" w:cs="仿宋"/>
                <w:color w:val="auto"/>
                <w:kern w:val="2"/>
                <w:highlight w:val="none"/>
              </w:rPr>
              <w:t>扫描件）</w:t>
            </w:r>
          </w:p>
        </w:tc>
      </w:tr>
    </w:tbl>
    <w:p w14:paraId="0361FFA5">
      <w:pPr>
        <w:snapToGrid w:val="0"/>
        <w:spacing w:line="360" w:lineRule="auto"/>
        <w:ind w:firstLine="480" w:firstLineChars="200"/>
        <w:jc w:val="left"/>
        <w:rPr>
          <w:rFonts w:hint="eastAsia" w:ascii="仿宋" w:hAnsi="仿宋" w:eastAsia="仿宋" w:cs="仿宋"/>
          <w:sz w:val="24"/>
          <w:szCs w:val="24"/>
          <w:highlight w:val="none"/>
        </w:rPr>
      </w:pPr>
    </w:p>
    <w:p w14:paraId="2128C35E">
      <w:pPr>
        <w:snapToGrid w:val="0"/>
        <w:spacing w:line="360" w:lineRule="auto"/>
        <w:ind w:firstLine="422" w:firstLineChars="200"/>
        <w:jc w:val="left"/>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附</w:t>
      </w:r>
      <w:r>
        <w:rPr>
          <w:rFonts w:hint="eastAsia" w:ascii="仿宋" w:hAnsi="仿宋" w:eastAsia="仿宋" w:cs="仿宋"/>
          <w:b/>
          <w:bCs/>
          <w:sz w:val="21"/>
          <w:szCs w:val="21"/>
          <w:highlight w:val="none"/>
        </w:rPr>
        <w:t>授权代理人社保证明材料。</w:t>
      </w:r>
    </w:p>
    <w:p w14:paraId="1F40DCD2">
      <w:pPr>
        <w:snapToGrid w:val="0"/>
        <w:spacing w:line="360" w:lineRule="auto"/>
        <w:ind w:firstLine="422" w:firstLineChars="200"/>
        <w:jc w:val="left"/>
        <w:rPr>
          <w:rFonts w:ascii="仿宋" w:hAnsi="仿宋" w:eastAsia="仿宋" w:cs="仿宋"/>
          <w:b/>
          <w:bCs/>
          <w:sz w:val="24"/>
          <w:szCs w:val="24"/>
          <w:highlight w:val="none"/>
        </w:rPr>
      </w:pPr>
      <w:r>
        <w:rPr>
          <w:rFonts w:hint="eastAsia" w:ascii="仿宋" w:hAnsi="仿宋" w:eastAsia="仿宋" w:cs="仿宋"/>
          <w:b/>
          <w:bCs/>
          <w:sz w:val="21"/>
          <w:szCs w:val="21"/>
          <w:highlight w:val="none"/>
        </w:rPr>
        <w:t>注：若由法定代表人</w:t>
      </w:r>
      <w:r>
        <w:rPr>
          <w:rFonts w:hint="eastAsia" w:ascii="仿宋" w:hAnsi="仿宋" w:eastAsia="仿宋" w:cs="仿宋"/>
          <w:b/>
          <w:bCs/>
          <w:sz w:val="21"/>
          <w:szCs w:val="21"/>
          <w:highlight w:val="none"/>
          <w:lang w:eastAsia="zh-CN"/>
        </w:rPr>
        <w:t>（</w:t>
      </w:r>
      <w:r>
        <w:rPr>
          <w:rFonts w:hint="eastAsia" w:ascii="仿宋" w:hAnsi="仿宋" w:eastAsia="仿宋" w:cs="仿宋"/>
          <w:b/>
          <w:bCs/>
          <w:sz w:val="21"/>
          <w:szCs w:val="21"/>
          <w:highlight w:val="none"/>
          <w:lang w:val="en-US" w:eastAsia="zh-CN"/>
        </w:rPr>
        <w:t>负责人</w:t>
      </w:r>
      <w:r>
        <w:rPr>
          <w:rFonts w:hint="eastAsia" w:ascii="仿宋" w:hAnsi="仿宋" w:eastAsia="仿宋" w:cs="仿宋"/>
          <w:b/>
          <w:bCs/>
          <w:sz w:val="21"/>
          <w:szCs w:val="21"/>
          <w:highlight w:val="none"/>
          <w:lang w:eastAsia="zh-CN"/>
        </w:rPr>
        <w:t>）</w:t>
      </w:r>
      <w:r>
        <w:rPr>
          <w:rFonts w:hint="eastAsia" w:ascii="仿宋" w:hAnsi="仿宋" w:eastAsia="仿宋" w:cs="仿宋"/>
          <w:b/>
          <w:bCs/>
          <w:sz w:val="21"/>
          <w:szCs w:val="21"/>
          <w:highlight w:val="none"/>
        </w:rPr>
        <w:t>亲自签署投标文件并参与相关活动，则无需提供授权委托书；若为授权委托代理人，则需提供授权委托书。</w:t>
      </w:r>
    </w:p>
    <w:p w14:paraId="483C701E">
      <w:pPr>
        <w:snapToGrid w:val="0"/>
        <w:spacing w:line="360" w:lineRule="auto"/>
        <w:ind w:firstLine="480" w:firstLineChars="200"/>
        <w:jc w:val="left"/>
        <w:rPr>
          <w:rFonts w:ascii="仿宋" w:hAnsi="仿宋" w:eastAsia="仿宋" w:cs="仿宋"/>
          <w:sz w:val="24"/>
          <w:szCs w:val="24"/>
          <w:highlight w:val="none"/>
        </w:rPr>
      </w:pPr>
    </w:p>
    <w:p w14:paraId="426423F0">
      <w:pPr>
        <w:snapToGrid w:val="0"/>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30"/>
          <w:szCs w:val="30"/>
          <w:highlight w:val="none"/>
        </w:rPr>
        <w:t>投标人参与投标的声明函</w:t>
      </w:r>
    </w:p>
    <w:p w14:paraId="1FB450B6">
      <w:pPr>
        <w:pStyle w:val="23"/>
        <w:spacing w:line="52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本单位郑重承诺如下：</w:t>
      </w:r>
    </w:p>
    <w:p w14:paraId="5ED79EBD">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1.具有独立承担民事责任能力（分支机构参加投标的须提供总公司针对本项目的唯一授权）；</w:t>
      </w:r>
    </w:p>
    <w:p w14:paraId="48C5C022">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2.具有有效的《成品油零售经营批准证书》和《中华人民共和国危险化学品经营许可证》；</w:t>
      </w:r>
    </w:p>
    <w:p w14:paraId="4A6BE8BE">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3.具有良好的商业信誉和健全的财务会计制度及履约能力；</w:t>
      </w:r>
    </w:p>
    <w:p w14:paraId="79C3009C">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4.具有履行合同所必需的设备和专业技术能力；</w:t>
      </w:r>
    </w:p>
    <w:p w14:paraId="744898BF">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5.具有依法缴纳税收和社会保障资金的记录；</w:t>
      </w:r>
    </w:p>
    <w:p w14:paraId="670FE1A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6.参加本次招标活动前三年内，在经营活动中没有重大违法记录；</w:t>
      </w:r>
    </w:p>
    <w:p w14:paraId="2FF8CCEA">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7.</w:t>
      </w:r>
      <w:r>
        <w:rPr>
          <w:rFonts w:hint="eastAsia" w:ascii="仿宋" w:hAnsi="仿宋" w:eastAsia="仿宋" w:cs="仿宋"/>
          <w:color w:val="auto"/>
          <w:sz w:val="24"/>
          <w:szCs w:val="24"/>
          <w:highlight w:val="none"/>
        </w:rPr>
        <w:t>我单位</w:t>
      </w:r>
      <w:r>
        <w:rPr>
          <w:rFonts w:hint="eastAsia" w:ascii="仿宋" w:hAnsi="仿宋" w:eastAsia="仿宋" w:cs="仿宋"/>
          <w:spacing w:val="8"/>
          <w:sz w:val="24"/>
          <w:szCs w:val="24"/>
          <w:highlight w:val="none"/>
          <w:lang w:val="en-US" w:eastAsia="zh-CN"/>
        </w:rPr>
        <w:t>及其法定代表人（负责人）、委托代理人未被最高法院（查询网址为：http://zxgk.court.gov.cn/shixin/）列入失信被执行人；</w:t>
      </w:r>
    </w:p>
    <w:p w14:paraId="6F377A02">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lang w:val="en-US" w:eastAsia="zh-CN"/>
        </w:rPr>
      </w:pPr>
      <w:r>
        <w:rPr>
          <w:rFonts w:hint="eastAsia" w:ascii="仿宋" w:hAnsi="仿宋" w:eastAsia="仿宋" w:cs="仿宋"/>
          <w:spacing w:val="8"/>
          <w:sz w:val="24"/>
          <w:szCs w:val="24"/>
          <w:highlight w:val="none"/>
          <w:lang w:val="en-US" w:eastAsia="zh-CN"/>
        </w:rPr>
        <w:t>8.</w:t>
      </w:r>
      <w:r>
        <w:rPr>
          <w:rFonts w:hint="eastAsia" w:ascii="仿宋" w:hAnsi="仿宋" w:eastAsia="仿宋" w:cs="仿宋"/>
          <w:color w:val="auto"/>
          <w:sz w:val="24"/>
          <w:szCs w:val="24"/>
          <w:highlight w:val="none"/>
        </w:rPr>
        <w:t>我单位</w:t>
      </w:r>
      <w:r>
        <w:rPr>
          <w:rFonts w:hint="eastAsia" w:ascii="仿宋" w:hAnsi="仿宋" w:eastAsia="仿宋" w:cs="仿宋"/>
          <w:spacing w:val="8"/>
          <w:sz w:val="24"/>
          <w:szCs w:val="24"/>
          <w:highlight w:val="none"/>
          <w:lang w:val="en-US" w:eastAsia="zh-CN"/>
        </w:rPr>
        <w:t>近一年在“信用中国”或“信用中国（山东）”无严重失信记录；</w:t>
      </w:r>
    </w:p>
    <w:p w14:paraId="23C74304">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pacing w:val="8"/>
          <w:sz w:val="24"/>
          <w:szCs w:val="24"/>
          <w:highlight w:val="none"/>
        </w:rPr>
      </w:pPr>
      <w:r>
        <w:rPr>
          <w:rFonts w:hint="eastAsia" w:ascii="仿宋" w:hAnsi="仿宋" w:eastAsia="仿宋" w:cs="仿宋"/>
          <w:spacing w:val="8"/>
          <w:sz w:val="24"/>
          <w:szCs w:val="24"/>
          <w:highlight w:val="none"/>
          <w:lang w:val="en-US" w:eastAsia="zh-CN"/>
        </w:rPr>
        <w:t>9.本项目不接受联合体投标。</w:t>
      </w:r>
    </w:p>
    <w:p w14:paraId="6C1B82ED">
      <w:pPr>
        <w:pStyle w:val="2"/>
        <w:rPr>
          <w:rFonts w:hint="eastAsia"/>
          <w:highlight w:val="none"/>
          <w:lang w:val="en-US" w:eastAsia="zh-CN"/>
        </w:rPr>
      </w:pPr>
    </w:p>
    <w:p w14:paraId="0A07E1D0">
      <w:pPr>
        <w:keepNext w:val="0"/>
        <w:keepLines w:val="0"/>
        <w:pageBreakBefore w:val="0"/>
        <w:kinsoku/>
        <w:wordWrap/>
        <w:overflowPunct/>
        <w:topLinePunct w:val="0"/>
        <w:autoSpaceDE/>
        <w:autoSpaceDN/>
        <w:bidi w:val="0"/>
        <w:snapToGrid/>
        <w:spacing w:line="410" w:lineRule="exact"/>
        <w:ind w:firstLine="512" w:firstLineChars="200"/>
        <w:contextualSpacing/>
        <w:jc w:val="left"/>
        <w:textAlignment w:val="auto"/>
        <w:rPr>
          <w:rFonts w:hint="eastAsia" w:ascii="仿宋" w:hAnsi="仿宋" w:eastAsia="仿宋" w:cs="仿宋"/>
          <w:sz w:val="24"/>
          <w:szCs w:val="24"/>
          <w:highlight w:val="none"/>
        </w:rPr>
      </w:pPr>
      <w:r>
        <w:rPr>
          <w:rFonts w:hint="eastAsia" w:ascii="仿宋" w:hAnsi="仿宋" w:eastAsia="仿宋" w:cs="仿宋"/>
          <w:spacing w:val="8"/>
          <w:sz w:val="24"/>
          <w:szCs w:val="24"/>
          <w:highlight w:val="none"/>
          <w:lang w:val="en-US" w:eastAsia="zh-CN"/>
        </w:rPr>
        <w:t>若我单位提供虚假承诺，我单位同意所提交的投标文件作无效处理，并愿意接受通报，按照有关法律法规规</w:t>
      </w:r>
      <w:r>
        <w:rPr>
          <w:rFonts w:hint="eastAsia" w:ascii="仿宋" w:hAnsi="仿宋" w:eastAsia="仿宋" w:cs="仿宋"/>
          <w:sz w:val="24"/>
          <w:szCs w:val="24"/>
          <w:highlight w:val="none"/>
        </w:rPr>
        <w:t>定接受处罚，由此造成的一切经济责任和法律责任由我单位自行承担。</w:t>
      </w:r>
    </w:p>
    <w:p w14:paraId="569C01A9">
      <w:pPr>
        <w:snapToGrid w:val="0"/>
        <w:spacing w:line="560" w:lineRule="exact"/>
        <w:ind w:firstLine="562" w:firstLineChars="201"/>
        <w:rPr>
          <w:rFonts w:ascii="宋体" w:hAnsi="宋体"/>
          <w:sz w:val="28"/>
          <w:szCs w:val="28"/>
          <w:highlight w:val="none"/>
        </w:rPr>
      </w:pPr>
    </w:p>
    <w:p w14:paraId="33A2D7D3">
      <w:pPr>
        <w:snapToGrid w:val="0"/>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投标单位：（盖章）</w:t>
      </w:r>
    </w:p>
    <w:p w14:paraId="014A0F8F">
      <w:pPr>
        <w:snapToGrid w:val="0"/>
        <w:spacing w:line="360" w:lineRule="auto"/>
        <w:ind w:firstLine="240" w:firstLineChars="100"/>
        <w:outlineLvl w:val="0"/>
        <w:rPr>
          <w:rFonts w:hint="eastAsia" w:ascii="仿宋" w:hAnsi="仿宋" w:eastAsia="仿宋" w:cs="仿宋"/>
          <w:sz w:val="24"/>
          <w:szCs w:val="24"/>
          <w:highlight w:val="none"/>
        </w:rPr>
      </w:pPr>
      <w:bookmarkStart w:id="18" w:name="_Toc29767"/>
      <w:bookmarkStart w:id="19" w:name="_Toc2784"/>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bookmarkEnd w:id="18"/>
      <w:bookmarkEnd w:id="19"/>
    </w:p>
    <w:p w14:paraId="3EFBCF87">
      <w:pPr>
        <w:snapToGrid w:val="0"/>
        <w:spacing w:line="360" w:lineRule="auto"/>
        <w:ind w:firstLine="240" w:firstLineChars="100"/>
        <w:rPr>
          <w:rFonts w:hint="eastAsia" w:ascii="仿宋" w:hAnsi="仿宋" w:eastAsia="仿宋" w:cs="仿宋"/>
          <w:sz w:val="24"/>
          <w:szCs w:val="24"/>
          <w:highlight w:val="none"/>
        </w:rPr>
        <w:sectPr>
          <w:pgSz w:w="11906" w:h="16838"/>
          <w:pgMar w:top="1440" w:right="1803" w:bottom="1440" w:left="1803"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仿宋" w:hAnsi="仿宋" w:eastAsia="仿宋" w:cs="仿宋"/>
          <w:sz w:val="24"/>
          <w:szCs w:val="24"/>
          <w:highlight w:val="none"/>
        </w:rPr>
        <w:t>日期：</w:t>
      </w:r>
    </w:p>
    <w:p w14:paraId="739A7B25">
      <w:pPr>
        <w:spacing w:line="600" w:lineRule="auto"/>
        <w:jc w:val="center"/>
        <w:rPr>
          <w:rFonts w:hint="eastAsia" w:ascii="宋体" w:hAnsi="宋体" w:eastAsia="宋体" w:cs="宋体"/>
          <w:b/>
          <w:bCs/>
          <w:color w:val="auto"/>
          <w:kern w:val="0"/>
          <w:sz w:val="32"/>
          <w:szCs w:val="32"/>
          <w:highlight w:val="none"/>
          <w:lang w:val="en-US" w:eastAsia="zh-CN"/>
        </w:rPr>
      </w:pPr>
      <w:r>
        <w:rPr>
          <w:rFonts w:hint="eastAsia" w:ascii="仿宋" w:hAnsi="仿宋" w:eastAsia="仿宋" w:cs="仿宋"/>
          <w:b/>
          <w:bCs w:val="0"/>
          <w:kern w:val="2"/>
          <w:sz w:val="28"/>
          <w:szCs w:val="21"/>
          <w:highlight w:val="none"/>
          <w:lang w:val="en-US" w:eastAsia="zh-CN" w:bidi="ar-SA"/>
        </w:rPr>
        <w:t>关联关系声明函</w:t>
      </w:r>
    </w:p>
    <w:p w14:paraId="6DE721B9">
      <w:pPr>
        <w:spacing w:line="480" w:lineRule="exact"/>
        <w:rPr>
          <w:rFonts w:hint="eastAsia"/>
          <w:bCs/>
          <w:color w:val="auto"/>
          <w:highlight w:val="none"/>
        </w:rPr>
      </w:pPr>
    </w:p>
    <w:p w14:paraId="586635DD">
      <w:pPr>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致</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山东富尔工程咨询管理有限公司</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w:t>
      </w:r>
    </w:p>
    <w:p w14:paraId="0A34197A">
      <w:pPr>
        <w:spacing w:line="560" w:lineRule="exact"/>
        <w:ind w:firstLine="480" w:firstLineChars="200"/>
        <w:rPr>
          <w:rFonts w:hint="eastAsia" w:ascii="仿宋" w:hAnsi="仿宋" w:eastAsia="仿宋" w:cs="仿宋"/>
          <w:color w:val="auto"/>
          <w:sz w:val="24"/>
          <w:szCs w:val="24"/>
          <w:highlight w:val="none"/>
        </w:rPr>
      </w:pPr>
    </w:p>
    <w:p w14:paraId="43D904C9">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关联单位的说明：</w:t>
      </w:r>
    </w:p>
    <w:p w14:paraId="2F19F2C1">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1.与我公司单位负责人为同一人的其他单位为：</w:t>
      </w:r>
    </w:p>
    <w:p w14:paraId="7E90B49E">
      <w:pPr>
        <w:spacing w:line="560" w:lineRule="exact"/>
        <w:rPr>
          <w:rFonts w:hint="eastAsia" w:ascii="仿宋" w:hAnsi="仿宋" w:eastAsia="仿宋" w:cs="仿宋"/>
          <w:color w:val="auto"/>
          <w:sz w:val="24"/>
          <w:szCs w:val="24"/>
          <w:highlight w:val="none"/>
        </w:rPr>
      </w:pPr>
    </w:p>
    <w:p w14:paraId="4DEF160D">
      <w:pPr>
        <w:spacing w:line="560" w:lineRule="exact"/>
        <w:rPr>
          <w:rFonts w:hint="eastAsia" w:ascii="仿宋" w:hAnsi="仿宋" w:eastAsia="仿宋" w:cs="仿宋"/>
          <w:color w:val="auto"/>
          <w:sz w:val="24"/>
          <w:szCs w:val="24"/>
          <w:highlight w:val="none"/>
        </w:rPr>
      </w:pPr>
    </w:p>
    <w:p w14:paraId="1BA1A51B">
      <w:pPr>
        <w:spacing w:line="5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2.与我公司存在直接控股、管理关系的其他单位为：</w:t>
      </w:r>
    </w:p>
    <w:p w14:paraId="5B1D143A">
      <w:pPr>
        <w:spacing w:line="560" w:lineRule="exact"/>
        <w:rPr>
          <w:rFonts w:hint="eastAsia" w:ascii="仿宋" w:hAnsi="仿宋" w:eastAsia="仿宋" w:cs="仿宋"/>
          <w:color w:val="auto"/>
          <w:sz w:val="24"/>
          <w:szCs w:val="24"/>
          <w:highlight w:val="none"/>
        </w:rPr>
      </w:pPr>
    </w:p>
    <w:p w14:paraId="327424C4">
      <w:pPr>
        <w:spacing w:line="560" w:lineRule="exact"/>
        <w:rPr>
          <w:rFonts w:hint="eastAsia" w:ascii="仿宋" w:hAnsi="仿宋" w:eastAsia="仿宋" w:cs="仿宋"/>
          <w:color w:val="auto"/>
          <w:sz w:val="24"/>
          <w:szCs w:val="24"/>
          <w:highlight w:val="none"/>
        </w:rPr>
      </w:pPr>
    </w:p>
    <w:p w14:paraId="6037D269">
      <w:pPr>
        <w:pStyle w:val="13"/>
        <w:spacing w:line="360" w:lineRule="auto"/>
        <w:ind w:left="0" w:leftChars="0" w:firstLine="0" w:firstLineChars="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以上声明完全属实，如有瞒报、虚报，我公司自行承担因此产生的所有法律责任。</w:t>
      </w:r>
    </w:p>
    <w:p w14:paraId="727F5391">
      <w:pPr>
        <w:pStyle w:val="13"/>
        <w:spacing w:line="360" w:lineRule="auto"/>
        <w:ind w:left="0" w:leftChars="0" w:firstLine="0" w:firstLineChars="0"/>
        <w:jc w:val="center"/>
        <w:rPr>
          <w:rFonts w:hint="eastAsia" w:ascii="仿宋" w:hAnsi="仿宋" w:eastAsia="仿宋" w:cs="仿宋"/>
          <w:color w:val="auto"/>
          <w:sz w:val="24"/>
          <w:szCs w:val="24"/>
          <w:highlight w:val="none"/>
        </w:rPr>
      </w:pPr>
    </w:p>
    <w:p w14:paraId="6C564A4B">
      <w:pPr>
        <w:pStyle w:val="13"/>
        <w:spacing w:line="360" w:lineRule="auto"/>
        <w:ind w:left="0" w:leftChars="0" w:firstLine="0" w:firstLineChars="0"/>
        <w:jc w:val="center"/>
        <w:rPr>
          <w:rFonts w:hint="eastAsia" w:ascii="仿宋" w:hAnsi="仿宋" w:eastAsia="仿宋" w:cs="仿宋"/>
          <w:color w:val="auto"/>
          <w:sz w:val="24"/>
          <w:szCs w:val="24"/>
          <w:highlight w:val="none"/>
        </w:rPr>
      </w:pPr>
    </w:p>
    <w:p w14:paraId="3433EC50">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22BA1492">
      <w:pPr>
        <w:snapToGrid w:val="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pacing w:val="8"/>
          <w:sz w:val="24"/>
          <w:szCs w:val="24"/>
          <w:highlight w:val="none"/>
          <w:lang w:eastAsia="zh-CN"/>
        </w:rPr>
        <w:t>（</w:t>
      </w:r>
      <w:r>
        <w:rPr>
          <w:rFonts w:hint="eastAsia" w:ascii="仿宋" w:hAnsi="仿宋" w:eastAsia="仿宋" w:cs="仿宋"/>
          <w:spacing w:val="8"/>
          <w:sz w:val="24"/>
          <w:szCs w:val="24"/>
          <w:highlight w:val="none"/>
          <w:lang w:val="en-US" w:eastAsia="zh-CN"/>
        </w:rPr>
        <w:t>负责人</w:t>
      </w:r>
      <w:r>
        <w:rPr>
          <w:rFonts w:hint="eastAsia" w:ascii="仿宋" w:hAnsi="仿宋" w:eastAsia="仿宋" w:cs="仿宋"/>
          <w:spacing w:val="8"/>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4A94BC3D">
      <w:pPr>
        <w:pStyle w:val="23"/>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日期：</w:t>
      </w:r>
    </w:p>
    <w:p w14:paraId="395F64CD">
      <w:pPr>
        <w:snapToGrid w:val="0"/>
        <w:spacing w:line="360" w:lineRule="auto"/>
        <w:jc w:val="left"/>
        <w:rPr>
          <w:rFonts w:hint="eastAsia" w:ascii="仿宋" w:hAnsi="仿宋" w:eastAsia="仿宋" w:cs="仿宋"/>
          <w:b/>
          <w:bCs/>
          <w:sz w:val="24"/>
          <w:szCs w:val="24"/>
          <w:highlight w:val="none"/>
        </w:rPr>
      </w:pPr>
      <w:r>
        <w:rPr>
          <w:rFonts w:hint="eastAsia" w:ascii="仿宋" w:hAnsi="仿宋" w:eastAsia="仿宋" w:cs="仿宋"/>
          <w:b/>
          <w:bCs w:val="0"/>
          <w:kern w:val="2"/>
          <w:sz w:val="30"/>
          <w:szCs w:val="30"/>
          <w:highlight w:val="none"/>
          <w:lang w:eastAsia="zh-CN"/>
        </w:rPr>
        <w:br w:type="page"/>
      </w:r>
      <w:r>
        <w:rPr>
          <w:rFonts w:hint="eastAsia" w:ascii="仿宋" w:hAnsi="仿宋" w:eastAsia="仿宋" w:cs="仿宋"/>
          <w:b/>
          <w:bCs/>
          <w:sz w:val="24"/>
          <w:szCs w:val="24"/>
          <w:highlight w:val="none"/>
        </w:rPr>
        <w:t>交纳投标保证金的证明材料（两者缺一不可）：（1）企业银行基本账户开户证明（如开户许可证或银行开户证明等）、（2）电汇凭证或电子汇款截图扫描件。</w:t>
      </w:r>
    </w:p>
    <w:p w14:paraId="2227264C">
      <w:pPr>
        <w:snapToGrid w:val="0"/>
        <w:spacing w:line="360" w:lineRule="auto"/>
        <w:jc w:val="center"/>
        <w:rPr>
          <w:rFonts w:hint="eastAsia" w:ascii="仿宋" w:hAnsi="仿宋" w:eastAsia="仿宋" w:cs="仿宋"/>
          <w:b/>
          <w:bCs/>
          <w:sz w:val="36"/>
          <w:szCs w:val="36"/>
          <w:highlight w:val="none"/>
        </w:rPr>
      </w:pPr>
    </w:p>
    <w:p w14:paraId="0444B132">
      <w:pPr>
        <w:snapToGrid w:val="0"/>
        <w:spacing w:line="360" w:lineRule="auto"/>
        <w:jc w:val="center"/>
        <w:rPr>
          <w:rFonts w:hint="eastAsia" w:ascii="仿宋" w:hAnsi="仿宋" w:eastAsia="仿宋" w:cs="仿宋"/>
          <w:b/>
          <w:bCs/>
          <w:sz w:val="36"/>
          <w:szCs w:val="36"/>
          <w:highlight w:val="none"/>
        </w:rPr>
      </w:pPr>
    </w:p>
    <w:p w14:paraId="74A8319A">
      <w:pPr>
        <w:snapToGrid w:val="0"/>
        <w:spacing w:line="360" w:lineRule="auto"/>
        <w:jc w:val="center"/>
        <w:rPr>
          <w:rFonts w:hint="eastAsia" w:ascii="仿宋" w:hAnsi="仿宋" w:eastAsia="仿宋" w:cs="仿宋"/>
          <w:b/>
          <w:bCs/>
          <w:sz w:val="36"/>
          <w:szCs w:val="36"/>
          <w:highlight w:val="none"/>
        </w:rPr>
      </w:pPr>
    </w:p>
    <w:p w14:paraId="14C269F7">
      <w:pPr>
        <w:snapToGrid w:val="0"/>
        <w:spacing w:line="360" w:lineRule="auto"/>
        <w:jc w:val="center"/>
        <w:rPr>
          <w:rFonts w:hint="eastAsia" w:ascii="仿宋" w:hAnsi="仿宋" w:eastAsia="仿宋" w:cs="仿宋"/>
          <w:b/>
          <w:bCs/>
          <w:sz w:val="36"/>
          <w:szCs w:val="36"/>
          <w:highlight w:val="none"/>
        </w:rPr>
      </w:pPr>
    </w:p>
    <w:p w14:paraId="52BDC058">
      <w:pPr>
        <w:snapToGrid w:val="0"/>
        <w:spacing w:line="360" w:lineRule="auto"/>
        <w:jc w:val="center"/>
        <w:rPr>
          <w:rFonts w:hint="eastAsia" w:ascii="仿宋" w:hAnsi="仿宋" w:eastAsia="仿宋" w:cs="仿宋"/>
          <w:b/>
          <w:bCs/>
          <w:sz w:val="36"/>
          <w:szCs w:val="36"/>
          <w:highlight w:val="none"/>
        </w:rPr>
      </w:pPr>
    </w:p>
    <w:p w14:paraId="66424AB6">
      <w:pPr>
        <w:snapToGrid w:val="0"/>
        <w:spacing w:line="360" w:lineRule="auto"/>
        <w:jc w:val="center"/>
        <w:rPr>
          <w:rFonts w:hint="eastAsia" w:ascii="仿宋" w:hAnsi="仿宋" w:eastAsia="仿宋" w:cs="仿宋"/>
          <w:b/>
          <w:bCs/>
          <w:sz w:val="36"/>
          <w:szCs w:val="36"/>
          <w:highlight w:val="none"/>
        </w:rPr>
      </w:pPr>
    </w:p>
    <w:p w14:paraId="1766F816">
      <w:pPr>
        <w:snapToGrid w:val="0"/>
        <w:spacing w:line="360" w:lineRule="auto"/>
        <w:jc w:val="center"/>
        <w:rPr>
          <w:rFonts w:hint="eastAsia" w:ascii="仿宋" w:hAnsi="仿宋" w:eastAsia="仿宋" w:cs="仿宋"/>
          <w:b/>
          <w:bCs/>
          <w:sz w:val="36"/>
          <w:szCs w:val="36"/>
          <w:highlight w:val="none"/>
        </w:rPr>
      </w:pPr>
    </w:p>
    <w:p w14:paraId="1DFDAF40">
      <w:pPr>
        <w:snapToGrid w:val="0"/>
        <w:spacing w:line="360" w:lineRule="auto"/>
        <w:jc w:val="center"/>
        <w:rPr>
          <w:rFonts w:hint="eastAsia" w:ascii="仿宋" w:hAnsi="仿宋" w:eastAsia="仿宋" w:cs="仿宋"/>
          <w:b/>
          <w:bCs/>
          <w:sz w:val="36"/>
          <w:szCs w:val="36"/>
          <w:highlight w:val="none"/>
        </w:rPr>
      </w:pPr>
    </w:p>
    <w:p w14:paraId="0CA00B59">
      <w:pPr>
        <w:snapToGrid w:val="0"/>
        <w:spacing w:line="360" w:lineRule="auto"/>
        <w:jc w:val="center"/>
        <w:rPr>
          <w:rFonts w:hint="eastAsia" w:ascii="仿宋" w:hAnsi="仿宋" w:eastAsia="仿宋" w:cs="仿宋"/>
          <w:b/>
          <w:bCs/>
          <w:sz w:val="36"/>
          <w:szCs w:val="36"/>
          <w:highlight w:val="none"/>
        </w:rPr>
      </w:pPr>
    </w:p>
    <w:p w14:paraId="4039063C">
      <w:pPr>
        <w:snapToGrid w:val="0"/>
        <w:spacing w:line="360" w:lineRule="auto"/>
        <w:jc w:val="center"/>
        <w:rPr>
          <w:rFonts w:hint="eastAsia" w:ascii="仿宋" w:hAnsi="仿宋" w:eastAsia="仿宋" w:cs="仿宋"/>
          <w:b/>
          <w:bCs/>
          <w:sz w:val="36"/>
          <w:szCs w:val="36"/>
          <w:highlight w:val="none"/>
        </w:rPr>
      </w:pPr>
    </w:p>
    <w:p w14:paraId="600D1DAC">
      <w:pPr>
        <w:snapToGrid w:val="0"/>
        <w:spacing w:line="360" w:lineRule="auto"/>
        <w:jc w:val="center"/>
        <w:rPr>
          <w:rFonts w:hint="eastAsia" w:ascii="仿宋" w:hAnsi="仿宋" w:eastAsia="仿宋" w:cs="仿宋"/>
          <w:b/>
          <w:bCs/>
          <w:sz w:val="36"/>
          <w:szCs w:val="36"/>
          <w:highlight w:val="none"/>
        </w:rPr>
      </w:pPr>
    </w:p>
    <w:p w14:paraId="7313C64B">
      <w:pPr>
        <w:snapToGrid w:val="0"/>
        <w:spacing w:line="360" w:lineRule="auto"/>
        <w:jc w:val="center"/>
        <w:rPr>
          <w:rFonts w:hint="eastAsia" w:ascii="仿宋" w:hAnsi="仿宋" w:eastAsia="仿宋" w:cs="仿宋"/>
          <w:b/>
          <w:bCs/>
          <w:sz w:val="36"/>
          <w:szCs w:val="36"/>
          <w:highlight w:val="none"/>
        </w:rPr>
      </w:pPr>
    </w:p>
    <w:p w14:paraId="0707462C">
      <w:pPr>
        <w:snapToGrid w:val="0"/>
        <w:spacing w:line="360" w:lineRule="auto"/>
        <w:jc w:val="center"/>
        <w:rPr>
          <w:rFonts w:hint="eastAsia" w:ascii="仿宋" w:hAnsi="仿宋" w:eastAsia="仿宋" w:cs="仿宋"/>
          <w:b/>
          <w:bCs/>
          <w:sz w:val="36"/>
          <w:szCs w:val="36"/>
          <w:highlight w:val="none"/>
        </w:rPr>
      </w:pPr>
    </w:p>
    <w:p w14:paraId="7A96D541">
      <w:pPr>
        <w:snapToGrid w:val="0"/>
        <w:spacing w:line="360" w:lineRule="auto"/>
        <w:jc w:val="center"/>
        <w:rPr>
          <w:rFonts w:hint="eastAsia" w:ascii="仿宋" w:hAnsi="仿宋" w:eastAsia="仿宋" w:cs="仿宋"/>
          <w:b/>
          <w:bCs/>
          <w:sz w:val="36"/>
          <w:szCs w:val="36"/>
          <w:highlight w:val="none"/>
        </w:rPr>
      </w:pPr>
    </w:p>
    <w:p w14:paraId="52F9F257">
      <w:pPr>
        <w:snapToGrid w:val="0"/>
        <w:spacing w:line="360" w:lineRule="auto"/>
        <w:jc w:val="center"/>
        <w:rPr>
          <w:rFonts w:hint="eastAsia" w:ascii="仿宋" w:hAnsi="仿宋" w:eastAsia="仿宋" w:cs="仿宋"/>
          <w:b/>
          <w:bCs/>
          <w:sz w:val="36"/>
          <w:szCs w:val="36"/>
          <w:highlight w:val="none"/>
        </w:rPr>
      </w:pPr>
    </w:p>
    <w:p w14:paraId="6742B2DA">
      <w:pPr>
        <w:snapToGrid w:val="0"/>
        <w:spacing w:line="560" w:lineRule="exact"/>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br w:type="page"/>
      </w:r>
      <w:r>
        <w:rPr>
          <w:rFonts w:hint="eastAsia" w:ascii="仿宋" w:hAnsi="仿宋" w:eastAsia="仿宋" w:cs="仿宋"/>
          <w:b/>
          <w:bCs/>
          <w:sz w:val="24"/>
          <w:szCs w:val="24"/>
          <w:highlight w:val="none"/>
          <w:lang w:eastAsia="zh-CN"/>
        </w:rPr>
        <w:t>投标人及其法定代表人（</w:t>
      </w:r>
      <w:r>
        <w:rPr>
          <w:rFonts w:hint="eastAsia" w:ascii="仿宋" w:hAnsi="仿宋" w:eastAsia="仿宋" w:cs="仿宋"/>
          <w:b/>
          <w:bCs/>
          <w:sz w:val="24"/>
          <w:szCs w:val="24"/>
          <w:highlight w:val="none"/>
          <w:lang w:val="en-US" w:eastAsia="zh-CN"/>
        </w:rPr>
        <w:t>负责人</w:t>
      </w:r>
      <w:r>
        <w:rPr>
          <w:rFonts w:hint="eastAsia" w:ascii="仿宋" w:hAnsi="仿宋" w:eastAsia="仿宋" w:cs="仿宋"/>
          <w:b/>
          <w:bCs/>
          <w:sz w:val="24"/>
          <w:szCs w:val="24"/>
          <w:highlight w:val="none"/>
          <w:lang w:eastAsia="zh-CN"/>
        </w:rPr>
        <w:t>）、委托代理人未被最高法院</w:t>
      </w:r>
      <w:r>
        <w:rPr>
          <w:rFonts w:hint="eastAsia" w:ascii="仿宋" w:hAnsi="仿宋" w:eastAsia="仿宋" w:cs="仿宋"/>
          <w:b/>
          <w:bCs/>
          <w:sz w:val="24"/>
          <w:szCs w:val="24"/>
          <w:highlight w:val="none"/>
        </w:rPr>
        <w:t>（查询网址为：</w:t>
      </w:r>
      <w:r>
        <w:rPr>
          <w:rFonts w:hint="eastAsia" w:ascii="仿宋" w:hAnsi="仿宋" w:eastAsia="仿宋" w:cs="仿宋"/>
          <w:b/>
          <w:bCs/>
          <w:sz w:val="24"/>
          <w:szCs w:val="24"/>
          <w:highlight w:val="none"/>
        </w:rPr>
        <w:fldChar w:fldCharType="begin"/>
      </w:r>
      <w:r>
        <w:rPr>
          <w:rFonts w:hint="eastAsia" w:ascii="仿宋" w:hAnsi="仿宋" w:eastAsia="仿宋" w:cs="仿宋"/>
          <w:b/>
          <w:bCs/>
          <w:sz w:val="24"/>
          <w:szCs w:val="24"/>
          <w:highlight w:val="none"/>
        </w:rPr>
        <w:instrText xml:space="preserve"> HYPERLINK "http://zxgk.court.gov.cn/shixin/）列入失信被执行人。" </w:instrText>
      </w:r>
      <w:r>
        <w:rPr>
          <w:rFonts w:hint="eastAsia" w:ascii="仿宋" w:hAnsi="仿宋" w:eastAsia="仿宋" w:cs="仿宋"/>
          <w:b/>
          <w:bCs/>
          <w:sz w:val="24"/>
          <w:szCs w:val="24"/>
          <w:highlight w:val="none"/>
        </w:rPr>
        <w:fldChar w:fldCharType="separate"/>
      </w:r>
      <w:r>
        <w:rPr>
          <w:rStyle w:val="52"/>
          <w:rFonts w:ascii="仿宋" w:hAnsi="仿宋" w:eastAsia="仿宋" w:cs="仿宋"/>
          <w:b/>
          <w:bCs/>
          <w:sz w:val="24"/>
          <w:szCs w:val="24"/>
          <w:highlight w:val="none"/>
        </w:rPr>
        <w:t>http://zxgk.court.gov.cn/shixin/）列入失信被执行人查询截图</w:t>
      </w:r>
      <w:r>
        <w:rPr>
          <w:rFonts w:hint="eastAsia" w:ascii="仿宋" w:hAnsi="仿宋" w:eastAsia="仿宋" w:cs="仿宋"/>
          <w:b/>
          <w:bCs/>
          <w:sz w:val="24"/>
          <w:szCs w:val="24"/>
          <w:highlight w:val="none"/>
        </w:rPr>
        <w:fldChar w:fldCharType="end"/>
      </w:r>
    </w:p>
    <w:p w14:paraId="30B6D0F5">
      <w:pPr>
        <w:snapToGrid w:val="0"/>
        <w:spacing w:line="560" w:lineRule="exact"/>
        <w:ind w:firstLine="484" w:firstLineChars="201"/>
        <w:jc w:val="center"/>
        <w:rPr>
          <w:rFonts w:hint="eastAsia" w:ascii="仿宋" w:hAnsi="仿宋" w:eastAsia="仿宋" w:cs="仿宋"/>
          <w:b/>
          <w:bCs/>
          <w:sz w:val="24"/>
          <w:szCs w:val="24"/>
          <w:highlight w:val="none"/>
        </w:rPr>
      </w:pPr>
    </w:p>
    <w:p w14:paraId="266AE613">
      <w:pPr>
        <w:pStyle w:val="2"/>
        <w:rPr>
          <w:rFonts w:hint="eastAsia"/>
          <w:highlight w:val="none"/>
        </w:rPr>
      </w:pPr>
    </w:p>
    <w:p w14:paraId="1F81640F">
      <w:pPr>
        <w:pStyle w:val="25"/>
        <w:rPr>
          <w:rFonts w:hint="eastAsia"/>
          <w:highlight w:val="none"/>
        </w:rPr>
      </w:pPr>
    </w:p>
    <w:p w14:paraId="4DA84FA4">
      <w:pPr>
        <w:rPr>
          <w:rFonts w:hint="eastAsia"/>
          <w:highlight w:val="none"/>
        </w:rPr>
      </w:pPr>
    </w:p>
    <w:p w14:paraId="5100FFAC">
      <w:pPr>
        <w:pStyle w:val="2"/>
        <w:rPr>
          <w:rFonts w:hint="eastAsia"/>
          <w:highlight w:val="none"/>
        </w:rPr>
      </w:pPr>
    </w:p>
    <w:p w14:paraId="33D02563">
      <w:pPr>
        <w:pStyle w:val="25"/>
        <w:rPr>
          <w:rFonts w:hint="eastAsia"/>
          <w:highlight w:val="none"/>
        </w:rPr>
      </w:pPr>
    </w:p>
    <w:p w14:paraId="104A1CDE">
      <w:pPr>
        <w:rPr>
          <w:rFonts w:hint="eastAsia"/>
          <w:highlight w:val="none"/>
        </w:rPr>
      </w:pPr>
    </w:p>
    <w:p w14:paraId="7230C010">
      <w:pPr>
        <w:pStyle w:val="2"/>
        <w:rPr>
          <w:rFonts w:hint="eastAsia"/>
          <w:highlight w:val="none"/>
        </w:rPr>
      </w:pPr>
    </w:p>
    <w:p w14:paraId="4E8BB21F">
      <w:pPr>
        <w:pStyle w:val="25"/>
        <w:rPr>
          <w:rFonts w:hint="eastAsia"/>
          <w:highlight w:val="none"/>
        </w:rPr>
      </w:pPr>
    </w:p>
    <w:p w14:paraId="0613D09D">
      <w:pPr>
        <w:rPr>
          <w:rFonts w:hint="eastAsia"/>
          <w:highlight w:val="none"/>
        </w:rPr>
      </w:pPr>
    </w:p>
    <w:p w14:paraId="2AEDD9EE">
      <w:pPr>
        <w:pStyle w:val="2"/>
        <w:rPr>
          <w:rFonts w:hint="eastAsia"/>
          <w:highlight w:val="none"/>
        </w:rPr>
      </w:pPr>
    </w:p>
    <w:p w14:paraId="5F23F150">
      <w:pPr>
        <w:pStyle w:val="25"/>
        <w:rPr>
          <w:rFonts w:hint="eastAsia"/>
          <w:highlight w:val="none"/>
        </w:rPr>
      </w:pPr>
    </w:p>
    <w:p w14:paraId="35A7BEF9">
      <w:pPr>
        <w:rPr>
          <w:rFonts w:hint="eastAsia"/>
          <w:highlight w:val="none"/>
        </w:rPr>
      </w:pPr>
    </w:p>
    <w:p w14:paraId="4DDD9BB9">
      <w:pPr>
        <w:pStyle w:val="2"/>
        <w:rPr>
          <w:rFonts w:hint="eastAsia"/>
          <w:highlight w:val="none"/>
        </w:rPr>
      </w:pPr>
    </w:p>
    <w:p w14:paraId="59E193EB">
      <w:pPr>
        <w:pStyle w:val="25"/>
        <w:rPr>
          <w:rFonts w:hint="eastAsia"/>
          <w:highlight w:val="none"/>
        </w:rPr>
      </w:pPr>
    </w:p>
    <w:p w14:paraId="152970E7">
      <w:pPr>
        <w:rPr>
          <w:rFonts w:hint="eastAsia"/>
          <w:highlight w:val="none"/>
        </w:rPr>
      </w:pPr>
    </w:p>
    <w:p w14:paraId="333068FD">
      <w:pPr>
        <w:pStyle w:val="2"/>
        <w:rPr>
          <w:rFonts w:hint="eastAsia"/>
          <w:highlight w:val="none"/>
        </w:rPr>
      </w:pPr>
    </w:p>
    <w:p w14:paraId="33C9F483">
      <w:pPr>
        <w:pStyle w:val="25"/>
        <w:rPr>
          <w:rFonts w:hint="eastAsia"/>
          <w:highlight w:val="none"/>
        </w:rPr>
      </w:pPr>
    </w:p>
    <w:p w14:paraId="2D2D0D4F">
      <w:pPr>
        <w:rPr>
          <w:rFonts w:hint="eastAsia"/>
          <w:highlight w:val="none"/>
        </w:rPr>
      </w:pPr>
    </w:p>
    <w:p w14:paraId="3FB812CB">
      <w:pPr>
        <w:pStyle w:val="2"/>
        <w:rPr>
          <w:rFonts w:hint="eastAsia"/>
          <w:highlight w:val="none"/>
        </w:rPr>
      </w:pPr>
    </w:p>
    <w:p w14:paraId="21673102">
      <w:pPr>
        <w:pStyle w:val="25"/>
        <w:rPr>
          <w:rFonts w:hint="eastAsia"/>
          <w:highlight w:val="none"/>
        </w:rPr>
      </w:pPr>
    </w:p>
    <w:p w14:paraId="76ED7E46">
      <w:pPr>
        <w:snapToGrid w:val="0"/>
        <w:spacing w:line="560" w:lineRule="exact"/>
        <w:ind w:firstLine="482" w:firstLineChars="201"/>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注：</w:t>
      </w:r>
      <w:r>
        <w:rPr>
          <w:rFonts w:ascii="仿宋" w:hAnsi="仿宋" w:eastAsia="仿宋" w:cs="仿宋"/>
          <w:color w:val="000000"/>
          <w:sz w:val="24"/>
          <w:szCs w:val="24"/>
          <w:highlight w:val="none"/>
        </w:rPr>
        <w:t>附通过网站查询信息记录，包含投标人及其法定代表人</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lang w:val="en-US" w:eastAsia="zh-CN"/>
        </w:rPr>
        <w:t>负责人</w:t>
      </w:r>
      <w:r>
        <w:rPr>
          <w:rFonts w:hint="eastAsia" w:ascii="仿宋" w:hAnsi="仿宋" w:eastAsia="仿宋" w:cs="仿宋"/>
          <w:color w:val="000000"/>
          <w:sz w:val="24"/>
          <w:szCs w:val="24"/>
          <w:highlight w:val="none"/>
          <w:lang w:eastAsia="zh-CN"/>
        </w:rPr>
        <w:t>）</w:t>
      </w:r>
      <w:r>
        <w:rPr>
          <w:rFonts w:ascii="仿宋" w:hAnsi="仿宋" w:eastAsia="仿宋" w:cs="仿宋"/>
          <w:color w:val="000000"/>
          <w:sz w:val="24"/>
          <w:szCs w:val="24"/>
          <w:highlight w:val="none"/>
        </w:rPr>
        <w:t>、委托代理人失信被执行人情况网页截图（省份为全部）</w:t>
      </w:r>
    </w:p>
    <w:p w14:paraId="53B096F6">
      <w:pPr>
        <w:rPr>
          <w:rFonts w:hint="eastAsia"/>
          <w:highlight w:val="none"/>
        </w:rPr>
      </w:pPr>
    </w:p>
    <w:p w14:paraId="6CA27E76">
      <w:pPr>
        <w:pStyle w:val="2"/>
        <w:rPr>
          <w:rFonts w:hint="eastAsia"/>
          <w:highlight w:val="none"/>
        </w:rPr>
      </w:pPr>
    </w:p>
    <w:p w14:paraId="44A15C63">
      <w:pPr>
        <w:pStyle w:val="25"/>
        <w:rPr>
          <w:rFonts w:hint="eastAsia"/>
          <w:highlight w:val="none"/>
        </w:rPr>
      </w:pPr>
    </w:p>
    <w:p w14:paraId="33C0B703">
      <w:pPr>
        <w:rPr>
          <w:rFonts w:hint="eastAsia"/>
          <w:highlight w:val="none"/>
        </w:rPr>
      </w:pPr>
    </w:p>
    <w:p w14:paraId="5DFE898E">
      <w:pPr>
        <w:pStyle w:val="2"/>
        <w:rPr>
          <w:rFonts w:hint="eastAsia"/>
          <w:highlight w:val="none"/>
        </w:rPr>
      </w:pPr>
    </w:p>
    <w:p w14:paraId="34EF8A95">
      <w:pPr>
        <w:pStyle w:val="25"/>
        <w:rPr>
          <w:rFonts w:hint="eastAsia"/>
          <w:highlight w:val="none"/>
        </w:rPr>
      </w:pPr>
    </w:p>
    <w:p w14:paraId="6505182A">
      <w:pPr>
        <w:rPr>
          <w:rFonts w:hint="eastAsia"/>
          <w:highlight w:val="none"/>
        </w:rPr>
      </w:pPr>
    </w:p>
    <w:p w14:paraId="3D9FA2C2">
      <w:pPr>
        <w:pStyle w:val="2"/>
        <w:rPr>
          <w:rFonts w:hint="eastAsia"/>
          <w:highlight w:val="none"/>
        </w:rPr>
      </w:pPr>
    </w:p>
    <w:p w14:paraId="3224467C">
      <w:pPr>
        <w:pStyle w:val="25"/>
        <w:rPr>
          <w:rFonts w:hint="eastAsia"/>
          <w:highlight w:val="none"/>
        </w:rPr>
      </w:pPr>
    </w:p>
    <w:p w14:paraId="6DFD73F0">
      <w:pPr>
        <w:rPr>
          <w:rFonts w:hint="eastAsia"/>
          <w:highlight w:val="none"/>
        </w:rPr>
      </w:pPr>
    </w:p>
    <w:p w14:paraId="747D1A1A">
      <w:pPr>
        <w:pStyle w:val="2"/>
        <w:rPr>
          <w:rFonts w:hint="eastAsia"/>
          <w:highlight w:val="none"/>
        </w:rPr>
      </w:pPr>
    </w:p>
    <w:p w14:paraId="106296FE">
      <w:pPr>
        <w:pStyle w:val="2"/>
        <w:jc w:val="center"/>
        <w:rPr>
          <w:rFonts w:hint="eastAsia"/>
          <w:highlight w:val="none"/>
        </w:rPr>
      </w:pPr>
      <w:r>
        <w:rPr>
          <w:rFonts w:hint="eastAsia" w:ascii="仿宋" w:hAnsi="仿宋" w:eastAsia="仿宋" w:cs="仿宋"/>
          <w:b/>
          <w:bCs/>
          <w:kern w:val="2"/>
          <w:sz w:val="24"/>
          <w:highlight w:val="none"/>
        </w:rPr>
        <w:br w:type="page"/>
      </w:r>
      <w:r>
        <w:rPr>
          <w:rFonts w:hint="eastAsia" w:ascii="仿宋" w:hAnsi="仿宋" w:eastAsia="仿宋" w:cs="仿宋"/>
          <w:b/>
          <w:bCs/>
          <w:kern w:val="2"/>
          <w:sz w:val="24"/>
          <w:highlight w:val="none"/>
        </w:rPr>
        <w:t>投标人近一年无严重失信记录</w:t>
      </w:r>
    </w:p>
    <w:p w14:paraId="6C960D50">
      <w:pPr>
        <w:snapToGrid w:val="0"/>
        <w:spacing w:line="560" w:lineRule="exact"/>
        <w:ind w:firstLine="482" w:firstLineChars="201"/>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附通过信用中国（查询网址：https://www.creditchina.gov.cn）或信用中国（山东）（https://credit.shandong.gov.cn）查询的信用报告</w:t>
      </w:r>
    </w:p>
    <w:p w14:paraId="33C293E8">
      <w:pPr>
        <w:snapToGrid w:val="0"/>
        <w:spacing w:line="360" w:lineRule="auto"/>
        <w:jc w:val="center"/>
        <w:rPr>
          <w:rFonts w:hint="eastAsia" w:ascii="仿宋" w:hAnsi="仿宋" w:eastAsia="仿宋" w:cs="仿宋"/>
          <w:b/>
          <w:bCs/>
          <w:sz w:val="24"/>
          <w:szCs w:val="24"/>
          <w:highlight w:val="none"/>
        </w:rPr>
      </w:pPr>
    </w:p>
    <w:p w14:paraId="49BC3BAF">
      <w:pPr>
        <w:pStyle w:val="36"/>
        <w:rPr>
          <w:rFonts w:hint="eastAsia" w:ascii="仿宋" w:hAnsi="仿宋" w:eastAsia="仿宋" w:cs="仿宋"/>
          <w:b/>
          <w:bCs/>
          <w:sz w:val="24"/>
          <w:szCs w:val="24"/>
          <w:highlight w:val="none"/>
        </w:rPr>
      </w:pPr>
    </w:p>
    <w:p w14:paraId="4A171DDA">
      <w:pPr>
        <w:pStyle w:val="36"/>
        <w:rPr>
          <w:rFonts w:hint="eastAsia" w:ascii="仿宋" w:hAnsi="仿宋" w:eastAsia="仿宋" w:cs="仿宋"/>
          <w:b/>
          <w:bCs/>
          <w:sz w:val="24"/>
          <w:szCs w:val="24"/>
          <w:highlight w:val="none"/>
          <w:lang w:val="en-US" w:eastAsia="zh-CN"/>
        </w:rPr>
      </w:pPr>
    </w:p>
    <w:p w14:paraId="63DA5EBE">
      <w:pPr>
        <w:pStyle w:val="36"/>
        <w:rPr>
          <w:rFonts w:hint="eastAsia" w:ascii="仿宋" w:hAnsi="仿宋" w:eastAsia="仿宋" w:cs="仿宋"/>
          <w:b/>
          <w:bCs/>
          <w:sz w:val="24"/>
          <w:szCs w:val="24"/>
          <w:highlight w:val="none"/>
        </w:rPr>
      </w:pPr>
    </w:p>
    <w:p w14:paraId="2BD3678C">
      <w:pPr>
        <w:pStyle w:val="36"/>
        <w:rPr>
          <w:rFonts w:hint="eastAsia" w:ascii="仿宋" w:hAnsi="仿宋" w:eastAsia="仿宋" w:cs="仿宋"/>
          <w:b/>
          <w:bCs/>
          <w:sz w:val="24"/>
          <w:szCs w:val="24"/>
          <w:highlight w:val="none"/>
        </w:rPr>
      </w:pPr>
    </w:p>
    <w:p w14:paraId="7F1BE8F3">
      <w:pPr>
        <w:pStyle w:val="36"/>
        <w:rPr>
          <w:rFonts w:hint="eastAsia" w:ascii="仿宋" w:hAnsi="仿宋" w:eastAsia="仿宋" w:cs="仿宋"/>
          <w:b/>
          <w:bCs/>
          <w:sz w:val="24"/>
          <w:szCs w:val="24"/>
          <w:highlight w:val="none"/>
        </w:rPr>
      </w:pPr>
    </w:p>
    <w:p w14:paraId="0285E778">
      <w:pPr>
        <w:pStyle w:val="36"/>
        <w:rPr>
          <w:rFonts w:hint="eastAsia" w:ascii="仿宋" w:hAnsi="仿宋" w:eastAsia="仿宋" w:cs="仿宋"/>
          <w:b/>
          <w:bCs/>
          <w:sz w:val="24"/>
          <w:szCs w:val="24"/>
          <w:highlight w:val="none"/>
        </w:rPr>
      </w:pPr>
    </w:p>
    <w:p w14:paraId="23880CFB">
      <w:pPr>
        <w:pStyle w:val="36"/>
        <w:rPr>
          <w:rFonts w:hint="eastAsia" w:ascii="仿宋" w:hAnsi="仿宋" w:eastAsia="仿宋" w:cs="仿宋"/>
          <w:b/>
          <w:bCs/>
          <w:sz w:val="24"/>
          <w:szCs w:val="24"/>
          <w:highlight w:val="none"/>
        </w:rPr>
      </w:pPr>
    </w:p>
    <w:p w14:paraId="09D7DAD4">
      <w:pPr>
        <w:pStyle w:val="36"/>
        <w:rPr>
          <w:rFonts w:hint="eastAsia" w:ascii="仿宋" w:hAnsi="仿宋" w:eastAsia="仿宋" w:cs="仿宋"/>
          <w:b/>
          <w:bCs/>
          <w:sz w:val="24"/>
          <w:szCs w:val="24"/>
          <w:highlight w:val="none"/>
        </w:rPr>
      </w:pPr>
    </w:p>
    <w:p w14:paraId="055D7D2E">
      <w:pPr>
        <w:pStyle w:val="36"/>
        <w:rPr>
          <w:rFonts w:hint="eastAsia" w:ascii="仿宋" w:hAnsi="仿宋" w:eastAsia="仿宋" w:cs="仿宋"/>
          <w:b/>
          <w:bCs/>
          <w:sz w:val="24"/>
          <w:szCs w:val="24"/>
          <w:highlight w:val="none"/>
        </w:rPr>
      </w:pPr>
    </w:p>
    <w:p w14:paraId="3FEE54B6">
      <w:pPr>
        <w:pStyle w:val="36"/>
        <w:rPr>
          <w:rFonts w:hint="eastAsia" w:ascii="仿宋" w:hAnsi="仿宋" w:eastAsia="仿宋" w:cs="仿宋"/>
          <w:b/>
          <w:bCs/>
          <w:sz w:val="24"/>
          <w:szCs w:val="24"/>
          <w:highlight w:val="none"/>
        </w:rPr>
      </w:pPr>
    </w:p>
    <w:p w14:paraId="693D4D5C">
      <w:pPr>
        <w:pStyle w:val="36"/>
        <w:rPr>
          <w:rFonts w:hint="eastAsia" w:ascii="仿宋" w:hAnsi="仿宋" w:eastAsia="仿宋" w:cs="仿宋"/>
          <w:b/>
          <w:bCs/>
          <w:sz w:val="24"/>
          <w:szCs w:val="24"/>
          <w:highlight w:val="none"/>
        </w:rPr>
      </w:pPr>
    </w:p>
    <w:p w14:paraId="2ADC0A0F">
      <w:pPr>
        <w:pStyle w:val="36"/>
        <w:rPr>
          <w:rFonts w:hint="eastAsia" w:ascii="仿宋" w:hAnsi="仿宋" w:eastAsia="仿宋" w:cs="仿宋"/>
          <w:b/>
          <w:bCs/>
          <w:sz w:val="24"/>
          <w:szCs w:val="24"/>
          <w:highlight w:val="none"/>
        </w:rPr>
      </w:pPr>
    </w:p>
    <w:p w14:paraId="22B67395">
      <w:pPr>
        <w:pStyle w:val="36"/>
        <w:rPr>
          <w:rFonts w:hint="eastAsia" w:ascii="仿宋" w:hAnsi="仿宋" w:eastAsia="仿宋" w:cs="仿宋"/>
          <w:b/>
          <w:bCs/>
          <w:sz w:val="24"/>
          <w:szCs w:val="24"/>
          <w:highlight w:val="none"/>
        </w:rPr>
      </w:pPr>
    </w:p>
    <w:p w14:paraId="7409CE60">
      <w:pPr>
        <w:pStyle w:val="36"/>
        <w:rPr>
          <w:rFonts w:hint="eastAsia" w:ascii="仿宋" w:hAnsi="仿宋" w:eastAsia="仿宋" w:cs="仿宋"/>
          <w:b/>
          <w:bCs/>
          <w:sz w:val="24"/>
          <w:szCs w:val="24"/>
          <w:highlight w:val="none"/>
        </w:rPr>
      </w:pPr>
    </w:p>
    <w:p w14:paraId="22B6038F">
      <w:pPr>
        <w:pStyle w:val="36"/>
        <w:rPr>
          <w:rFonts w:hint="eastAsia" w:ascii="仿宋" w:hAnsi="仿宋" w:eastAsia="仿宋" w:cs="仿宋"/>
          <w:b/>
          <w:bCs/>
          <w:sz w:val="24"/>
          <w:szCs w:val="24"/>
          <w:highlight w:val="none"/>
        </w:rPr>
      </w:pPr>
    </w:p>
    <w:p w14:paraId="0650262F">
      <w:pPr>
        <w:pStyle w:val="36"/>
        <w:rPr>
          <w:rFonts w:hint="eastAsia" w:ascii="仿宋" w:hAnsi="仿宋" w:eastAsia="仿宋" w:cs="仿宋"/>
          <w:b/>
          <w:bCs/>
          <w:sz w:val="24"/>
          <w:szCs w:val="24"/>
          <w:highlight w:val="none"/>
        </w:rPr>
      </w:pPr>
    </w:p>
    <w:p w14:paraId="312907D5">
      <w:pPr>
        <w:pStyle w:val="36"/>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注：</w:t>
      </w:r>
      <w:r>
        <w:rPr>
          <w:rFonts w:hint="eastAsia" w:ascii="仿宋" w:hAnsi="仿宋" w:eastAsia="仿宋" w:cs="仿宋"/>
          <w:b/>
          <w:bCs/>
          <w:color w:val="auto"/>
          <w:sz w:val="24"/>
          <w:szCs w:val="24"/>
          <w:highlight w:val="none"/>
          <w:lang w:eastAsia="zh-CN"/>
        </w:rPr>
        <w:t>近一年是指2025年1月1日至查询日止，查询日期不早于招标文件开始获取日期。</w:t>
      </w:r>
    </w:p>
    <w:p w14:paraId="74AF38F1">
      <w:pPr>
        <w:snapToGrid w:val="0"/>
        <w:spacing w:line="360" w:lineRule="auto"/>
        <w:jc w:val="center"/>
        <w:rPr>
          <w:rFonts w:hint="eastAsia" w:ascii="仿宋" w:hAnsi="仿宋" w:eastAsia="仿宋" w:cs="仿宋"/>
          <w:b/>
          <w:bCs/>
          <w:sz w:val="30"/>
          <w:szCs w:val="30"/>
          <w:highlight w:val="none"/>
        </w:rPr>
      </w:pPr>
    </w:p>
    <w:p w14:paraId="36684B27">
      <w:pPr>
        <w:jc w:val="center"/>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br w:type="page"/>
      </w:r>
    </w:p>
    <w:p w14:paraId="247D8384">
      <w:pPr>
        <w:snapToGrid w:val="0"/>
        <w:spacing w:line="360" w:lineRule="auto"/>
        <w:jc w:val="center"/>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投标人认为需要提供的其他资质资格证明文件</w:t>
      </w:r>
    </w:p>
    <w:p w14:paraId="6A10E239">
      <w:pPr>
        <w:snapToGrid w:val="0"/>
        <w:spacing w:line="360" w:lineRule="auto"/>
        <w:ind w:left="559" w:leftChars="266" w:firstLine="2400" w:firstLineChars="1000"/>
        <w:jc w:val="left"/>
        <w:rPr>
          <w:rFonts w:ascii="仿宋" w:hAnsi="仿宋" w:eastAsia="仿宋" w:cs="仿宋"/>
          <w:sz w:val="24"/>
          <w:szCs w:val="24"/>
          <w:highlight w:val="none"/>
        </w:rPr>
      </w:pPr>
    </w:p>
    <w:p w14:paraId="05EE1A03">
      <w:pPr>
        <w:snapToGrid w:val="0"/>
        <w:spacing w:line="360" w:lineRule="auto"/>
        <w:ind w:left="559" w:leftChars="266" w:firstLine="2400" w:firstLineChars="1000"/>
        <w:jc w:val="left"/>
        <w:rPr>
          <w:rFonts w:ascii="仿宋" w:hAnsi="仿宋" w:eastAsia="仿宋" w:cs="仿宋"/>
          <w:sz w:val="24"/>
          <w:szCs w:val="24"/>
          <w:highlight w:val="none"/>
        </w:rPr>
      </w:pPr>
    </w:p>
    <w:p w14:paraId="0E71A690">
      <w:pPr>
        <w:snapToGrid w:val="0"/>
        <w:spacing w:line="360" w:lineRule="auto"/>
        <w:ind w:left="559" w:leftChars="266" w:firstLine="2400" w:firstLineChars="1000"/>
        <w:jc w:val="left"/>
        <w:rPr>
          <w:rFonts w:ascii="仿宋" w:hAnsi="仿宋" w:eastAsia="仿宋" w:cs="仿宋"/>
          <w:sz w:val="24"/>
          <w:szCs w:val="24"/>
          <w:highlight w:val="none"/>
        </w:rPr>
      </w:pPr>
    </w:p>
    <w:p w14:paraId="0212C245">
      <w:pPr>
        <w:snapToGrid w:val="0"/>
        <w:spacing w:line="360" w:lineRule="auto"/>
        <w:ind w:left="559" w:leftChars="266" w:firstLine="2400" w:firstLineChars="1000"/>
        <w:jc w:val="left"/>
        <w:rPr>
          <w:rFonts w:ascii="仿宋" w:hAnsi="仿宋" w:eastAsia="仿宋" w:cs="仿宋"/>
          <w:sz w:val="24"/>
          <w:szCs w:val="24"/>
          <w:highlight w:val="none"/>
        </w:rPr>
      </w:pPr>
    </w:p>
    <w:p w14:paraId="204E337A">
      <w:pPr>
        <w:snapToGrid w:val="0"/>
        <w:spacing w:line="360" w:lineRule="auto"/>
        <w:ind w:left="559" w:leftChars="266" w:firstLine="2400" w:firstLineChars="1000"/>
        <w:jc w:val="left"/>
        <w:rPr>
          <w:rFonts w:ascii="仿宋" w:hAnsi="仿宋" w:eastAsia="仿宋" w:cs="仿宋"/>
          <w:sz w:val="24"/>
          <w:szCs w:val="24"/>
          <w:highlight w:val="none"/>
        </w:rPr>
      </w:pPr>
    </w:p>
    <w:p w14:paraId="5DD20F5D">
      <w:pPr>
        <w:snapToGrid w:val="0"/>
        <w:spacing w:line="360" w:lineRule="auto"/>
        <w:ind w:left="559" w:leftChars="266" w:firstLine="2400" w:firstLineChars="1000"/>
        <w:jc w:val="left"/>
        <w:rPr>
          <w:rFonts w:ascii="仿宋" w:hAnsi="仿宋" w:eastAsia="仿宋" w:cs="仿宋"/>
          <w:sz w:val="24"/>
          <w:szCs w:val="24"/>
          <w:highlight w:val="none"/>
        </w:rPr>
      </w:pPr>
    </w:p>
    <w:p w14:paraId="26814537">
      <w:pPr>
        <w:pStyle w:val="36"/>
        <w:rPr>
          <w:rFonts w:ascii="仿宋" w:hAnsi="仿宋" w:eastAsia="仿宋" w:cs="仿宋"/>
          <w:szCs w:val="24"/>
          <w:highlight w:val="none"/>
        </w:rPr>
      </w:pPr>
    </w:p>
    <w:p w14:paraId="0221FF2B">
      <w:pPr>
        <w:pStyle w:val="36"/>
        <w:rPr>
          <w:rFonts w:ascii="仿宋" w:hAnsi="仿宋" w:eastAsia="仿宋" w:cs="仿宋"/>
          <w:szCs w:val="24"/>
          <w:highlight w:val="none"/>
        </w:rPr>
      </w:pPr>
    </w:p>
    <w:p w14:paraId="5628EE69">
      <w:pPr>
        <w:pStyle w:val="36"/>
        <w:rPr>
          <w:rFonts w:ascii="仿宋" w:hAnsi="仿宋" w:eastAsia="仿宋" w:cs="仿宋"/>
          <w:szCs w:val="24"/>
          <w:highlight w:val="none"/>
        </w:rPr>
      </w:pPr>
    </w:p>
    <w:p w14:paraId="202634D4">
      <w:pPr>
        <w:pStyle w:val="36"/>
        <w:rPr>
          <w:rFonts w:ascii="仿宋" w:hAnsi="仿宋" w:eastAsia="仿宋" w:cs="仿宋"/>
          <w:szCs w:val="24"/>
          <w:highlight w:val="none"/>
        </w:rPr>
      </w:pPr>
    </w:p>
    <w:p w14:paraId="27AA7B75">
      <w:pPr>
        <w:pStyle w:val="36"/>
        <w:rPr>
          <w:rFonts w:ascii="仿宋" w:hAnsi="仿宋" w:eastAsia="仿宋" w:cs="仿宋"/>
          <w:szCs w:val="24"/>
          <w:highlight w:val="none"/>
        </w:rPr>
      </w:pPr>
    </w:p>
    <w:p w14:paraId="4DFF3D06">
      <w:pPr>
        <w:pStyle w:val="36"/>
        <w:rPr>
          <w:rFonts w:ascii="仿宋" w:hAnsi="仿宋" w:eastAsia="仿宋" w:cs="仿宋"/>
          <w:szCs w:val="24"/>
          <w:highlight w:val="none"/>
        </w:rPr>
      </w:pPr>
    </w:p>
    <w:p w14:paraId="58380F6C">
      <w:pPr>
        <w:pStyle w:val="36"/>
        <w:rPr>
          <w:rFonts w:ascii="仿宋" w:hAnsi="仿宋" w:eastAsia="仿宋" w:cs="仿宋"/>
          <w:szCs w:val="24"/>
          <w:highlight w:val="none"/>
        </w:rPr>
      </w:pPr>
    </w:p>
    <w:p w14:paraId="2042499A">
      <w:pPr>
        <w:pStyle w:val="36"/>
        <w:rPr>
          <w:rFonts w:ascii="仿宋" w:hAnsi="仿宋" w:eastAsia="仿宋" w:cs="仿宋"/>
          <w:szCs w:val="24"/>
          <w:highlight w:val="none"/>
        </w:rPr>
      </w:pPr>
    </w:p>
    <w:p w14:paraId="2A19EC2A">
      <w:pPr>
        <w:pStyle w:val="36"/>
        <w:rPr>
          <w:rFonts w:ascii="仿宋" w:hAnsi="仿宋" w:eastAsia="仿宋" w:cs="仿宋"/>
          <w:szCs w:val="24"/>
          <w:highlight w:val="none"/>
        </w:rPr>
      </w:pPr>
    </w:p>
    <w:p w14:paraId="2F0B00A2">
      <w:pPr>
        <w:pStyle w:val="36"/>
        <w:rPr>
          <w:rFonts w:ascii="仿宋" w:hAnsi="仿宋" w:eastAsia="仿宋" w:cs="仿宋"/>
          <w:szCs w:val="24"/>
          <w:highlight w:val="none"/>
        </w:rPr>
      </w:pPr>
    </w:p>
    <w:p w14:paraId="1FD5A75B">
      <w:pPr>
        <w:spacing w:line="360" w:lineRule="exact"/>
        <w:ind w:right="1120"/>
        <w:rPr>
          <w:rFonts w:hint="eastAsia" w:ascii="仿宋" w:hAnsi="仿宋" w:eastAsia="仿宋" w:cs="仿宋"/>
          <w:sz w:val="24"/>
          <w:highlight w:val="none"/>
        </w:rPr>
      </w:pPr>
    </w:p>
    <w:p w14:paraId="70DA3762">
      <w:pPr>
        <w:spacing w:line="360" w:lineRule="exact"/>
        <w:ind w:right="1120"/>
        <w:rPr>
          <w:rFonts w:hint="eastAsia" w:ascii="仿宋" w:hAnsi="仿宋" w:eastAsia="仿宋" w:cs="仿宋"/>
          <w:sz w:val="24"/>
          <w:highlight w:val="none"/>
        </w:rPr>
      </w:pPr>
    </w:p>
    <w:p w14:paraId="330889E4">
      <w:pPr>
        <w:spacing w:line="360" w:lineRule="exact"/>
        <w:ind w:right="1120" w:firstLine="3000" w:firstLineChars="1250"/>
        <w:rPr>
          <w:rFonts w:hint="eastAsia" w:ascii="仿宋" w:hAnsi="仿宋" w:eastAsia="仿宋" w:cs="仿宋"/>
          <w:sz w:val="24"/>
          <w:highlight w:val="none"/>
        </w:rPr>
      </w:pPr>
    </w:p>
    <w:p w14:paraId="6B317C09">
      <w:pPr>
        <w:spacing w:line="360" w:lineRule="exact"/>
        <w:ind w:right="1120" w:firstLine="3000" w:firstLineChars="1250"/>
        <w:rPr>
          <w:rFonts w:hint="eastAsia" w:ascii="仿宋" w:hAnsi="仿宋" w:eastAsia="仿宋" w:cs="仿宋"/>
          <w:sz w:val="24"/>
          <w:highlight w:val="none"/>
        </w:rPr>
      </w:pPr>
    </w:p>
    <w:p w14:paraId="4863F347">
      <w:pPr>
        <w:spacing w:line="360" w:lineRule="exact"/>
        <w:ind w:right="1120" w:firstLine="3000" w:firstLineChars="1250"/>
        <w:rPr>
          <w:rFonts w:hint="eastAsia" w:ascii="仿宋" w:hAnsi="仿宋" w:eastAsia="仿宋" w:cs="仿宋"/>
          <w:sz w:val="24"/>
          <w:highlight w:val="none"/>
        </w:rPr>
      </w:pPr>
    </w:p>
    <w:p w14:paraId="7099B3F1">
      <w:pPr>
        <w:spacing w:line="360" w:lineRule="exact"/>
        <w:ind w:right="1120" w:firstLine="3000" w:firstLineChars="1250"/>
        <w:rPr>
          <w:rFonts w:hint="eastAsia" w:ascii="仿宋" w:hAnsi="仿宋" w:eastAsia="仿宋" w:cs="仿宋"/>
          <w:sz w:val="24"/>
          <w:highlight w:val="none"/>
        </w:rPr>
      </w:pPr>
    </w:p>
    <w:p w14:paraId="2E3433AF">
      <w:pPr>
        <w:spacing w:line="360" w:lineRule="exact"/>
        <w:ind w:right="1120"/>
        <w:jc w:val="left"/>
        <w:rPr>
          <w:rFonts w:hint="eastAsia" w:ascii="仿宋" w:hAnsi="仿宋" w:eastAsia="仿宋" w:cs="仿宋"/>
          <w:sz w:val="24"/>
          <w:highlight w:val="none"/>
        </w:rPr>
      </w:pPr>
      <w:r>
        <w:rPr>
          <w:rFonts w:hint="eastAsia" w:ascii="仿宋" w:hAnsi="仿宋" w:eastAsia="仿宋" w:cs="仿宋"/>
          <w:sz w:val="24"/>
          <w:szCs w:val="24"/>
          <w:highlight w:val="none"/>
        </w:rPr>
        <w:t>投标单位：（盖章）</w:t>
      </w:r>
      <w:r>
        <w:rPr>
          <w:rFonts w:hint="eastAsia" w:ascii="仿宋" w:hAnsi="仿宋" w:eastAsia="仿宋" w:cs="仿宋"/>
          <w:sz w:val="24"/>
          <w:highlight w:val="none"/>
        </w:rPr>
        <w:t xml:space="preserve"> </w:t>
      </w:r>
    </w:p>
    <w:p w14:paraId="4EE802FD">
      <w:pPr>
        <w:pStyle w:val="85"/>
        <w:ind w:left="480" w:firstLine="0"/>
        <w:rPr>
          <w:rFonts w:ascii="仿宋" w:hAnsi="仿宋" w:eastAsia="仿宋" w:cs="仿宋"/>
          <w:bCs/>
          <w:szCs w:val="24"/>
          <w:highlight w:val="none"/>
        </w:rPr>
      </w:pPr>
    </w:p>
    <w:p w14:paraId="7EA0179A">
      <w:pPr>
        <w:pStyle w:val="85"/>
        <w:ind w:firstLine="0"/>
        <w:rPr>
          <w:rFonts w:ascii="仿宋" w:hAnsi="仿宋" w:eastAsia="仿宋" w:cs="仿宋"/>
          <w:bCs/>
          <w:szCs w:val="24"/>
          <w:highlight w:val="none"/>
        </w:rPr>
      </w:pPr>
    </w:p>
    <w:p w14:paraId="4899539F">
      <w:pPr>
        <w:pStyle w:val="85"/>
        <w:ind w:left="480" w:firstLine="0"/>
        <w:rPr>
          <w:rFonts w:ascii="仿宋" w:hAnsi="仿宋" w:eastAsia="仿宋" w:cs="仿宋"/>
          <w:bCs/>
          <w:szCs w:val="24"/>
          <w:highlight w:val="none"/>
        </w:rPr>
      </w:pPr>
    </w:p>
    <w:p w14:paraId="301DE245">
      <w:pPr>
        <w:pStyle w:val="23"/>
        <w:tabs>
          <w:tab w:val="left" w:pos="580"/>
        </w:tabs>
        <w:ind w:right="560"/>
        <w:jc w:val="center"/>
        <w:rPr>
          <w:rFonts w:hint="eastAsia" w:ascii="仿宋" w:hAnsi="仿宋" w:eastAsia="仿宋" w:cs="仿宋"/>
          <w:b/>
          <w:bCs/>
          <w:sz w:val="36"/>
          <w:szCs w:val="36"/>
          <w:highlight w:val="none"/>
        </w:rPr>
      </w:pPr>
    </w:p>
    <w:p w14:paraId="133A7A8F">
      <w:pPr>
        <w:pStyle w:val="23"/>
        <w:tabs>
          <w:tab w:val="left" w:pos="580"/>
        </w:tabs>
        <w:ind w:right="560"/>
        <w:jc w:val="center"/>
        <w:rPr>
          <w:rFonts w:hint="eastAsia" w:ascii="仿宋" w:hAnsi="仿宋" w:eastAsia="仿宋" w:cs="仿宋"/>
          <w:b/>
          <w:bCs/>
          <w:sz w:val="36"/>
          <w:szCs w:val="36"/>
          <w:highlight w:val="none"/>
        </w:rPr>
      </w:pPr>
    </w:p>
    <w:p w14:paraId="0339B559">
      <w:pPr>
        <w:pStyle w:val="23"/>
        <w:tabs>
          <w:tab w:val="left" w:pos="580"/>
        </w:tabs>
        <w:ind w:right="560"/>
        <w:jc w:val="center"/>
        <w:rPr>
          <w:rFonts w:hint="eastAsia" w:ascii="仿宋" w:hAnsi="仿宋" w:eastAsia="仿宋" w:cs="仿宋"/>
          <w:b/>
          <w:bCs/>
          <w:sz w:val="36"/>
          <w:szCs w:val="36"/>
          <w:highlight w:val="none"/>
        </w:rPr>
      </w:pPr>
    </w:p>
    <w:p w14:paraId="258EEB74">
      <w:pPr>
        <w:pStyle w:val="23"/>
        <w:tabs>
          <w:tab w:val="left" w:pos="580"/>
        </w:tabs>
        <w:ind w:right="560"/>
        <w:jc w:val="center"/>
        <w:rPr>
          <w:rFonts w:hint="eastAsia" w:ascii="仿宋" w:hAnsi="仿宋" w:eastAsia="仿宋" w:cs="仿宋"/>
          <w:b/>
          <w:bCs/>
          <w:sz w:val="36"/>
          <w:szCs w:val="36"/>
          <w:highlight w:val="none"/>
        </w:rPr>
      </w:pPr>
    </w:p>
    <w:p w14:paraId="2AAF62F2">
      <w:pPr>
        <w:pStyle w:val="23"/>
        <w:tabs>
          <w:tab w:val="left" w:pos="580"/>
        </w:tabs>
        <w:ind w:right="560"/>
        <w:jc w:val="center"/>
        <w:rPr>
          <w:rFonts w:hint="eastAsia" w:ascii="仿宋" w:hAnsi="仿宋" w:eastAsia="仿宋" w:cs="仿宋"/>
          <w:b/>
          <w:bCs/>
          <w:sz w:val="36"/>
          <w:szCs w:val="36"/>
          <w:highlight w:val="none"/>
        </w:rPr>
      </w:pPr>
    </w:p>
    <w:p w14:paraId="5E40DD50">
      <w:pPr>
        <w:pStyle w:val="23"/>
        <w:jc w:val="center"/>
        <w:rPr>
          <w:rFonts w:hint="eastAsia" w:ascii="仿宋" w:hAnsi="仿宋" w:eastAsia="仿宋" w:cs="仿宋"/>
          <w:b/>
          <w:bCs/>
          <w:sz w:val="30"/>
          <w:szCs w:val="30"/>
          <w:highlight w:val="none"/>
          <w:lang w:eastAsia="zh-CN"/>
        </w:rPr>
      </w:pPr>
      <w:r>
        <w:rPr>
          <w:rFonts w:hint="eastAsia" w:ascii="仿宋" w:hAnsi="仿宋" w:eastAsia="仿宋" w:cs="仿宋"/>
          <w:b/>
          <w:bCs/>
          <w:sz w:val="36"/>
          <w:szCs w:val="36"/>
          <w:highlight w:val="none"/>
        </w:rPr>
        <w:br w:type="page"/>
      </w:r>
      <w:r>
        <w:rPr>
          <w:rFonts w:hint="eastAsia" w:ascii="仿宋" w:hAnsi="仿宋" w:eastAsia="仿宋" w:cs="仿宋"/>
          <w:b/>
          <w:bCs/>
          <w:sz w:val="30"/>
          <w:szCs w:val="30"/>
          <w:highlight w:val="none"/>
        </w:rPr>
        <w:t>同类项目业绩</w:t>
      </w:r>
      <w:r>
        <w:rPr>
          <w:rFonts w:hint="eastAsia" w:ascii="仿宋" w:hAnsi="仿宋" w:eastAsia="仿宋" w:cs="仿宋"/>
          <w:b/>
          <w:bCs/>
          <w:sz w:val="30"/>
          <w:szCs w:val="30"/>
          <w:highlight w:val="none"/>
          <w:lang w:eastAsia="zh-CN"/>
        </w:rPr>
        <w:t>表</w:t>
      </w:r>
    </w:p>
    <w:tbl>
      <w:tblPr>
        <w:tblStyle w:val="41"/>
        <w:tblW w:w="9810" w:type="dxa"/>
        <w:tblInd w:w="-8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
        <w:gridCol w:w="1757"/>
        <w:gridCol w:w="1695"/>
        <w:gridCol w:w="1740"/>
        <w:gridCol w:w="1740"/>
        <w:gridCol w:w="1995"/>
      </w:tblGrid>
      <w:tr w14:paraId="6861B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883" w:type="dxa"/>
            <w:noWrap w:val="0"/>
            <w:vAlign w:val="center"/>
          </w:tcPr>
          <w:p w14:paraId="1C1BD700">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序号</w:t>
            </w:r>
          </w:p>
        </w:tc>
        <w:tc>
          <w:tcPr>
            <w:tcW w:w="1757" w:type="dxa"/>
            <w:noWrap w:val="0"/>
            <w:vAlign w:val="center"/>
          </w:tcPr>
          <w:p w14:paraId="1E7BCFD5">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项目名称</w:t>
            </w:r>
          </w:p>
        </w:tc>
        <w:tc>
          <w:tcPr>
            <w:tcW w:w="1695" w:type="dxa"/>
            <w:noWrap w:val="0"/>
            <w:vAlign w:val="center"/>
          </w:tcPr>
          <w:p w14:paraId="6DCA02D4">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采购人名称</w:t>
            </w:r>
          </w:p>
        </w:tc>
        <w:tc>
          <w:tcPr>
            <w:tcW w:w="1740" w:type="dxa"/>
            <w:noWrap w:val="0"/>
            <w:vAlign w:val="center"/>
          </w:tcPr>
          <w:p w14:paraId="1EB37B8A">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合同额</w:t>
            </w:r>
          </w:p>
        </w:tc>
        <w:tc>
          <w:tcPr>
            <w:tcW w:w="1740" w:type="dxa"/>
            <w:noWrap w:val="0"/>
            <w:vAlign w:val="center"/>
          </w:tcPr>
          <w:p w14:paraId="237E09C7">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合同签订时间</w:t>
            </w:r>
          </w:p>
        </w:tc>
        <w:tc>
          <w:tcPr>
            <w:tcW w:w="1995" w:type="dxa"/>
            <w:noWrap w:val="0"/>
            <w:vAlign w:val="center"/>
          </w:tcPr>
          <w:p w14:paraId="2C3F235F">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电话/联系人</w:t>
            </w:r>
          </w:p>
        </w:tc>
      </w:tr>
      <w:tr w14:paraId="3186B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7A47540B">
            <w:pPr>
              <w:ind w:firstLine="386" w:firstLineChars="138"/>
              <w:jc w:val="center"/>
              <w:rPr>
                <w:rFonts w:hint="eastAsia" w:ascii="宋体" w:hAnsi="宋体" w:cs="宋体"/>
                <w:sz w:val="28"/>
                <w:szCs w:val="28"/>
                <w:highlight w:val="none"/>
              </w:rPr>
            </w:pPr>
          </w:p>
        </w:tc>
        <w:tc>
          <w:tcPr>
            <w:tcW w:w="1757" w:type="dxa"/>
            <w:noWrap w:val="0"/>
            <w:vAlign w:val="center"/>
          </w:tcPr>
          <w:p w14:paraId="6037D3C3">
            <w:pPr>
              <w:ind w:firstLine="386" w:firstLineChars="138"/>
              <w:jc w:val="center"/>
              <w:rPr>
                <w:rFonts w:hint="eastAsia" w:ascii="宋体" w:hAnsi="宋体" w:cs="宋体"/>
                <w:sz w:val="28"/>
                <w:szCs w:val="28"/>
                <w:highlight w:val="none"/>
              </w:rPr>
            </w:pPr>
          </w:p>
        </w:tc>
        <w:tc>
          <w:tcPr>
            <w:tcW w:w="1695" w:type="dxa"/>
            <w:noWrap w:val="0"/>
            <w:vAlign w:val="center"/>
          </w:tcPr>
          <w:p w14:paraId="4755231F">
            <w:pPr>
              <w:ind w:firstLine="386" w:firstLineChars="138"/>
              <w:jc w:val="center"/>
              <w:rPr>
                <w:rFonts w:hint="eastAsia" w:ascii="宋体" w:hAnsi="宋体" w:cs="宋体"/>
                <w:sz w:val="28"/>
                <w:szCs w:val="28"/>
                <w:highlight w:val="none"/>
              </w:rPr>
            </w:pPr>
          </w:p>
        </w:tc>
        <w:tc>
          <w:tcPr>
            <w:tcW w:w="1740" w:type="dxa"/>
            <w:noWrap w:val="0"/>
            <w:vAlign w:val="center"/>
          </w:tcPr>
          <w:p w14:paraId="3D18A25E">
            <w:pPr>
              <w:ind w:firstLine="386" w:firstLineChars="138"/>
              <w:jc w:val="center"/>
              <w:rPr>
                <w:rFonts w:hint="eastAsia" w:ascii="宋体" w:hAnsi="宋体" w:cs="宋体"/>
                <w:sz w:val="28"/>
                <w:szCs w:val="28"/>
                <w:highlight w:val="none"/>
              </w:rPr>
            </w:pPr>
          </w:p>
        </w:tc>
        <w:tc>
          <w:tcPr>
            <w:tcW w:w="1740" w:type="dxa"/>
            <w:noWrap w:val="0"/>
            <w:vAlign w:val="center"/>
          </w:tcPr>
          <w:p w14:paraId="62263829">
            <w:pPr>
              <w:ind w:firstLine="386" w:firstLineChars="138"/>
              <w:jc w:val="center"/>
              <w:rPr>
                <w:rFonts w:hint="eastAsia" w:ascii="宋体" w:hAnsi="宋体" w:cs="宋体"/>
                <w:sz w:val="28"/>
                <w:szCs w:val="28"/>
                <w:highlight w:val="none"/>
              </w:rPr>
            </w:pPr>
          </w:p>
        </w:tc>
        <w:tc>
          <w:tcPr>
            <w:tcW w:w="1995" w:type="dxa"/>
            <w:noWrap w:val="0"/>
            <w:vAlign w:val="center"/>
          </w:tcPr>
          <w:p w14:paraId="22207047">
            <w:pPr>
              <w:ind w:firstLine="386" w:firstLineChars="138"/>
              <w:jc w:val="center"/>
              <w:rPr>
                <w:rFonts w:hint="eastAsia" w:ascii="宋体" w:hAnsi="宋体" w:cs="宋体"/>
                <w:sz w:val="28"/>
                <w:szCs w:val="28"/>
                <w:highlight w:val="none"/>
              </w:rPr>
            </w:pPr>
          </w:p>
        </w:tc>
      </w:tr>
      <w:tr w14:paraId="63449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059BFA1C">
            <w:pPr>
              <w:ind w:firstLine="386" w:firstLineChars="138"/>
              <w:jc w:val="center"/>
              <w:rPr>
                <w:rFonts w:hint="eastAsia" w:ascii="宋体" w:hAnsi="宋体" w:cs="宋体"/>
                <w:sz w:val="28"/>
                <w:szCs w:val="28"/>
                <w:highlight w:val="none"/>
              </w:rPr>
            </w:pPr>
          </w:p>
        </w:tc>
        <w:tc>
          <w:tcPr>
            <w:tcW w:w="1757" w:type="dxa"/>
            <w:noWrap w:val="0"/>
            <w:vAlign w:val="center"/>
          </w:tcPr>
          <w:p w14:paraId="1C4BBBA4">
            <w:pPr>
              <w:ind w:firstLine="386" w:firstLineChars="138"/>
              <w:jc w:val="center"/>
              <w:rPr>
                <w:rFonts w:hint="eastAsia" w:ascii="宋体" w:hAnsi="宋体" w:cs="宋体"/>
                <w:sz w:val="28"/>
                <w:szCs w:val="28"/>
                <w:highlight w:val="none"/>
              </w:rPr>
            </w:pPr>
          </w:p>
        </w:tc>
        <w:tc>
          <w:tcPr>
            <w:tcW w:w="1695" w:type="dxa"/>
            <w:noWrap w:val="0"/>
            <w:vAlign w:val="center"/>
          </w:tcPr>
          <w:p w14:paraId="0784F9F8">
            <w:pPr>
              <w:ind w:firstLine="386" w:firstLineChars="138"/>
              <w:jc w:val="center"/>
              <w:rPr>
                <w:rFonts w:hint="eastAsia" w:ascii="宋体" w:hAnsi="宋体" w:cs="宋体"/>
                <w:sz w:val="28"/>
                <w:szCs w:val="28"/>
                <w:highlight w:val="none"/>
              </w:rPr>
            </w:pPr>
          </w:p>
        </w:tc>
        <w:tc>
          <w:tcPr>
            <w:tcW w:w="1740" w:type="dxa"/>
            <w:noWrap w:val="0"/>
            <w:vAlign w:val="center"/>
          </w:tcPr>
          <w:p w14:paraId="4EFFBFF0">
            <w:pPr>
              <w:ind w:firstLine="386" w:firstLineChars="138"/>
              <w:jc w:val="center"/>
              <w:rPr>
                <w:rFonts w:hint="eastAsia" w:ascii="宋体" w:hAnsi="宋体" w:cs="宋体"/>
                <w:sz w:val="28"/>
                <w:szCs w:val="28"/>
                <w:highlight w:val="none"/>
              </w:rPr>
            </w:pPr>
          </w:p>
        </w:tc>
        <w:tc>
          <w:tcPr>
            <w:tcW w:w="1740" w:type="dxa"/>
            <w:noWrap w:val="0"/>
            <w:vAlign w:val="center"/>
          </w:tcPr>
          <w:p w14:paraId="5B138A4B">
            <w:pPr>
              <w:ind w:firstLine="386" w:firstLineChars="138"/>
              <w:jc w:val="center"/>
              <w:rPr>
                <w:rFonts w:hint="eastAsia" w:ascii="宋体" w:hAnsi="宋体" w:cs="宋体"/>
                <w:sz w:val="28"/>
                <w:szCs w:val="28"/>
                <w:highlight w:val="none"/>
              </w:rPr>
            </w:pPr>
          </w:p>
        </w:tc>
        <w:tc>
          <w:tcPr>
            <w:tcW w:w="1995" w:type="dxa"/>
            <w:noWrap w:val="0"/>
            <w:vAlign w:val="center"/>
          </w:tcPr>
          <w:p w14:paraId="1CD333BA">
            <w:pPr>
              <w:ind w:firstLine="386" w:firstLineChars="138"/>
              <w:jc w:val="center"/>
              <w:rPr>
                <w:rFonts w:hint="eastAsia" w:ascii="宋体" w:hAnsi="宋体" w:cs="宋体"/>
                <w:sz w:val="28"/>
                <w:szCs w:val="28"/>
                <w:highlight w:val="none"/>
              </w:rPr>
            </w:pPr>
          </w:p>
        </w:tc>
      </w:tr>
      <w:tr w14:paraId="48945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15B7DAF2">
            <w:pPr>
              <w:ind w:firstLine="386" w:firstLineChars="138"/>
              <w:jc w:val="center"/>
              <w:rPr>
                <w:rFonts w:hint="eastAsia" w:ascii="宋体" w:hAnsi="宋体" w:cs="宋体"/>
                <w:sz w:val="28"/>
                <w:szCs w:val="28"/>
                <w:highlight w:val="none"/>
              </w:rPr>
            </w:pPr>
          </w:p>
        </w:tc>
        <w:tc>
          <w:tcPr>
            <w:tcW w:w="1757" w:type="dxa"/>
            <w:noWrap w:val="0"/>
            <w:vAlign w:val="center"/>
          </w:tcPr>
          <w:p w14:paraId="3871E5F3">
            <w:pPr>
              <w:ind w:firstLine="386" w:firstLineChars="138"/>
              <w:jc w:val="center"/>
              <w:rPr>
                <w:rFonts w:hint="eastAsia" w:ascii="宋体" w:hAnsi="宋体" w:cs="宋体"/>
                <w:sz w:val="28"/>
                <w:szCs w:val="28"/>
                <w:highlight w:val="none"/>
              </w:rPr>
            </w:pPr>
          </w:p>
        </w:tc>
        <w:tc>
          <w:tcPr>
            <w:tcW w:w="1695" w:type="dxa"/>
            <w:noWrap w:val="0"/>
            <w:vAlign w:val="center"/>
          </w:tcPr>
          <w:p w14:paraId="63FEBE47">
            <w:pPr>
              <w:ind w:firstLine="386" w:firstLineChars="138"/>
              <w:jc w:val="center"/>
              <w:rPr>
                <w:rFonts w:hint="eastAsia" w:ascii="宋体" w:hAnsi="宋体" w:cs="宋体"/>
                <w:sz w:val="28"/>
                <w:szCs w:val="28"/>
                <w:highlight w:val="none"/>
              </w:rPr>
            </w:pPr>
          </w:p>
        </w:tc>
        <w:tc>
          <w:tcPr>
            <w:tcW w:w="1740" w:type="dxa"/>
            <w:noWrap w:val="0"/>
            <w:vAlign w:val="center"/>
          </w:tcPr>
          <w:p w14:paraId="60805F72">
            <w:pPr>
              <w:ind w:firstLine="386" w:firstLineChars="138"/>
              <w:jc w:val="center"/>
              <w:rPr>
                <w:rFonts w:hint="eastAsia" w:ascii="宋体" w:hAnsi="宋体" w:cs="宋体"/>
                <w:sz w:val="28"/>
                <w:szCs w:val="28"/>
                <w:highlight w:val="none"/>
              </w:rPr>
            </w:pPr>
          </w:p>
        </w:tc>
        <w:tc>
          <w:tcPr>
            <w:tcW w:w="1740" w:type="dxa"/>
            <w:noWrap w:val="0"/>
            <w:vAlign w:val="center"/>
          </w:tcPr>
          <w:p w14:paraId="5E6BB24C">
            <w:pPr>
              <w:ind w:firstLine="386" w:firstLineChars="138"/>
              <w:jc w:val="center"/>
              <w:rPr>
                <w:rFonts w:hint="eastAsia" w:ascii="宋体" w:hAnsi="宋体" w:cs="宋体"/>
                <w:sz w:val="28"/>
                <w:szCs w:val="28"/>
                <w:highlight w:val="none"/>
              </w:rPr>
            </w:pPr>
          </w:p>
        </w:tc>
        <w:tc>
          <w:tcPr>
            <w:tcW w:w="1995" w:type="dxa"/>
            <w:noWrap w:val="0"/>
            <w:vAlign w:val="center"/>
          </w:tcPr>
          <w:p w14:paraId="74C11BC1">
            <w:pPr>
              <w:ind w:firstLine="386" w:firstLineChars="138"/>
              <w:jc w:val="center"/>
              <w:rPr>
                <w:rFonts w:hint="eastAsia" w:ascii="宋体" w:hAnsi="宋体" w:cs="宋体"/>
                <w:sz w:val="28"/>
                <w:szCs w:val="28"/>
                <w:highlight w:val="none"/>
              </w:rPr>
            </w:pPr>
          </w:p>
        </w:tc>
      </w:tr>
      <w:tr w14:paraId="6B726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598868B2">
            <w:pPr>
              <w:ind w:firstLine="386" w:firstLineChars="138"/>
              <w:jc w:val="center"/>
              <w:rPr>
                <w:rFonts w:hint="eastAsia" w:ascii="宋体" w:hAnsi="宋体" w:cs="宋体"/>
                <w:sz w:val="28"/>
                <w:szCs w:val="28"/>
                <w:highlight w:val="none"/>
              </w:rPr>
            </w:pPr>
          </w:p>
        </w:tc>
        <w:tc>
          <w:tcPr>
            <w:tcW w:w="1757" w:type="dxa"/>
            <w:noWrap w:val="0"/>
            <w:vAlign w:val="center"/>
          </w:tcPr>
          <w:p w14:paraId="68FE4CEA">
            <w:pPr>
              <w:ind w:firstLine="386" w:firstLineChars="138"/>
              <w:jc w:val="center"/>
              <w:rPr>
                <w:rFonts w:hint="eastAsia" w:ascii="宋体" w:hAnsi="宋体" w:cs="宋体"/>
                <w:sz w:val="28"/>
                <w:szCs w:val="28"/>
                <w:highlight w:val="none"/>
              </w:rPr>
            </w:pPr>
          </w:p>
        </w:tc>
        <w:tc>
          <w:tcPr>
            <w:tcW w:w="1695" w:type="dxa"/>
            <w:noWrap w:val="0"/>
            <w:vAlign w:val="center"/>
          </w:tcPr>
          <w:p w14:paraId="0958A9AA">
            <w:pPr>
              <w:ind w:firstLine="386" w:firstLineChars="138"/>
              <w:jc w:val="center"/>
              <w:rPr>
                <w:rFonts w:hint="eastAsia" w:ascii="宋体" w:hAnsi="宋体" w:cs="宋体"/>
                <w:sz w:val="28"/>
                <w:szCs w:val="28"/>
                <w:highlight w:val="none"/>
              </w:rPr>
            </w:pPr>
          </w:p>
        </w:tc>
        <w:tc>
          <w:tcPr>
            <w:tcW w:w="1740" w:type="dxa"/>
            <w:noWrap w:val="0"/>
            <w:vAlign w:val="center"/>
          </w:tcPr>
          <w:p w14:paraId="46AC7833">
            <w:pPr>
              <w:ind w:firstLine="386" w:firstLineChars="138"/>
              <w:jc w:val="center"/>
              <w:rPr>
                <w:rFonts w:hint="eastAsia" w:ascii="宋体" w:hAnsi="宋体" w:cs="宋体"/>
                <w:sz w:val="28"/>
                <w:szCs w:val="28"/>
                <w:highlight w:val="none"/>
              </w:rPr>
            </w:pPr>
          </w:p>
        </w:tc>
        <w:tc>
          <w:tcPr>
            <w:tcW w:w="1740" w:type="dxa"/>
            <w:noWrap w:val="0"/>
            <w:vAlign w:val="center"/>
          </w:tcPr>
          <w:p w14:paraId="235095F2">
            <w:pPr>
              <w:ind w:firstLine="386" w:firstLineChars="138"/>
              <w:jc w:val="center"/>
              <w:rPr>
                <w:rFonts w:hint="eastAsia" w:ascii="宋体" w:hAnsi="宋体" w:cs="宋体"/>
                <w:sz w:val="28"/>
                <w:szCs w:val="28"/>
                <w:highlight w:val="none"/>
              </w:rPr>
            </w:pPr>
          </w:p>
        </w:tc>
        <w:tc>
          <w:tcPr>
            <w:tcW w:w="1995" w:type="dxa"/>
            <w:noWrap w:val="0"/>
            <w:vAlign w:val="center"/>
          </w:tcPr>
          <w:p w14:paraId="4C5D8D69">
            <w:pPr>
              <w:ind w:firstLine="386" w:firstLineChars="138"/>
              <w:jc w:val="center"/>
              <w:rPr>
                <w:rFonts w:hint="eastAsia" w:ascii="宋体" w:hAnsi="宋体" w:cs="宋体"/>
                <w:sz w:val="28"/>
                <w:szCs w:val="28"/>
                <w:highlight w:val="none"/>
              </w:rPr>
            </w:pPr>
          </w:p>
        </w:tc>
      </w:tr>
      <w:tr w14:paraId="514E5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64D48897">
            <w:pPr>
              <w:ind w:firstLine="386" w:firstLineChars="138"/>
              <w:jc w:val="center"/>
              <w:rPr>
                <w:rFonts w:hint="eastAsia" w:ascii="宋体" w:hAnsi="宋体" w:cs="宋体"/>
                <w:sz w:val="28"/>
                <w:szCs w:val="28"/>
                <w:highlight w:val="none"/>
              </w:rPr>
            </w:pPr>
          </w:p>
        </w:tc>
        <w:tc>
          <w:tcPr>
            <w:tcW w:w="1757" w:type="dxa"/>
            <w:noWrap w:val="0"/>
            <w:vAlign w:val="center"/>
          </w:tcPr>
          <w:p w14:paraId="7C9E4195">
            <w:pPr>
              <w:ind w:firstLine="386" w:firstLineChars="138"/>
              <w:jc w:val="center"/>
              <w:rPr>
                <w:rFonts w:hint="eastAsia" w:ascii="宋体" w:hAnsi="宋体" w:cs="宋体"/>
                <w:sz w:val="28"/>
                <w:szCs w:val="28"/>
                <w:highlight w:val="none"/>
              </w:rPr>
            </w:pPr>
          </w:p>
        </w:tc>
        <w:tc>
          <w:tcPr>
            <w:tcW w:w="1695" w:type="dxa"/>
            <w:noWrap w:val="0"/>
            <w:vAlign w:val="center"/>
          </w:tcPr>
          <w:p w14:paraId="2CF3F1DD">
            <w:pPr>
              <w:ind w:firstLine="386" w:firstLineChars="138"/>
              <w:jc w:val="center"/>
              <w:rPr>
                <w:rFonts w:hint="eastAsia" w:ascii="宋体" w:hAnsi="宋体" w:cs="宋体"/>
                <w:sz w:val="28"/>
                <w:szCs w:val="28"/>
                <w:highlight w:val="none"/>
              </w:rPr>
            </w:pPr>
          </w:p>
        </w:tc>
        <w:tc>
          <w:tcPr>
            <w:tcW w:w="1740" w:type="dxa"/>
            <w:noWrap w:val="0"/>
            <w:vAlign w:val="center"/>
          </w:tcPr>
          <w:p w14:paraId="348A6100">
            <w:pPr>
              <w:ind w:firstLine="386" w:firstLineChars="138"/>
              <w:jc w:val="center"/>
              <w:rPr>
                <w:rFonts w:hint="eastAsia" w:ascii="宋体" w:hAnsi="宋体" w:cs="宋体"/>
                <w:sz w:val="28"/>
                <w:szCs w:val="28"/>
                <w:highlight w:val="none"/>
              </w:rPr>
            </w:pPr>
          </w:p>
        </w:tc>
        <w:tc>
          <w:tcPr>
            <w:tcW w:w="1740" w:type="dxa"/>
            <w:noWrap w:val="0"/>
            <w:vAlign w:val="center"/>
          </w:tcPr>
          <w:p w14:paraId="720325BE">
            <w:pPr>
              <w:ind w:firstLine="386" w:firstLineChars="138"/>
              <w:jc w:val="center"/>
              <w:rPr>
                <w:rFonts w:hint="eastAsia" w:ascii="宋体" w:hAnsi="宋体" w:cs="宋体"/>
                <w:sz w:val="28"/>
                <w:szCs w:val="28"/>
                <w:highlight w:val="none"/>
              </w:rPr>
            </w:pPr>
          </w:p>
        </w:tc>
        <w:tc>
          <w:tcPr>
            <w:tcW w:w="1995" w:type="dxa"/>
            <w:noWrap w:val="0"/>
            <w:vAlign w:val="center"/>
          </w:tcPr>
          <w:p w14:paraId="41DD4BBE">
            <w:pPr>
              <w:ind w:firstLine="386" w:firstLineChars="138"/>
              <w:jc w:val="center"/>
              <w:rPr>
                <w:rFonts w:hint="eastAsia" w:ascii="宋体" w:hAnsi="宋体" w:cs="宋体"/>
                <w:sz w:val="28"/>
                <w:szCs w:val="28"/>
                <w:highlight w:val="none"/>
              </w:rPr>
            </w:pPr>
          </w:p>
        </w:tc>
      </w:tr>
      <w:tr w14:paraId="77E40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6CB3FC93">
            <w:pPr>
              <w:ind w:firstLine="386" w:firstLineChars="138"/>
              <w:jc w:val="center"/>
              <w:rPr>
                <w:rFonts w:hint="eastAsia" w:ascii="宋体" w:hAnsi="宋体" w:cs="宋体"/>
                <w:sz w:val="28"/>
                <w:szCs w:val="28"/>
                <w:highlight w:val="none"/>
              </w:rPr>
            </w:pPr>
          </w:p>
        </w:tc>
        <w:tc>
          <w:tcPr>
            <w:tcW w:w="1757" w:type="dxa"/>
            <w:noWrap w:val="0"/>
            <w:vAlign w:val="center"/>
          </w:tcPr>
          <w:p w14:paraId="72D918E1">
            <w:pPr>
              <w:ind w:firstLine="386" w:firstLineChars="138"/>
              <w:jc w:val="center"/>
              <w:rPr>
                <w:rFonts w:hint="eastAsia" w:ascii="宋体" w:hAnsi="宋体" w:cs="宋体"/>
                <w:sz w:val="28"/>
                <w:szCs w:val="28"/>
                <w:highlight w:val="none"/>
              </w:rPr>
            </w:pPr>
          </w:p>
        </w:tc>
        <w:tc>
          <w:tcPr>
            <w:tcW w:w="1695" w:type="dxa"/>
            <w:noWrap w:val="0"/>
            <w:vAlign w:val="center"/>
          </w:tcPr>
          <w:p w14:paraId="66DA802C">
            <w:pPr>
              <w:ind w:firstLine="386" w:firstLineChars="138"/>
              <w:jc w:val="center"/>
              <w:rPr>
                <w:rFonts w:hint="eastAsia" w:ascii="宋体" w:hAnsi="宋体" w:cs="宋体"/>
                <w:sz w:val="28"/>
                <w:szCs w:val="28"/>
                <w:highlight w:val="none"/>
              </w:rPr>
            </w:pPr>
          </w:p>
        </w:tc>
        <w:tc>
          <w:tcPr>
            <w:tcW w:w="1740" w:type="dxa"/>
            <w:noWrap w:val="0"/>
            <w:vAlign w:val="center"/>
          </w:tcPr>
          <w:p w14:paraId="2B0299B8">
            <w:pPr>
              <w:ind w:firstLine="386" w:firstLineChars="138"/>
              <w:jc w:val="center"/>
              <w:rPr>
                <w:rFonts w:hint="eastAsia" w:ascii="宋体" w:hAnsi="宋体" w:cs="宋体"/>
                <w:sz w:val="28"/>
                <w:szCs w:val="28"/>
                <w:highlight w:val="none"/>
              </w:rPr>
            </w:pPr>
          </w:p>
        </w:tc>
        <w:tc>
          <w:tcPr>
            <w:tcW w:w="1740" w:type="dxa"/>
            <w:noWrap w:val="0"/>
            <w:vAlign w:val="center"/>
          </w:tcPr>
          <w:p w14:paraId="59B0C34A">
            <w:pPr>
              <w:ind w:firstLine="386" w:firstLineChars="138"/>
              <w:jc w:val="center"/>
              <w:rPr>
                <w:rFonts w:hint="eastAsia" w:ascii="宋体" w:hAnsi="宋体" w:cs="宋体"/>
                <w:sz w:val="28"/>
                <w:szCs w:val="28"/>
                <w:highlight w:val="none"/>
              </w:rPr>
            </w:pPr>
          </w:p>
        </w:tc>
        <w:tc>
          <w:tcPr>
            <w:tcW w:w="1995" w:type="dxa"/>
            <w:noWrap w:val="0"/>
            <w:vAlign w:val="center"/>
          </w:tcPr>
          <w:p w14:paraId="7B911B33">
            <w:pPr>
              <w:ind w:firstLine="386" w:firstLineChars="138"/>
              <w:jc w:val="center"/>
              <w:rPr>
                <w:rFonts w:hint="eastAsia" w:ascii="宋体" w:hAnsi="宋体" w:cs="宋体"/>
                <w:sz w:val="28"/>
                <w:szCs w:val="28"/>
                <w:highlight w:val="none"/>
              </w:rPr>
            </w:pPr>
          </w:p>
        </w:tc>
      </w:tr>
      <w:tr w14:paraId="21A24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0F41F22A">
            <w:pPr>
              <w:ind w:firstLine="386" w:firstLineChars="138"/>
              <w:jc w:val="center"/>
              <w:rPr>
                <w:rFonts w:hint="eastAsia" w:ascii="宋体" w:hAnsi="宋体" w:cs="宋体"/>
                <w:sz w:val="28"/>
                <w:szCs w:val="28"/>
                <w:highlight w:val="none"/>
              </w:rPr>
            </w:pPr>
          </w:p>
        </w:tc>
        <w:tc>
          <w:tcPr>
            <w:tcW w:w="1757" w:type="dxa"/>
            <w:noWrap w:val="0"/>
            <w:vAlign w:val="center"/>
          </w:tcPr>
          <w:p w14:paraId="364982EE">
            <w:pPr>
              <w:ind w:firstLine="386" w:firstLineChars="138"/>
              <w:jc w:val="center"/>
              <w:rPr>
                <w:rFonts w:hint="eastAsia" w:ascii="宋体" w:hAnsi="宋体" w:cs="宋体"/>
                <w:sz w:val="28"/>
                <w:szCs w:val="28"/>
                <w:highlight w:val="none"/>
              </w:rPr>
            </w:pPr>
          </w:p>
        </w:tc>
        <w:tc>
          <w:tcPr>
            <w:tcW w:w="1695" w:type="dxa"/>
            <w:noWrap w:val="0"/>
            <w:vAlign w:val="center"/>
          </w:tcPr>
          <w:p w14:paraId="20FEFA46">
            <w:pPr>
              <w:ind w:firstLine="386" w:firstLineChars="138"/>
              <w:jc w:val="center"/>
              <w:rPr>
                <w:rFonts w:hint="eastAsia" w:ascii="宋体" w:hAnsi="宋体" w:cs="宋体"/>
                <w:sz w:val="28"/>
                <w:szCs w:val="28"/>
                <w:highlight w:val="none"/>
              </w:rPr>
            </w:pPr>
          </w:p>
        </w:tc>
        <w:tc>
          <w:tcPr>
            <w:tcW w:w="1740" w:type="dxa"/>
            <w:noWrap w:val="0"/>
            <w:vAlign w:val="center"/>
          </w:tcPr>
          <w:p w14:paraId="3D374BB7">
            <w:pPr>
              <w:ind w:firstLine="386" w:firstLineChars="138"/>
              <w:jc w:val="center"/>
              <w:rPr>
                <w:rFonts w:hint="eastAsia" w:ascii="宋体" w:hAnsi="宋体" w:cs="宋体"/>
                <w:sz w:val="28"/>
                <w:szCs w:val="28"/>
                <w:highlight w:val="none"/>
              </w:rPr>
            </w:pPr>
          </w:p>
        </w:tc>
        <w:tc>
          <w:tcPr>
            <w:tcW w:w="1740" w:type="dxa"/>
            <w:noWrap w:val="0"/>
            <w:vAlign w:val="center"/>
          </w:tcPr>
          <w:p w14:paraId="3CD93141">
            <w:pPr>
              <w:ind w:firstLine="386" w:firstLineChars="138"/>
              <w:jc w:val="center"/>
              <w:rPr>
                <w:rFonts w:hint="eastAsia" w:ascii="宋体" w:hAnsi="宋体" w:cs="宋体"/>
                <w:sz w:val="28"/>
                <w:szCs w:val="28"/>
                <w:highlight w:val="none"/>
              </w:rPr>
            </w:pPr>
          </w:p>
        </w:tc>
        <w:tc>
          <w:tcPr>
            <w:tcW w:w="1995" w:type="dxa"/>
            <w:noWrap w:val="0"/>
            <w:vAlign w:val="center"/>
          </w:tcPr>
          <w:p w14:paraId="3441B035">
            <w:pPr>
              <w:ind w:firstLine="386" w:firstLineChars="138"/>
              <w:jc w:val="center"/>
              <w:rPr>
                <w:rFonts w:hint="eastAsia" w:ascii="宋体" w:hAnsi="宋体" w:cs="宋体"/>
                <w:sz w:val="28"/>
                <w:szCs w:val="28"/>
                <w:highlight w:val="none"/>
              </w:rPr>
            </w:pPr>
          </w:p>
        </w:tc>
      </w:tr>
      <w:tr w14:paraId="3F5A0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7EBB6B9C">
            <w:pPr>
              <w:ind w:firstLine="386" w:firstLineChars="138"/>
              <w:jc w:val="center"/>
              <w:rPr>
                <w:rFonts w:hint="eastAsia" w:ascii="宋体" w:hAnsi="宋体" w:cs="宋体"/>
                <w:sz w:val="28"/>
                <w:szCs w:val="28"/>
                <w:highlight w:val="none"/>
              </w:rPr>
            </w:pPr>
          </w:p>
        </w:tc>
        <w:tc>
          <w:tcPr>
            <w:tcW w:w="1757" w:type="dxa"/>
            <w:noWrap w:val="0"/>
            <w:vAlign w:val="center"/>
          </w:tcPr>
          <w:p w14:paraId="51F43C94">
            <w:pPr>
              <w:ind w:firstLine="386" w:firstLineChars="138"/>
              <w:jc w:val="center"/>
              <w:rPr>
                <w:rFonts w:hint="eastAsia" w:ascii="宋体" w:hAnsi="宋体" w:cs="宋体"/>
                <w:sz w:val="28"/>
                <w:szCs w:val="28"/>
                <w:highlight w:val="none"/>
              </w:rPr>
            </w:pPr>
          </w:p>
        </w:tc>
        <w:tc>
          <w:tcPr>
            <w:tcW w:w="1695" w:type="dxa"/>
            <w:noWrap w:val="0"/>
            <w:vAlign w:val="center"/>
          </w:tcPr>
          <w:p w14:paraId="6D2D26AF">
            <w:pPr>
              <w:ind w:firstLine="386" w:firstLineChars="138"/>
              <w:jc w:val="center"/>
              <w:rPr>
                <w:rFonts w:hint="eastAsia" w:ascii="宋体" w:hAnsi="宋体" w:cs="宋体"/>
                <w:sz w:val="28"/>
                <w:szCs w:val="28"/>
                <w:highlight w:val="none"/>
              </w:rPr>
            </w:pPr>
          </w:p>
        </w:tc>
        <w:tc>
          <w:tcPr>
            <w:tcW w:w="1740" w:type="dxa"/>
            <w:noWrap w:val="0"/>
            <w:vAlign w:val="center"/>
          </w:tcPr>
          <w:p w14:paraId="39B36EFF">
            <w:pPr>
              <w:ind w:firstLine="386" w:firstLineChars="138"/>
              <w:jc w:val="center"/>
              <w:rPr>
                <w:rFonts w:hint="eastAsia" w:ascii="宋体" w:hAnsi="宋体" w:cs="宋体"/>
                <w:sz w:val="28"/>
                <w:szCs w:val="28"/>
                <w:highlight w:val="none"/>
              </w:rPr>
            </w:pPr>
          </w:p>
        </w:tc>
        <w:tc>
          <w:tcPr>
            <w:tcW w:w="1740" w:type="dxa"/>
            <w:noWrap w:val="0"/>
            <w:vAlign w:val="center"/>
          </w:tcPr>
          <w:p w14:paraId="2A76CE32">
            <w:pPr>
              <w:ind w:firstLine="386" w:firstLineChars="138"/>
              <w:jc w:val="center"/>
              <w:rPr>
                <w:rFonts w:hint="eastAsia" w:ascii="宋体" w:hAnsi="宋体" w:cs="宋体"/>
                <w:sz w:val="28"/>
                <w:szCs w:val="28"/>
                <w:highlight w:val="none"/>
              </w:rPr>
            </w:pPr>
          </w:p>
        </w:tc>
        <w:tc>
          <w:tcPr>
            <w:tcW w:w="1995" w:type="dxa"/>
            <w:noWrap w:val="0"/>
            <w:vAlign w:val="center"/>
          </w:tcPr>
          <w:p w14:paraId="56953B5B">
            <w:pPr>
              <w:ind w:firstLine="386" w:firstLineChars="138"/>
              <w:jc w:val="center"/>
              <w:rPr>
                <w:rFonts w:hint="eastAsia" w:ascii="宋体" w:hAnsi="宋体" w:cs="宋体"/>
                <w:sz w:val="28"/>
                <w:szCs w:val="28"/>
                <w:highlight w:val="none"/>
              </w:rPr>
            </w:pPr>
          </w:p>
        </w:tc>
      </w:tr>
      <w:tr w14:paraId="32FE6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4DC1B175">
            <w:pPr>
              <w:ind w:firstLine="386" w:firstLineChars="138"/>
              <w:jc w:val="center"/>
              <w:rPr>
                <w:rFonts w:hint="eastAsia" w:ascii="宋体" w:hAnsi="宋体" w:cs="宋体"/>
                <w:sz w:val="28"/>
                <w:szCs w:val="28"/>
                <w:highlight w:val="none"/>
              </w:rPr>
            </w:pPr>
          </w:p>
        </w:tc>
        <w:tc>
          <w:tcPr>
            <w:tcW w:w="1757" w:type="dxa"/>
            <w:noWrap w:val="0"/>
            <w:vAlign w:val="center"/>
          </w:tcPr>
          <w:p w14:paraId="5A537F78">
            <w:pPr>
              <w:ind w:firstLine="386" w:firstLineChars="138"/>
              <w:jc w:val="center"/>
              <w:rPr>
                <w:rFonts w:hint="eastAsia" w:ascii="宋体" w:hAnsi="宋体" w:cs="宋体"/>
                <w:sz w:val="28"/>
                <w:szCs w:val="28"/>
                <w:highlight w:val="none"/>
              </w:rPr>
            </w:pPr>
          </w:p>
        </w:tc>
        <w:tc>
          <w:tcPr>
            <w:tcW w:w="1695" w:type="dxa"/>
            <w:noWrap w:val="0"/>
            <w:vAlign w:val="center"/>
          </w:tcPr>
          <w:p w14:paraId="360840CE">
            <w:pPr>
              <w:ind w:firstLine="386" w:firstLineChars="138"/>
              <w:jc w:val="center"/>
              <w:rPr>
                <w:rFonts w:hint="eastAsia" w:ascii="宋体" w:hAnsi="宋体" w:cs="宋体"/>
                <w:sz w:val="28"/>
                <w:szCs w:val="28"/>
                <w:highlight w:val="none"/>
              </w:rPr>
            </w:pPr>
          </w:p>
        </w:tc>
        <w:tc>
          <w:tcPr>
            <w:tcW w:w="1740" w:type="dxa"/>
            <w:noWrap w:val="0"/>
            <w:vAlign w:val="center"/>
          </w:tcPr>
          <w:p w14:paraId="431F940F">
            <w:pPr>
              <w:ind w:firstLine="386" w:firstLineChars="138"/>
              <w:jc w:val="center"/>
              <w:rPr>
                <w:rFonts w:hint="eastAsia" w:ascii="宋体" w:hAnsi="宋体" w:cs="宋体"/>
                <w:sz w:val="28"/>
                <w:szCs w:val="28"/>
                <w:highlight w:val="none"/>
              </w:rPr>
            </w:pPr>
          </w:p>
        </w:tc>
        <w:tc>
          <w:tcPr>
            <w:tcW w:w="1740" w:type="dxa"/>
            <w:noWrap w:val="0"/>
            <w:vAlign w:val="center"/>
          </w:tcPr>
          <w:p w14:paraId="32A4BE0A">
            <w:pPr>
              <w:ind w:firstLine="386" w:firstLineChars="138"/>
              <w:jc w:val="center"/>
              <w:rPr>
                <w:rFonts w:hint="eastAsia" w:ascii="宋体" w:hAnsi="宋体" w:cs="宋体"/>
                <w:sz w:val="28"/>
                <w:szCs w:val="28"/>
                <w:highlight w:val="none"/>
              </w:rPr>
            </w:pPr>
          </w:p>
        </w:tc>
        <w:tc>
          <w:tcPr>
            <w:tcW w:w="1995" w:type="dxa"/>
            <w:noWrap w:val="0"/>
            <w:vAlign w:val="center"/>
          </w:tcPr>
          <w:p w14:paraId="48BE9EC8">
            <w:pPr>
              <w:ind w:firstLine="386" w:firstLineChars="138"/>
              <w:jc w:val="center"/>
              <w:rPr>
                <w:rFonts w:hint="eastAsia" w:ascii="宋体" w:hAnsi="宋体" w:cs="宋体"/>
                <w:sz w:val="28"/>
                <w:szCs w:val="28"/>
                <w:highlight w:val="none"/>
              </w:rPr>
            </w:pPr>
          </w:p>
        </w:tc>
      </w:tr>
      <w:tr w14:paraId="3C8FB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187F73BD">
            <w:pPr>
              <w:ind w:firstLine="386" w:firstLineChars="138"/>
              <w:jc w:val="center"/>
              <w:rPr>
                <w:rFonts w:hint="eastAsia" w:ascii="宋体" w:hAnsi="宋体" w:cs="宋体"/>
                <w:sz w:val="28"/>
                <w:szCs w:val="28"/>
                <w:highlight w:val="none"/>
              </w:rPr>
            </w:pPr>
          </w:p>
        </w:tc>
        <w:tc>
          <w:tcPr>
            <w:tcW w:w="1757" w:type="dxa"/>
            <w:noWrap w:val="0"/>
            <w:vAlign w:val="center"/>
          </w:tcPr>
          <w:p w14:paraId="768B938A">
            <w:pPr>
              <w:ind w:firstLine="386" w:firstLineChars="138"/>
              <w:jc w:val="center"/>
              <w:rPr>
                <w:rFonts w:hint="eastAsia" w:ascii="宋体" w:hAnsi="宋体" w:cs="宋体"/>
                <w:sz w:val="28"/>
                <w:szCs w:val="28"/>
                <w:highlight w:val="none"/>
              </w:rPr>
            </w:pPr>
          </w:p>
        </w:tc>
        <w:tc>
          <w:tcPr>
            <w:tcW w:w="1695" w:type="dxa"/>
            <w:noWrap w:val="0"/>
            <w:vAlign w:val="center"/>
          </w:tcPr>
          <w:p w14:paraId="4C85597A">
            <w:pPr>
              <w:ind w:firstLine="386" w:firstLineChars="138"/>
              <w:jc w:val="center"/>
              <w:rPr>
                <w:rFonts w:hint="eastAsia" w:ascii="宋体" w:hAnsi="宋体" w:cs="宋体"/>
                <w:sz w:val="28"/>
                <w:szCs w:val="28"/>
                <w:highlight w:val="none"/>
              </w:rPr>
            </w:pPr>
          </w:p>
        </w:tc>
        <w:tc>
          <w:tcPr>
            <w:tcW w:w="1740" w:type="dxa"/>
            <w:noWrap w:val="0"/>
            <w:vAlign w:val="center"/>
          </w:tcPr>
          <w:p w14:paraId="232AA10B">
            <w:pPr>
              <w:ind w:firstLine="386" w:firstLineChars="138"/>
              <w:jc w:val="center"/>
              <w:rPr>
                <w:rFonts w:hint="eastAsia" w:ascii="宋体" w:hAnsi="宋体" w:cs="宋体"/>
                <w:sz w:val="28"/>
                <w:szCs w:val="28"/>
                <w:highlight w:val="none"/>
              </w:rPr>
            </w:pPr>
          </w:p>
        </w:tc>
        <w:tc>
          <w:tcPr>
            <w:tcW w:w="1740" w:type="dxa"/>
            <w:noWrap w:val="0"/>
            <w:vAlign w:val="center"/>
          </w:tcPr>
          <w:p w14:paraId="00266C07">
            <w:pPr>
              <w:ind w:firstLine="386" w:firstLineChars="138"/>
              <w:jc w:val="center"/>
              <w:rPr>
                <w:rFonts w:hint="eastAsia" w:ascii="宋体" w:hAnsi="宋体" w:cs="宋体"/>
                <w:sz w:val="28"/>
                <w:szCs w:val="28"/>
                <w:highlight w:val="none"/>
              </w:rPr>
            </w:pPr>
          </w:p>
        </w:tc>
        <w:tc>
          <w:tcPr>
            <w:tcW w:w="1995" w:type="dxa"/>
            <w:noWrap w:val="0"/>
            <w:vAlign w:val="center"/>
          </w:tcPr>
          <w:p w14:paraId="6BFC50C0">
            <w:pPr>
              <w:ind w:firstLine="386" w:firstLineChars="138"/>
              <w:jc w:val="center"/>
              <w:rPr>
                <w:rFonts w:hint="eastAsia" w:ascii="宋体" w:hAnsi="宋体" w:cs="宋体"/>
                <w:sz w:val="28"/>
                <w:szCs w:val="28"/>
                <w:highlight w:val="none"/>
              </w:rPr>
            </w:pPr>
          </w:p>
        </w:tc>
      </w:tr>
      <w:tr w14:paraId="4F84F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5287D03B">
            <w:pPr>
              <w:ind w:firstLine="386" w:firstLineChars="138"/>
              <w:jc w:val="center"/>
              <w:rPr>
                <w:rFonts w:hint="eastAsia" w:ascii="宋体" w:hAnsi="宋体" w:cs="宋体"/>
                <w:sz w:val="28"/>
                <w:szCs w:val="28"/>
                <w:highlight w:val="none"/>
              </w:rPr>
            </w:pPr>
          </w:p>
        </w:tc>
        <w:tc>
          <w:tcPr>
            <w:tcW w:w="1757" w:type="dxa"/>
            <w:noWrap w:val="0"/>
            <w:vAlign w:val="center"/>
          </w:tcPr>
          <w:p w14:paraId="60270C44">
            <w:pPr>
              <w:ind w:firstLine="386" w:firstLineChars="138"/>
              <w:jc w:val="center"/>
              <w:rPr>
                <w:rFonts w:hint="eastAsia" w:ascii="宋体" w:hAnsi="宋体" w:cs="宋体"/>
                <w:sz w:val="28"/>
                <w:szCs w:val="28"/>
                <w:highlight w:val="none"/>
              </w:rPr>
            </w:pPr>
          </w:p>
        </w:tc>
        <w:tc>
          <w:tcPr>
            <w:tcW w:w="1695" w:type="dxa"/>
            <w:noWrap w:val="0"/>
            <w:vAlign w:val="center"/>
          </w:tcPr>
          <w:p w14:paraId="228B49C5">
            <w:pPr>
              <w:ind w:firstLine="386" w:firstLineChars="138"/>
              <w:jc w:val="center"/>
              <w:rPr>
                <w:rFonts w:hint="eastAsia" w:ascii="宋体" w:hAnsi="宋体" w:cs="宋体"/>
                <w:sz w:val="28"/>
                <w:szCs w:val="28"/>
                <w:highlight w:val="none"/>
              </w:rPr>
            </w:pPr>
          </w:p>
        </w:tc>
        <w:tc>
          <w:tcPr>
            <w:tcW w:w="1740" w:type="dxa"/>
            <w:noWrap w:val="0"/>
            <w:vAlign w:val="center"/>
          </w:tcPr>
          <w:p w14:paraId="01C720B5">
            <w:pPr>
              <w:ind w:firstLine="386" w:firstLineChars="138"/>
              <w:jc w:val="center"/>
              <w:rPr>
                <w:rFonts w:hint="eastAsia" w:ascii="宋体" w:hAnsi="宋体" w:cs="宋体"/>
                <w:sz w:val="28"/>
                <w:szCs w:val="28"/>
                <w:highlight w:val="none"/>
              </w:rPr>
            </w:pPr>
          </w:p>
        </w:tc>
        <w:tc>
          <w:tcPr>
            <w:tcW w:w="1740" w:type="dxa"/>
            <w:noWrap w:val="0"/>
            <w:vAlign w:val="center"/>
          </w:tcPr>
          <w:p w14:paraId="51CA096C">
            <w:pPr>
              <w:ind w:firstLine="386" w:firstLineChars="138"/>
              <w:jc w:val="center"/>
              <w:rPr>
                <w:rFonts w:hint="eastAsia" w:ascii="宋体" w:hAnsi="宋体" w:cs="宋体"/>
                <w:sz w:val="28"/>
                <w:szCs w:val="28"/>
                <w:highlight w:val="none"/>
              </w:rPr>
            </w:pPr>
          </w:p>
        </w:tc>
        <w:tc>
          <w:tcPr>
            <w:tcW w:w="1995" w:type="dxa"/>
            <w:noWrap w:val="0"/>
            <w:vAlign w:val="center"/>
          </w:tcPr>
          <w:p w14:paraId="32245610">
            <w:pPr>
              <w:ind w:firstLine="386" w:firstLineChars="138"/>
              <w:jc w:val="center"/>
              <w:rPr>
                <w:rFonts w:hint="eastAsia" w:ascii="宋体" w:hAnsi="宋体" w:cs="宋体"/>
                <w:sz w:val="28"/>
                <w:szCs w:val="28"/>
                <w:highlight w:val="none"/>
              </w:rPr>
            </w:pPr>
          </w:p>
        </w:tc>
      </w:tr>
      <w:tr w14:paraId="75FF7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1F5F8000">
            <w:pPr>
              <w:ind w:firstLine="386" w:firstLineChars="138"/>
              <w:jc w:val="center"/>
              <w:rPr>
                <w:rFonts w:hint="eastAsia" w:ascii="宋体" w:hAnsi="宋体" w:cs="宋体"/>
                <w:sz w:val="28"/>
                <w:szCs w:val="28"/>
                <w:highlight w:val="none"/>
              </w:rPr>
            </w:pPr>
          </w:p>
        </w:tc>
        <w:tc>
          <w:tcPr>
            <w:tcW w:w="1757" w:type="dxa"/>
            <w:noWrap w:val="0"/>
            <w:vAlign w:val="center"/>
          </w:tcPr>
          <w:p w14:paraId="251A79D9">
            <w:pPr>
              <w:ind w:firstLine="386" w:firstLineChars="138"/>
              <w:jc w:val="center"/>
              <w:rPr>
                <w:rFonts w:hint="eastAsia" w:ascii="宋体" w:hAnsi="宋体" w:cs="宋体"/>
                <w:sz w:val="28"/>
                <w:szCs w:val="28"/>
                <w:highlight w:val="none"/>
              </w:rPr>
            </w:pPr>
          </w:p>
        </w:tc>
        <w:tc>
          <w:tcPr>
            <w:tcW w:w="1695" w:type="dxa"/>
            <w:noWrap w:val="0"/>
            <w:vAlign w:val="center"/>
          </w:tcPr>
          <w:p w14:paraId="499D7EE8">
            <w:pPr>
              <w:ind w:firstLine="386" w:firstLineChars="138"/>
              <w:jc w:val="center"/>
              <w:rPr>
                <w:rFonts w:hint="eastAsia" w:ascii="宋体" w:hAnsi="宋体" w:cs="宋体"/>
                <w:sz w:val="28"/>
                <w:szCs w:val="28"/>
                <w:highlight w:val="none"/>
              </w:rPr>
            </w:pPr>
          </w:p>
        </w:tc>
        <w:tc>
          <w:tcPr>
            <w:tcW w:w="1740" w:type="dxa"/>
            <w:noWrap w:val="0"/>
            <w:vAlign w:val="center"/>
          </w:tcPr>
          <w:p w14:paraId="7CA111CE">
            <w:pPr>
              <w:ind w:firstLine="386" w:firstLineChars="138"/>
              <w:jc w:val="center"/>
              <w:rPr>
                <w:rFonts w:hint="eastAsia" w:ascii="宋体" w:hAnsi="宋体" w:cs="宋体"/>
                <w:sz w:val="28"/>
                <w:szCs w:val="28"/>
                <w:highlight w:val="none"/>
              </w:rPr>
            </w:pPr>
          </w:p>
        </w:tc>
        <w:tc>
          <w:tcPr>
            <w:tcW w:w="1740" w:type="dxa"/>
            <w:noWrap w:val="0"/>
            <w:vAlign w:val="center"/>
          </w:tcPr>
          <w:p w14:paraId="6EB0ECE2">
            <w:pPr>
              <w:ind w:firstLine="386" w:firstLineChars="138"/>
              <w:jc w:val="center"/>
              <w:rPr>
                <w:rFonts w:hint="eastAsia" w:ascii="宋体" w:hAnsi="宋体" w:cs="宋体"/>
                <w:sz w:val="28"/>
                <w:szCs w:val="28"/>
                <w:highlight w:val="none"/>
              </w:rPr>
            </w:pPr>
          </w:p>
        </w:tc>
        <w:tc>
          <w:tcPr>
            <w:tcW w:w="1995" w:type="dxa"/>
            <w:noWrap w:val="0"/>
            <w:vAlign w:val="center"/>
          </w:tcPr>
          <w:p w14:paraId="58085CC5">
            <w:pPr>
              <w:ind w:firstLine="386" w:firstLineChars="138"/>
              <w:jc w:val="center"/>
              <w:rPr>
                <w:rFonts w:hint="eastAsia" w:ascii="宋体" w:hAnsi="宋体" w:cs="宋体"/>
                <w:sz w:val="28"/>
                <w:szCs w:val="28"/>
                <w:highlight w:val="none"/>
              </w:rPr>
            </w:pPr>
          </w:p>
        </w:tc>
      </w:tr>
      <w:tr w14:paraId="5C44E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883" w:type="dxa"/>
            <w:noWrap w:val="0"/>
            <w:vAlign w:val="center"/>
          </w:tcPr>
          <w:p w14:paraId="3AB77259">
            <w:pPr>
              <w:ind w:firstLine="386" w:firstLineChars="138"/>
              <w:jc w:val="center"/>
              <w:rPr>
                <w:rFonts w:hint="eastAsia" w:ascii="宋体" w:hAnsi="宋体" w:cs="宋体"/>
                <w:sz w:val="28"/>
                <w:szCs w:val="28"/>
                <w:highlight w:val="none"/>
              </w:rPr>
            </w:pPr>
          </w:p>
        </w:tc>
        <w:tc>
          <w:tcPr>
            <w:tcW w:w="1757" w:type="dxa"/>
            <w:noWrap w:val="0"/>
            <w:vAlign w:val="center"/>
          </w:tcPr>
          <w:p w14:paraId="59B6AD10">
            <w:pPr>
              <w:ind w:firstLine="386" w:firstLineChars="138"/>
              <w:jc w:val="center"/>
              <w:rPr>
                <w:rFonts w:hint="eastAsia" w:ascii="宋体" w:hAnsi="宋体" w:cs="宋体"/>
                <w:sz w:val="28"/>
                <w:szCs w:val="28"/>
                <w:highlight w:val="none"/>
              </w:rPr>
            </w:pPr>
          </w:p>
        </w:tc>
        <w:tc>
          <w:tcPr>
            <w:tcW w:w="1695" w:type="dxa"/>
            <w:noWrap w:val="0"/>
            <w:vAlign w:val="center"/>
          </w:tcPr>
          <w:p w14:paraId="561B300C">
            <w:pPr>
              <w:ind w:firstLine="386" w:firstLineChars="138"/>
              <w:jc w:val="center"/>
              <w:rPr>
                <w:rFonts w:hint="eastAsia" w:ascii="宋体" w:hAnsi="宋体" w:cs="宋体"/>
                <w:sz w:val="28"/>
                <w:szCs w:val="28"/>
                <w:highlight w:val="none"/>
              </w:rPr>
            </w:pPr>
          </w:p>
        </w:tc>
        <w:tc>
          <w:tcPr>
            <w:tcW w:w="1740" w:type="dxa"/>
            <w:noWrap w:val="0"/>
            <w:vAlign w:val="center"/>
          </w:tcPr>
          <w:p w14:paraId="3CCF89CE">
            <w:pPr>
              <w:ind w:firstLine="386" w:firstLineChars="138"/>
              <w:jc w:val="center"/>
              <w:rPr>
                <w:rFonts w:hint="eastAsia" w:ascii="宋体" w:hAnsi="宋体" w:cs="宋体"/>
                <w:sz w:val="28"/>
                <w:szCs w:val="28"/>
                <w:highlight w:val="none"/>
              </w:rPr>
            </w:pPr>
          </w:p>
        </w:tc>
        <w:tc>
          <w:tcPr>
            <w:tcW w:w="1740" w:type="dxa"/>
            <w:noWrap w:val="0"/>
            <w:vAlign w:val="center"/>
          </w:tcPr>
          <w:p w14:paraId="74C3EEAA">
            <w:pPr>
              <w:ind w:firstLine="386" w:firstLineChars="138"/>
              <w:jc w:val="center"/>
              <w:rPr>
                <w:rFonts w:hint="eastAsia" w:ascii="宋体" w:hAnsi="宋体" w:cs="宋体"/>
                <w:sz w:val="28"/>
                <w:szCs w:val="28"/>
                <w:highlight w:val="none"/>
              </w:rPr>
            </w:pPr>
          </w:p>
        </w:tc>
        <w:tc>
          <w:tcPr>
            <w:tcW w:w="1995" w:type="dxa"/>
            <w:noWrap w:val="0"/>
            <w:vAlign w:val="center"/>
          </w:tcPr>
          <w:p w14:paraId="29359F44">
            <w:pPr>
              <w:ind w:firstLine="386" w:firstLineChars="138"/>
              <w:jc w:val="center"/>
              <w:rPr>
                <w:rFonts w:hint="eastAsia" w:ascii="宋体" w:hAnsi="宋体" w:cs="宋体"/>
                <w:sz w:val="28"/>
                <w:szCs w:val="28"/>
                <w:highlight w:val="none"/>
              </w:rPr>
            </w:pPr>
          </w:p>
        </w:tc>
      </w:tr>
    </w:tbl>
    <w:p w14:paraId="6E54AF6A">
      <w:pPr>
        <w:snapToGrid w:val="0"/>
        <w:spacing w:line="360" w:lineRule="auto"/>
        <w:ind w:firstLine="241" w:firstLineChars="100"/>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注：</w:t>
      </w:r>
      <w:r>
        <w:rPr>
          <w:rFonts w:hint="eastAsia" w:ascii="仿宋" w:hAnsi="仿宋" w:eastAsia="仿宋" w:cs="仿宋"/>
          <w:b/>
          <w:bCs/>
          <w:sz w:val="24"/>
          <w:szCs w:val="24"/>
          <w:highlight w:val="none"/>
        </w:rPr>
        <w:t>附评标办法要求的相关证明材料扫描件，否则不得分。</w:t>
      </w:r>
    </w:p>
    <w:p w14:paraId="34BAFE20">
      <w:pPr>
        <w:pStyle w:val="36"/>
        <w:rPr>
          <w:rFonts w:hint="eastAsia" w:hAnsi="宋体" w:cs="宋体"/>
          <w:sz w:val="28"/>
          <w:szCs w:val="28"/>
          <w:highlight w:val="none"/>
        </w:rPr>
      </w:pPr>
    </w:p>
    <w:p w14:paraId="34077D50">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1B6B430E">
      <w:pPr>
        <w:snapToGrid w:val="0"/>
        <w:spacing w:line="360" w:lineRule="auto"/>
        <w:ind w:firstLine="240" w:firstLineChars="100"/>
        <w:rPr>
          <w:rFonts w:hint="eastAsia" w:ascii="仿宋" w:hAnsi="仿宋" w:eastAsia="仿宋" w:cs="仿宋"/>
          <w:sz w:val="24"/>
          <w:szCs w:val="24"/>
          <w:highlight w:val="none"/>
          <w:lang w:val="zh-CN"/>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0B4D345C">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27779CF8">
      <w:pPr>
        <w:pStyle w:val="23"/>
        <w:spacing w:line="520" w:lineRule="exact"/>
        <w:jc w:val="center"/>
        <w:rPr>
          <w:rFonts w:hint="eastAsia" w:ascii="仿宋" w:hAnsi="仿宋" w:eastAsia="仿宋" w:cs="仿宋"/>
          <w:b/>
          <w:bCs/>
          <w:sz w:val="30"/>
          <w:szCs w:val="30"/>
          <w:highlight w:val="none"/>
        </w:rPr>
      </w:pPr>
    </w:p>
    <w:p w14:paraId="5E55B88D">
      <w:pPr>
        <w:pStyle w:val="23"/>
        <w:spacing w:line="520" w:lineRule="exact"/>
        <w:jc w:val="center"/>
        <w:rPr>
          <w:rFonts w:ascii="仿宋" w:hAnsi="仿宋" w:eastAsia="仿宋" w:cs="仿宋"/>
          <w:b/>
          <w:bCs/>
          <w:sz w:val="30"/>
          <w:szCs w:val="30"/>
          <w:highlight w:val="none"/>
        </w:rPr>
      </w:pPr>
      <w:r>
        <w:rPr>
          <w:rFonts w:hint="eastAsia" w:ascii="仿宋" w:hAnsi="仿宋" w:eastAsia="仿宋" w:cs="仿宋"/>
          <w:b/>
          <w:bCs/>
          <w:sz w:val="30"/>
          <w:szCs w:val="30"/>
          <w:highlight w:val="none"/>
        </w:rPr>
        <w:br w:type="page"/>
      </w:r>
      <w:r>
        <w:rPr>
          <w:rFonts w:hint="eastAsia" w:ascii="仿宋" w:hAnsi="仿宋" w:eastAsia="仿宋" w:cs="仿宋"/>
          <w:b/>
          <w:bCs/>
          <w:sz w:val="30"/>
          <w:szCs w:val="30"/>
          <w:highlight w:val="none"/>
        </w:rPr>
        <w:t>投标偏离表</w:t>
      </w:r>
    </w:p>
    <w:p w14:paraId="3BA12B78">
      <w:pPr>
        <w:spacing w:line="360" w:lineRule="exact"/>
        <w:jc w:val="center"/>
        <w:rPr>
          <w:rFonts w:ascii="仿宋" w:hAnsi="仿宋" w:eastAsia="仿宋" w:cs="仿宋"/>
          <w:bCs/>
          <w:sz w:val="24"/>
          <w:szCs w:val="24"/>
          <w:highlight w:val="none"/>
        </w:rPr>
      </w:pPr>
      <w:r>
        <w:rPr>
          <w:rFonts w:hint="eastAsia" w:ascii="仿宋" w:hAnsi="仿宋" w:eastAsia="仿宋" w:cs="仿宋"/>
          <w:bCs/>
          <w:sz w:val="24"/>
          <w:szCs w:val="24"/>
          <w:highlight w:val="none"/>
        </w:rPr>
        <w:t>（包括技术要求和商务条款偏离）</w:t>
      </w:r>
    </w:p>
    <w:tbl>
      <w:tblPr>
        <w:tblStyle w:val="41"/>
        <w:tblW w:w="97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236"/>
        <w:gridCol w:w="2657"/>
        <w:gridCol w:w="1417"/>
        <w:gridCol w:w="2694"/>
        <w:gridCol w:w="1293"/>
      </w:tblGrid>
      <w:tr w14:paraId="6C14F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68" w:type="dxa"/>
            <w:vMerge w:val="restart"/>
            <w:noWrap w:val="0"/>
            <w:vAlign w:val="top"/>
          </w:tcPr>
          <w:p w14:paraId="4D00351C">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序号</w:t>
            </w:r>
          </w:p>
        </w:tc>
        <w:tc>
          <w:tcPr>
            <w:tcW w:w="3893" w:type="dxa"/>
            <w:gridSpan w:val="2"/>
            <w:noWrap w:val="0"/>
            <w:vAlign w:val="top"/>
          </w:tcPr>
          <w:p w14:paraId="33655E48">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招标文件条款</w:t>
            </w:r>
          </w:p>
        </w:tc>
        <w:tc>
          <w:tcPr>
            <w:tcW w:w="4111" w:type="dxa"/>
            <w:gridSpan w:val="2"/>
            <w:noWrap w:val="0"/>
            <w:vAlign w:val="top"/>
          </w:tcPr>
          <w:p w14:paraId="75EB41B2">
            <w:pPr>
              <w:pStyle w:val="23"/>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       投标文件条款</w:t>
            </w:r>
          </w:p>
        </w:tc>
        <w:tc>
          <w:tcPr>
            <w:tcW w:w="1293" w:type="dxa"/>
            <w:vMerge w:val="restart"/>
            <w:noWrap w:val="0"/>
            <w:vAlign w:val="center"/>
          </w:tcPr>
          <w:p w14:paraId="3DAE67E8">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偏离情况</w:t>
            </w:r>
          </w:p>
        </w:tc>
      </w:tr>
      <w:tr w14:paraId="633AC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jc w:val="center"/>
        </w:trPr>
        <w:tc>
          <w:tcPr>
            <w:tcW w:w="468" w:type="dxa"/>
            <w:vMerge w:val="continue"/>
            <w:noWrap w:val="0"/>
            <w:vAlign w:val="top"/>
          </w:tcPr>
          <w:p w14:paraId="4A5FF920">
            <w:pPr>
              <w:pStyle w:val="23"/>
              <w:spacing w:line="400" w:lineRule="exact"/>
              <w:rPr>
                <w:rFonts w:ascii="仿宋" w:hAnsi="仿宋" w:eastAsia="仿宋" w:cs="仿宋"/>
                <w:sz w:val="24"/>
                <w:szCs w:val="24"/>
                <w:highlight w:val="none"/>
              </w:rPr>
            </w:pPr>
          </w:p>
        </w:tc>
        <w:tc>
          <w:tcPr>
            <w:tcW w:w="1236" w:type="dxa"/>
            <w:noWrap w:val="0"/>
            <w:vAlign w:val="top"/>
          </w:tcPr>
          <w:p w14:paraId="3910EADF">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57" w:type="dxa"/>
            <w:noWrap w:val="0"/>
            <w:vAlign w:val="top"/>
          </w:tcPr>
          <w:p w14:paraId="650E6504">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招标文件的内容</w:t>
            </w:r>
          </w:p>
        </w:tc>
        <w:tc>
          <w:tcPr>
            <w:tcW w:w="1417" w:type="dxa"/>
            <w:noWrap w:val="0"/>
            <w:vAlign w:val="top"/>
          </w:tcPr>
          <w:p w14:paraId="50CABC65">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条款号</w:t>
            </w:r>
          </w:p>
        </w:tc>
        <w:tc>
          <w:tcPr>
            <w:tcW w:w="2694" w:type="dxa"/>
            <w:noWrap w:val="0"/>
            <w:vAlign w:val="top"/>
          </w:tcPr>
          <w:p w14:paraId="13DD0783">
            <w:pPr>
              <w:pStyle w:val="23"/>
              <w:spacing w:line="400" w:lineRule="exact"/>
              <w:jc w:val="center"/>
              <w:rPr>
                <w:rFonts w:ascii="仿宋" w:hAnsi="仿宋" w:eastAsia="仿宋" w:cs="仿宋"/>
                <w:sz w:val="24"/>
                <w:szCs w:val="24"/>
                <w:highlight w:val="none"/>
              </w:rPr>
            </w:pPr>
            <w:r>
              <w:rPr>
                <w:rFonts w:hint="eastAsia" w:ascii="仿宋" w:hAnsi="仿宋" w:eastAsia="仿宋" w:cs="仿宋"/>
                <w:sz w:val="24"/>
                <w:szCs w:val="24"/>
                <w:highlight w:val="none"/>
              </w:rPr>
              <w:t>投标文件偏离内容</w:t>
            </w:r>
          </w:p>
        </w:tc>
        <w:tc>
          <w:tcPr>
            <w:tcW w:w="1293" w:type="dxa"/>
            <w:vMerge w:val="continue"/>
            <w:noWrap w:val="0"/>
            <w:vAlign w:val="top"/>
          </w:tcPr>
          <w:p w14:paraId="62B39CC1">
            <w:pPr>
              <w:pStyle w:val="23"/>
              <w:spacing w:line="400" w:lineRule="exact"/>
              <w:jc w:val="center"/>
              <w:rPr>
                <w:rFonts w:ascii="仿宋" w:hAnsi="仿宋" w:eastAsia="仿宋" w:cs="仿宋"/>
                <w:sz w:val="24"/>
                <w:szCs w:val="24"/>
                <w:highlight w:val="none"/>
              </w:rPr>
            </w:pPr>
          </w:p>
        </w:tc>
      </w:tr>
      <w:tr w14:paraId="3B146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5424EB38">
            <w:pPr>
              <w:pStyle w:val="23"/>
              <w:spacing w:line="400" w:lineRule="exact"/>
              <w:rPr>
                <w:rFonts w:ascii="仿宋" w:hAnsi="仿宋" w:eastAsia="仿宋" w:cs="仿宋"/>
                <w:sz w:val="24"/>
                <w:szCs w:val="24"/>
                <w:highlight w:val="none"/>
              </w:rPr>
            </w:pPr>
          </w:p>
        </w:tc>
        <w:tc>
          <w:tcPr>
            <w:tcW w:w="1236" w:type="dxa"/>
            <w:noWrap w:val="0"/>
            <w:vAlign w:val="top"/>
          </w:tcPr>
          <w:p w14:paraId="743A12AA">
            <w:pPr>
              <w:pStyle w:val="23"/>
              <w:spacing w:line="400" w:lineRule="exact"/>
              <w:rPr>
                <w:rFonts w:ascii="仿宋" w:hAnsi="仿宋" w:eastAsia="仿宋" w:cs="仿宋"/>
                <w:sz w:val="24"/>
                <w:szCs w:val="24"/>
                <w:highlight w:val="none"/>
              </w:rPr>
            </w:pPr>
          </w:p>
        </w:tc>
        <w:tc>
          <w:tcPr>
            <w:tcW w:w="2657" w:type="dxa"/>
            <w:noWrap w:val="0"/>
            <w:vAlign w:val="top"/>
          </w:tcPr>
          <w:p w14:paraId="401D1CEB">
            <w:pPr>
              <w:pStyle w:val="23"/>
              <w:spacing w:line="400" w:lineRule="exact"/>
              <w:rPr>
                <w:rFonts w:ascii="仿宋" w:hAnsi="仿宋" w:eastAsia="仿宋" w:cs="仿宋"/>
                <w:sz w:val="24"/>
                <w:szCs w:val="24"/>
                <w:highlight w:val="none"/>
              </w:rPr>
            </w:pPr>
          </w:p>
        </w:tc>
        <w:tc>
          <w:tcPr>
            <w:tcW w:w="1417" w:type="dxa"/>
            <w:noWrap w:val="0"/>
            <w:vAlign w:val="top"/>
          </w:tcPr>
          <w:p w14:paraId="5AD91662">
            <w:pPr>
              <w:pStyle w:val="23"/>
              <w:spacing w:line="400" w:lineRule="exact"/>
              <w:rPr>
                <w:rFonts w:ascii="仿宋" w:hAnsi="仿宋" w:eastAsia="仿宋" w:cs="仿宋"/>
                <w:sz w:val="24"/>
                <w:szCs w:val="24"/>
                <w:highlight w:val="none"/>
              </w:rPr>
            </w:pPr>
          </w:p>
        </w:tc>
        <w:tc>
          <w:tcPr>
            <w:tcW w:w="2694" w:type="dxa"/>
            <w:noWrap w:val="0"/>
            <w:vAlign w:val="top"/>
          </w:tcPr>
          <w:p w14:paraId="0A377E00">
            <w:pPr>
              <w:pStyle w:val="23"/>
              <w:spacing w:line="400" w:lineRule="exact"/>
              <w:rPr>
                <w:rFonts w:ascii="仿宋" w:hAnsi="仿宋" w:eastAsia="仿宋" w:cs="仿宋"/>
                <w:sz w:val="24"/>
                <w:szCs w:val="24"/>
                <w:highlight w:val="none"/>
              </w:rPr>
            </w:pPr>
          </w:p>
        </w:tc>
        <w:tc>
          <w:tcPr>
            <w:tcW w:w="1293" w:type="dxa"/>
            <w:noWrap w:val="0"/>
            <w:vAlign w:val="top"/>
          </w:tcPr>
          <w:p w14:paraId="0289DA8A">
            <w:pPr>
              <w:pStyle w:val="23"/>
              <w:spacing w:line="400" w:lineRule="exact"/>
              <w:rPr>
                <w:rFonts w:ascii="仿宋" w:hAnsi="仿宋" w:eastAsia="仿宋" w:cs="仿宋"/>
                <w:sz w:val="24"/>
                <w:szCs w:val="24"/>
                <w:highlight w:val="none"/>
              </w:rPr>
            </w:pPr>
          </w:p>
        </w:tc>
      </w:tr>
      <w:tr w14:paraId="4C109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1E89D6B9">
            <w:pPr>
              <w:pStyle w:val="23"/>
              <w:spacing w:line="400" w:lineRule="exact"/>
              <w:rPr>
                <w:rFonts w:ascii="仿宋" w:hAnsi="仿宋" w:eastAsia="仿宋" w:cs="仿宋"/>
                <w:sz w:val="24"/>
                <w:szCs w:val="24"/>
                <w:highlight w:val="none"/>
              </w:rPr>
            </w:pPr>
          </w:p>
        </w:tc>
        <w:tc>
          <w:tcPr>
            <w:tcW w:w="1236" w:type="dxa"/>
            <w:noWrap w:val="0"/>
            <w:vAlign w:val="top"/>
          </w:tcPr>
          <w:p w14:paraId="68E65E5B">
            <w:pPr>
              <w:pStyle w:val="23"/>
              <w:spacing w:line="400" w:lineRule="exact"/>
              <w:rPr>
                <w:rFonts w:ascii="仿宋" w:hAnsi="仿宋" w:eastAsia="仿宋" w:cs="仿宋"/>
                <w:sz w:val="24"/>
                <w:szCs w:val="24"/>
                <w:highlight w:val="none"/>
              </w:rPr>
            </w:pPr>
          </w:p>
        </w:tc>
        <w:tc>
          <w:tcPr>
            <w:tcW w:w="2657" w:type="dxa"/>
            <w:noWrap w:val="0"/>
            <w:vAlign w:val="top"/>
          </w:tcPr>
          <w:p w14:paraId="32392FB0">
            <w:pPr>
              <w:pStyle w:val="23"/>
              <w:spacing w:line="400" w:lineRule="exact"/>
              <w:rPr>
                <w:rFonts w:ascii="仿宋" w:hAnsi="仿宋" w:eastAsia="仿宋" w:cs="仿宋"/>
                <w:sz w:val="24"/>
                <w:szCs w:val="24"/>
                <w:highlight w:val="none"/>
              </w:rPr>
            </w:pPr>
          </w:p>
        </w:tc>
        <w:tc>
          <w:tcPr>
            <w:tcW w:w="1417" w:type="dxa"/>
            <w:noWrap w:val="0"/>
            <w:vAlign w:val="top"/>
          </w:tcPr>
          <w:p w14:paraId="6EAA4430">
            <w:pPr>
              <w:pStyle w:val="23"/>
              <w:spacing w:line="400" w:lineRule="exact"/>
              <w:rPr>
                <w:rFonts w:ascii="仿宋" w:hAnsi="仿宋" w:eastAsia="仿宋" w:cs="仿宋"/>
                <w:sz w:val="24"/>
                <w:szCs w:val="24"/>
                <w:highlight w:val="none"/>
              </w:rPr>
            </w:pPr>
          </w:p>
        </w:tc>
        <w:tc>
          <w:tcPr>
            <w:tcW w:w="2694" w:type="dxa"/>
            <w:noWrap w:val="0"/>
            <w:vAlign w:val="top"/>
          </w:tcPr>
          <w:p w14:paraId="7851E872">
            <w:pPr>
              <w:pStyle w:val="23"/>
              <w:spacing w:line="400" w:lineRule="exact"/>
              <w:rPr>
                <w:rFonts w:ascii="仿宋" w:hAnsi="仿宋" w:eastAsia="仿宋" w:cs="仿宋"/>
                <w:sz w:val="24"/>
                <w:szCs w:val="24"/>
                <w:highlight w:val="none"/>
              </w:rPr>
            </w:pPr>
          </w:p>
        </w:tc>
        <w:tc>
          <w:tcPr>
            <w:tcW w:w="1293" w:type="dxa"/>
            <w:noWrap w:val="0"/>
            <w:vAlign w:val="top"/>
          </w:tcPr>
          <w:p w14:paraId="4D75E672">
            <w:pPr>
              <w:pStyle w:val="23"/>
              <w:spacing w:line="400" w:lineRule="exact"/>
              <w:rPr>
                <w:rFonts w:ascii="仿宋" w:hAnsi="仿宋" w:eastAsia="仿宋" w:cs="仿宋"/>
                <w:sz w:val="24"/>
                <w:szCs w:val="24"/>
                <w:highlight w:val="none"/>
              </w:rPr>
            </w:pPr>
          </w:p>
        </w:tc>
      </w:tr>
      <w:tr w14:paraId="2795A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3ABDCA7A">
            <w:pPr>
              <w:pStyle w:val="23"/>
              <w:spacing w:line="400" w:lineRule="exact"/>
              <w:rPr>
                <w:rFonts w:ascii="仿宋" w:hAnsi="仿宋" w:eastAsia="仿宋" w:cs="仿宋"/>
                <w:sz w:val="24"/>
                <w:szCs w:val="24"/>
                <w:highlight w:val="none"/>
              </w:rPr>
            </w:pPr>
          </w:p>
        </w:tc>
        <w:tc>
          <w:tcPr>
            <w:tcW w:w="1236" w:type="dxa"/>
            <w:noWrap w:val="0"/>
            <w:vAlign w:val="top"/>
          </w:tcPr>
          <w:p w14:paraId="22E9BE44">
            <w:pPr>
              <w:pStyle w:val="23"/>
              <w:spacing w:line="400" w:lineRule="exact"/>
              <w:rPr>
                <w:rFonts w:ascii="仿宋" w:hAnsi="仿宋" w:eastAsia="仿宋" w:cs="仿宋"/>
                <w:sz w:val="24"/>
                <w:szCs w:val="24"/>
                <w:highlight w:val="none"/>
              </w:rPr>
            </w:pPr>
          </w:p>
        </w:tc>
        <w:tc>
          <w:tcPr>
            <w:tcW w:w="2657" w:type="dxa"/>
            <w:noWrap w:val="0"/>
            <w:vAlign w:val="top"/>
          </w:tcPr>
          <w:p w14:paraId="69E1AD4E">
            <w:pPr>
              <w:pStyle w:val="23"/>
              <w:spacing w:line="400" w:lineRule="exact"/>
              <w:rPr>
                <w:rFonts w:ascii="仿宋" w:hAnsi="仿宋" w:eastAsia="仿宋" w:cs="仿宋"/>
                <w:sz w:val="24"/>
                <w:szCs w:val="24"/>
                <w:highlight w:val="none"/>
              </w:rPr>
            </w:pPr>
          </w:p>
        </w:tc>
        <w:tc>
          <w:tcPr>
            <w:tcW w:w="1417" w:type="dxa"/>
            <w:noWrap w:val="0"/>
            <w:vAlign w:val="top"/>
          </w:tcPr>
          <w:p w14:paraId="36A7D22B">
            <w:pPr>
              <w:pStyle w:val="23"/>
              <w:spacing w:line="400" w:lineRule="exact"/>
              <w:rPr>
                <w:rFonts w:ascii="仿宋" w:hAnsi="仿宋" w:eastAsia="仿宋" w:cs="仿宋"/>
                <w:sz w:val="24"/>
                <w:szCs w:val="24"/>
                <w:highlight w:val="none"/>
              </w:rPr>
            </w:pPr>
          </w:p>
        </w:tc>
        <w:tc>
          <w:tcPr>
            <w:tcW w:w="2694" w:type="dxa"/>
            <w:noWrap w:val="0"/>
            <w:vAlign w:val="top"/>
          </w:tcPr>
          <w:p w14:paraId="598C97F8">
            <w:pPr>
              <w:pStyle w:val="23"/>
              <w:spacing w:line="400" w:lineRule="exact"/>
              <w:rPr>
                <w:rFonts w:ascii="仿宋" w:hAnsi="仿宋" w:eastAsia="仿宋" w:cs="仿宋"/>
                <w:sz w:val="24"/>
                <w:szCs w:val="24"/>
                <w:highlight w:val="none"/>
              </w:rPr>
            </w:pPr>
          </w:p>
        </w:tc>
        <w:tc>
          <w:tcPr>
            <w:tcW w:w="1293" w:type="dxa"/>
            <w:noWrap w:val="0"/>
            <w:vAlign w:val="top"/>
          </w:tcPr>
          <w:p w14:paraId="29BE84DA">
            <w:pPr>
              <w:pStyle w:val="23"/>
              <w:spacing w:line="400" w:lineRule="exact"/>
              <w:rPr>
                <w:rFonts w:ascii="仿宋" w:hAnsi="仿宋" w:eastAsia="仿宋" w:cs="仿宋"/>
                <w:sz w:val="24"/>
                <w:szCs w:val="24"/>
                <w:highlight w:val="none"/>
              </w:rPr>
            </w:pPr>
          </w:p>
        </w:tc>
      </w:tr>
      <w:tr w14:paraId="6618A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290AB6A1">
            <w:pPr>
              <w:pStyle w:val="23"/>
              <w:spacing w:line="400" w:lineRule="exact"/>
              <w:rPr>
                <w:rFonts w:ascii="仿宋" w:hAnsi="仿宋" w:eastAsia="仿宋" w:cs="仿宋"/>
                <w:sz w:val="24"/>
                <w:szCs w:val="24"/>
                <w:highlight w:val="none"/>
              </w:rPr>
            </w:pPr>
          </w:p>
        </w:tc>
        <w:tc>
          <w:tcPr>
            <w:tcW w:w="1236" w:type="dxa"/>
            <w:noWrap w:val="0"/>
            <w:vAlign w:val="top"/>
          </w:tcPr>
          <w:p w14:paraId="0F34637D">
            <w:pPr>
              <w:pStyle w:val="23"/>
              <w:spacing w:line="400" w:lineRule="exact"/>
              <w:rPr>
                <w:rFonts w:ascii="仿宋" w:hAnsi="仿宋" w:eastAsia="仿宋" w:cs="仿宋"/>
                <w:sz w:val="24"/>
                <w:szCs w:val="24"/>
                <w:highlight w:val="none"/>
              </w:rPr>
            </w:pPr>
          </w:p>
        </w:tc>
        <w:tc>
          <w:tcPr>
            <w:tcW w:w="2657" w:type="dxa"/>
            <w:noWrap w:val="0"/>
            <w:vAlign w:val="top"/>
          </w:tcPr>
          <w:p w14:paraId="11777CB1">
            <w:pPr>
              <w:pStyle w:val="23"/>
              <w:spacing w:line="400" w:lineRule="exact"/>
              <w:rPr>
                <w:rFonts w:ascii="仿宋" w:hAnsi="仿宋" w:eastAsia="仿宋" w:cs="仿宋"/>
                <w:sz w:val="24"/>
                <w:szCs w:val="24"/>
                <w:highlight w:val="none"/>
              </w:rPr>
            </w:pPr>
          </w:p>
        </w:tc>
        <w:tc>
          <w:tcPr>
            <w:tcW w:w="1417" w:type="dxa"/>
            <w:noWrap w:val="0"/>
            <w:vAlign w:val="top"/>
          </w:tcPr>
          <w:p w14:paraId="68BEAF37">
            <w:pPr>
              <w:pStyle w:val="23"/>
              <w:spacing w:line="400" w:lineRule="exact"/>
              <w:rPr>
                <w:rFonts w:ascii="仿宋" w:hAnsi="仿宋" w:eastAsia="仿宋" w:cs="仿宋"/>
                <w:sz w:val="24"/>
                <w:szCs w:val="24"/>
                <w:highlight w:val="none"/>
              </w:rPr>
            </w:pPr>
          </w:p>
        </w:tc>
        <w:tc>
          <w:tcPr>
            <w:tcW w:w="2694" w:type="dxa"/>
            <w:noWrap w:val="0"/>
            <w:vAlign w:val="top"/>
          </w:tcPr>
          <w:p w14:paraId="68A26A8B">
            <w:pPr>
              <w:pStyle w:val="23"/>
              <w:spacing w:line="400" w:lineRule="exact"/>
              <w:rPr>
                <w:rFonts w:ascii="仿宋" w:hAnsi="仿宋" w:eastAsia="仿宋" w:cs="仿宋"/>
                <w:sz w:val="24"/>
                <w:szCs w:val="24"/>
                <w:highlight w:val="none"/>
              </w:rPr>
            </w:pPr>
          </w:p>
        </w:tc>
        <w:tc>
          <w:tcPr>
            <w:tcW w:w="1293" w:type="dxa"/>
            <w:noWrap w:val="0"/>
            <w:vAlign w:val="top"/>
          </w:tcPr>
          <w:p w14:paraId="346EA9B2">
            <w:pPr>
              <w:pStyle w:val="23"/>
              <w:spacing w:line="400" w:lineRule="exact"/>
              <w:rPr>
                <w:rFonts w:ascii="仿宋" w:hAnsi="仿宋" w:eastAsia="仿宋" w:cs="仿宋"/>
                <w:sz w:val="24"/>
                <w:szCs w:val="24"/>
                <w:highlight w:val="none"/>
              </w:rPr>
            </w:pPr>
          </w:p>
        </w:tc>
      </w:tr>
      <w:tr w14:paraId="6196D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468" w:type="dxa"/>
            <w:noWrap w:val="0"/>
            <w:vAlign w:val="top"/>
          </w:tcPr>
          <w:p w14:paraId="4728949D">
            <w:pPr>
              <w:pStyle w:val="23"/>
              <w:spacing w:line="400" w:lineRule="exact"/>
              <w:rPr>
                <w:rFonts w:ascii="仿宋" w:hAnsi="仿宋" w:eastAsia="仿宋" w:cs="仿宋"/>
                <w:sz w:val="24"/>
                <w:szCs w:val="24"/>
                <w:highlight w:val="none"/>
              </w:rPr>
            </w:pPr>
          </w:p>
        </w:tc>
        <w:tc>
          <w:tcPr>
            <w:tcW w:w="1236" w:type="dxa"/>
            <w:noWrap w:val="0"/>
            <w:vAlign w:val="top"/>
          </w:tcPr>
          <w:p w14:paraId="195C47C7">
            <w:pPr>
              <w:pStyle w:val="23"/>
              <w:spacing w:line="400" w:lineRule="exact"/>
              <w:rPr>
                <w:rFonts w:ascii="仿宋" w:hAnsi="仿宋" w:eastAsia="仿宋" w:cs="仿宋"/>
                <w:sz w:val="24"/>
                <w:szCs w:val="24"/>
                <w:highlight w:val="none"/>
              </w:rPr>
            </w:pPr>
          </w:p>
        </w:tc>
        <w:tc>
          <w:tcPr>
            <w:tcW w:w="2657" w:type="dxa"/>
            <w:noWrap w:val="0"/>
            <w:vAlign w:val="top"/>
          </w:tcPr>
          <w:p w14:paraId="5BDC8F3D">
            <w:pPr>
              <w:pStyle w:val="23"/>
              <w:spacing w:line="400" w:lineRule="exact"/>
              <w:rPr>
                <w:rFonts w:ascii="仿宋" w:hAnsi="仿宋" w:eastAsia="仿宋" w:cs="仿宋"/>
                <w:sz w:val="24"/>
                <w:szCs w:val="24"/>
                <w:highlight w:val="none"/>
              </w:rPr>
            </w:pPr>
          </w:p>
        </w:tc>
        <w:tc>
          <w:tcPr>
            <w:tcW w:w="1417" w:type="dxa"/>
            <w:noWrap w:val="0"/>
            <w:vAlign w:val="top"/>
          </w:tcPr>
          <w:p w14:paraId="49F6BCCF">
            <w:pPr>
              <w:pStyle w:val="23"/>
              <w:spacing w:line="400" w:lineRule="exact"/>
              <w:rPr>
                <w:rFonts w:ascii="仿宋" w:hAnsi="仿宋" w:eastAsia="仿宋" w:cs="仿宋"/>
                <w:sz w:val="24"/>
                <w:szCs w:val="24"/>
                <w:highlight w:val="none"/>
              </w:rPr>
            </w:pPr>
          </w:p>
        </w:tc>
        <w:tc>
          <w:tcPr>
            <w:tcW w:w="2694" w:type="dxa"/>
            <w:noWrap w:val="0"/>
            <w:vAlign w:val="top"/>
          </w:tcPr>
          <w:p w14:paraId="092AD5ED">
            <w:pPr>
              <w:pStyle w:val="23"/>
              <w:spacing w:line="400" w:lineRule="exact"/>
              <w:rPr>
                <w:rFonts w:ascii="仿宋" w:hAnsi="仿宋" w:eastAsia="仿宋" w:cs="仿宋"/>
                <w:sz w:val="24"/>
                <w:szCs w:val="24"/>
                <w:highlight w:val="none"/>
              </w:rPr>
            </w:pPr>
          </w:p>
        </w:tc>
        <w:tc>
          <w:tcPr>
            <w:tcW w:w="1293" w:type="dxa"/>
            <w:noWrap w:val="0"/>
            <w:vAlign w:val="top"/>
          </w:tcPr>
          <w:p w14:paraId="406BB7F6">
            <w:pPr>
              <w:pStyle w:val="23"/>
              <w:spacing w:line="400" w:lineRule="exact"/>
              <w:rPr>
                <w:rFonts w:ascii="仿宋" w:hAnsi="仿宋" w:eastAsia="仿宋" w:cs="仿宋"/>
                <w:sz w:val="24"/>
                <w:szCs w:val="24"/>
                <w:highlight w:val="none"/>
              </w:rPr>
            </w:pPr>
          </w:p>
        </w:tc>
      </w:tr>
      <w:tr w14:paraId="19A75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68" w:type="dxa"/>
            <w:noWrap w:val="0"/>
            <w:vAlign w:val="top"/>
          </w:tcPr>
          <w:p w14:paraId="3C459FD7">
            <w:pPr>
              <w:pStyle w:val="23"/>
              <w:spacing w:line="400" w:lineRule="exact"/>
              <w:rPr>
                <w:rFonts w:ascii="仿宋" w:hAnsi="仿宋" w:eastAsia="仿宋" w:cs="仿宋"/>
                <w:sz w:val="24"/>
                <w:szCs w:val="24"/>
                <w:highlight w:val="none"/>
              </w:rPr>
            </w:pPr>
          </w:p>
        </w:tc>
        <w:tc>
          <w:tcPr>
            <w:tcW w:w="1236" w:type="dxa"/>
            <w:noWrap w:val="0"/>
            <w:vAlign w:val="top"/>
          </w:tcPr>
          <w:p w14:paraId="76CEF0E4">
            <w:pPr>
              <w:pStyle w:val="23"/>
              <w:spacing w:line="400" w:lineRule="exact"/>
              <w:rPr>
                <w:rFonts w:ascii="仿宋" w:hAnsi="仿宋" w:eastAsia="仿宋" w:cs="仿宋"/>
                <w:sz w:val="24"/>
                <w:szCs w:val="24"/>
                <w:highlight w:val="none"/>
              </w:rPr>
            </w:pPr>
          </w:p>
        </w:tc>
        <w:tc>
          <w:tcPr>
            <w:tcW w:w="2657" w:type="dxa"/>
            <w:noWrap w:val="0"/>
            <w:vAlign w:val="top"/>
          </w:tcPr>
          <w:p w14:paraId="7B8859D4">
            <w:pPr>
              <w:pStyle w:val="23"/>
              <w:spacing w:line="400" w:lineRule="exact"/>
              <w:rPr>
                <w:rFonts w:ascii="仿宋" w:hAnsi="仿宋" w:eastAsia="仿宋" w:cs="仿宋"/>
                <w:sz w:val="24"/>
                <w:szCs w:val="24"/>
                <w:highlight w:val="none"/>
              </w:rPr>
            </w:pPr>
          </w:p>
        </w:tc>
        <w:tc>
          <w:tcPr>
            <w:tcW w:w="1417" w:type="dxa"/>
            <w:noWrap w:val="0"/>
            <w:vAlign w:val="top"/>
          </w:tcPr>
          <w:p w14:paraId="73EE234C">
            <w:pPr>
              <w:pStyle w:val="23"/>
              <w:spacing w:line="400" w:lineRule="exact"/>
              <w:rPr>
                <w:rFonts w:ascii="仿宋" w:hAnsi="仿宋" w:eastAsia="仿宋" w:cs="仿宋"/>
                <w:sz w:val="24"/>
                <w:szCs w:val="24"/>
                <w:highlight w:val="none"/>
              </w:rPr>
            </w:pPr>
          </w:p>
        </w:tc>
        <w:tc>
          <w:tcPr>
            <w:tcW w:w="2694" w:type="dxa"/>
            <w:noWrap w:val="0"/>
            <w:vAlign w:val="top"/>
          </w:tcPr>
          <w:p w14:paraId="1E348BE8">
            <w:pPr>
              <w:pStyle w:val="23"/>
              <w:spacing w:line="400" w:lineRule="exact"/>
              <w:rPr>
                <w:rFonts w:ascii="仿宋" w:hAnsi="仿宋" w:eastAsia="仿宋" w:cs="仿宋"/>
                <w:sz w:val="24"/>
                <w:szCs w:val="24"/>
                <w:highlight w:val="none"/>
              </w:rPr>
            </w:pPr>
          </w:p>
        </w:tc>
        <w:tc>
          <w:tcPr>
            <w:tcW w:w="1293" w:type="dxa"/>
            <w:noWrap w:val="0"/>
            <w:vAlign w:val="top"/>
          </w:tcPr>
          <w:p w14:paraId="55E4E77B">
            <w:pPr>
              <w:pStyle w:val="23"/>
              <w:spacing w:line="400" w:lineRule="exact"/>
              <w:rPr>
                <w:rFonts w:ascii="仿宋" w:hAnsi="仿宋" w:eastAsia="仿宋" w:cs="仿宋"/>
                <w:sz w:val="24"/>
                <w:szCs w:val="24"/>
                <w:highlight w:val="none"/>
              </w:rPr>
            </w:pPr>
          </w:p>
        </w:tc>
      </w:tr>
      <w:tr w14:paraId="5D330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jc w:val="center"/>
        </w:trPr>
        <w:tc>
          <w:tcPr>
            <w:tcW w:w="468" w:type="dxa"/>
            <w:noWrap w:val="0"/>
            <w:vAlign w:val="top"/>
          </w:tcPr>
          <w:p w14:paraId="3619D3A8">
            <w:pPr>
              <w:pStyle w:val="23"/>
              <w:spacing w:line="400" w:lineRule="exact"/>
              <w:rPr>
                <w:rFonts w:ascii="仿宋" w:hAnsi="仿宋" w:eastAsia="仿宋" w:cs="仿宋"/>
                <w:sz w:val="24"/>
                <w:szCs w:val="24"/>
                <w:highlight w:val="none"/>
              </w:rPr>
            </w:pPr>
          </w:p>
        </w:tc>
        <w:tc>
          <w:tcPr>
            <w:tcW w:w="1236" w:type="dxa"/>
            <w:noWrap w:val="0"/>
            <w:vAlign w:val="top"/>
          </w:tcPr>
          <w:p w14:paraId="5D605B9B">
            <w:pPr>
              <w:pStyle w:val="23"/>
              <w:spacing w:line="400" w:lineRule="exact"/>
              <w:rPr>
                <w:rFonts w:ascii="仿宋" w:hAnsi="仿宋" w:eastAsia="仿宋" w:cs="仿宋"/>
                <w:sz w:val="24"/>
                <w:szCs w:val="24"/>
                <w:highlight w:val="none"/>
              </w:rPr>
            </w:pPr>
          </w:p>
        </w:tc>
        <w:tc>
          <w:tcPr>
            <w:tcW w:w="2657" w:type="dxa"/>
            <w:noWrap w:val="0"/>
            <w:vAlign w:val="top"/>
          </w:tcPr>
          <w:p w14:paraId="0BA4CB87">
            <w:pPr>
              <w:pStyle w:val="23"/>
              <w:spacing w:line="400" w:lineRule="exact"/>
              <w:rPr>
                <w:rFonts w:ascii="仿宋" w:hAnsi="仿宋" w:eastAsia="仿宋" w:cs="仿宋"/>
                <w:sz w:val="24"/>
                <w:szCs w:val="24"/>
                <w:highlight w:val="none"/>
              </w:rPr>
            </w:pPr>
          </w:p>
        </w:tc>
        <w:tc>
          <w:tcPr>
            <w:tcW w:w="1417" w:type="dxa"/>
            <w:noWrap w:val="0"/>
            <w:vAlign w:val="top"/>
          </w:tcPr>
          <w:p w14:paraId="7B8E0DBF">
            <w:pPr>
              <w:pStyle w:val="23"/>
              <w:spacing w:line="400" w:lineRule="exact"/>
              <w:rPr>
                <w:rFonts w:ascii="仿宋" w:hAnsi="仿宋" w:eastAsia="仿宋" w:cs="仿宋"/>
                <w:sz w:val="24"/>
                <w:szCs w:val="24"/>
                <w:highlight w:val="none"/>
              </w:rPr>
            </w:pPr>
          </w:p>
        </w:tc>
        <w:tc>
          <w:tcPr>
            <w:tcW w:w="2694" w:type="dxa"/>
            <w:noWrap w:val="0"/>
            <w:vAlign w:val="top"/>
          </w:tcPr>
          <w:p w14:paraId="000DE55A">
            <w:pPr>
              <w:pStyle w:val="23"/>
              <w:spacing w:line="400" w:lineRule="exact"/>
              <w:rPr>
                <w:rFonts w:ascii="仿宋" w:hAnsi="仿宋" w:eastAsia="仿宋" w:cs="仿宋"/>
                <w:sz w:val="24"/>
                <w:szCs w:val="24"/>
                <w:highlight w:val="none"/>
              </w:rPr>
            </w:pPr>
          </w:p>
        </w:tc>
        <w:tc>
          <w:tcPr>
            <w:tcW w:w="1293" w:type="dxa"/>
            <w:noWrap w:val="0"/>
            <w:vAlign w:val="top"/>
          </w:tcPr>
          <w:p w14:paraId="7986893A">
            <w:pPr>
              <w:pStyle w:val="23"/>
              <w:spacing w:line="400" w:lineRule="exact"/>
              <w:rPr>
                <w:rFonts w:ascii="仿宋" w:hAnsi="仿宋" w:eastAsia="仿宋" w:cs="仿宋"/>
                <w:sz w:val="24"/>
                <w:szCs w:val="24"/>
                <w:highlight w:val="none"/>
              </w:rPr>
            </w:pPr>
          </w:p>
        </w:tc>
      </w:tr>
      <w:tr w14:paraId="256DF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468" w:type="dxa"/>
            <w:noWrap w:val="0"/>
            <w:vAlign w:val="top"/>
          </w:tcPr>
          <w:p w14:paraId="129B5564">
            <w:pPr>
              <w:pStyle w:val="23"/>
              <w:spacing w:line="400" w:lineRule="exact"/>
              <w:rPr>
                <w:rFonts w:ascii="仿宋" w:hAnsi="仿宋" w:eastAsia="仿宋" w:cs="仿宋"/>
                <w:sz w:val="24"/>
                <w:szCs w:val="24"/>
                <w:highlight w:val="none"/>
              </w:rPr>
            </w:pPr>
          </w:p>
        </w:tc>
        <w:tc>
          <w:tcPr>
            <w:tcW w:w="1236" w:type="dxa"/>
            <w:noWrap w:val="0"/>
            <w:vAlign w:val="top"/>
          </w:tcPr>
          <w:p w14:paraId="57CA11B6">
            <w:pPr>
              <w:pStyle w:val="23"/>
              <w:spacing w:line="400" w:lineRule="exact"/>
              <w:rPr>
                <w:rFonts w:ascii="仿宋" w:hAnsi="仿宋" w:eastAsia="仿宋" w:cs="仿宋"/>
                <w:sz w:val="24"/>
                <w:szCs w:val="24"/>
                <w:highlight w:val="none"/>
              </w:rPr>
            </w:pPr>
          </w:p>
        </w:tc>
        <w:tc>
          <w:tcPr>
            <w:tcW w:w="2657" w:type="dxa"/>
            <w:noWrap w:val="0"/>
            <w:vAlign w:val="top"/>
          </w:tcPr>
          <w:p w14:paraId="5596A2C2">
            <w:pPr>
              <w:pStyle w:val="23"/>
              <w:spacing w:line="400" w:lineRule="exact"/>
              <w:rPr>
                <w:rFonts w:ascii="仿宋" w:hAnsi="仿宋" w:eastAsia="仿宋" w:cs="仿宋"/>
                <w:sz w:val="24"/>
                <w:szCs w:val="24"/>
                <w:highlight w:val="none"/>
              </w:rPr>
            </w:pPr>
          </w:p>
        </w:tc>
        <w:tc>
          <w:tcPr>
            <w:tcW w:w="1417" w:type="dxa"/>
            <w:noWrap w:val="0"/>
            <w:vAlign w:val="top"/>
          </w:tcPr>
          <w:p w14:paraId="5771CE85">
            <w:pPr>
              <w:pStyle w:val="23"/>
              <w:spacing w:line="400" w:lineRule="exact"/>
              <w:rPr>
                <w:rFonts w:ascii="仿宋" w:hAnsi="仿宋" w:eastAsia="仿宋" w:cs="仿宋"/>
                <w:sz w:val="24"/>
                <w:szCs w:val="24"/>
                <w:highlight w:val="none"/>
              </w:rPr>
            </w:pPr>
          </w:p>
        </w:tc>
        <w:tc>
          <w:tcPr>
            <w:tcW w:w="2694" w:type="dxa"/>
            <w:noWrap w:val="0"/>
            <w:vAlign w:val="top"/>
          </w:tcPr>
          <w:p w14:paraId="4CDEBEDE">
            <w:pPr>
              <w:pStyle w:val="23"/>
              <w:spacing w:line="400" w:lineRule="exact"/>
              <w:rPr>
                <w:rFonts w:ascii="仿宋" w:hAnsi="仿宋" w:eastAsia="仿宋" w:cs="仿宋"/>
                <w:sz w:val="24"/>
                <w:szCs w:val="24"/>
                <w:highlight w:val="none"/>
              </w:rPr>
            </w:pPr>
          </w:p>
        </w:tc>
        <w:tc>
          <w:tcPr>
            <w:tcW w:w="1293" w:type="dxa"/>
            <w:noWrap w:val="0"/>
            <w:vAlign w:val="top"/>
          </w:tcPr>
          <w:p w14:paraId="698BE0F1">
            <w:pPr>
              <w:pStyle w:val="23"/>
              <w:spacing w:line="400" w:lineRule="exact"/>
              <w:rPr>
                <w:rFonts w:ascii="仿宋" w:hAnsi="仿宋" w:eastAsia="仿宋" w:cs="仿宋"/>
                <w:sz w:val="24"/>
                <w:szCs w:val="24"/>
                <w:highlight w:val="none"/>
              </w:rPr>
            </w:pPr>
          </w:p>
        </w:tc>
      </w:tr>
    </w:tbl>
    <w:p w14:paraId="3E17ED61">
      <w:pPr>
        <w:pStyle w:val="23"/>
        <w:spacing w:line="40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注：无偏离可填写“无”字，有偏离必须在本表列明，实际存在负偏离而在本表内没有列明的，视为虚假投标。</w:t>
      </w:r>
    </w:p>
    <w:p w14:paraId="5BF60C1E">
      <w:pPr>
        <w:spacing w:line="360" w:lineRule="exact"/>
        <w:ind w:firstLine="4200" w:firstLineChars="1750"/>
        <w:rPr>
          <w:rFonts w:ascii="仿宋" w:hAnsi="仿宋" w:eastAsia="仿宋" w:cs="仿宋"/>
          <w:sz w:val="24"/>
          <w:szCs w:val="24"/>
          <w:highlight w:val="none"/>
        </w:rPr>
      </w:pPr>
    </w:p>
    <w:p w14:paraId="5B8F1FD6">
      <w:pPr>
        <w:spacing w:line="360" w:lineRule="exact"/>
        <w:ind w:firstLine="4200" w:firstLineChars="1750"/>
        <w:rPr>
          <w:rFonts w:ascii="仿宋" w:hAnsi="仿宋" w:eastAsia="仿宋" w:cs="仿宋"/>
          <w:sz w:val="24"/>
          <w:szCs w:val="24"/>
          <w:highlight w:val="none"/>
        </w:rPr>
      </w:pPr>
    </w:p>
    <w:p w14:paraId="43C95BC4">
      <w:pPr>
        <w:spacing w:line="360" w:lineRule="exact"/>
        <w:ind w:firstLine="4200" w:firstLineChars="1750"/>
        <w:rPr>
          <w:rFonts w:ascii="仿宋" w:hAnsi="仿宋" w:eastAsia="仿宋" w:cs="仿宋"/>
          <w:sz w:val="24"/>
          <w:szCs w:val="24"/>
          <w:highlight w:val="none"/>
        </w:rPr>
      </w:pPr>
    </w:p>
    <w:p w14:paraId="5D83D473">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6CA0DD92">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0CFE8B13">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38A9B912">
      <w:pPr>
        <w:spacing w:line="460" w:lineRule="exact"/>
        <w:jc w:val="center"/>
        <w:rPr>
          <w:rFonts w:hint="eastAsia" w:ascii="仿宋" w:hAnsi="仿宋" w:eastAsia="仿宋" w:cs="仿宋"/>
          <w:b/>
          <w:kern w:val="0"/>
          <w:sz w:val="36"/>
          <w:szCs w:val="36"/>
          <w:highlight w:val="none"/>
        </w:rPr>
      </w:pPr>
    </w:p>
    <w:p w14:paraId="79EB04CF">
      <w:pPr>
        <w:spacing w:line="460" w:lineRule="exact"/>
        <w:jc w:val="center"/>
        <w:rPr>
          <w:rFonts w:hint="eastAsia" w:ascii="仿宋" w:hAnsi="仿宋" w:eastAsia="仿宋" w:cs="仿宋"/>
          <w:b/>
          <w:kern w:val="0"/>
          <w:sz w:val="36"/>
          <w:szCs w:val="36"/>
          <w:highlight w:val="none"/>
        </w:rPr>
      </w:pPr>
    </w:p>
    <w:p w14:paraId="26E479E3">
      <w:pPr>
        <w:spacing w:line="460" w:lineRule="exact"/>
        <w:jc w:val="center"/>
        <w:rPr>
          <w:rFonts w:hint="eastAsia" w:ascii="仿宋" w:hAnsi="仿宋" w:eastAsia="仿宋" w:cs="仿宋"/>
          <w:b/>
          <w:kern w:val="0"/>
          <w:sz w:val="36"/>
          <w:szCs w:val="36"/>
          <w:highlight w:val="none"/>
        </w:rPr>
      </w:pPr>
    </w:p>
    <w:p w14:paraId="2E76714E">
      <w:pPr>
        <w:snapToGrid w:val="0"/>
        <w:spacing w:line="360" w:lineRule="auto"/>
        <w:jc w:val="center"/>
        <w:rPr>
          <w:rFonts w:ascii="仿宋" w:hAnsi="仿宋" w:eastAsia="仿宋" w:cs="仿宋"/>
          <w:b/>
          <w:bCs/>
          <w:sz w:val="30"/>
          <w:szCs w:val="30"/>
          <w:highlight w:val="none"/>
        </w:rPr>
      </w:pPr>
      <w:r>
        <w:rPr>
          <w:rFonts w:hint="eastAsia" w:ascii="仿宋" w:hAnsi="仿宋" w:eastAsia="仿宋" w:cs="仿宋"/>
          <w:b/>
          <w:sz w:val="36"/>
          <w:szCs w:val="36"/>
          <w:highlight w:val="none"/>
          <w:lang w:val="zh-CN"/>
        </w:rPr>
        <w:br w:type="page"/>
      </w:r>
      <w:r>
        <w:rPr>
          <w:rFonts w:hint="eastAsia" w:ascii="仿宋" w:hAnsi="仿宋" w:eastAsia="仿宋" w:cs="仿宋"/>
          <w:b/>
          <w:sz w:val="30"/>
          <w:szCs w:val="30"/>
          <w:highlight w:val="none"/>
          <w:lang w:val="zh-CN"/>
        </w:rPr>
        <w:t>技术性文件</w:t>
      </w:r>
    </w:p>
    <w:bookmarkEnd w:id="15"/>
    <w:p w14:paraId="6A529AA1">
      <w:pPr>
        <w:pStyle w:val="23"/>
        <w:wordWrap w:val="0"/>
        <w:spacing w:line="360" w:lineRule="auto"/>
        <w:rPr>
          <w:rFonts w:hint="eastAsia" w:ascii="仿宋" w:hAnsi="仿宋" w:eastAsia="仿宋" w:cs="仿宋"/>
          <w:sz w:val="24"/>
          <w:szCs w:val="24"/>
          <w:highlight w:val="none"/>
        </w:rPr>
      </w:pPr>
      <w:bookmarkStart w:id="20" w:name="_Toc13194"/>
      <w:r>
        <w:rPr>
          <w:rFonts w:hint="eastAsia" w:ascii="仿宋" w:hAnsi="仿宋" w:eastAsia="仿宋" w:cs="仿宋"/>
          <w:sz w:val="24"/>
          <w:szCs w:val="24"/>
          <w:highlight w:val="none"/>
        </w:rPr>
        <w:t>包括但不限于以下内容：</w:t>
      </w:r>
    </w:p>
    <w:p w14:paraId="37A5FB4F">
      <w:pPr>
        <w:pStyle w:val="23"/>
        <w:wordWrap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1、油品来源及质量保证措施</w:t>
      </w:r>
    </w:p>
    <w:p w14:paraId="26E00845">
      <w:pPr>
        <w:pStyle w:val="23"/>
        <w:wordWrap w:val="0"/>
        <w:spacing w:line="360" w:lineRule="auto"/>
        <w:rPr>
          <w:rFonts w:hint="eastAsia" w:ascii="仿宋" w:hAnsi="仿宋" w:eastAsia="仿宋" w:cs="仿宋"/>
          <w:sz w:val="24"/>
          <w:szCs w:val="24"/>
          <w:highlight w:val="none"/>
          <w:lang w:eastAsia="zh-CN"/>
        </w:rPr>
        <w:sectPr>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pPr>
    </w:p>
    <w:p w14:paraId="4752CAD1">
      <w:pPr>
        <w:pStyle w:val="23"/>
        <w:numPr>
          <w:ilvl w:val="0"/>
          <w:numId w:val="2"/>
        </w:numPr>
        <w:wordWrap w:val="0"/>
        <w:spacing w:line="360" w:lineRule="auto"/>
        <w:ind w:left="0" w:leftChars="0" w:firstLine="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加油网点布局情况、位置及规模</w:t>
      </w:r>
      <w:r>
        <w:rPr>
          <w:rFonts w:hint="eastAsia" w:ascii="仿宋" w:hAnsi="仿宋" w:eastAsia="仿宋" w:cs="仿宋"/>
          <w:sz w:val="24"/>
          <w:szCs w:val="24"/>
          <w:highlight w:val="none"/>
          <w:lang w:val="en-US" w:eastAsia="zh-CN"/>
        </w:rPr>
        <w:br w:type="textWrapping"/>
      </w:r>
      <w:r>
        <w:rPr>
          <w:rFonts w:hint="eastAsia" w:ascii="仿宋" w:hAnsi="仿宋" w:eastAsia="仿宋" w:cs="仿宋"/>
          <w:sz w:val="24"/>
          <w:szCs w:val="24"/>
          <w:highlight w:val="none"/>
          <w:lang w:val="en-US" w:eastAsia="zh-CN"/>
        </w:rPr>
        <w:t>至少应包含以下</w:t>
      </w:r>
      <w:r>
        <w:rPr>
          <w:rFonts w:hint="eastAsia" w:ascii="仿宋" w:hAnsi="仿宋" w:eastAsia="仿宋" w:cs="仿宋"/>
          <w:color w:val="000000"/>
          <w:kern w:val="0"/>
          <w:sz w:val="24"/>
          <w:szCs w:val="24"/>
          <w:highlight w:val="none"/>
        </w:rPr>
        <w:t>加油站基本状况表</w:t>
      </w:r>
      <w:r>
        <w:rPr>
          <w:rFonts w:hint="eastAsia" w:ascii="仿宋" w:hAnsi="仿宋" w:eastAsia="仿宋" w:cs="仿宋"/>
          <w:color w:val="000000"/>
          <w:kern w:val="0"/>
          <w:sz w:val="24"/>
          <w:szCs w:val="24"/>
          <w:highlight w:val="none"/>
          <w:lang w:val="en-US" w:eastAsia="zh-CN"/>
        </w:rPr>
        <w:t>格内容，其它文件部分自行编制：</w:t>
      </w:r>
    </w:p>
    <w:p w14:paraId="1B24A0E0">
      <w:pPr>
        <w:pStyle w:val="23"/>
        <w:wordWrap w:val="0"/>
        <w:spacing w:line="360" w:lineRule="auto"/>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标包二：</w:t>
      </w:r>
      <w:r>
        <w:rPr>
          <w:rFonts w:hint="eastAsia" w:ascii="仿宋" w:hAnsi="仿宋" w:eastAsia="仿宋" w:cs="仿宋"/>
          <w:color w:val="000000"/>
          <w:kern w:val="0"/>
          <w:sz w:val="24"/>
          <w:szCs w:val="24"/>
          <w:highlight w:val="none"/>
        </w:rPr>
        <w:t>加油站基本状况表</w:t>
      </w:r>
    </w:p>
    <w:tbl>
      <w:tblPr>
        <w:tblStyle w:val="41"/>
        <w:tblW w:w="139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70"/>
        <w:gridCol w:w="1825"/>
        <w:gridCol w:w="1301"/>
        <w:gridCol w:w="2654"/>
        <w:gridCol w:w="765"/>
        <w:gridCol w:w="1931"/>
        <w:gridCol w:w="2034"/>
        <w:gridCol w:w="2276"/>
      </w:tblGrid>
      <w:tr w14:paraId="70994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1"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center"/>
          </w:tcPr>
          <w:p w14:paraId="301470D7">
            <w:pPr>
              <w:pStyle w:val="89"/>
              <w:keepNext w:val="0"/>
              <w:keepLines w:val="0"/>
              <w:pageBreakBefore w:val="0"/>
              <w:widowControl w:val="0"/>
              <w:kinsoku/>
              <w:wordWrap/>
              <w:overflowPunct/>
              <w:topLinePunct w:val="0"/>
              <w:autoSpaceDE/>
              <w:autoSpaceDN/>
              <w:bidi w:val="0"/>
              <w:adjustRightInd/>
              <w:snapToGrid/>
              <w:spacing w:line="391" w:lineRule="exact"/>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序号</w:t>
            </w:r>
          </w:p>
        </w:tc>
        <w:tc>
          <w:tcPr>
            <w:tcW w:w="1825" w:type="dxa"/>
            <w:tcBorders>
              <w:top w:val="single" w:color="000000" w:sz="4" w:space="0"/>
              <w:left w:val="single" w:color="000000" w:sz="4" w:space="0"/>
              <w:bottom w:val="single" w:color="000000" w:sz="4" w:space="0"/>
              <w:right w:val="single" w:color="000000" w:sz="4" w:space="0"/>
            </w:tcBorders>
            <w:noWrap w:val="0"/>
            <w:vAlign w:val="center"/>
          </w:tcPr>
          <w:p w14:paraId="0D8C60F2">
            <w:pPr>
              <w:pStyle w:val="89"/>
              <w:keepNext w:val="0"/>
              <w:keepLines w:val="0"/>
              <w:pageBreakBefore w:val="0"/>
              <w:widowControl w:val="0"/>
              <w:kinsoku/>
              <w:wordWrap/>
              <w:overflowPunct/>
              <w:topLinePunct w:val="0"/>
              <w:autoSpaceDE/>
              <w:autoSpaceDN/>
              <w:bidi w:val="0"/>
              <w:adjustRightInd/>
              <w:snapToGrid/>
              <w:spacing w:line="391" w:lineRule="exact"/>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加油站名称</w:t>
            </w:r>
          </w:p>
        </w:tc>
        <w:tc>
          <w:tcPr>
            <w:tcW w:w="1301" w:type="dxa"/>
            <w:tcBorders>
              <w:top w:val="single" w:color="000000" w:sz="4" w:space="0"/>
              <w:left w:val="single" w:color="000000" w:sz="4" w:space="0"/>
              <w:bottom w:val="single" w:color="000000" w:sz="4" w:space="0"/>
              <w:right w:val="single" w:color="000000" w:sz="4" w:space="0"/>
            </w:tcBorders>
            <w:noWrap w:val="0"/>
            <w:vAlign w:val="center"/>
          </w:tcPr>
          <w:p w14:paraId="046C08BC">
            <w:pPr>
              <w:pStyle w:val="89"/>
              <w:keepNext w:val="0"/>
              <w:keepLines w:val="0"/>
              <w:pageBreakBefore w:val="0"/>
              <w:widowControl w:val="0"/>
              <w:kinsoku/>
              <w:wordWrap/>
              <w:overflowPunct/>
              <w:topLinePunct w:val="0"/>
              <w:autoSpaceDE/>
              <w:autoSpaceDN/>
              <w:bidi w:val="0"/>
              <w:adjustRightInd/>
              <w:snapToGrid/>
              <w:spacing w:line="391" w:lineRule="exact"/>
              <w:ind w:left="0" w:right="190" w:rightChars="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地址</w:t>
            </w:r>
          </w:p>
        </w:tc>
        <w:tc>
          <w:tcPr>
            <w:tcW w:w="2654" w:type="dxa"/>
            <w:tcBorders>
              <w:top w:val="single" w:color="000000" w:sz="4" w:space="0"/>
              <w:left w:val="single" w:color="000000" w:sz="4" w:space="0"/>
              <w:bottom w:val="single" w:color="000000" w:sz="4" w:space="0"/>
              <w:right w:val="single" w:color="auto" w:sz="4" w:space="0"/>
            </w:tcBorders>
            <w:noWrap w:val="0"/>
            <w:vAlign w:val="center"/>
          </w:tcPr>
          <w:p w14:paraId="14C88915">
            <w:pPr>
              <w:pStyle w:val="89"/>
              <w:keepNext w:val="0"/>
              <w:keepLines w:val="0"/>
              <w:pageBreakBefore w:val="0"/>
              <w:widowControl w:val="0"/>
              <w:kinsoku/>
              <w:wordWrap/>
              <w:overflowPunct/>
              <w:topLinePunct w:val="0"/>
              <w:autoSpaceDE/>
              <w:autoSpaceDN/>
              <w:bidi w:val="0"/>
              <w:adjustRightInd/>
              <w:snapToGrid/>
              <w:spacing w:line="240" w:lineRule="auto"/>
              <w:ind w:left="0" w:right="190" w:rightChars="0" w:firstLine="720" w:firstLineChars="300"/>
              <w:jc w:val="both"/>
              <w:textAlignment w:val="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经营形式</w:t>
            </w:r>
          </w:p>
          <w:p w14:paraId="384BC0BF">
            <w:pPr>
              <w:pStyle w:val="89"/>
              <w:keepNext w:val="0"/>
              <w:keepLines w:val="0"/>
              <w:pageBreakBefore w:val="0"/>
              <w:widowControl w:val="0"/>
              <w:kinsoku/>
              <w:wordWrap/>
              <w:overflowPunct/>
              <w:topLinePunct w:val="0"/>
              <w:autoSpaceDE/>
              <w:autoSpaceDN/>
              <w:bidi w:val="0"/>
              <w:adjustRightInd/>
              <w:snapToGrid/>
              <w:spacing w:line="391" w:lineRule="exact"/>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eastAsia="zh-CN" w:bidi="ar-SA"/>
              </w:rPr>
              <w:t>（直营/加盟等）</w:t>
            </w:r>
          </w:p>
        </w:tc>
        <w:tc>
          <w:tcPr>
            <w:tcW w:w="765" w:type="dxa"/>
            <w:tcBorders>
              <w:top w:val="single" w:color="000000" w:sz="4" w:space="0"/>
              <w:left w:val="single" w:color="auto" w:sz="4" w:space="0"/>
              <w:bottom w:val="single" w:color="000000" w:sz="4" w:space="0"/>
              <w:right w:val="single" w:color="000000" w:sz="4" w:space="0"/>
            </w:tcBorders>
            <w:noWrap w:val="0"/>
            <w:vAlign w:val="center"/>
          </w:tcPr>
          <w:p w14:paraId="5E50B6C4">
            <w:pPr>
              <w:pStyle w:val="89"/>
              <w:keepNext w:val="0"/>
              <w:keepLines w:val="0"/>
              <w:pageBreakBefore w:val="0"/>
              <w:widowControl w:val="0"/>
              <w:kinsoku/>
              <w:wordWrap/>
              <w:overflowPunct/>
              <w:topLinePunct w:val="0"/>
              <w:autoSpaceDE/>
              <w:autoSpaceDN/>
              <w:bidi w:val="0"/>
              <w:adjustRightInd/>
              <w:snapToGrid/>
              <w:spacing w:line="391" w:lineRule="exact"/>
              <w:ind w:left="0" w:leftChars="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面积</w:t>
            </w:r>
          </w:p>
        </w:tc>
        <w:tc>
          <w:tcPr>
            <w:tcW w:w="1931" w:type="dxa"/>
            <w:tcBorders>
              <w:top w:val="single" w:color="000000" w:sz="4" w:space="0"/>
              <w:left w:val="single" w:color="000000" w:sz="4" w:space="0"/>
              <w:bottom w:val="single" w:color="000000" w:sz="4" w:space="0"/>
              <w:right w:val="single" w:color="000000" w:sz="4" w:space="0"/>
            </w:tcBorders>
            <w:noWrap w:val="0"/>
            <w:vAlign w:val="center"/>
          </w:tcPr>
          <w:p w14:paraId="74731CB7">
            <w:pPr>
              <w:pStyle w:val="89"/>
              <w:keepNext w:val="0"/>
              <w:keepLines w:val="0"/>
              <w:pageBreakBefore w:val="0"/>
              <w:widowControl w:val="0"/>
              <w:kinsoku/>
              <w:wordWrap/>
              <w:overflowPunct/>
              <w:topLinePunct w:val="0"/>
              <w:autoSpaceDE/>
              <w:autoSpaceDN/>
              <w:bidi w:val="0"/>
              <w:adjustRightInd/>
              <w:snapToGrid/>
              <w:spacing w:line="391" w:lineRule="exact"/>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负责人</w:t>
            </w:r>
          </w:p>
        </w:tc>
        <w:tc>
          <w:tcPr>
            <w:tcW w:w="2034" w:type="dxa"/>
            <w:tcBorders>
              <w:top w:val="single" w:color="000000" w:sz="4" w:space="0"/>
              <w:left w:val="single" w:color="000000" w:sz="4" w:space="0"/>
              <w:bottom w:val="single" w:color="000000" w:sz="4" w:space="0"/>
              <w:right w:val="single" w:color="000000" w:sz="4" w:space="0"/>
            </w:tcBorders>
            <w:noWrap w:val="0"/>
            <w:vAlign w:val="center"/>
          </w:tcPr>
          <w:p w14:paraId="6B199008">
            <w:pPr>
              <w:pStyle w:val="89"/>
              <w:keepNext w:val="0"/>
              <w:keepLines w:val="0"/>
              <w:pageBreakBefore w:val="0"/>
              <w:widowControl w:val="0"/>
              <w:kinsoku/>
              <w:wordWrap/>
              <w:overflowPunct/>
              <w:topLinePunct w:val="0"/>
              <w:autoSpaceDE/>
              <w:autoSpaceDN/>
              <w:bidi w:val="0"/>
              <w:adjustRightInd/>
              <w:snapToGrid/>
              <w:spacing w:line="391" w:lineRule="exact"/>
              <w:ind w:left="0"/>
              <w:jc w:val="center"/>
              <w:textAlignment w:val="auto"/>
              <w:rPr>
                <w:rFonts w:hint="eastAsia" w:ascii="仿宋" w:hAnsi="仿宋" w:eastAsia="仿宋" w:cs="仿宋"/>
                <w:sz w:val="24"/>
                <w:szCs w:val="24"/>
                <w:highlight w:val="none"/>
                <w:lang w:val="en-US" w:bidi="ar-SA"/>
              </w:rPr>
            </w:pPr>
            <w:r>
              <w:rPr>
                <w:rFonts w:hint="eastAsia" w:ascii="仿宋" w:hAnsi="仿宋" w:eastAsia="仿宋" w:cs="仿宋"/>
                <w:sz w:val="24"/>
                <w:szCs w:val="24"/>
                <w:highlight w:val="none"/>
                <w:lang w:val="en-US" w:bidi="ar-SA"/>
              </w:rPr>
              <w:t>电话</w:t>
            </w:r>
          </w:p>
        </w:tc>
        <w:tc>
          <w:tcPr>
            <w:tcW w:w="2276" w:type="dxa"/>
            <w:tcBorders>
              <w:top w:val="single" w:color="000000" w:sz="4" w:space="0"/>
              <w:left w:val="single" w:color="000000" w:sz="4" w:space="0"/>
              <w:bottom w:val="single" w:color="000000" w:sz="4" w:space="0"/>
              <w:right w:val="single" w:color="000000" w:sz="4" w:space="0"/>
            </w:tcBorders>
            <w:noWrap w:val="0"/>
            <w:vAlign w:val="center"/>
          </w:tcPr>
          <w:p w14:paraId="7953ACD3">
            <w:pPr>
              <w:pStyle w:val="89"/>
              <w:keepNext w:val="0"/>
              <w:keepLines w:val="0"/>
              <w:pageBreakBefore w:val="0"/>
              <w:widowControl w:val="0"/>
              <w:kinsoku/>
              <w:wordWrap/>
              <w:overflowPunct/>
              <w:topLinePunct w:val="0"/>
              <w:autoSpaceDE/>
              <w:autoSpaceDN/>
              <w:bidi w:val="0"/>
              <w:adjustRightInd/>
              <w:snapToGrid/>
              <w:spacing w:line="391" w:lineRule="exact"/>
              <w:ind w:left="0" w:leftChars="0" w:firstLine="0" w:firstLineChars="0"/>
              <w:jc w:val="center"/>
              <w:textAlignment w:val="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备注</w:t>
            </w:r>
          </w:p>
        </w:tc>
      </w:tr>
      <w:tr w14:paraId="61F390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top"/>
          </w:tcPr>
          <w:p w14:paraId="4536189E">
            <w:pPr>
              <w:pStyle w:val="89"/>
              <w:rPr>
                <w:rFonts w:hint="eastAsia" w:ascii="仿宋" w:hAnsi="仿宋" w:eastAsia="仿宋" w:cs="仿宋"/>
                <w:sz w:val="28"/>
                <w:szCs w:val="28"/>
                <w:highlight w:val="none"/>
                <w:lang w:val="en-US" w:bidi="ar-SA"/>
              </w:rPr>
            </w:pPr>
          </w:p>
        </w:tc>
        <w:tc>
          <w:tcPr>
            <w:tcW w:w="1825" w:type="dxa"/>
            <w:tcBorders>
              <w:top w:val="single" w:color="000000" w:sz="4" w:space="0"/>
              <w:left w:val="single" w:color="000000" w:sz="4" w:space="0"/>
              <w:bottom w:val="single" w:color="000000" w:sz="4" w:space="0"/>
              <w:right w:val="single" w:color="000000" w:sz="4" w:space="0"/>
            </w:tcBorders>
            <w:noWrap w:val="0"/>
            <w:vAlign w:val="top"/>
          </w:tcPr>
          <w:p w14:paraId="4B7BCAF4">
            <w:pPr>
              <w:pStyle w:val="89"/>
              <w:rPr>
                <w:rFonts w:hint="eastAsia" w:ascii="仿宋" w:hAnsi="仿宋" w:eastAsia="仿宋" w:cs="仿宋"/>
                <w:sz w:val="28"/>
                <w:szCs w:val="28"/>
                <w:highlight w:val="none"/>
                <w:lang w:val="en-US" w:bidi="ar-SA"/>
              </w:rPr>
            </w:pPr>
          </w:p>
        </w:tc>
        <w:tc>
          <w:tcPr>
            <w:tcW w:w="1301" w:type="dxa"/>
            <w:tcBorders>
              <w:top w:val="single" w:color="000000" w:sz="4" w:space="0"/>
              <w:left w:val="single" w:color="000000" w:sz="4" w:space="0"/>
              <w:bottom w:val="single" w:color="000000" w:sz="4" w:space="0"/>
              <w:right w:val="single" w:color="000000" w:sz="4" w:space="0"/>
            </w:tcBorders>
            <w:noWrap w:val="0"/>
            <w:vAlign w:val="top"/>
          </w:tcPr>
          <w:p w14:paraId="510BB2C9">
            <w:pPr>
              <w:pStyle w:val="89"/>
              <w:rPr>
                <w:rFonts w:hint="eastAsia" w:ascii="仿宋" w:hAnsi="仿宋" w:eastAsia="仿宋" w:cs="仿宋"/>
                <w:sz w:val="28"/>
                <w:szCs w:val="28"/>
                <w:highlight w:val="none"/>
                <w:lang w:val="en-US" w:bidi="ar-SA"/>
              </w:rPr>
            </w:pPr>
          </w:p>
        </w:tc>
        <w:tc>
          <w:tcPr>
            <w:tcW w:w="2654" w:type="dxa"/>
            <w:tcBorders>
              <w:top w:val="single" w:color="000000" w:sz="4" w:space="0"/>
              <w:left w:val="single" w:color="000000" w:sz="4" w:space="0"/>
              <w:bottom w:val="single" w:color="000000" w:sz="4" w:space="0"/>
              <w:right w:val="single" w:color="auto" w:sz="4" w:space="0"/>
            </w:tcBorders>
            <w:noWrap w:val="0"/>
            <w:vAlign w:val="top"/>
          </w:tcPr>
          <w:p w14:paraId="175DBA36">
            <w:pPr>
              <w:pStyle w:val="89"/>
              <w:rPr>
                <w:rFonts w:hint="eastAsia" w:ascii="仿宋" w:hAnsi="仿宋" w:eastAsia="仿宋" w:cs="仿宋"/>
                <w:sz w:val="28"/>
                <w:szCs w:val="28"/>
                <w:highlight w:val="none"/>
                <w:lang w:val="en-US" w:bidi="ar-SA"/>
              </w:rPr>
            </w:pPr>
          </w:p>
        </w:tc>
        <w:tc>
          <w:tcPr>
            <w:tcW w:w="765" w:type="dxa"/>
            <w:tcBorders>
              <w:top w:val="single" w:color="000000" w:sz="4" w:space="0"/>
              <w:left w:val="single" w:color="auto" w:sz="4" w:space="0"/>
              <w:bottom w:val="single" w:color="000000" w:sz="4" w:space="0"/>
              <w:right w:val="single" w:color="000000" w:sz="4" w:space="0"/>
            </w:tcBorders>
            <w:noWrap w:val="0"/>
            <w:vAlign w:val="top"/>
          </w:tcPr>
          <w:p w14:paraId="05CFFC90">
            <w:pPr>
              <w:pStyle w:val="89"/>
              <w:rPr>
                <w:rFonts w:hint="eastAsia" w:ascii="仿宋" w:hAnsi="仿宋" w:eastAsia="仿宋" w:cs="仿宋"/>
                <w:sz w:val="28"/>
                <w:szCs w:val="28"/>
                <w:highlight w:val="none"/>
                <w:lang w:val="en-US" w:bidi="ar-SA"/>
              </w:rPr>
            </w:pPr>
          </w:p>
        </w:tc>
        <w:tc>
          <w:tcPr>
            <w:tcW w:w="1931" w:type="dxa"/>
            <w:tcBorders>
              <w:top w:val="single" w:color="000000" w:sz="4" w:space="0"/>
              <w:left w:val="single" w:color="000000" w:sz="4" w:space="0"/>
              <w:bottom w:val="single" w:color="000000" w:sz="4" w:space="0"/>
              <w:right w:val="single" w:color="000000" w:sz="4" w:space="0"/>
            </w:tcBorders>
            <w:noWrap w:val="0"/>
            <w:vAlign w:val="top"/>
          </w:tcPr>
          <w:p w14:paraId="2A1786C0">
            <w:pPr>
              <w:pStyle w:val="89"/>
              <w:rPr>
                <w:rFonts w:hint="eastAsia" w:ascii="仿宋" w:hAnsi="仿宋" w:eastAsia="仿宋" w:cs="仿宋"/>
                <w:sz w:val="28"/>
                <w:szCs w:val="28"/>
                <w:highlight w:val="none"/>
                <w:lang w:val="en-US" w:bidi="ar-SA"/>
              </w:rPr>
            </w:pPr>
          </w:p>
        </w:tc>
        <w:tc>
          <w:tcPr>
            <w:tcW w:w="2034" w:type="dxa"/>
            <w:tcBorders>
              <w:top w:val="single" w:color="000000" w:sz="4" w:space="0"/>
              <w:left w:val="single" w:color="000000" w:sz="4" w:space="0"/>
              <w:bottom w:val="single" w:color="000000" w:sz="4" w:space="0"/>
              <w:right w:val="single" w:color="000000" w:sz="4" w:space="0"/>
            </w:tcBorders>
            <w:noWrap w:val="0"/>
            <w:vAlign w:val="top"/>
          </w:tcPr>
          <w:p w14:paraId="3CA03A52">
            <w:pPr>
              <w:pStyle w:val="89"/>
              <w:rPr>
                <w:rFonts w:hint="eastAsia" w:ascii="仿宋" w:hAnsi="仿宋" w:eastAsia="仿宋" w:cs="仿宋"/>
                <w:sz w:val="28"/>
                <w:szCs w:val="28"/>
                <w:highlight w:val="none"/>
                <w:lang w:val="en-US" w:bidi="ar-SA"/>
              </w:rPr>
            </w:pPr>
          </w:p>
        </w:tc>
        <w:tc>
          <w:tcPr>
            <w:tcW w:w="2276" w:type="dxa"/>
            <w:tcBorders>
              <w:top w:val="single" w:color="000000" w:sz="4" w:space="0"/>
              <w:left w:val="single" w:color="000000" w:sz="4" w:space="0"/>
              <w:bottom w:val="single" w:color="000000" w:sz="4" w:space="0"/>
              <w:right w:val="single" w:color="000000" w:sz="4" w:space="0"/>
            </w:tcBorders>
            <w:noWrap w:val="0"/>
            <w:vAlign w:val="top"/>
          </w:tcPr>
          <w:p w14:paraId="575F3BCE">
            <w:pPr>
              <w:pStyle w:val="89"/>
              <w:ind w:left="478" w:leftChars="104" w:hanging="260" w:hangingChars="93"/>
              <w:rPr>
                <w:rFonts w:hint="eastAsia" w:ascii="仿宋" w:hAnsi="仿宋" w:eastAsia="仿宋" w:cs="仿宋"/>
                <w:sz w:val="28"/>
                <w:szCs w:val="28"/>
                <w:highlight w:val="none"/>
                <w:lang w:val="en-US" w:bidi="ar-SA"/>
              </w:rPr>
            </w:pPr>
          </w:p>
        </w:tc>
      </w:tr>
      <w:tr w14:paraId="50447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top"/>
          </w:tcPr>
          <w:p w14:paraId="5A5CEBBE">
            <w:pPr>
              <w:pStyle w:val="89"/>
              <w:rPr>
                <w:rFonts w:hint="eastAsia" w:ascii="仿宋" w:hAnsi="仿宋" w:eastAsia="仿宋" w:cs="仿宋"/>
                <w:sz w:val="28"/>
                <w:szCs w:val="28"/>
                <w:highlight w:val="none"/>
                <w:lang w:val="en-US" w:bidi="ar-SA"/>
              </w:rPr>
            </w:pPr>
          </w:p>
        </w:tc>
        <w:tc>
          <w:tcPr>
            <w:tcW w:w="1825" w:type="dxa"/>
            <w:tcBorders>
              <w:top w:val="single" w:color="000000" w:sz="4" w:space="0"/>
              <w:left w:val="single" w:color="000000" w:sz="4" w:space="0"/>
              <w:bottom w:val="single" w:color="000000" w:sz="4" w:space="0"/>
              <w:right w:val="single" w:color="000000" w:sz="4" w:space="0"/>
            </w:tcBorders>
            <w:noWrap w:val="0"/>
            <w:vAlign w:val="top"/>
          </w:tcPr>
          <w:p w14:paraId="6D0CECEF">
            <w:pPr>
              <w:pStyle w:val="89"/>
              <w:rPr>
                <w:rFonts w:hint="eastAsia" w:ascii="仿宋" w:hAnsi="仿宋" w:eastAsia="仿宋" w:cs="仿宋"/>
                <w:sz w:val="28"/>
                <w:szCs w:val="28"/>
                <w:highlight w:val="none"/>
                <w:lang w:val="en-US" w:bidi="ar-SA"/>
              </w:rPr>
            </w:pPr>
          </w:p>
        </w:tc>
        <w:tc>
          <w:tcPr>
            <w:tcW w:w="1301" w:type="dxa"/>
            <w:tcBorders>
              <w:top w:val="single" w:color="000000" w:sz="4" w:space="0"/>
              <w:left w:val="single" w:color="000000" w:sz="4" w:space="0"/>
              <w:bottom w:val="single" w:color="000000" w:sz="4" w:space="0"/>
              <w:right w:val="single" w:color="000000" w:sz="4" w:space="0"/>
            </w:tcBorders>
            <w:noWrap w:val="0"/>
            <w:vAlign w:val="top"/>
          </w:tcPr>
          <w:p w14:paraId="7BFB10D4">
            <w:pPr>
              <w:pStyle w:val="89"/>
              <w:rPr>
                <w:rFonts w:hint="eastAsia" w:ascii="仿宋" w:hAnsi="仿宋" w:eastAsia="仿宋" w:cs="仿宋"/>
                <w:sz w:val="28"/>
                <w:szCs w:val="28"/>
                <w:highlight w:val="none"/>
                <w:lang w:val="en-US" w:bidi="ar-SA"/>
              </w:rPr>
            </w:pPr>
          </w:p>
        </w:tc>
        <w:tc>
          <w:tcPr>
            <w:tcW w:w="2654" w:type="dxa"/>
            <w:tcBorders>
              <w:top w:val="single" w:color="000000" w:sz="4" w:space="0"/>
              <w:left w:val="single" w:color="000000" w:sz="4" w:space="0"/>
              <w:bottom w:val="single" w:color="000000" w:sz="4" w:space="0"/>
              <w:right w:val="single" w:color="auto" w:sz="4" w:space="0"/>
            </w:tcBorders>
            <w:noWrap w:val="0"/>
            <w:vAlign w:val="top"/>
          </w:tcPr>
          <w:p w14:paraId="487BE9CC">
            <w:pPr>
              <w:pStyle w:val="89"/>
              <w:rPr>
                <w:rFonts w:hint="eastAsia" w:ascii="仿宋" w:hAnsi="仿宋" w:eastAsia="仿宋" w:cs="仿宋"/>
                <w:sz w:val="28"/>
                <w:szCs w:val="28"/>
                <w:highlight w:val="none"/>
                <w:lang w:val="en-US" w:bidi="ar-SA"/>
              </w:rPr>
            </w:pPr>
          </w:p>
        </w:tc>
        <w:tc>
          <w:tcPr>
            <w:tcW w:w="765" w:type="dxa"/>
            <w:tcBorders>
              <w:top w:val="single" w:color="000000" w:sz="4" w:space="0"/>
              <w:left w:val="single" w:color="auto" w:sz="4" w:space="0"/>
              <w:bottom w:val="single" w:color="000000" w:sz="4" w:space="0"/>
              <w:right w:val="single" w:color="000000" w:sz="4" w:space="0"/>
            </w:tcBorders>
            <w:noWrap w:val="0"/>
            <w:vAlign w:val="top"/>
          </w:tcPr>
          <w:p w14:paraId="350418E3">
            <w:pPr>
              <w:pStyle w:val="89"/>
              <w:rPr>
                <w:rFonts w:hint="eastAsia" w:ascii="仿宋" w:hAnsi="仿宋" w:eastAsia="仿宋" w:cs="仿宋"/>
                <w:sz w:val="28"/>
                <w:szCs w:val="28"/>
                <w:highlight w:val="none"/>
                <w:lang w:val="en-US" w:bidi="ar-SA"/>
              </w:rPr>
            </w:pPr>
          </w:p>
        </w:tc>
        <w:tc>
          <w:tcPr>
            <w:tcW w:w="1931" w:type="dxa"/>
            <w:tcBorders>
              <w:top w:val="single" w:color="000000" w:sz="4" w:space="0"/>
              <w:left w:val="single" w:color="000000" w:sz="4" w:space="0"/>
              <w:bottom w:val="single" w:color="000000" w:sz="4" w:space="0"/>
              <w:right w:val="single" w:color="000000" w:sz="4" w:space="0"/>
            </w:tcBorders>
            <w:noWrap w:val="0"/>
            <w:vAlign w:val="top"/>
          </w:tcPr>
          <w:p w14:paraId="4D9A980C">
            <w:pPr>
              <w:pStyle w:val="89"/>
              <w:rPr>
                <w:rFonts w:hint="eastAsia" w:ascii="仿宋" w:hAnsi="仿宋" w:eastAsia="仿宋" w:cs="仿宋"/>
                <w:sz w:val="28"/>
                <w:szCs w:val="28"/>
                <w:highlight w:val="none"/>
                <w:lang w:val="en-US" w:bidi="ar-SA"/>
              </w:rPr>
            </w:pPr>
          </w:p>
        </w:tc>
        <w:tc>
          <w:tcPr>
            <w:tcW w:w="2034" w:type="dxa"/>
            <w:tcBorders>
              <w:top w:val="single" w:color="000000" w:sz="4" w:space="0"/>
              <w:left w:val="single" w:color="000000" w:sz="4" w:space="0"/>
              <w:bottom w:val="single" w:color="000000" w:sz="4" w:space="0"/>
              <w:right w:val="single" w:color="000000" w:sz="4" w:space="0"/>
            </w:tcBorders>
            <w:noWrap w:val="0"/>
            <w:vAlign w:val="top"/>
          </w:tcPr>
          <w:p w14:paraId="25B501BE">
            <w:pPr>
              <w:pStyle w:val="89"/>
              <w:rPr>
                <w:rFonts w:hint="eastAsia" w:ascii="仿宋" w:hAnsi="仿宋" w:eastAsia="仿宋" w:cs="仿宋"/>
                <w:sz w:val="28"/>
                <w:szCs w:val="28"/>
                <w:highlight w:val="none"/>
                <w:lang w:val="en-US" w:bidi="ar-SA"/>
              </w:rPr>
            </w:pPr>
          </w:p>
        </w:tc>
        <w:tc>
          <w:tcPr>
            <w:tcW w:w="2276" w:type="dxa"/>
            <w:tcBorders>
              <w:top w:val="single" w:color="000000" w:sz="4" w:space="0"/>
              <w:left w:val="single" w:color="000000" w:sz="4" w:space="0"/>
              <w:bottom w:val="single" w:color="000000" w:sz="4" w:space="0"/>
              <w:right w:val="single" w:color="000000" w:sz="4" w:space="0"/>
            </w:tcBorders>
            <w:noWrap w:val="0"/>
            <w:vAlign w:val="top"/>
          </w:tcPr>
          <w:p w14:paraId="1439CAB8">
            <w:pPr>
              <w:pStyle w:val="89"/>
              <w:ind w:left="478" w:leftChars="104" w:hanging="260" w:hangingChars="93"/>
              <w:rPr>
                <w:rFonts w:hint="eastAsia" w:ascii="仿宋" w:hAnsi="仿宋" w:eastAsia="仿宋" w:cs="仿宋"/>
                <w:sz w:val="28"/>
                <w:szCs w:val="28"/>
                <w:highlight w:val="none"/>
                <w:lang w:val="en-US" w:bidi="ar-SA"/>
              </w:rPr>
            </w:pPr>
          </w:p>
        </w:tc>
      </w:tr>
      <w:tr w14:paraId="4A954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top"/>
          </w:tcPr>
          <w:p w14:paraId="3002F236">
            <w:pPr>
              <w:pStyle w:val="89"/>
              <w:rPr>
                <w:rFonts w:hint="eastAsia" w:ascii="仿宋" w:hAnsi="仿宋" w:eastAsia="仿宋" w:cs="仿宋"/>
                <w:sz w:val="28"/>
                <w:szCs w:val="28"/>
                <w:highlight w:val="none"/>
                <w:lang w:val="en-US" w:bidi="ar-SA"/>
              </w:rPr>
            </w:pPr>
          </w:p>
        </w:tc>
        <w:tc>
          <w:tcPr>
            <w:tcW w:w="1825" w:type="dxa"/>
            <w:tcBorders>
              <w:top w:val="single" w:color="000000" w:sz="4" w:space="0"/>
              <w:left w:val="single" w:color="000000" w:sz="4" w:space="0"/>
              <w:bottom w:val="single" w:color="000000" w:sz="4" w:space="0"/>
              <w:right w:val="single" w:color="000000" w:sz="4" w:space="0"/>
            </w:tcBorders>
            <w:noWrap w:val="0"/>
            <w:vAlign w:val="top"/>
          </w:tcPr>
          <w:p w14:paraId="1EE78111">
            <w:pPr>
              <w:pStyle w:val="89"/>
              <w:rPr>
                <w:rFonts w:hint="eastAsia" w:ascii="仿宋" w:hAnsi="仿宋" w:eastAsia="仿宋" w:cs="仿宋"/>
                <w:sz w:val="28"/>
                <w:szCs w:val="28"/>
                <w:highlight w:val="none"/>
                <w:lang w:val="en-US" w:bidi="ar-SA"/>
              </w:rPr>
            </w:pPr>
          </w:p>
        </w:tc>
        <w:tc>
          <w:tcPr>
            <w:tcW w:w="1301" w:type="dxa"/>
            <w:tcBorders>
              <w:top w:val="single" w:color="000000" w:sz="4" w:space="0"/>
              <w:left w:val="single" w:color="000000" w:sz="4" w:space="0"/>
              <w:bottom w:val="single" w:color="000000" w:sz="4" w:space="0"/>
              <w:right w:val="single" w:color="000000" w:sz="4" w:space="0"/>
            </w:tcBorders>
            <w:noWrap w:val="0"/>
            <w:vAlign w:val="top"/>
          </w:tcPr>
          <w:p w14:paraId="1340706E">
            <w:pPr>
              <w:pStyle w:val="89"/>
              <w:rPr>
                <w:rFonts w:hint="eastAsia" w:ascii="仿宋" w:hAnsi="仿宋" w:eastAsia="仿宋" w:cs="仿宋"/>
                <w:sz w:val="28"/>
                <w:szCs w:val="28"/>
                <w:highlight w:val="none"/>
                <w:lang w:val="en-US" w:bidi="ar-SA"/>
              </w:rPr>
            </w:pPr>
          </w:p>
        </w:tc>
        <w:tc>
          <w:tcPr>
            <w:tcW w:w="2654" w:type="dxa"/>
            <w:tcBorders>
              <w:top w:val="single" w:color="000000" w:sz="4" w:space="0"/>
              <w:left w:val="single" w:color="000000" w:sz="4" w:space="0"/>
              <w:bottom w:val="single" w:color="000000" w:sz="4" w:space="0"/>
              <w:right w:val="single" w:color="auto" w:sz="4" w:space="0"/>
            </w:tcBorders>
            <w:noWrap w:val="0"/>
            <w:vAlign w:val="top"/>
          </w:tcPr>
          <w:p w14:paraId="78BB2CE9">
            <w:pPr>
              <w:pStyle w:val="89"/>
              <w:rPr>
                <w:rFonts w:hint="eastAsia" w:ascii="仿宋" w:hAnsi="仿宋" w:eastAsia="仿宋" w:cs="仿宋"/>
                <w:sz w:val="28"/>
                <w:szCs w:val="28"/>
                <w:highlight w:val="none"/>
                <w:lang w:val="en-US" w:bidi="ar-SA"/>
              </w:rPr>
            </w:pPr>
          </w:p>
        </w:tc>
        <w:tc>
          <w:tcPr>
            <w:tcW w:w="765" w:type="dxa"/>
            <w:tcBorders>
              <w:top w:val="single" w:color="000000" w:sz="4" w:space="0"/>
              <w:left w:val="single" w:color="auto" w:sz="4" w:space="0"/>
              <w:bottom w:val="single" w:color="000000" w:sz="4" w:space="0"/>
              <w:right w:val="single" w:color="000000" w:sz="4" w:space="0"/>
            </w:tcBorders>
            <w:noWrap w:val="0"/>
            <w:vAlign w:val="top"/>
          </w:tcPr>
          <w:p w14:paraId="72B6F212">
            <w:pPr>
              <w:pStyle w:val="89"/>
              <w:rPr>
                <w:rFonts w:hint="eastAsia" w:ascii="仿宋" w:hAnsi="仿宋" w:eastAsia="仿宋" w:cs="仿宋"/>
                <w:sz w:val="28"/>
                <w:szCs w:val="28"/>
                <w:highlight w:val="none"/>
                <w:lang w:val="en-US" w:bidi="ar-SA"/>
              </w:rPr>
            </w:pPr>
          </w:p>
        </w:tc>
        <w:tc>
          <w:tcPr>
            <w:tcW w:w="1931" w:type="dxa"/>
            <w:tcBorders>
              <w:top w:val="single" w:color="000000" w:sz="4" w:space="0"/>
              <w:left w:val="single" w:color="000000" w:sz="4" w:space="0"/>
              <w:bottom w:val="single" w:color="000000" w:sz="4" w:space="0"/>
              <w:right w:val="single" w:color="000000" w:sz="4" w:space="0"/>
            </w:tcBorders>
            <w:noWrap w:val="0"/>
            <w:vAlign w:val="top"/>
          </w:tcPr>
          <w:p w14:paraId="0218D719">
            <w:pPr>
              <w:pStyle w:val="89"/>
              <w:rPr>
                <w:rFonts w:hint="eastAsia" w:ascii="仿宋" w:hAnsi="仿宋" w:eastAsia="仿宋" w:cs="仿宋"/>
                <w:sz w:val="28"/>
                <w:szCs w:val="28"/>
                <w:highlight w:val="none"/>
                <w:lang w:val="en-US" w:bidi="ar-SA"/>
              </w:rPr>
            </w:pPr>
          </w:p>
        </w:tc>
        <w:tc>
          <w:tcPr>
            <w:tcW w:w="2034" w:type="dxa"/>
            <w:tcBorders>
              <w:top w:val="single" w:color="000000" w:sz="4" w:space="0"/>
              <w:left w:val="single" w:color="000000" w:sz="4" w:space="0"/>
              <w:bottom w:val="single" w:color="000000" w:sz="4" w:space="0"/>
              <w:right w:val="single" w:color="000000" w:sz="4" w:space="0"/>
            </w:tcBorders>
            <w:noWrap w:val="0"/>
            <w:vAlign w:val="top"/>
          </w:tcPr>
          <w:p w14:paraId="357665A9">
            <w:pPr>
              <w:pStyle w:val="89"/>
              <w:rPr>
                <w:rFonts w:hint="eastAsia" w:ascii="仿宋" w:hAnsi="仿宋" w:eastAsia="仿宋" w:cs="仿宋"/>
                <w:sz w:val="28"/>
                <w:szCs w:val="28"/>
                <w:highlight w:val="none"/>
                <w:lang w:val="en-US" w:bidi="ar-SA"/>
              </w:rPr>
            </w:pPr>
          </w:p>
        </w:tc>
        <w:tc>
          <w:tcPr>
            <w:tcW w:w="2276" w:type="dxa"/>
            <w:tcBorders>
              <w:top w:val="single" w:color="000000" w:sz="4" w:space="0"/>
              <w:left w:val="single" w:color="000000" w:sz="4" w:space="0"/>
              <w:bottom w:val="single" w:color="000000" w:sz="4" w:space="0"/>
              <w:right w:val="single" w:color="000000" w:sz="4" w:space="0"/>
            </w:tcBorders>
            <w:noWrap w:val="0"/>
            <w:vAlign w:val="top"/>
          </w:tcPr>
          <w:p w14:paraId="664DEBF2">
            <w:pPr>
              <w:pStyle w:val="89"/>
              <w:ind w:left="478" w:leftChars="104" w:hanging="260" w:hangingChars="93"/>
              <w:rPr>
                <w:rFonts w:hint="eastAsia" w:ascii="仿宋" w:hAnsi="仿宋" w:eastAsia="仿宋" w:cs="仿宋"/>
                <w:sz w:val="28"/>
                <w:szCs w:val="28"/>
                <w:highlight w:val="none"/>
                <w:lang w:val="en-US" w:bidi="ar-SA"/>
              </w:rPr>
            </w:pPr>
          </w:p>
        </w:tc>
      </w:tr>
      <w:tr w14:paraId="6519B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top"/>
          </w:tcPr>
          <w:p w14:paraId="5E319C44">
            <w:pPr>
              <w:pStyle w:val="89"/>
              <w:rPr>
                <w:rFonts w:hint="eastAsia" w:ascii="仿宋" w:hAnsi="仿宋" w:eastAsia="仿宋" w:cs="仿宋"/>
                <w:sz w:val="28"/>
                <w:szCs w:val="28"/>
                <w:highlight w:val="none"/>
                <w:lang w:val="en-US" w:bidi="ar-SA"/>
              </w:rPr>
            </w:pPr>
          </w:p>
        </w:tc>
        <w:tc>
          <w:tcPr>
            <w:tcW w:w="1825" w:type="dxa"/>
            <w:tcBorders>
              <w:top w:val="single" w:color="000000" w:sz="4" w:space="0"/>
              <w:left w:val="single" w:color="000000" w:sz="4" w:space="0"/>
              <w:bottom w:val="single" w:color="000000" w:sz="4" w:space="0"/>
              <w:right w:val="single" w:color="000000" w:sz="4" w:space="0"/>
            </w:tcBorders>
            <w:noWrap w:val="0"/>
            <w:vAlign w:val="top"/>
          </w:tcPr>
          <w:p w14:paraId="556FD155">
            <w:pPr>
              <w:pStyle w:val="89"/>
              <w:rPr>
                <w:rFonts w:hint="eastAsia" w:ascii="仿宋" w:hAnsi="仿宋" w:eastAsia="仿宋" w:cs="仿宋"/>
                <w:sz w:val="28"/>
                <w:szCs w:val="28"/>
                <w:highlight w:val="none"/>
                <w:lang w:val="en-US" w:bidi="ar-SA"/>
              </w:rPr>
            </w:pPr>
          </w:p>
        </w:tc>
        <w:tc>
          <w:tcPr>
            <w:tcW w:w="1301" w:type="dxa"/>
            <w:tcBorders>
              <w:top w:val="single" w:color="000000" w:sz="4" w:space="0"/>
              <w:left w:val="single" w:color="000000" w:sz="4" w:space="0"/>
              <w:bottom w:val="single" w:color="000000" w:sz="4" w:space="0"/>
              <w:right w:val="single" w:color="000000" w:sz="4" w:space="0"/>
            </w:tcBorders>
            <w:noWrap w:val="0"/>
            <w:vAlign w:val="top"/>
          </w:tcPr>
          <w:p w14:paraId="6D76EE1B">
            <w:pPr>
              <w:pStyle w:val="89"/>
              <w:rPr>
                <w:rFonts w:hint="eastAsia" w:ascii="仿宋" w:hAnsi="仿宋" w:eastAsia="仿宋" w:cs="仿宋"/>
                <w:sz w:val="28"/>
                <w:szCs w:val="28"/>
                <w:highlight w:val="none"/>
                <w:lang w:val="en-US" w:bidi="ar-SA"/>
              </w:rPr>
            </w:pPr>
          </w:p>
        </w:tc>
        <w:tc>
          <w:tcPr>
            <w:tcW w:w="2654" w:type="dxa"/>
            <w:tcBorders>
              <w:top w:val="single" w:color="000000" w:sz="4" w:space="0"/>
              <w:left w:val="single" w:color="000000" w:sz="4" w:space="0"/>
              <w:bottom w:val="single" w:color="000000" w:sz="4" w:space="0"/>
              <w:right w:val="single" w:color="auto" w:sz="4" w:space="0"/>
            </w:tcBorders>
            <w:noWrap w:val="0"/>
            <w:vAlign w:val="top"/>
          </w:tcPr>
          <w:p w14:paraId="20CDFEBC">
            <w:pPr>
              <w:pStyle w:val="89"/>
              <w:rPr>
                <w:rFonts w:hint="eastAsia" w:ascii="仿宋" w:hAnsi="仿宋" w:eastAsia="仿宋" w:cs="仿宋"/>
                <w:sz w:val="28"/>
                <w:szCs w:val="28"/>
                <w:highlight w:val="none"/>
                <w:lang w:val="en-US" w:bidi="ar-SA"/>
              </w:rPr>
            </w:pPr>
          </w:p>
        </w:tc>
        <w:tc>
          <w:tcPr>
            <w:tcW w:w="765" w:type="dxa"/>
            <w:tcBorders>
              <w:top w:val="single" w:color="000000" w:sz="4" w:space="0"/>
              <w:left w:val="single" w:color="auto" w:sz="4" w:space="0"/>
              <w:bottom w:val="single" w:color="000000" w:sz="4" w:space="0"/>
              <w:right w:val="single" w:color="000000" w:sz="4" w:space="0"/>
            </w:tcBorders>
            <w:noWrap w:val="0"/>
            <w:vAlign w:val="top"/>
          </w:tcPr>
          <w:p w14:paraId="1FAC5A7F">
            <w:pPr>
              <w:pStyle w:val="89"/>
              <w:rPr>
                <w:rFonts w:hint="eastAsia" w:ascii="仿宋" w:hAnsi="仿宋" w:eastAsia="仿宋" w:cs="仿宋"/>
                <w:sz w:val="28"/>
                <w:szCs w:val="28"/>
                <w:highlight w:val="none"/>
                <w:lang w:val="en-US" w:bidi="ar-SA"/>
              </w:rPr>
            </w:pPr>
          </w:p>
        </w:tc>
        <w:tc>
          <w:tcPr>
            <w:tcW w:w="1931" w:type="dxa"/>
            <w:tcBorders>
              <w:top w:val="single" w:color="000000" w:sz="4" w:space="0"/>
              <w:left w:val="single" w:color="000000" w:sz="4" w:space="0"/>
              <w:bottom w:val="single" w:color="000000" w:sz="4" w:space="0"/>
              <w:right w:val="single" w:color="000000" w:sz="4" w:space="0"/>
            </w:tcBorders>
            <w:noWrap w:val="0"/>
            <w:vAlign w:val="top"/>
          </w:tcPr>
          <w:p w14:paraId="1963A269">
            <w:pPr>
              <w:pStyle w:val="89"/>
              <w:rPr>
                <w:rFonts w:hint="eastAsia" w:ascii="仿宋" w:hAnsi="仿宋" w:eastAsia="仿宋" w:cs="仿宋"/>
                <w:sz w:val="28"/>
                <w:szCs w:val="28"/>
                <w:highlight w:val="none"/>
                <w:lang w:val="en-US" w:bidi="ar-SA"/>
              </w:rPr>
            </w:pPr>
          </w:p>
        </w:tc>
        <w:tc>
          <w:tcPr>
            <w:tcW w:w="2034" w:type="dxa"/>
            <w:tcBorders>
              <w:top w:val="single" w:color="000000" w:sz="4" w:space="0"/>
              <w:left w:val="single" w:color="000000" w:sz="4" w:space="0"/>
              <w:bottom w:val="single" w:color="000000" w:sz="4" w:space="0"/>
              <w:right w:val="single" w:color="000000" w:sz="4" w:space="0"/>
            </w:tcBorders>
            <w:noWrap w:val="0"/>
            <w:vAlign w:val="top"/>
          </w:tcPr>
          <w:p w14:paraId="77A33AD2">
            <w:pPr>
              <w:pStyle w:val="89"/>
              <w:rPr>
                <w:rFonts w:hint="eastAsia" w:ascii="仿宋" w:hAnsi="仿宋" w:eastAsia="仿宋" w:cs="仿宋"/>
                <w:sz w:val="28"/>
                <w:szCs w:val="28"/>
                <w:highlight w:val="none"/>
                <w:lang w:val="en-US" w:bidi="ar-SA"/>
              </w:rPr>
            </w:pPr>
          </w:p>
        </w:tc>
        <w:tc>
          <w:tcPr>
            <w:tcW w:w="2276" w:type="dxa"/>
            <w:tcBorders>
              <w:top w:val="single" w:color="000000" w:sz="4" w:space="0"/>
              <w:left w:val="single" w:color="000000" w:sz="4" w:space="0"/>
              <w:bottom w:val="single" w:color="000000" w:sz="4" w:space="0"/>
              <w:right w:val="single" w:color="000000" w:sz="4" w:space="0"/>
            </w:tcBorders>
            <w:noWrap w:val="0"/>
            <w:vAlign w:val="top"/>
          </w:tcPr>
          <w:p w14:paraId="7575283C">
            <w:pPr>
              <w:pStyle w:val="89"/>
              <w:ind w:left="478" w:leftChars="104" w:hanging="260" w:hangingChars="93"/>
              <w:rPr>
                <w:rFonts w:hint="eastAsia" w:ascii="仿宋" w:hAnsi="仿宋" w:eastAsia="仿宋" w:cs="仿宋"/>
                <w:sz w:val="28"/>
                <w:szCs w:val="28"/>
                <w:highlight w:val="none"/>
                <w:lang w:val="en-US" w:bidi="ar-SA"/>
              </w:rPr>
            </w:pPr>
          </w:p>
        </w:tc>
      </w:tr>
      <w:tr w14:paraId="5D2627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3"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top"/>
          </w:tcPr>
          <w:p w14:paraId="480E5A92">
            <w:pPr>
              <w:pStyle w:val="89"/>
              <w:rPr>
                <w:rFonts w:hint="eastAsia" w:ascii="仿宋" w:hAnsi="仿宋" w:eastAsia="仿宋" w:cs="仿宋"/>
                <w:sz w:val="28"/>
                <w:szCs w:val="28"/>
                <w:highlight w:val="none"/>
                <w:lang w:val="en-US" w:bidi="ar-SA"/>
              </w:rPr>
            </w:pPr>
          </w:p>
        </w:tc>
        <w:tc>
          <w:tcPr>
            <w:tcW w:w="1825" w:type="dxa"/>
            <w:tcBorders>
              <w:top w:val="single" w:color="000000" w:sz="4" w:space="0"/>
              <w:left w:val="single" w:color="000000" w:sz="4" w:space="0"/>
              <w:bottom w:val="single" w:color="000000" w:sz="4" w:space="0"/>
              <w:right w:val="single" w:color="000000" w:sz="4" w:space="0"/>
            </w:tcBorders>
            <w:noWrap w:val="0"/>
            <w:vAlign w:val="top"/>
          </w:tcPr>
          <w:p w14:paraId="73C0FEE2">
            <w:pPr>
              <w:pStyle w:val="89"/>
              <w:rPr>
                <w:rFonts w:hint="eastAsia" w:ascii="仿宋" w:hAnsi="仿宋" w:eastAsia="仿宋" w:cs="仿宋"/>
                <w:sz w:val="28"/>
                <w:szCs w:val="28"/>
                <w:highlight w:val="none"/>
                <w:lang w:val="en-US" w:bidi="ar-SA"/>
              </w:rPr>
            </w:pPr>
          </w:p>
        </w:tc>
        <w:tc>
          <w:tcPr>
            <w:tcW w:w="1301" w:type="dxa"/>
            <w:tcBorders>
              <w:top w:val="single" w:color="000000" w:sz="4" w:space="0"/>
              <w:left w:val="single" w:color="000000" w:sz="4" w:space="0"/>
              <w:bottom w:val="single" w:color="000000" w:sz="4" w:space="0"/>
              <w:right w:val="single" w:color="000000" w:sz="4" w:space="0"/>
            </w:tcBorders>
            <w:noWrap w:val="0"/>
            <w:vAlign w:val="top"/>
          </w:tcPr>
          <w:p w14:paraId="677F4B81">
            <w:pPr>
              <w:pStyle w:val="89"/>
              <w:rPr>
                <w:rFonts w:hint="eastAsia" w:ascii="仿宋" w:hAnsi="仿宋" w:eastAsia="仿宋" w:cs="仿宋"/>
                <w:sz w:val="28"/>
                <w:szCs w:val="28"/>
                <w:highlight w:val="none"/>
                <w:lang w:val="en-US" w:bidi="ar-SA"/>
              </w:rPr>
            </w:pPr>
          </w:p>
        </w:tc>
        <w:tc>
          <w:tcPr>
            <w:tcW w:w="2654" w:type="dxa"/>
            <w:tcBorders>
              <w:top w:val="single" w:color="000000" w:sz="4" w:space="0"/>
              <w:left w:val="single" w:color="000000" w:sz="4" w:space="0"/>
              <w:bottom w:val="single" w:color="000000" w:sz="4" w:space="0"/>
              <w:right w:val="single" w:color="auto" w:sz="4" w:space="0"/>
            </w:tcBorders>
            <w:noWrap w:val="0"/>
            <w:vAlign w:val="top"/>
          </w:tcPr>
          <w:p w14:paraId="6FB55C9B">
            <w:pPr>
              <w:pStyle w:val="89"/>
              <w:rPr>
                <w:rFonts w:hint="eastAsia" w:ascii="仿宋" w:hAnsi="仿宋" w:eastAsia="仿宋" w:cs="仿宋"/>
                <w:sz w:val="28"/>
                <w:szCs w:val="28"/>
                <w:highlight w:val="none"/>
                <w:lang w:val="en-US" w:bidi="ar-SA"/>
              </w:rPr>
            </w:pPr>
          </w:p>
        </w:tc>
        <w:tc>
          <w:tcPr>
            <w:tcW w:w="765" w:type="dxa"/>
            <w:tcBorders>
              <w:top w:val="single" w:color="000000" w:sz="4" w:space="0"/>
              <w:left w:val="single" w:color="auto" w:sz="4" w:space="0"/>
              <w:bottom w:val="single" w:color="000000" w:sz="4" w:space="0"/>
              <w:right w:val="single" w:color="000000" w:sz="4" w:space="0"/>
            </w:tcBorders>
            <w:noWrap w:val="0"/>
            <w:vAlign w:val="top"/>
          </w:tcPr>
          <w:p w14:paraId="06ECED99">
            <w:pPr>
              <w:pStyle w:val="89"/>
              <w:rPr>
                <w:rFonts w:hint="eastAsia" w:ascii="仿宋" w:hAnsi="仿宋" w:eastAsia="仿宋" w:cs="仿宋"/>
                <w:sz w:val="28"/>
                <w:szCs w:val="28"/>
                <w:highlight w:val="none"/>
                <w:lang w:val="en-US" w:bidi="ar-SA"/>
              </w:rPr>
            </w:pPr>
          </w:p>
        </w:tc>
        <w:tc>
          <w:tcPr>
            <w:tcW w:w="1931" w:type="dxa"/>
            <w:tcBorders>
              <w:top w:val="single" w:color="000000" w:sz="4" w:space="0"/>
              <w:left w:val="single" w:color="000000" w:sz="4" w:space="0"/>
              <w:bottom w:val="single" w:color="000000" w:sz="4" w:space="0"/>
              <w:right w:val="single" w:color="000000" w:sz="4" w:space="0"/>
            </w:tcBorders>
            <w:noWrap w:val="0"/>
            <w:vAlign w:val="top"/>
          </w:tcPr>
          <w:p w14:paraId="782BB904">
            <w:pPr>
              <w:pStyle w:val="89"/>
              <w:rPr>
                <w:rFonts w:hint="eastAsia" w:ascii="仿宋" w:hAnsi="仿宋" w:eastAsia="仿宋" w:cs="仿宋"/>
                <w:sz w:val="28"/>
                <w:szCs w:val="28"/>
                <w:highlight w:val="none"/>
                <w:lang w:val="en-US" w:bidi="ar-SA"/>
              </w:rPr>
            </w:pPr>
          </w:p>
        </w:tc>
        <w:tc>
          <w:tcPr>
            <w:tcW w:w="2034" w:type="dxa"/>
            <w:tcBorders>
              <w:top w:val="single" w:color="000000" w:sz="4" w:space="0"/>
              <w:left w:val="single" w:color="000000" w:sz="4" w:space="0"/>
              <w:bottom w:val="single" w:color="000000" w:sz="4" w:space="0"/>
              <w:right w:val="single" w:color="000000" w:sz="4" w:space="0"/>
            </w:tcBorders>
            <w:noWrap w:val="0"/>
            <w:vAlign w:val="top"/>
          </w:tcPr>
          <w:p w14:paraId="42E78420">
            <w:pPr>
              <w:pStyle w:val="89"/>
              <w:rPr>
                <w:rFonts w:hint="eastAsia" w:ascii="仿宋" w:hAnsi="仿宋" w:eastAsia="仿宋" w:cs="仿宋"/>
                <w:sz w:val="28"/>
                <w:szCs w:val="28"/>
                <w:highlight w:val="none"/>
                <w:lang w:val="en-US" w:bidi="ar-SA"/>
              </w:rPr>
            </w:pPr>
          </w:p>
        </w:tc>
        <w:tc>
          <w:tcPr>
            <w:tcW w:w="2276" w:type="dxa"/>
            <w:tcBorders>
              <w:top w:val="single" w:color="000000" w:sz="4" w:space="0"/>
              <w:left w:val="single" w:color="000000" w:sz="4" w:space="0"/>
              <w:bottom w:val="single" w:color="000000" w:sz="4" w:space="0"/>
              <w:right w:val="single" w:color="000000" w:sz="4" w:space="0"/>
            </w:tcBorders>
            <w:noWrap w:val="0"/>
            <w:vAlign w:val="top"/>
          </w:tcPr>
          <w:p w14:paraId="15B039F4">
            <w:pPr>
              <w:pStyle w:val="89"/>
              <w:ind w:left="478" w:leftChars="104" w:hanging="260" w:hangingChars="93"/>
              <w:rPr>
                <w:rFonts w:hint="eastAsia" w:ascii="仿宋" w:hAnsi="仿宋" w:eastAsia="仿宋" w:cs="仿宋"/>
                <w:sz w:val="28"/>
                <w:szCs w:val="28"/>
                <w:highlight w:val="none"/>
                <w:lang w:val="en-US" w:bidi="ar-SA"/>
              </w:rPr>
            </w:pPr>
          </w:p>
        </w:tc>
      </w:tr>
      <w:tr w14:paraId="5E57C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2" w:hRule="atLeast"/>
          <w:jc w:val="center"/>
        </w:trPr>
        <w:tc>
          <w:tcPr>
            <w:tcW w:w="1170" w:type="dxa"/>
            <w:tcBorders>
              <w:top w:val="single" w:color="000000" w:sz="4" w:space="0"/>
              <w:left w:val="single" w:color="000000" w:sz="4" w:space="0"/>
              <w:bottom w:val="single" w:color="000000" w:sz="4" w:space="0"/>
              <w:right w:val="single" w:color="000000" w:sz="4" w:space="0"/>
            </w:tcBorders>
            <w:noWrap w:val="0"/>
            <w:vAlign w:val="center"/>
          </w:tcPr>
          <w:p w14:paraId="34B16AC5">
            <w:pPr>
              <w:pStyle w:val="89"/>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w:t>
            </w:r>
          </w:p>
        </w:tc>
        <w:tc>
          <w:tcPr>
            <w:tcW w:w="1825" w:type="dxa"/>
            <w:tcBorders>
              <w:top w:val="single" w:color="000000" w:sz="4" w:space="0"/>
              <w:left w:val="single" w:color="000000" w:sz="4" w:space="0"/>
              <w:bottom w:val="single" w:color="000000" w:sz="4" w:space="0"/>
              <w:right w:val="single" w:color="000000" w:sz="4" w:space="0"/>
            </w:tcBorders>
            <w:noWrap w:val="0"/>
            <w:vAlign w:val="center"/>
          </w:tcPr>
          <w:p w14:paraId="6CE476B1">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1301" w:type="dxa"/>
            <w:tcBorders>
              <w:top w:val="single" w:color="000000" w:sz="4" w:space="0"/>
              <w:left w:val="single" w:color="000000" w:sz="4" w:space="0"/>
              <w:bottom w:val="single" w:color="000000" w:sz="4" w:space="0"/>
              <w:right w:val="single" w:color="000000" w:sz="4" w:space="0"/>
            </w:tcBorders>
            <w:noWrap w:val="0"/>
            <w:vAlign w:val="center"/>
          </w:tcPr>
          <w:p w14:paraId="6B324C5A">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2654" w:type="dxa"/>
            <w:tcBorders>
              <w:top w:val="single" w:color="000000" w:sz="4" w:space="0"/>
              <w:left w:val="single" w:color="000000" w:sz="4" w:space="0"/>
              <w:bottom w:val="single" w:color="000000" w:sz="4" w:space="0"/>
              <w:right w:val="single" w:color="auto" w:sz="4" w:space="0"/>
            </w:tcBorders>
            <w:noWrap w:val="0"/>
            <w:vAlign w:val="center"/>
          </w:tcPr>
          <w:p w14:paraId="1CBD0926">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765" w:type="dxa"/>
            <w:tcBorders>
              <w:top w:val="single" w:color="000000" w:sz="4" w:space="0"/>
              <w:left w:val="single" w:color="auto" w:sz="4" w:space="0"/>
              <w:bottom w:val="single" w:color="000000" w:sz="4" w:space="0"/>
              <w:right w:val="single" w:color="000000" w:sz="4" w:space="0"/>
            </w:tcBorders>
            <w:noWrap w:val="0"/>
            <w:vAlign w:val="center"/>
          </w:tcPr>
          <w:p w14:paraId="37FC6233">
            <w:pPr>
              <w:pStyle w:val="89"/>
              <w:jc w:val="center"/>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w:t>
            </w:r>
          </w:p>
        </w:tc>
        <w:tc>
          <w:tcPr>
            <w:tcW w:w="1931" w:type="dxa"/>
            <w:tcBorders>
              <w:top w:val="single" w:color="000000" w:sz="4" w:space="0"/>
              <w:left w:val="single" w:color="000000" w:sz="4" w:space="0"/>
              <w:bottom w:val="single" w:color="000000" w:sz="4" w:space="0"/>
              <w:right w:val="single" w:color="000000" w:sz="4" w:space="0"/>
            </w:tcBorders>
            <w:noWrap w:val="0"/>
            <w:vAlign w:val="center"/>
          </w:tcPr>
          <w:p w14:paraId="10BB7422">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2034" w:type="dxa"/>
            <w:tcBorders>
              <w:top w:val="single" w:color="000000" w:sz="4" w:space="0"/>
              <w:left w:val="single" w:color="000000" w:sz="4" w:space="0"/>
              <w:bottom w:val="single" w:color="000000" w:sz="4" w:space="0"/>
              <w:right w:val="single" w:color="000000" w:sz="4" w:space="0"/>
            </w:tcBorders>
            <w:noWrap w:val="0"/>
            <w:vAlign w:val="center"/>
          </w:tcPr>
          <w:p w14:paraId="0D779875">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c>
          <w:tcPr>
            <w:tcW w:w="2276" w:type="dxa"/>
            <w:tcBorders>
              <w:top w:val="single" w:color="000000" w:sz="4" w:space="0"/>
              <w:left w:val="single" w:color="000000" w:sz="4" w:space="0"/>
              <w:bottom w:val="single" w:color="000000" w:sz="4" w:space="0"/>
              <w:right w:val="single" w:color="000000" w:sz="4" w:space="0"/>
            </w:tcBorders>
            <w:noWrap w:val="0"/>
            <w:vAlign w:val="center"/>
          </w:tcPr>
          <w:p w14:paraId="6DF9FCCD">
            <w:pPr>
              <w:pStyle w:val="89"/>
              <w:jc w:val="center"/>
              <w:rPr>
                <w:rFonts w:hint="eastAsia" w:ascii="仿宋" w:hAnsi="仿宋" w:eastAsia="仿宋" w:cs="仿宋"/>
                <w:sz w:val="28"/>
                <w:szCs w:val="28"/>
                <w:highlight w:val="none"/>
                <w:lang w:val="en-US" w:bidi="ar-SA"/>
              </w:rPr>
            </w:pPr>
            <w:r>
              <w:rPr>
                <w:rFonts w:hint="eastAsia" w:ascii="仿宋" w:hAnsi="仿宋" w:eastAsia="仿宋" w:cs="仿宋"/>
                <w:sz w:val="28"/>
                <w:szCs w:val="28"/>
                <w:highlight w:val="none"/>
                <w:lang w:val="en-US" w:eastAsia="zh-CN" w:bidi="ar-SA"/>
              </w:rPr>
              <w:t>……</w:t>
            </w:r>
          </w:p>
        </w:tc>
      </w:tr>
    </w:tbl>
    <w:p w14:paraId="52D2311A">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投标单位：（盖章）</w:t>
      </w:r>
    </w:p>
    <w:p w14:paraId="4869B249">
      <w:pPr>
        <w:snapToGrid w:val="0"/>
        <w:spacing w:line="360" w:lineRule="auto"/>
        <w:ind w:firstLine="240" w:firstLineChars="100"/>
        <w:rPr>
          <w:rFonts w:ascii="仿宋" w:hAnsi="仿宋" w:eastAsia="仿宋" w:cs="仿宋"/>
          <w:sz w:val="24"/>
          <w:szCs w:val="24"/>
          <w:highlight w:val="none"/>
        </w:rPr>
      </w:pPr>
      <w:r>
        <w:rPr>
          <w:rFonts w:hint="eastAsia" w:ascii="仿宋" w:hAnsi="仿宋" w:eastAsia="仿宋" w:cs="仿宋"/>
          <w:sz w:val="24"/>
          <w:szCs w:val="24"/>
          <w:highlight w:val="none"/>
        </w:rPr>
        <w:t>法定代表人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负责人</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 xml:space="preserve">或委托代理人：      </w:t>
      </w:r>
      <w:r>
        <w:rPr>
          <w:rFonts w:hint="eastAsia" w:ascii="仿宋" w:hAnsi="仿宋" w:eastAsia="仿宋" w:cs="仿宋"/>
          <w:sz w:val="24"/>
          <w:szCs w:val="24"/>
          <w:highlight w:val="none"/>
          <w:lang w:val="zh-CN"/>
        </w:rPr>
        <w:t>（签字或盖章）</w:t>
      </w:r>
    </w:p>
    <w:p w14:paraId="16FA452E">
      <w:pPr>
        <w:snapToGrid w:val="0"/>
        <w:spacing w:line="360" w:lineRule="auto"/>
        <w:ind w:firstLine="240" w:firstLineChars="100"/>
        <w:rPr>
          <w:rFonts w:ascii="仿宋" w:hAnsi="仿宋" w:eastAsia="仿宋" w:cs="仿宋"/>
          <w:b/>
          <w:bCs/>
          <w:sz w:val="24"/>
          <w:szCs w:val="24"/>
          <w:highlight w:val="none"/>
        </w:rPr>
      </w:pPr>
      <w:r>
        <w:rPr>
          <w:rFonts w:hint="eastAsia" w:ascii="仿宋" w:hAnsi="仿宋" w:eastAsia="仿宋" w:cs="仿宋"/>
          <w:sz w:val="24"/>
          <w:szCs w:val="24"/>
          <w:highlight w:val="none"/>
        </w:rPr>
        <w:t>日期：</w:t>
      </w:r>
    </w:p>
    <w:p w14:paraId="1E540846">
      <w:pPr>
        <w:rPr>
          <w:rFonts w:hint="eastAsia" w:ascii="仿宋" w:hAnsi="仿宋" w:eastAsia="仿宋" w:cs="仿宋"/>
          <w:sz w:val="24"/>
          <w:szCs w:val="24"/>
          <w:highlight w:val="none"/>
          <w:lang w:eastAsia="zh-CN"/>
        </w:rPr>
        <w:sectPr>
          <w:pgSz w:w="16838" w:h="11906" w:orient="landscape"/>
          <w:pgMar w:top="1800" w:right="1440" w:bottom="1800" w:left="1440" w:header="851" w:footer="992" w:gutter="0"/>
          <w:pgBorders>
            <w:top w:val="none" w:sz="0" w:space="0"/>
            <w:left w:val="none" w:sz="0" w:space="0"/>
            <w:bottom w:val="none" w:sz="0" w:space="0"/>
            <w:right w:val="none" w:sz="0" w:space="0"/>
          </w:pgBorders>
          <w:cols w:space="720" w:num="1"/>
          <w:titlePg/>
          <w:docGrid w:linePitch="319" w:charSpace="0"/>
        </w:sectPr>
      </w:pPr>
    </w:p>
    <w:p w14:paraId="61FEB662">
      <w:pPr>
        <w:pStyle w:val="23"/>
        <w:wordWrap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3、加油服务软硬件设备、设施状况</w:t>
      </w:r>
    </w:p>
    <w:p w14:paraId="1E0A7955">
      <w:pPr>
        <w:pStyle w:val="23"/>
        <w:wordWrap w:val="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4、管理措施</w:t>
      </w:r>
    </w:p>
    <w:p w14:paraId="00332172">
      <w:pPr>
        <w:pStyle w:val="23"/>
        <w:tabs>
          <w:tab w:val="left" w:pos="3375"/>
        </w:tabs>
        <w:wordWrap w:val="0"/>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5、服务承诺</w:t>
      </w:r>
    </w:p>
    <w:p w14:paraId="6D272394">
      <w:pP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br w:type="page"/>
      </w:r>
    </w:p>
    <w:p w14:paraId="62944B8B">
      <w:pPr>
        <w:pStyle w:val="23"/>
        <w:tabs>
          <w:tab w:val="left" w:pos="3375"/>
        </w:tabs>
        <w:wordWrap w:val="0"/>
        <w:spacing w:line="360" w:lineRule="auto"/>
        <w:jc w:val="center"/>
        <w:rPr>
          <w:rFonts w:hint="eastAsia"/>
          <w:highlight w:val="none"/>
          <w:lang w:eastAsia="zh-CN"/>
        </w:rPr>
      </w:pPr>
      <w:r>
        <w:rPr>
          <w:rFonts w:hint="eastAsia" w:ascii="黑体" w:hAnsi="黑体" w:eastAsia="仿宋" w:cs="Times New Roman"/>
          <w:b/>
          <w:kern w:val="2"/>
          <w:sz w:val="30"/>
          <w:szCs w:val="22"/>
          <w:highlight w:val="none"/>
          <w:lang w:val="en-US" w:eastAsia="zh-CN" w:bidi="ar-SA"/>
        </w:rPr>
        <w:t>第六部分  合同（范本）</w:t>
      </w:r>
      <w:bookmarkEnd w:id="20"/>
    </w:p>
    <w:p w14:paraId="74996702">
      <w:pPr>
        <w:pStyle w:val="23"/>
        <w:spacing w:line="520" w:lineRule="exact"/>
        <w:contextualSpacing/>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合同编号:</w:t>
      </w:r>
    </w:p>
    <w:p w14:paraId="6329D70B">
      <w:pPr>
        <w:pStyle w:val="23"/>
        <w:spacing w:line="520" w:lineRule="exact"/>
        <w:contextualSpacing/>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采购编号： </w:t>
      </w:r>
    </w:p>
    <w:p w14:paraId="187FE1A2">
      <w:pPr>
        <w:spacing w:line="480" w:lineRule="exact"/>
        <w:ind w:firstLine="480" w:firstLineChars="200"/>
        <w:jc w:val="left"/>
        <w:outlineLvl w:val="0"/>
        <w:rPr>
          <w:rFonts w:hint="eastAsia" w:ascii="仿宋" w:hAnsi="仿宋" w:eastAsia="仿宋" w:cs="仿宋"/>
          <w:sz w:val="24"/>
          <w:szCs w:val="24"/>
          <w:highlight w:val="none"/>
        </w:rPr>
      </w:pPr>
      <w:r>
        <w:rPr>
          <w:rFonts w:hint="eastAsia" w:ascii="仿宋" w:hAnsi="仿宋" w:eastAsia="仿宋" w:cs="仿宋"/>
          <w:sz w:val="24"/>
          <w:szCs w:val="24"/>
          <w:highlight w:val="none"/>
        </w:rPr>
        <w:t>本合同于202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日由甲、乙双方共同签订。甲方为威海交通场站管理有限公司、乙方为</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。本合同双方必须遵守《中华人民共和国民法典》,并各自履行应负的全部责任。</w:t>
      </w:r>
    </w:p>
    <w:p w14:paraId="23B9B034">
      <w:pPr>
        <w:spacing w:line="480" w:lineRule="exact"/>
        <w:rPr>
          <w:rFonts w:hint="eastAsia" w:ascii="仿宋" w:hAnsi="仿宋" w:eastAsia="仿宋" w:cs="仿宋"/>
          <w:b/>
          <w:sz w:val="24"/>
          <w:szCs w:val="24"/>
          <w:highlight w:val="none"/>
        </w:rPr>
      </w:pPr>
      <w:r>
        <w:rPr>
          <w:rFonts w:hint="eastAsia" w:ascii="仿宋" w:hAnsi="仿宋" w:eastAsia="仿宋" w:cs="仿宋"/>
          <w:sz w:val="24"/>
          <w:szCs w:val="24"/>
          <w:highlight w:val="none"/>
        </w:rPr>
        <w:tab/>
      </w:r>
      <w:r>
        <w:rPr>
          <w:rFonts w:hint="eastAsia" w:ascii="仿宋" w:hAnsi="仿宋" w:eastAsia="仿宋" w:cs="仿宋"/>
          <w:b/>
          <w:sz w:val="24"/>
          <w:szCs w:val="24"/>
          <w:highlight w:val="none"/>
        </w:rPr>
        <w:t>一、合同的组成部分</w:t>
      </w:r>
    </w:p>
    <w:p w14:paraId="256D230D">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1．中标通知书</w:t>
      </w:r>
    </w:p>
    <w:p w14:paraId="338DB4F6">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2．本合同书</w:t>
      </w:r>
    </w:p>
    <w:p w14:paraId="7EB97DD5">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3．乙方补充、修改和澄清的文件(含开标、评标过程中，双方同意的对有关问题的补充资料和澄清文件)</w:t>
      </w:r>
    </w:p>
    <w:p w14:paraId="56321062">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4．WHJTCZ202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-000</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招标文件</w:t>
      </w:r>
    </w:p>
    <w:p w14:paraId="0CE92410">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5．乙方的投标文件</w:t>
      </w:r>
    </w:p>
    <w:p w14:paraId="68CA68DC">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上述文件将相互补充，若有不明确或不一致之处，以上列次序在先者为准。</w:t>
      </w:r>
    </w:p>
    <w:p w14:paraId="4BF1C267">
      <w:pPr>
        <w:spacing w:line="48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二、加油服务范围</w:t>
      </w:r>
    </w:p>
    <w:p w14:paraId="4A4253D4">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bCs/>
          <w:sz w:val="24"/>
          <w:szCs w:val="24"/>
          <w:highlight w:val="none"/>
          <w:lang w:val="en-US" w:eastAsia="zh-CN"/>
        </w:rPr>
        <w:t>标包二：选定全国范围定点加油服务单位。</w:t>
      </w:r>
      <w:r>
        <w:rPr>
          <w:rFonts w:hint="eastAsia" w:ascii="仿宋" w:hAnsi="仿宋" w:eastAsia="仿宋" w:cs="仿宋"/>
          <w:sz w:val="24"/>
          <w:szCs w:val="24"/>
          <w:highlight w:val="none"/>
        </w:rPr>
        <w:t>威海交通场站管理有限公司的车辆加油均纳入本合同范围，并享受本合同确定的车辆加油优惠价格和服务。</w:t>
      </w:r>
    </w:p>
    <w:p w14:paraId="1AEB6884">
      <w:pPr>
        <w:spacing w:line="480" w:lineRule="exact"/>
        <w:ind w:firstLine="477" w:firstLineChars="198"/>
        <w:rPr>
          <w:rFonts w:hint="eastAsia" w:ascii="仿宋" w:hAnsi="仿宋" w:eastAsia="仿宋" w:cs="仿宋"/>
          <w:b/>
          <w:sz w:val="24"/>
          <w:szCs w:val="24"/>
          <w:highlight w:val="none"/>
        </w:rPr>
      </w:pPr>
      <w:r>
        <w:rPr>
          <w:rFonts w:hint="eastAsia" w:ascii="仿宋" w:hAnsi="仿宋" w:eastAsia="仿宋" w:cs="仿宋"/>
          <w:b/>
          <w:sz w:val="24"/>
          <w:szCs w:val="24"/>
          <w:highlight w:val="none"/>
        </w:rPr>
        <w:t>三、加油服务优惠：</w:t>
      </w:r>
    </w:p>
    <w:p w14:paraId="1B71819C">
      <w:pPr>
        <w:spacing w:line="480" w:lineRule="exact"/>
        <w:ind w:firstLine="480" w:firstLineChars="200"/>
        <w:rPr>
          <w:rFonts w:hint="eastAsia" w:ascii="仿宋" w:hAnsi="仿宋" w:eastAsia="仿宋" w:cs="仿宋"/>
          <w:highlight w:val="none"/>
          <w:lang w:val="en-US" w:eastAsia="zh-CN"/>
        </w:rPr>
      </w:pPr>
      <w:r>
        <w:rPr>
          <w:rFonts w:hint="eastAsia" w:ascii="仿宋" w:hAnsi="仿宋" w:eastAsia="仿宋" w:cs="仿宋"/>
          <w:bCs/>
          <w:sz w:val="24"/>
          <w:szCs w:val="24"/>
          <w:highlight w:val="none"/>
        </w:rPr>
        <w:t>在国家有关部门批准的当前市场价格的基础上：</w:t>
      </w:r>
      <w:r>
        <w:rPr>
          <w:rFonts w:hint="eastAsia" w:ascii="仿宋" w:hAnsi="仿宋" w:eastAsia="仿宋" w:cs="仿宋"/>
          <w:bCs/>
          <w:sz w:val="24"/>
          <w:szCs w:val="24"/>
          <w:highlight w:val="none"/>
          <w:lang w:val="en-US" w:eastAsia="zh-CN"/>
        </w:rPr>
        <w:t>折扣</w:t>
      </w:r>
      <w:r>
        <w:rPr>
          <w:rFonts w:hint="eastAsia" w:ascii="仿宋" w:hAnsi="仿宋" w:eastAsia="仿宋" w:cs="仿宋"/>
          <w:bCs/>
          <w:sz w:val="24"/>
          <w:szCs w:val="24"/>
          <w:highlight w:val="none"/>
          <w:u w:val="single"/>
          <w:lang w:val="en-US" w:eastAsia="zh-CN"/>
        </w:rPr>
        <w:t xml:space="preserve">    </w:t>
      </w:r>
      <w:r>
        <w:rPr>
          <w:rFonts w:hint="eastAsia" w:ascii="仿宋" w:hAnsi="仿宋" w:eastAsia="仿宋" w:cs="仿宋"/>
          <w:bCs/>
          <w:sz w:val="24"/>
          <w:szCs w:val="24"/>
          <w:highlight w:val="none"/>
          <w:u w:val="none"/>
          <w:lang w:val="en-US" w:eastAsia="zh-CN"/>
        </w:rPr>
        <w:t>%</w:t>
      </w:r>
      <w:r>
        <w:rPr>
          <w:rFonts w:hint="eastAsia" w:ascii="仿宋" w:hAnsi="仿宋" w:eastAsia="仿宋" w:cs="仿宋"/>
          <w:bCs/>
          <w:sz w:val="24"/>
          <w:szCs w:val="24"/>
          <w:highlight w:val="none"/>
          <w:lang w:eastAsia="zh-CN"/>
        </w:rPr>
        <w:t>，若中标单位的优惠力度高</w:t>
      </w:r>
      <w:r>
        <w:rPr>
          <w:rFonts w:hint="eastAsia" w:ascii="仿宋" w:hAnsi="仿宋" w:eastAsia="仿宋" w:cs="仿宋"/>
          <w:color w:val="auto"/>
          <w:kern w:val="2"/>
          <w:sz w:val="24"/>
          <w:szCs w:val="24"/>
          <w:highlight w:val="none"/>
          <w:lang w:eastAsia="zh-CN" w:bidi="ar-SA"/>
        </w:rPr>
        <w:t>于该标准的，按其优惠政策执行。</w:t>
      </w:r>
      <w:r>
        <w:rPr>
          <w:rFonts w:hint="eastAsia" w:ascii="仿宋" w:hAnsi="仿宋" w:eastAsia="仿宋" w:cs="仿宋"/>
          <w:b/>
          <w:bCs/>
          <w:kern w:val="0"/>
          <w:sz w:val="24"/>
          <w:szCs w:val="24"/>
          <w:highlight w:val="none"/>
          <w:lang w:val="en-US" w:eastAsia="zh-CN"/>
        </w:rPr>
        <w:t>（</w:t>
      </w:r>
      <w:r>
        <w:rPr>
          <w:rFonts w:hint="eastAsia" w:ascii="仿宋" w:hAnsi="仿宋" w:eastAsia="仿宋" w:cs="仿宋"/>
          <w:b/>
          <w:bCs/>
          <w:color w:val="000000"/>
          <w:kern w:val="0"/>
          <w:sz w:val="24"/>
          <w:szCs w:val="24"/>
          <w:highlight w:val="none"/>
          <w:lang w:val="en-US" w:eastAsia="zh-CN"/>
        </w:rPr>
        <w:t>仅在</w:t>
      </w:r>
      <w:r>
        <w:rPr>
          <w:rFonts w:hint="eastAsia" w:ascii="仿宋" w:hAnsi="仿宋" w:eastAsia="仿宋" w:cs="仿宋"/>
          <w:b/>
          <w:bCs/>
          <w:spacing w:val="8"/>
          <w:kern w:val="2"/>
          <w:sz w:val="24"/>
          <w:szCs w:val="24"/>
          <w:highlight w:val="none"/>
          <w:lang w:val="en-US" w:eastAsia="zh-CN" w:bidi="ar-SA"/>
        </w:rPr>
        <w:t>山东省内的加油站点执行折扣优惠</w:t>
      </w:r>
      <w:r>
        <w:rPr>
          <w:rFonts w:hint="eastAsia" w:ascii="仿宋" w:hAnsi="仿宋" w:eastAsia="仿宋" w:cs="仿宋"/>
          <w:b/>
          <w:bCs/>
          <w:kern w:val="0"/>
          <w:sz w:val="24"/>
          <w:szCs w:val="24"/>
          <w:highlight w:val="none"/>
          <w:lang w:val="en-US" w:eastAsia="zh-CN"/>
        </w:rPr>
        <w:t>）</w:t>
      </w:r>
    </w:p>
    <w:p w14:paraId="5542088D">
      <w:pPr>
        <w:spacing w:line="480" w:lineRule="exact"/>
        <w:ind w:firstLine="477" w:firstLineChars="198"/>
        <w:rPr>
          <w:rFonts w:hint="eastAsia" w:ascii="仿宋" w:hAnsi="仿宋" w:eastAsia="仿宋" w:cs="仿宋"/>
          <w:b/>
          <w:sz w:val="24"/>
          <w:szCs w:val="24"/>
          <w:highlight w:val="none"/>
        </w:rPr>
      </w:pPr>
      <w:r>
        <w:rPr>
          <w:rFonts w:hint="eastAsia" w:ascii="仿宋" w:hAnsi="仿宋" w:eastAsia="仿宋" w:cs="仿宋"/>
          <w:b/>
          <w:sz w:val="24"/>
          <w:szCs w:val="24"/>
          <w:highlight w:val="none"/>
        </w:rPr>
        <w:t>四、定点加油服务期限</w:t>
      </w:r>
    </w:p>
    <w:p w14:paraId="5B04F04C">
      <w:pPr>
        <w:spacing w:line="480" w:lineRule="exact"/>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自合同签订之日起一年,合同期满双方无异议的合同可以续签，但最长不超过三年。</w:t>
      </w:r>
    </w:p>
    <w:p w14:paraId="350A38F5">
      <w:pPr>
        <w:spacing w:line="480" w:lineRule="exact"/>
        <w:ind w:firstLine="477" w:firstLineChars="198"/>
        <w:rPr>
          <w:rFonts w:hint="eastAsia" w:ascii="仿宋" w:hAnsi="仿宋" w:eastAsia="仿宋" w:cs="仿宋"/>
          <w:sz w:val="24"/>
          <w:szCs w:val="24"/>
          <w:highlight w:val="none"/>
        </w:rPr>
      </w:pPr>
      <w:r>
        <w:rPr>
          <w:rFonts w:hint="eastAsia" w:ascii="仿宋" w:hAnsi="仿宋" w:eastAsia="仿宋" w:cs="仿宋"/>
          <w:b/>
          <w:sz w:val="24"/>
          <w:szCs w:val="24"/>
          <w:highlight w:val="none"/>
        </w:rPr>
        <w:t>五、车辆加油基本内容：</w:t>
      </w:r>
    </w:p>
    <w:p w14:paraId="17CD8230">
      <w:pPr>
        <w:spacing w:line="480" w:lineRule="exact"/>
        <w:ind w:firstLine="600" w:firstLineChars="250"/>
        <w:rPr>
          <w:rFonts w:hint="eastAsia" w:ascii="仿宋" w:hAnsi="仿宋" w:eastAsia="仿宋" w:cs="仿宋"/>
          <w:sz w:val="24"/>
          <w:szCs w:val="24"/>
          <w:highlight w:val="none"/>
        </w:rPr>
      </w:pPr>
      <w:r>
        <w:rPr>
          <w:rFonts w:hint="eastAsia" w:ascii="仿宋" w:hAnsi="仿宋" w:eastAsia="仿宋" w:cs="仿宋"/>
          <w:sz w:val="24"/>
          <w:szCs w:val="24"/>
          <w:highlight w:val="none"/>
        </w:rPr>
        <w:t>1、乙方根据甲方要求，严格按牌价加优惠费率的办法承办车辆定点加油业务。</w:t>
      </w:r>
    </w:p>
    <w:p w14:paraId="54BF13A5">
      <w:pPr>
        <w:spacing w:line="480" w:lineRule="exact"/>
        <w:ind w:left="-2" w:leftChars="-1" w:firstLine="600" w:firstLineChars="250"/>
        <w:rPr>
          <w:rFonts w:hint="eastAsia" w:ascii="仿宋" w:hAnsi="仿宋" w:eastAsia="仿宋" w:cs="仿宋"/>
          <w:sz w:val="24"/>
          <w:szCs w:val="24"/>
          <w:highlight w:val="none"/>
        </w:rPr>
      </w:pPr>
      <w:r>
        <w:rPr>
          <w:rFonts w:hint="eastAsia" w:ascii="仿宋" w:hAnsi="仿宋" w:eastAsia="仿宋" w:cs="仿宋"/>
          <w:sz w:val="24"/>
          <w:szCs w:val="24"/>
          <w:highlight w:val="none"/>
        </w:rPr>
        <w:t>2、乙方应根据甲方的要求，成立专门机构、指定专人负责甲方用车加油管理，提供二十四小时的优质加油服务。</w:t>
      </w:r>
    </w:p>
    <w:p w14:paraId="54B14077">
      <w:pPr>
        <w:spacing w:line="480" w:lineRule="exact"/>
        <w:ind w:left="-2" w:leftChars="-1" w:firstLine="600" w:firstLineChars="250"/>
        <w:rPr>
          <w:rFonts w:hint="eastAsia" w:ascii="仿宋" w:hAnsi="仿宋" w:eastAsia="仿宋" w:cs="仿宋"/>
          <w:sz w:val="24"/>
          <w:szCs w:val="24"/>
          <w:highlight w:val="none"/>
        </w:rPr>
      </w:pPr>
      <w:r>
        <w:rPr>
          <w:rFonts w:hint="eastAsia" w:ascii="仿宋" w:hAnsi="仿宋" w:eastAsia="仿宋" w:cs="仿宋"/>
          <w:sz w:val="24"/>
          <w:szCs w:val="24"/>
          <w:highlight w:val="none"/>
        </w:rPr>
        <w:t>3、遇国家调整油价，乙方必须及时将油价变动情况按甲方的要求向甲方备案。</w:t>
      </w:r>
    </w:p>
    <w:p w14:paraId="216062CB">
      <w:pPr>
        <w:spacing w:line="480" w:lineRule="exact"/>
        <w:ind w:left="720"/>
        <w:rPr>
          <w:rFonts w:hint="eastAsia" w:ascii="仿宋" w:hAnsi="仿宋" w:eastAsia="仿宋" w:cs="仿宋"/>
          <w:b/>
          <w:sz w:val="24"/>
          <w:szCs w:val="24"/>
          <w:highlight w:val="none"/>
        </w:rPr>
      </w:pPr>
      <w:r>
        <w:rPr>
          <w:rFonts w:hint="eastAsia" w:ascii="仿宋" w:hAnsi="仿宋" w:eastAsia="仿宋" w:cs="仿宋"/>
          <w:b/>
          <w:sz w:val="24"/>
          <w:szCs w:val="24"/>
          <w:highlight w:val="none"/>
        </w:rPr>
        <w:t>六、双方责任和义务</w:t>
      </w:r>
    </w:p>
    <w:p w14:paraId="5E7781AE">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甲方的责任和义务</w:t>
      </w:r>
    </w:p>
    <w:p w14:paraId="3EC502BA">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（一）在检查中发现乙方严重</w:t>
      </w:r>
      <w:r>
        <w:rPr>
          <w:rFonts w:hint="eastAsia" w:ascii="仿宋" w:hAnsi="仿宋" w:eastAsia="仿宋" w:cs="仿宋"/>
          <w:color w:val="auto"/>
          <w:sz w:val="24"/>
          <w:szCs w:val="24"/>
          <w:highlight w:val="none"/>
          <w:lang w:eastAsia="zh-CN"/>
        </w:rPr>
        <w:t>违反</w:t>
      </w:r>
      <w:r>
        <w:rPr>
          <w:rFonts w:hint="eastAsia" w:ascii="仿宋" w:hAnsi="仿宋" w:eastAsia="仿宋" w:cs="仿宋"/>
          <w:sz w:val="24"/>
          <w:szCs w:val="24"/>
          <w:highlight w:val="none"/>
        </w:rPr>
        <w:t>本协议书规定，甲方有权终止乙方的定点单位资格。</w:t>
      </w:r>
    </w:p>
    <w:p w14:paraId="4321EC88">
      <w:pPr>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（二）甲方有权监督车辆加油定点单位服务质量，对于乙方服务质量提出警告，直至取消定点单位资格的处罚。</w:t>
      </w:r>
    </w:p>
    <w:p w14:paraId="2DE46F67">
      <w:pPr>
        <w:spacing w:line="480" w:lineRule="exact"/>
        <w:ind w:firstLine="360" w:firstLineChars="15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乙方的责任和义务</w:t>
      </w:r>
    </w:p>
    <w:p w14:paraId="252C43A4">
      <w:pPr>
        <w:spacing w:line="480" w:lineRule="exact"/>
        <w:ind w:firstLine="570"/>
        <w:rPr>
          <w:rFonts w:hint="eastAsia" w:ascii="仿宋" w:hAnsi="仿宋" w:eastAsia="仿宋" w:cs="仿宋"/>
          <w:sz w:val="24"/>
          <w:szCs w:val="24"/>
          <w:highlight w:val="none"/>
        </w:rPr>
      </w:pPr>
      <w:r>
        <w:rPr>
          <w:rFonts w:hint="eastAsia" w:ascii="仿宋" w:hAnsi="仿宋" w:eastAsia="仿宋" w:cs="仿宋"/>
          <w:sz w:val="24"/>
          <w:szCs w:val="24"/>
          <w:highlight w:val="none"/>
        </w:rPr>
        <w:t>（一）严格遵守国家法律、法规和有关规定，合法经营，按章办事，自觉维护甲方的利益。</w:t>
      </w:r>
    </w:p>
    <w:p w14:paraId="56DB6F4F">
      <w:pPr>
        <w:spacing w:line="480" w:lineRule="exact"/>
        <w:ind w:firstLine="570"/>
        <w:rPr>
          <w:rFonts w:hint="eastAsia" w:ascii="仿宋" w:hAnsi="仿宋" w:eastAsia="仿宋" w:cs="仿宋"/>
          <w:sz w:val="24"/>
          <w:szCs w:val="24"/>
          <w:highlight w:val="none"/>
        </w:rPr>
      </w:pPr>
      <w:r>
        <w:rPr>
          <w:rFonts w:hint="eastAsia" w:ascii="仿宋" w:hAnsi="仿宋" w:eastAsia="仿宋" w:cs="仿宋"/>
          <w:sz w:val="24"/>
          <w:szCs w:val="24"/>
          <w:highlight w:val="none"/>
        </w:rPr>
        <w:t>（二）严格执行本协议，全面履行服务承诺，提供快捷、方便、满意的服务。</w:t>
      </w:r>
    </w:p>
    <w:p w14:paraId="069AD942">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（三）严格遵守价格优惠承诺，在办理加油业务时，不得收取本协议规定以外的其它费用。</w:t>
      </w:r>
    </w:p>
    <w:p w14:paraId="5FB8ED5A">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（四）确定具体定点加油站，配备专兼职工作人员，优先办理车辆加油业务，对车辆加油做到“服务热情、品质优良、优先加油”。</w:t>
      </w:r>
    </w:p>
    <w:p w14:paraId="0B33C240">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（五）及时向甲方通报各种油品价格变化等方面的情况。</w:t>
      </w:r>
    </w:p>
    <w:p w14:paraId="0B6509EB">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（六）承诺不违规加油，计量用具符合国家有关标准，不</w:t>
      </w:r>
      <w:r>
        <w:rPr>
          <w:rFonts w:hint="eastAsia" w:ascii="仿宋" w:hAnsi="仿宋" w:eastAsia="仿宋" w:cs="仿宋"/>
          <w:sz w:val="24"/>
          <w:szCs w:val="24"/>
          <w:highlight w:val="none"/>
          <w:lang w:val="zh-CN"/>
        </w:rPr>
        <w:t>缺斤短两，</w:t>
      </w:r>
      <w:r>
        <w:rPr>
          <w:rFonts w:hint="eastAsia" w:ascii="仿宋" w:hAnsi="仿宋" w:eastAsia="仿宋" w:cs="仿宋"/>
          <w:sz w:val="24"/>
          <w:szCs w:val="24"/>
          <w:highlight w:val="none"/>
        </w:rPr>
        <w:t>不套取现金、回扣，否则愿意接受处罚。</w:t>
      </w:r>
    </w:p>
    <w:p w14:paraId="3D3ED3DC">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（七）保证在油品供应紧张时，保证加油站油品不断档，车辆加油不限量。</w:t>
      </w:r>
    </w:p>
    <w:p w14:paraId="12AA2EED">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（八）认真落实防火安全责任制，确保加油车辆的安全，因安全生产措施不力，造成加油车辆损失的，应负赔偿责任。</w:t>
      </w:r>
    </w:p>
    <w:p w14:paraId="47B34232">
      <w:pPr>
        <w:spacing w:line="480" w:lineRule="exact"/>
        <w:ind w:left="0" w:leftChars="0" w:firstLine="640" w:firstLineChars="0"/>
        <w:rPr>
          <w:rFonts w:hint="eastAsia" w:ascii="仿宋" w:hAnsi="仿宋" w:eastAsia="仿宋" w:cs="仿宋"/>
          <w:sz w:val="24"/>
          <w:szCs w:val="24"/>
          <w:highlight w:val="none"/>
        </w:rPr>
      </w:pPr>
      <w:r>
        <w:rPr>
          <w:rFonts w:hint="eastAsia" w:ascii="仿宋" w:hAnsi="仿宋" w:eastAsia="仿宋" w:cs="仿宋"/>
          <w:sz w:val="24"/>
          <w:szCs w:val="24"/>
          <w:highlight w:val="none"/>
        </w:rPr>
        <w:t>（九）24小时提供加油服务，节假日照常营业。</w:t>
      </w:r>
    </w:p>
    <w:p w14:paraId="6C0FD85C">
      <w:pPr>
        <w:spacing w:line="48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七、结算</w:t>
      </w:r>
    </w:p>
    <w:p w14:paraId="22279C6C">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由甲方与乙方根据实际使用量据实结算，并开具增值税专用发票。</w:t>
      </w:r>
    </w:p>
    <w:p w14:paraId="76BCB904">
      <w:pPr>
        <w:spacing w:line="48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八、变更、修改和转让</w:t>
      </w:r>
    </w:p>
    <w:p w14:paraId="62C1AD46">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乙方应严格按协议约定履行义务，未经甲方书面同意，乙方不得与甲方擅自就协议条款进行变更、修改；不得部分或者全部转让其应履行的合同义务。</w:t>
      </w:r>
    </w:p>
    <w:p w14:paraId="5F8C848F">
      <w:pPr>
        <w:spacing w:line="480" w:lineRule="exact"/>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九、合同解除</w:t>
      </w:r>
    </w:p>
    <w:p w14:paraId="262CF35F">
      <w:pPr>
        <w:spacing w:line="480" w:lineRule="exact"/>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乙方迟延履行义务或者履行义务不符合约定以及违反其他有关规定而应解除协议的，除承担违约责任外，经甲方书面同意，山东省鲁成招标有限公司将向其发出书面通知，解除本协议。</w:t>
      </w:r>
    </w:p>
    <w:p w14:paraId="636A636A">
      <w:pPr>
        <w:spacing w:line="480" w:lineRule="exact"/>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十、争议解决</w:t>
      </w:r>
    </w:p>
    <w:p w14:paraId="5CD1DAB0">
      <w:pPr>
        <w:spacing w:line="48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1、协议双方应通过友好协商，解决执行本协议中所发生的或与本协议有关的一切争议，如协商不成，可向协议签约地的人民法院提起诉讼，</w:t>
      </w:r>
      <w:r>
        <w:rPr>
          <w:rFonts w:hint="eastAsia" w:ascii="仿宋" w:hAnsi="仿宋" w:eastAsia="仿宋" w:cs="仿宋"/>
          <w:color w:val="auto"/>
          <w:sz w:val="24"/>
          <w:szCs w:val="24"/>
          <w:highlight w:val="none"/>
          <w:lang w:eastAsia="zh-CN"/>
        </w:rPr>
        <w:t>诉讼费、鉴定费、保全费、保全保险费、</w:t>
      </w:r>
      <w:r>
        <w:rPr>
          <w:rFonts w:hint="eastAsia" w:ascii="仿宋" w:hAnsi="仿宋" w:eastAsia="仿宋" w:cs="仿宋"/>
          <w:color w:val="auto"/>
          <w:sz w:val="24"/>
          <w:szCs w:val="24"/>
          <w:highlight w:val="none"/>
        </w:rPr>
        <w:t>律师费全部由败诉方承担。</w:t>
      </w:r>
    </w:p>
    <w:p w14:paraId="2985E2E3">
      <w:pPr>
        <w:spacing w:line="48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2、在诉讼期间，本协议无争议的部分应继续执行。</w:t>
      </w:r>
    </w:p>
    <w:p w14:paraId="46264342">
      <w:pPr>
        <w:spacing w:line="480" w:lineRule="exact"/>
        <w:ind w:firstLine="482" w:firstLineChars="2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十一、合同生效</w:t>
      </w:r>
    </w:p>
    <w:p w14:paraId="46FDE375">
      <w:pPr>
        <w:spacing w:line="480" w:lineRule="exact"/>
        <w:ind w:firstLine="480" w:firstLineChars="200"/>
        <w:rPr>
          <w:rFonts w:hint="eastAsia" w:ascii="仿宋" w:hAnsi="仿宋" w:eastAsia="仿宋" w:cs="仿宋"/>
          <w:sz w:val="24"/>
          <w:szCs w:val="24"/>
          <w:highlight w:val="none"/>
          <w:shd w:val="pct10" w:color="auto" w:fill="FFFFFF"/>
        </w:rPr>
      </w:pPr>
      <w:r>
        <w:rPr>
          <w:rFonts w:hint="eastAsia" w:ascii="仿宋" w:hAnsi="仿宋" w:eastAsia="仿宋" w:cs="仿宋"/>
          <w:sz w:val="24"/>
          <w:szCs w:val="24"/>
          <w:highlight w:val="none"/>
        </w:rPr>
        <w:t>本协议由双方代表签字并加盖双方公章或合同章后生效。</w:t>
      </w:r>
    </w:p>
    <w:p w14:paraId="31AE91D0">
      <w:pPr>
        <w:spacing w:line="480" w:lineRule="exact"/>
        <w:ind w:firstLine="480" w:firstLineChars="200"/>
        <w:jc w:val="both"/>
        <w:outlineLvl w:val="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合同签订地：山东省威海市经济技术开发区</w:t>
      </w:r>
    </w:p>
    <w:p w14:paraId="3407D9E4">
      <w:pPr>
        <w:pStyle w:val="13"/>
        <w:rPr>
          <w:rFonts w:hint="eastAsia" w:ascii="仿宋" w:hAnsi="仿宋" w:eastAsia="仿宋" w:cs="仿宋"/>
          <w:sz w:val="24"/>
          <w:szCs w:val="24"/>
          <w:highlight w:val="none"/>
          <w:lang w:val="en-US" w:eastAsia="zh-CN"/>
        </w:rPr>
      </w:pPr>
    </w:p>
    <w:p w14:paraId="06D754AA">
      <w:pPr>
        <w:spacing w:line="480" w:lineRule="exact"/>
        <w:ind w:firstLine="480" w:firstLineChars="200"/>
        <w:outlineLvl w:val="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甲    方:威海交通场站管理有　   乙 　　方: </w:t>
      </w:r>
    </w:p>
    <w:p w14:paraId="6AFEDA73">
      <w:pPr>
        <w:pStyle w:val="23"/>
        <w:spacing w:line="480" w:lineRule="exact"/>
        <w:ind w:firstLine="1680" w:firstLineChars="700"/>
        <w:rPr>
          <w:rFonts w:hint="eastAsia" w:ascii="仿宋" w:hAnsi="仿宋" w:eastAsia="仿宋" w:cs="仿宋"/>
          <w:sz w:val="24"/>
          <w:szCs w:val="24"/>
          <w:highlight w:val="none"/>
        </w:rPr>
      </w:pPr>
      <w:r>
        <w:rPr>
          <w:rFonts w:hint="eastAsia" w:ascii="仿宋" w:hAnsi="仿宋" w:eastAsia="仿宋" w:cs="仿宋"/>
          <w:sz w:val="24"/>
          <w:szCs w:val="24"/>
          <w:highlight w:val="none"/>
        </w:rPr>
        <w:t>限公司</w:t>
      </w:r>
    </w:p>
    <w:p w14:paraId="195179DA">
      <w:pPr>
        <w:pStyle w:val="23"/>
        <w:tabs>
          <w:tab w:val="left" w:pos="6200"/>
        </w:tabs>
        <w:spacing w:line="480" w:lineRule="exact"/>
        <w:ind w:left="50"/>
        <w:rPr>
          <w:rFonts w:hint="eastAsia" w:ascii="仿宋" w:hAnsi="仿宋" w:eastAsia="仿宋" w:cs="仿宋"/>
          <w:sz w:val="24"/>
          <w:szCs w:val="24"/>
          <w:highlight w:val="none"/>
        </w:rPr>
      </w:pPr>
    </w:p>
    <w:p w14:paraId="1A42AE53">
      <w:pPr>
        <w:pStyle w:val="23"/>
        <w:tabs>
          <w:tab w:val="left" w:pos="6200"/>
        </w:tabs>
        <w:spacing w:line="480" w:lineRule="exact"/>
        <w:ind w:left="50" w:leftChars="24"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单位盖章:                 　    单位盖章:</w:t>
      </w:r>
    </w:p>
    <w:p w14:paraId="028AA1A5">
      <w:pPr>
        <w:pStyle w:val="23"/>
        <w:spacing w:line="480" w:lineRule="exact"/>
        <w:ind w:left="50" w:leftChars="24" w:firstLine="480" w:firstLineChars="200"/>
        <w:rPr>
          <w:rFonts w:hint="eastAsia" w:ascii="仿宋" w:hAnsi="仿宋" w:eastAsia="仿宋" w:cs="仿宋"/>
          <w:sz w:val="24"/>
          <w:szCs w:val="24"/>
          <w:highlight w:val="none"/>
        </w:rPr>
      </w:pPr>
    </w:p>
    <w:p w14:paraId="1328CCA0">
      <w:pPr>
        <w:pStyle w:val="23"/>
        <w:spacing w:line="480" w:lineRule="exact"/>
        <w:ind w:left="50" w:leftChars="24"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代表签字:                 　    代表签字:</w:t>
      </w:r>
    </w:p>
    <w:p w14:paraId="4D4F4384">
      <w:pPr>
        <w:spacing w:line="480" w:lineRule="exact"/>
        <w:rPr>
          <w:rFonts w:hint="eastAsia" w:ascii="仿宋" w:hAnsi="仿宋" w:eastAsia="仿宋" w:cs="仿宋"/>
          <w:sz w:val="24"/>
          <w:szCs w:val="24"/>
          <w:highlight w:val="none"/>
        </w:rPr>
      </w:pPr>
    </w:p>
    <w:p w14:paraId="59786725">
      <w:pPr>
        <w:spacing w:line="520" w:lineRule="exact"/>
        <w:rPr>
          <w:rFonts w:hint="eastAsia" w:ascii="仿宋" w:hAnsi="仿宋" w:eastAsia="仿宋" w:cs="仿宋"/>
          <w:sz w:val="24"/>
          <w:szCs w:val="24"/>
          <w:highlight w:val="none"/>
        </w:rPr>
      </w:pPr>
    </w:p>
    <w:p w14:paraId="1E977D8C">
      <w:pPr>
        <w:pStyle w:val="23"/>
        <w:tabs>
          <w:tab w:val="left" w:pos="900"/>
        </w:tabs>
        <w:spacing w:line="520" w:lineRule="exact"/>
        <w:ind w:left="46" w:leftChars="22"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注：本合同条款仅供参考，中标后需根据情况另行修改。</w:t>
      </w:r>
      <w:r>
        <w:rPr>
          <w:rFonts w:hint="eastAsia" w:ascii="仿宋" w:hAnsi="仿宋" w:eastAsia="仿宋" w:cs="仿宋"/>
          <w:kern w:val="0"/>
          <w:sz w:val="24"/>
          <w:szCs w:val="24"/>
          <w:highlight w:val="none"/>
        </w:rPr>
        <w:t> </w:t>
      </w:r>
    </w:p>
    <w:p w14:paraId="7D56E562">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4"/>
          <w:szCs w:val="24"/>
          <w:highlight w:val="none"/>
        </w:rPr>
      </w:pPr>
    </w:p>
    <w:sectPr>
      <w:pgSz w:w="11906" w:h="16838"/>
      <w:pgMar w:top="1440" w:right="1800" w:bottom="1440" w:left="1800" w:header="851" w:footer="992" w:gutter="0"/>
      <w:pgBorders>
        <w:top w:val="none" w:sz="0" w:space="0"/>
        <w:left w:val="none" w:sz="0" w:space="0"/>
        <w:bottom w:val="none" w:sz="0" w:space="0"/>
        <w:right w:val="none" w:sz="0" w:space="0"/>
      </w:pgBorders>
      <w:cols w:space="720" w:num="1"/>
      <w:titlePg/>
      <w:docGrid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EB85706-2B19-4607-B1C1-E49123B249C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35E5EA5F-63F6-48F8-A13D-685C3DE0A8D2}"/>
  </w:font>
  <w:font w:name="仿宋">
    <w:panose1 w:val="02010609060101010101"/>
    <w:charset w:val="86"/>
    <w:family w:val="modern"/>
    <w:pitch w:val="default"/>
    <w:sig w:usb0="800002BF" w:usb1="38CF7CFA" w:usb2="00000016" w:usb3="00000000" w:csb0="00040001" w:csb1="00000000"/>
    <w:embedRegular r:id="rId3" w:fontKey="{586D7E23-EF6C-4588-B894-5D34A76B7B7A}"/>
  </w:font>
  <w:font w:name="微软雅黑">
    <w:panose1 w:val="020B0503020204020204"/>
    <w:charset w:val="86"/>
    <w:family w:val="swiss"/>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embedRegular r:id="rId4" w:fontKey="{C697FDBD-1BA5-49D2-84E9-3AE2255B53DC}"/>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1D17B">
    <w:pPr>
      <w:pStyle w:val="28"/>
      <w:jc w:val="center"/>
      <w:rPr>
        <w:rFonts w:eastAsia="仿宋_GB2312"/>
        <w:sz w:val="24"/>
      </w:rPr>
    </w:pPr>
    <w:r>
      <w:rPr>
        <w:sz w:val="24"/>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14935" cy="131445"/>
              <wp:effectExtent l="0" t="0" r="0" b="0"/>
              <wp:wrapNone/>
              <wp:docPr id="9" name="文本框 6"/>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wps:spPr>
                    <wps:txbx>
                      <w:txbxContent>
                        <w:p w14:paraId="38F051C0">
                          <w:pPr>
                            <w:pStyle w:val="28"/>
                          </w:pPr>
                          <w:r>
                            <w:fldChar w:fldCharType="begin"/>
                          </w:r>
                          <w:r>
                            <w:instrText xml:space="preserve"> PAGE  \* MERGEFORMAT </w:instrText>
                          </w:r>
                          <w:r>
                            <w:fldChar w:fldCharType="separate"/>
                          </w:r>
                          <w:r>
                            <w:t>66</w:t>
                          </w:r>
                          <w:r>
                            <w:fldChar w:fldCharType="end"/>
                          </w:r>
                        </w:p>
                      </w:txbxContent>
                    </wps:txbx>
                    <wps:bodyPr wrap="none" lIns="0" tIns="0" rIns="0" bIns="0" upright="0">
                      <a:spAutoFit/>
                    </wps:bodyPr>
                  </wps:wsp>
                </a:graphicData>
              </a:graphic>
            </wp:anchor>
          </w:drawing>
        </mc:Choice>
        <mc:Fallback>
          <w:pict>
            <v:shape id="文本框 6" o:spid="_x0000_s1026" o:spt="202" type="#_x0000_t202" style="position:absolute;left:0pt;margin-top:0pt;height:10.35pt;width:9.05pt;mso-position-horizontal:center;mso-position-horizontal-relative:margin;mso-wrap-style:none;z-index:251666432;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ADMeA1AAAAAMBAAAPAAAAAAAAAAEAIAAA&#10;ACIAAABkcnMvZG93bnJldi54bWxQSwECFAAUAAAACACHTuJAYImhqtcBAAChAwAADgAAAAAAAAAB&#10;ACAAAAAjAQAAZHJzL2Uyb0RvYy54bWxQSwUGAAAAAAYABgBZAQAAbAUAAAAA&#10;">
              <v:fill on="f" focussize="0,0"/>
              <v:stroke on="f" weight="1.25pt"/>
              <v:imagedata o:title=""/>
              <o:lock v:ext="edit" aspectratio="f"/>
              <v:textbox inset="0mm,0mm,0mm,0mm" style="mso-fit-shape-to-text:t;">
                <w:txbxContent>
                  <w:p w14:paraId="38F051C0">
                    <w:pPr>
                      <w:pStyle w:val="28"/>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9230E">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998BF">
    <w:pPr>
      <w:pStyle w:val="28"/>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4935" cy="131445"/>
              <wp:effectExtent l="0" t="0" r="0" b="0"/>
              <wp:wrapNone/>
              <wp:docPr id="8" name="文本框 8"/>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04039A30">
                          <w:pPr>
                            <w:pStyle w:val="28"/>
                            <w:rPr>
                              <w:rFonts w:hint="eastAsia"/>
                            </w:rPr>
                          </w:pP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540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Q+V+SdAAAAADAQAADwAAAAAAAAABACAAAAAiAAAAZHJzL2Rvd25y&#10;ZXYueG1sUEsBAhQAFAAAAAgAh07iQPZf3ozNAQAAlwMAAA4AAAAAAAAAAQAgAAAAHwEAAGRycy9l&#10;Mm9Eb2MueG1sUEsFBgAAAAAGAAYAWQEAAF4FAAAAAA==&#10;">
              <v:fill on="f" focussize="0,0"/>
              <v:stroke on="f"/>
              <v:imagedata o:title=""/>
              <o:lock v:ext="edit" aspectratio="f"/>
              <v:textbox inset="0mm,0mm,0mm,0mm" style="mso-fit-shape-to-text:t;">
                <w:txbxContent>
                  <w:p w14:paraId="04039A30">
                    <w:pPr>
                      <w:pStyle w:val="28"/>
                      <w:rPr>
                        <w:rFonts w:hint="eastAsia"/>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CC4D2">
    <w:pPr>
      <w:pStyle w:val="2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307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62D883B7">
                          <w:pPr>
                            <w:pStyle w:val="28"/>
                            <w:jc w:val="center"/>
                          </w:pPr>
                          <w:r>
                            <w:fldChar w:fldCharType="begin"/>
                          </w:r>
                          <w:r>
                            <w:instrText xml:space="preserve"> PAGE  \* MERGEFORMAT </w:instrText>
                          </w:r>
                          <w:r>
                            <w:fldChar w:fldCharType="separate"/>
                          </w:r>
                          <w:r>
                            <w:t>46</w:t>
                          </w:r>
                          <w:r>
                            <w:fldChar w:fldCharType="end"/>
                          </w:r>
                        </w:p>
                      </w:txbxContent>
                    </wps:txbx>
                    <wps:bodyPr wrap="none" lIns="0" tIns="0" rIns="0" bIns="0" upright="1">
                      <a:spAutoFit/>
                    </wps:bodyPr>
                  </wps:wsp>
                </a:graphicData>
              </a:graphic>
            </wp:anchor>
          </w:drawing>
        </mc:Choice>
        <mc:Fallback>
          <w:pict>
            <v:shape id="文本框 3073"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PlfknQAAAAAwEAAA8AAAAAAAAAAQAgAAAAIgAAAGRycy9k&#10;b3ducmV2LnhtbFBLAQIUABQAAAAIAIdO4kCyU2r90QEAAJoDAAAOAAAAAAAAAAEAIAAAAB8BAABk&#10;cnMvZTJvRG9jLnhtbFBLBQYAAAAABgAGAFkBAABiBQAAAAA=&#10;">
              <v:fill on="f" focussize="0,0"/>
              <v:stroke on="f"/>
              <v:imagedata o:title=""/>
              <o:lock v:ext="edit" aspectratio="f"/>
              <v:textbox inset="0mm,0mm,0mm,0mm" style="mso-fit-shape-to-text:t;">
                <w:txbxContent>
                  <w:p w14:paraId="62D883B7">
                    <w:pPr>
                      <w:pStyle w:val="28"/>
                      <w:jc w:val="center"/>
                    </w:pPr>
                    <w:r>
                      <w:fldChar w:fldCharType="begin"/>
                    </w:r>
                    <w:r>
                      <w:instrText xml:space="preserve"> PAGE  \* MERGEFORMAT </w:instrText>
                    </w:r>
                    <w:r>
                      <w:fldChar w:fldCharType="separate"/>
                    </w:r>
                    <w:r>
                      <w:t>46</w:t>
                    </w:r>
                    <w:r>
                      <w:fldChar w:fldCharType="end"/>
                    </w:r>
                  </w:p>
                </w:txbxContent>
              </v:textbox>
            </v:shape>
          </w:pict>
        </mc:Fallback>
      </mc:AlternateContent>
    </w:r>
  </w:p>
  <w:p w14:paraId="4C94E02E">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771B2">
    <w:pPr>
      <w:pStyle w:val="28"/>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5AC24396">
                          <w:pPr>
                            <w:pStyle w:val="28"/>
                          </w:pPr>
                          <w:r>
                            <w:fldChar w:fldCharType="begin"/>
                          </w:r>
                          <w:r>
                            <w:instrText xml:space="preserve"> PAGE  \* MERGEFORMAT </w:instrText>
                          </w:r>
                          <w:r>
                            <w:fldChar w:fldCharType="separate"/>
                          </w:r>
                          <w:r>
                            <w:t>60</w:t>
                          </w:r>
                          <w:r>
                            <w:fldChar w:fldCharType="end"/>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3360;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CsMT1EzgEAAJcDAAAOAAAAAAAAAAEAIAAAAB8BAABkcnMv&#10;ZTJvRG9jLnhtbFBLBQYAAAAABgAGAFkBAABfBQAAAAA=&#10;">
              <v:fill on="f" focussize="0,0"/>
              <v:stroke on="f"/>
              <v:imagedata o:title=""/>
              <o:lock v:ext="edit" aspectratio="f"/>
              <v:textbox inset="0mm,0mm,0mm,0mm" style="mso-fit-shape-to-text:t;">
                <w:txbxContent>
                  <w:p w14:paraId="5AC24396">
                    <w:pPr>
                      <w:pStyle w:val="28"/>
                    </w:pPr>
                    <w:r>
                      <w:fldChar w:fldCharType="begin"/>
                    </w:r>
                    <w:r>
                      <w:instrText xml:space="preserve"> PAGE  \* MERGEFORMAT </w:instrText>
                    </w:r>
                    <w:r>
                      <w:fldChar w:fldCharType="separate"/>
                    </w:r>
                    <w:r>
                      <w:t>60</w:t>
                    </w:r>
                    <w: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3505" cy="139700"/>
              <wp:effectExtent l="0" t="0" r="0" b="0"/>
              <wp:wrapNone/>
              <wp:docPr id="4"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wps:spPr>
                    <wps:txbx>
                      <w:txbxContent>
                        <w:p w14:paraId="436FB0C0">
                          <w:pPr>
                            <w:pStyle w:val="28"/>
                          </w:pPr>
                        </w:p>
                      </w:txbxContent>
                    </wps:txbx>
                    <wps:bodyPr wrap="none" lIns="0" tIns="0" rIns="0" bIns="0"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61312;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gyIUc0AAAAAMBAAAPAAAAAAAAAAEAIAAAACIAAABkcnMv&#10;ZG93bnJldi54bWxQSwECFAAUAAAACACHTuJAFVVzDNIBAACaAwAADgAAAAAAAAABACAAAAAfAQAA&#10;ZHJzL2Uyb0RvYy54bWxQSwUGAAAAAAYABgBZAQAAYwUAAAAA&#10;">
              <v:fill on="f" focussize="0,0"/>
              <v:stroke on="f"/>
              <v:imagedata o:title=""/>
              <o:lock v:ext="edit" aspectratio="f"/>
              <v:textbox inset="0mm,0mm,0mm,0mm" style="mso-fit-shape-to-text:t;">
                <w:txbxContent>
                  <w:p w14:paraId="436FB0C0">
                    <w:pPr>
                      <w:pStyle w:val="28"/>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AC2F79">
    <w:pPr>
      <w:pStyle w:val="28"/>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07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25511E5A">
                          <w:pPr>
                            <w:pStyle w:val="28"/>
                            <w:jc w:val="center"/>
                          </w:pPr>
                          <w:r>
                            <w:fldChar w:fldCharType="begin"/>
                          </w:r>
                          <w:r>
                            <w:instrText xml:space="preserve"> PAGE  \* MERGEFORMAT </w:instrText>
                          </w:r>
                          <w:r>
                            <w:fldChar w:fldCharType="separate"/>
                          </w:r>
                          <w:r>
                            <w:t>46</w:t>
                          </w:r>
                          <w:r>
                            <w:fldChar w:fldCharType="end"/>
                          </w:r>
                        </w:p>
                      </w:txbxContent>
                    </wps:txbx>
                    <wps:bodyPr wrap="none" lIns="0" tIns="0" rIns="0" bIns="0" upright="1">
                      <a:spAutoFit/>
                    </wps:bodyPr>
                  </wps:wsp>
                </a:graphicData>
              </a:graphic>
            </wp:anchor>
          </w:drawing>
        </mc:Choice>
        <mc:Fallback>
          <w:pict>
            <v:shape id="文本框 3073"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PlfknQAAAAAwEAAA8AAAAAAAAAAQAgAAAAIgAAAGRycy9k&#10;b3ducmV2LnhtbFBLAQIUABQAAAAIAIdO4kAbdfw30QEAAJoDAAAOAAAAAAAAAAEAIAAAAB8BAABk&#10;cnMvZTJvRG9jLnhtbFBLBQYAAAAABgAGAFkBAABiBQAAAAA=&#10;">
              <v:fill on="f" focussize="0,0"/>
              <v:stroke on="f"/>
              <v:imagedata o:title=""/>
              <o:lock v:ext="edit" aspectratio="f"/>
              <v:textbox inset="0mm,0mm,0mm,0mm" style="mso-fit-shape-to-text:t;">
                <w:txbxContent>
                  <w:p w14:paraId="25511E5A">
                    <w:pPr>
                      <w:pStyle w:val="28"/>
                      <w:jc w:val="center"/>
                    </w:pPr>
                    <w:r>
                      <w:fldChar w:fldCharType="begin"/>
                    </w:r>
                    <w:r>
                      <w:instrText xml:space="preserve"> PAGE  \* MERGEFORMAT </w:instrText>
                    </w:r>
                    <w:r>
                      <w:fldChar w:fldCharType="separate"/>
                    </w:r>
                    <w:r>
                      <w:t>46</w:t>
                    </w:r>
                    <w:r>
                      <w:fldChar w:fldCharType="end"/>
                    </w:r>
                  </w:p>
                </w:txbxContent>
              </v:textbox>
            </v:shape>
          </w:pict>
        </mc:Fallback>
      </mc:AlternateContent>
    </w:r>
  </w:p>
  <w:p w14:paraId="0FE1866E">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50D3A">
    <w:pPr>
      <w:pStyle w:val="28"/>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 4"/>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a:noFill/>
                      </a:ln>
                    </wps:spPr>
                    <wps:txbx>
                      <w:txbxContent>
                        <w:p w14:paraId="7CECFEAB">
                          <w:pPr>
                            <w:pStyle w:val="28"/>
                          </w:pPr>
                          <w:r>
                            <w:fldChar w:fldCharType="begin"/>
                          </w:r>
                          <w:r>
                            <w:instrText xml:space="preserve"> PAGE  \* MERGEFORMAT </w:instrText>
                          </w:r>
                          <w:r>
                            <w:fldChar w:fldCharType="separate"/>
                          </w:r>
                          <w:r>
                            <w:t>60</w:t>
                          </w:r>
                          <w:r>
                            <w:fldChar w:fldCharType="end"/>
                          </w:r>
                        </w:p>
                      </w:txbxContent>
                    </wps:txbx>
                    <wps:bodyPr wrap="none" lIns="0" tIns="0" rIns="0" bIns="0" upright="1">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4384;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EPlfknQAAAAAwEAAA8AAAAAAAAAAQAgAAAAIgAAAGRycy9kb3du&#10;cmV2LnhtbFBLAQIUABQAAAAIAIdO4kDJWNIhzgEAAJcDAAAOAAAAAAAAAAEAIAAAAB8BAABkcnMv&#10;ZTJvRG9jLnhtbFBLBQYAAAAABgAGAFkBAABfBQAAAAA=&#10;">
              <v:fill on="f" focussize="0,0"/>
              <v:stroke on="f"/>
              <v:imagedata o:title=""/>
              <o:lock v:ext="edit" aspectratio="f"/>
              <v:textbox inset="0mm,0mm,0mm,0mm" style="mso-fit-shape-to-text:t;">
                <w:txbxContent>
                  <w:p w14:paraId="7CECFEAB">
                    <w:pPr>
                      <w:pStyle w:val="28"/>
                    </w:pPr>
                    <w:r>
                      <w:fldChar w:fldCharType="begin"/>
                    </w:r>
                    <w:r>
                      <w:instrText xml:space="preserve"> PAGE  \* MERGEFORMAT </w:instrText>
                    </w:r>
                    <w:r>
                      <w:fldChar w:fldCharType="separate"/>
                    </w:r>
                    <w:r>
                      <w:t>60</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3505" cy="139700"/>
              <wp:effectExtent l="0" t="0" r="0" b="0"/>
              <wp:wrapNone/>
              <wp:docPr id="5" name="文本框 3074"/>
              <wp:cNvGraphicFramePr/>
              <a:graphic xmlns:a="http://schemas.openxmlformats.org/drawingml/2006/main">
                <a:graphicData uri="http://schemas.microsoft.com/office/word/2010/wordprocessingShape">
                  <wps:wsp>
                    <wps:cNvSpPr txBox="1"/>
                    <wps:spPr>
                      <a:xfrm>
                        <a:off x="0" y="0"/>
                        <a:ext cx="103505" cy="139700"/>
                      </a:xfrm>
                      <a:prstGeom prst="rect">
                        <a:avLst/>
                      </a:prstGeom>
                      <a:noFill/>
                      <a:ln>
                        <a:noFill/>
                      </a:ln>
                    </wps:spPr>
                    <wps:txbx>
                      <w:txbxContent>
                        <w:p w14:paraId="1D199262">
                          <w:pPr>
                            <w:pStyle w:val="28"/>
                          </w:pPr>
                        </w:p>
                      </w:txbxContent>
                    </wps:txbx>
                    <wps:bodyPr wrap="none" lIns="0" tIns="0" rIns="0" bIns="0" upright="1">
                      <a:spAutoFit/>
                    </wps:bodyPr>
                  </wps:wsp>
                </a:graphicData>
              </a:graphic>
            </wp:anchor>
          </w:drawing>
        </mc:Choice>
        <mc:Fallback>
          <w:pict>
            <v:shape id="文本框 3074" o:spid="_x0000_s1026" o:spt="202" type="#_x0000_t202" style="position:absolute;left:0pt;margin-top:0pt;height:11pt;width:8.15pt;mso-position-horizontal:center;mso-position-horizontal-relative:margin;mso-wrap-style:none;z-index:251662336;mso-width-relative:page;mso-height-relative:page;" filled="f" stroked="f" coordsize="21600,21600" o:gfxdata="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KDIhRzQAAAAAwEAAA8AAAAAAAAAAQAgAAAAIgAAAGRycy9k&#10;b3ducmV2LnhtbFBLAQIUABQAAAAIAIdO4kC8c+XG0QEAAJoDAAAOAAAAAAAAAAEAIAAAAB8BAABk&#10;cnMvZTJvRG9jLnhtbFBLBQYAAAAABgAGAFkBAABiBQAAAAA=&#10;">
              <v:fill on="f" focussize="0,0"/>
              <v:stroke on="f"/>
              <v:imagedata o:title=""/>
              <o:lock v:ext="edit" aspectratio="f"/>
              <v:textbox inset="0mm,0mm,0mm,0mm" style="mso-fit-shape-to-text:t;">
                <w:txbxContent>
                  <w:p w14:paraId="1D199262">
                    <w:pPr>
                      <w:pStyle w:val="28"/>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4515DC">
    <w:pPr>
      <w:pStyle w:val="2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D5F56">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34750">
    <w:pPr>
      <w:pStyle w:val="2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914C5">
    <w:pPr>
      <w:pStyle w:val="29"/>
      <w:pBdr>
        <w:bottom w:val="none" w:color="auto" w:sz="0" w:space="1"/>
      </w:pBdr>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94E92">
    <w:pPr>
      <w:pStyle w:val="29"/>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91130">
    <w:pPr>
      <w:pStyle w:val="29"/>
      <w:pBdr>
        <w:bottom w:val="none" w:color="auto" w:sz="0" w:space="1"/>
      </w:pBdr>
      <w:jc w:val="lef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7566C">
    <w:pPr>
      <w:pStyle w:val="29"/>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ECBDF">
    <w:pPr>
      <w:tabs>
        <w:tab w:val="left" w:pos="313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C86CF4F"/>
    <w:multiLevelType w:val="singleLevel"/>
    <w:tmpl w:val="3C86CF4F"/>
    <w:lvl w:ilvl="0" w:tentative="0">
      <w:start w:val="1"/>
      <w:numFmt w:val="decimal"/>
      <w:lvlText w:val="%1."/>
      <w:lvlJc w:val="left"/>
      <w:pPr>
        <w:tabs>
          <w:tab w:val="left" w:pos="312"/>
        </w:tabs>
      </w:pPr>
    </w:lvl>
  </w:abstractNum>
  <w:abstractNum w:abstractNumId="1">
    <w:nsid w:val="5852C880"/>
    <w:multiLevelType w:val="singleLevel"/>
    <w:tmpl w:val="5852C880"/>
    <w:lvl w:ilvl="0" w:tentative="0">
      <w:start w:val="1"/>
      <w:numFmt w:val="decimal"/>
      <w:suff w:val="nothing"/>
      <w:lvlText w:val="%1、"/>
      <w:lvlJc w:val="left"/>
    </w:lvl>
  </w:abstractNum>
  <w:abstractNum w:abstractNumId="2">
    <w:nsid w:val="60AE39CC"/>
    <w:multiLevelType w:val="multilevel"/>
    <w:tmpl w:val="60AE39CC"/>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5"/>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pStyle w:val="9"/>
      <w:lvlText w:val="%1.%2.%3.%4.%5.%6.%7"/>
      <w:lvlJc w:val="left"/>
      <w:pPr>
        <w:tabs>
          <w:tab w:val="left" w:pos="2520"/>
        </w:tabs>
        <w:ind w:left="1296" w:hanging="1296"/>
      </w:pPr>
      <w:rPr>
        <w:rFonts w:hint="eastAsia"/>
      </w:rPr>
    </w:lvl>
    <w:lvl w:ilvl="7" w:tentative="0">
      <w:start w:val="1"/>
      <w:numFmt w:val="decimal"/>
      <w:pStyle w:val="10"/>
      <w:lvlText w:val="%1.%2.%3.%4.%5.%6.%7.%8"/>
      <w:lvlJc w:val="left"/>
      <w:pPr>
        <w:tabs>
          <w:tab w:val="left" w:pos="1440"/>
        </w:tabs>
        <w:ind w:left="1440" w:hanging="1440"/>
      </w:pPr>
      <w:rPr>
        <w:rFonts w:hint="eastAsia"/>
      </w:rPr>
    </w:lvl>
    <w:lvl w:ilvl="8" w:tentative="0">
      <w:start w:val="1"/>
      <w:numFmt w:val="decimal"/>
      <w:pStyle w:val="11"/>
      <w:lvlText w:val="%1.%2.%3.%4.%5.%6.%7.%8.%9"/>
      <w:lvlJc w:val="left"/>
      <w:pPr>
        <w:tabs>
          <w:tab w:val="left" w:pos="1584"/>
        </w:tabs>
        <w:ind w:left="1584" w:hanging="1584"/>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hyphenationZone w:val="360"/>
  <w:drawingGridHorizontalSpacing w:val="210"/>
  <w:drawingGridVerticalSpacing w:val="-794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MxMzNmNmU5NjQ4MmQxNjZkYzRkNWUwOWQ2YmE3ZGYifQ=="/>
    <w:docVar w:name="DocumentName" w:val="选定非开挖顶管工程-水平导钻年度供应商招标文件（第2轮定稿10.12）"/>
  </w:docVars>
  <w:rsids>
    <w:rsidRoot w:val="008F3DF1"/>
    <w:rsid w:val="00001097"/>
    <w:rsid w:val="000107A5"/>
    <w:rsid w:val="00011938"/>
    <w:rsid w:val="0002188E"/>
    <w:rsid w:val="000359AF"/>
    <w:rsid w:val="000373A0"/>
    <w:rsid w:val="00051702"/>
    <w:rsid w:val="00056B75"/>
    <w:rsid w:val="000652D4"/>
    <w:rsid w:val="00091BFD"/>
    <w:rsid w:val="000A1562"/>
    <w:rsid w:val="000B2CA0"/>
    <w:rsid w:val="000C506B"/>
    <w:rsid w:val="000D1532"/>
    <w:rsid w:val="000E587C"/>
    <w:rsid w:val="000F1D7A"/>
    <w:rsid w:val="000F401B"/>
    <w:rsid w:val="00105239"/>
    <w:rsid w:val="00114FD8"/>
    <w:rsid w:val="001273F4"/>
    <w:rsid w:val="00127DE4"/>
    <w:rsid w:val="0013384F"/>
    <w:rsid w:val="00133EA6"/>
    <w:rsid w:val="0014461E"/>
    <w:rsid w:val="00161970"/>
    <w:rsid w:val="00163DC6"/>
    <w:rsid w:val="001733A2"/>
    <w:rsid w:val="00173E84"/>
    <w:rsid w:val="00177698"/>
    <w:rsid w:val="00177873"/>
    <w:rsid w:val="00192F9A"/>
    <w:rsid w:val="001E0006"/>
    <w:rsid w:val="001E74DC"/>
    <w:rsid w:val="001F17F0"/>
    <w:rsid w:val="001F4CCE"/>
    <w:rsid w:val="0020789F"/>
    <w:rsid w:val="0021110B"/>
    <w:rsid w:val="0022208F"/>
    <w:rsid w:val="00260C29"/>
    <w:rsid w:val="00265571"/>
    <w:rsid w:val="0027319C"/>
    <w:rsid w:val="00273DA8"/>
    <w:rsid w:val="00274F63"/>
    <w:rsid w:val="002753AA"/>
    <w:rsid w:val="002842BA"/>
    <w:rsid w:val="00285CC0"/>
    <w:rsid w:val="00287530"/>
    <w:rsid w:val="002900F8"/>
    <w:rsid w:val="002A3363"/>
    <w:rsid w:val="002A678C"/>
    <w:rsid w:val="002A7C79"/>
    <w:rsid w:val="002C2C01"/>
    <w:rsid w:val="002C415A"/>
    <w:rsid w:val="002C55BB"/>
    <w:rsid w:val="002D24DE"/>
    <w:rsid w:val="002D7A07"/>
    <w:rsid w:val="002E0D8C"/>
    <w:rsid w:val="002E32BC"/>
    <w:rsid w:val="002E7C2F"/>
    <w:rsid w:val="00300433"/>
    <w:rsid w:val="003024DF"/>
    <w:rsid w:val="00311618"/>
    <w:rsid w:val="00314DFE"/>
    <w:rsid w:val="00325FEE"/>
    <w:rsid w:val="00330228"/>
    <w:rsid w:val="00330847"/>
    <w:rsid w:val="0034436D"/>
    <w:rsid w:val="00354EE7"/>
    <w:rsid w:val="00373CC1"/>
    <w:rsid w:val="003810A9"/>
    <w:rsid w:val="00393BC5"/>
    <w:rsid w:val="00397A2A"/>
    <w:rsid w:val="003A1493"/>
    <w:rsid w:val="003B1643"/>
    <w:rsid w:val="003B1696"/>
    <w:rsid w:val="003B19EC"/>
    <w:rsid w:val="003B4061"/>
    <w:rsid w:val="003D46FB"/>
    <w:rsid w:val="003E1428"/>
    <w:rsid w:val="003E4E43"/>
    <w:rsid w:val="003E54B8"/>
    <w:rsid w:val="003E5A21"/>
    <w:rsid w:val="003F6736"/>
    <w:rsid w:val="0041027E"/>
    <w:rsid w:val="004110FA"/>
    <w:rsid w:val="004143F5"/>
    <w:rsid w:val="00424017"/>
    <w:rsid w:val="00426399"/>
    <w:rsid w:val="00440A56"/>
    <w:rsid w:val="00445552"/>
    <w:rsid w:val="00450EAA"/>
    <w:rsid w:val="00462A67"/>
    <w:rsid w:val="00484781"/>
    <w:rsid w:val="004B3E21"/>
    <w:rsid w:val="004B652B"/>
    <w:rsid w:val="004B6CDB"/>
    <w:rsid w:val="004C50D0"/>
    <w:rsid w:val="004E4AB5"/>
    <w:rsid w:val="004E6976"/>
    <w:rsid w:val="00512336"/>
    <w:rsid w:val="00516B33"/>
    <w:rsid w:val="00520CB3"/>
    <w:rsid w:val="0052117E"/>
    <w:rsid w:val="00524E0C"/>
    <w:rsid w:val="00526386"/>
    <w:rsid w:val="005263F7"/>
    <w:rsid w:val="005264F6"/>
    <w:rsid w:val="005330D2"/>
    <w:rsid w:val="00546853"/>
    <w:rsid w:val="00553506"/>
    <w:rsid w:val="0055409C"/>
    <w:rsid w:val="00560643"/>
    <w:rsid w:val="00564C14"/>
    <w:rsid w:val="00592B3A"/>
    <w:rsid w:val="005A784E"/>
    <w:rsid w:val="005D6E53"/>
    <w:rsid w:val="005E2813"/>
    <w:rsid w:val="005E3E7F"/>
    <w:rsid w:val="005F0A37"/>
    <w:rsid w:val="00607AD5"/>
    <w:rsid w:val="006125DF"/>
    <w:rsid w:val="006504F3"/>
    <w:rsid w:val="0065427B"/>
    <w:rsid w:val="00656CD1"/>
    <w:rsid w:val="00682704"/>
    <w:rsid w:val="00692C25"/>
    <w:rsid w:val="006A30AF"/>
    <w:rsid w:val="006C4313"/>
    <w:rsid w:val="006D3E35"/>
    <w:rsid w:val="007051BD"/>
    <w:rsid w:val="00730B15"/>
    <w:rsid w:val="007311D8"/>
    <w:rsid w:val="0074251B"/>
    <w:rsid w:val="00752D47"/>
    <w:rsid w:val="00753124"/>
    <w:rsid w:val="00766A71"/>
    <w:rsid w:val="00795C0A"/>
    <w:rsid w:val="00795C58"/>
    <w:rsid w:val="007A2B19"/>
    <w:rsid w:val="007A7B7D"/>
    <w:rsid w:val="007A7CB4"/>
    <w:rsid w:val="007B65FB"/>
    <w:rsid w:val="007C426A"/>
    <w:rsid w:val="007D5D6A"/>
    <w:rsid w:val="007D728B"/>
    <w:rsid w:val="007F1952"/>
    <w:rsid w:val="00800F6E"/>
    <w:rsid w:val="00811678"/>
    <w:rsid w:val="00837187"/>
    <w:rsid w:val="00837F49"/>
    <w:rsid w:val="00840900"/>
    <w:rsid w:val="00842A18"/>
    <w:rsid w:val="00842CA7"/>
    <w:rsid w:val="00860907"/>
    <w:rsid w:val="0086139B"/>
    <w:rsid w:val="00871A69"/>
    <w:rsid w:val="008763E3"/>
    <w:rsid w:val="00885830"/>
    <w:rsid w:val="00885F8D"/>
    <w:rsid w:val="0089057A"/>
    <w:rsid w:val="008962BF"/>
    <w:rsid w:val="008B0ABA"/>
    <w:rsid w:val="008B3EA7"/>
    <w:rsid w:val="008D3B2C"/>
    <w:rsid w:val="008D52BA"/>
    <w:rsid w:val="008D7C67"/>
    <w:rsid w:val="008E195A"/>
    <w:rsid w:val="008F2933"/>
    <w:rsid w:val="008F3DF1"/>
    <w:rsid w:val="008F534B"/>
    <w:rsid w:val="0093060F"/>
    <w:rsid w:val="009332D5"/>
    <w:rsid w:val="00940322"/>
    <w:rsid w:val="00950D60"/>
    <w:rsid w:val="009517B0"/>
    <w:rsid w:val="00951EA2"/>
    <w:rsid w:val="00974154"/>
    <w:rsid w:val="0097499D"/>
    <w:rsid w:val="0098079F"/>
    <w:rsid w:val="00996578"/>
    <w:rsid w:val="009A617D"/>
    <w:rsid w:val="009B2656"/>
    <w:rsid w:val="009B4D69"/>
    <w:rsid w:val="009B6BEE"/>
    <w:rsid w:val="009C489A"/>
    <w:rsid w:val="009D4073"/>
    <w:rsid w:val="009D611D"/>
    <w:rsid w:val="009E6AA6"/>
    <w:rsid w:val="009F069E"/>
    <w:rsid w:val="00A27EC4"/>
    <w:rsid w:val="00A460D0"/>
    <w:rsid w:val="00A51E0D"/>
    <w:rsid w:val="00A536CD"/>
    <w:rsid w:val="00A545ED"/>
    <w:rsid w:val="00A567C1"/>
    <w:rsid w:val="00A569B3"/>
    <w:rsid w:val="00A63F72"/>
    <w:rsid w:val="00A70151"/>
    <w:rsid w:val="00A708C3"/>
    <w:rsid w:val="00A736AB"/>
    <w:rsid w:val="00A74972"/>
    <w:rsid w:val="00A824E9"/>
    <w:rsid w:val="00A92EAB"/>
    <w:rsid w:val="00A9613E"/>
    <w:rsid w:val="00AA1CFD"/>
    <w:rsid w:val="00AA2F7D"/>
    <w:rsid w:val="00AA6780"/>
    <w:rsid w:val="00AC4BE9"/>
    <w:rsid w:val="00AD52A9"/>
    <w:rsid w:val="00AE6B76"/>
    <w:rsid w:val="00AF25C1"/>
    <w:rsid w:val="00AF2670"/>
    <w:rsid w:val="00AF3217"/>
    <w:rsid w:val="00B0188B"/>
    <w:rsid w:val="00B21447"/>
    <w:rsid w:val="00B477A1"/>
    <w:rsid w:val="00B60ADB"/>
    <w:rsid w:val="00B61995"/>
    <w:rsid w:val="00B6507B"/>
    <w:rsid w:val="00B915CE"/>
    <w:rsid w:val="00BB09CD"/>
    <w:rsid w:val="00BB3C18"/>
    <w:rsid w:val="00BC317D"/>
    <w:rsid w:val="00BC379D"/>
    <w:rsid w:val="00BC4913"/>
    <w:rsid w:val="00BD08A4"/>
    <w:rsid w:val="00BD0DF6"/>
    <w:rsid w:val="00BD14EE"/>
    <w:rsid w:val="00BD28DF"/>
    <w:rsid w:val="00BE01F4"/>
    <w:rsid w:val="00BE1B0D"/>
    <w:rsid w:val="00BE449B"/>
    <w:rsid w:val="00C14B5C"/>
    <w:rsid w:val="00C15C16"/>
    <w:rsid w:val="00C17511"/>
    <w:rsid w:val="00C312E2"/>
    <w:rsid w:val="00C37264"/>
    <w:rsid w:val="00C40C13"/>
    <w:rsid w:val="00C418A0"/>
    <w:rsid w:val="00C52D25"/>
    <w:rsid w:val="00C56BE0"/>
    <w:rsid w:val="00C641EE"/>
    <w:rsid w:val="00C65FED"/>
    <w:rsid w:val="00C71CF6"/>
    <w:rsid w:val="00C7305E"/>
    <w:rsid w:val="00C778AC"/>
    <w:rsid w:val="00CB2530"/>
    <w:rsid w:val="00CB3B6A"/>
    <w:rsid w:val="00CB43CC"/>
    <w:rsid w:val="00CB7FB6"/>
    <w:rsid w:val="00CD2116"/>
    <w:rsid w:val="00CD470D"/>
    <w:rsid w:val="00CD7796"/>
    <w:rsid w:val="00CE02B1"/>
    <w:rsid w:val="00CF15E9"/>
    <w:rsid w:val="00CF601A"/>
    <w:rsid w:val="00D23A14"/>
    <w:rsid w:val="00D272E1"/>
    <w:rsid w:val="00D3584E"/>
    <w:rsid w:val="00D43E2F"/>
    <w:rsid w:val="00D4442C"/>
    <w:rsid w:val="00D5778D"/>
    <w:rsid w:val="00D647B4"/>
    <w:rsid w:val="00D727FF"/>
    <w:rsid w:val="00D86210"/>
    <w:rsid w:val="00D90408"/>
    <w:rsid w:val="00D9095E"/>
    <w:rsid w:val="00D92578"/>
    <w:rsid w:val="00D9431A"/>
    <w:rsid w:val="00DA407F"/>
    <w:rsid w:val="00DA4BAE"/>
    <w:rsid w:val="00DD63E2"/>
    <w:rsid w:val="00DF0F35"/>
    <w:rsid w:val="00DF18E1"/>
    <w:rsid w:val="00DF1AB0"/>
    <w:rsid w:val="00DF3CC7"/>
    <w:rsid w:val="00E01FF6"/>
    <w:rsid w:val="00E36C39"/>
    <w:rsid w:val="00E42B3A"/>
    <w:rsid w:val="00E77929"/>
    <w:rsid w:val="00E83FA3"/>
    <w:rsid w:val="00E85609"/>
    <w:rsid w:val="00ED008E"/>
    <w:rsid w:val="00ED0C6F"/>
    <w:rsid w:val="00EE209D"/>
    <w:rsid w:val="00EE5A5F"/>
    <w:rsid w:val="00EF1F51"/>
    <w:rsid w:val="00EF2BD5"/>
    <w:rsid w:val="00EF2D6B"/>
    <w:rsid w:val="00F2277A"/>
    <w:rsid w:val="00F32B1D"/>
    <w:rsid w:val="00F5020D"/>
    <w:rsid w:val="00F63E87"/>
    <w:rsid w:val="00F66E57"/>
    <w:rsid w:val="00F71475"/>
    <w:rsid w:val="00F740DA"/>
    <w:rsid w:val="00F800AE"/>
    <w:rsid w:val="00FA4386"/>
    <w:rsid w:val="00FA5573"/>
    <w:rsid w:val="00FC44D5"/>
    <w:rsid w:val="00FC7994"/>
    <w:rsid w:val="00FE24C2"/>
    <w:rsid w:val="010F10D8"/>
    <w:rsid w:val="01386691"/>
    <w:rsid w:val="01482390"/>
    <w:rsid w:val="01626374"/>
    <w:rsid w:val="018607C2"/>
    <w:rsid w:val="01916C5A"/>
    <w:rsid w:val="01A717A7"/>
    <w:rsid w:val="01AA1039"/>
    <w:rsid w:val="01F15E4E"/>
    <w:rsid w:val="02067D25"/>
    <w:rsid w:val="0210458C"/>
    <w:rsid w:val="0224293B"/>
    <w:rsid w:val="02250785"/>
    <w:rsid w:val="023824A9"/>
    <w:rsid w:val="024737BC"/>
    <w:rsid w:val="02537422"/>
    <w:rsid w:val="02593918"/>
    <w:rsid w:val="02632FB4"/>
    <w:rsid w:val="028454C6"/>
    <w:rsid w:val="02BA785F"/>
    <w:rsid w:val="02CD1F13"/>
    <w:rsid w:val="0332621A"/>
    <w:rsid w:val="035B79DB"/>
    <w:rsid w:val="035F6F01"/>
    <w:rsid w:val="03686674"/>
    <w:rsid w:val="037C7496"/>
    <w:rsid w:val="038A3960"/>
    <w:rsid w:val="03A34A56"/>
    <w:rsid w:val="03B222B1"/>
    <w:rsid w:val="03C54999"/>
    <w:rsid w:val="03DB1117"/>
    <w:rsid w:val="03E23B37"/>
    <w:rsid w:val="03E80687"/>
    <w:rsid w:val="03E92685"/>
    <w:rsid w:val="040C2BAD"/>
    <w:rsid w:val="041871BE"/>
    <w:rsid w:val="04381749"/>
    <w:rsid w:val="04382726"/>
    <w:rsid w:val="043C7355"/>
    <w:rsid w:val="046B128A"/>
    <w:rsid w:val="04A643B1"/>
    <w:rsid w:val="04B36B01"/>
    <w:rsid w:val="04BA68C6"/>
    <w:rsid w:val="04BE3BAF"/>
    <w:rsid w:val="04CD527F"/>
    <w:rsid w:val="04E61B13"/>
    <w:rsid w:val="04E752B7"/>
    <w:rsid w:val="04F66AB2"/>
    <w:rsid w:val="050E236F"/>
    <w:rsid w:val="053F17F0"/>
    <w:rsid w:val="058C559B"/>
    <w:rsid w:val="058E795B"/>
    <w:rsid w:val="05960333"/>
    <w:rsid w:val="05C1332E"/>
    <w:rsid w:val="05E76E48"/>
    <w:rsid w:val="05F53ED1"/>
    <w:rsid w:val="06392DBF"/>
    <w:rsid w:val="06570680"/>
    <w:rsid w:val="065E4C1C"/>
    <w:rsid w:val="0661309E"/>
    <w:rsid w:val="0677632A"/>
    <w:rsid w:val="067F52D3"/>
    <w:rsid w:val="069E0C8C"/>
    <w:rsid w:val="06AE4995"/>
    <w:rsid w:val="06BA43A3"/>
    <w:rsid w:val="06CE0008"/>
    <w:rsid w:val="070677A2"/>
    <w:rsid w:val="07464042"/>
    <w:rsid w:val="07C136C9"/>
    <w:rsid w:val="07C22D32"/>
    <w:rsid w:val="07D63618"/>
    <w:rsid w:val="07F0575A"/>
    <w:rsid w:val="07F6156D"/>
    <w:rsid w:val="07FB16AC"/>
    <w:rsid w:val="0803158C"/>
    <w:rsid w:val="080B2B96"/>
    <w:rsid w:val="084E323F"/>
    <w:rsid w:val="08501519"/>
    <w:rsid w:val="08631238"/>
    <w:rsid w:val="088377C5"/>
    <w:rsid w:val="089C05F6"/>
    <w:rsid w:val="08A72DB3"/>
    <w:rsid w:val="08A90D2D"/>
    <w:rsid w:val="08C96D7B"/>
    <w:rsid w:val="08DA1CD0"/>
    <w:rsid w:val="08DF5A76"/>
    <w:rsid w:val="08EB6C4F"/>
    <w:rsid w:val="096F5AD2"/>
    <w:rsid w:val="099B1640"/>
    <w:rsid w:val="09CD0A4B"/>
    <w:rsid w:val="09CD66ED"/>
    <w:rsid w:val="09D726B7"/>
    <w:rsid w:val="09E57988"/>
    <w:rsid w:val="09F72AC1"/>
    <w:rsid w:val="0A1B5868"/>
    <w:rsid w:val="0A554394"/>
    <w:rsid w:val="0A570314"/>
    <w:rsid w:val="0A586566"/>
    <w:rsid w:val="0A9B0C3A"/>
    <w:rsid w:val="0AA43C12"/>
    <w:rsid w:val="0AD377C9"/>
    <w:rsid w:val="0AD94152"/>
    <w:rsid w:val="0B031002"/>
    <w:rsid w:val="0B112BB9"/>
    <w:rsid w:val="0B411470"/>
    <w:rsid w:val="0B4417DD"/>
    <w:rsid w:val="0B482350"/>
    <w:rsid w:val="0B5B5EDE"/>
    <w:rsid w:val="0B626891"/>
    <w:rsid w:val="0BB74BDB"/>
    <w:rsid w:val="0BCD6AE0"/>
    <w:rsid w:val="0BD133ED"/>
    <w:rsid w:val="0BE45BD8"/>
    <w:rsid w:val="0BE97E49"/>
    <w:rsid w:val="0BEE1148"/>
    <w:rsid w:val="0C0627BD"/>
    <w:rsid w:val="0C1A5615"/>
    <w:rsid w:val="0C4C1E7D"/>
    <w:rsid w:val="0C6B2A00"/>
    <w:rsid w:val="0C7C445A"/>
    <w:rsid w:val="0C860B6D"/>
    <w:rsid w:val="0C8F1FE8"/>
    <w:rsid w:val="0CA37841"/>
    <w:rsid w:val="0CB258D1"/>
    <w:rsid w:val="0CDB0BB0"/>
    <w:rsid w:val="0CDC4881"/>
    <w:rsid w:val="0CF173D2"/>
    <w:rsid w:val="0D014D4B"/>
    <w:rsid w:val="0D0878C3"/>
    <w:rsid w:val="0D0A6AC9"/>
    <w:rsid w:val="0D35493D"/>
    <w:rsid w:val="0D37494D"/>
    <w:rsid w:val="0D4D3399"/>
    <w:rsid w:val="0D520C28"/>
    <w:rsid w:val="0D7C003C"/>
    <w:rsid w:val="0DC16A23"/>
    <w:rsid w:val="0DCA2A4D"/>
    <w:rsid w:val="0E0953E6"/>
    <w:rsid w:val="0E0B47ED"/>
    <w:rsid w:val="0E1E7AC7"/>
    <w:rsid w:val="0E1F3980"/>
    <w:rsid w:val="0E2E3EEC"/>
    <w:rsid w:val="0E5D4C81"/>
    <w:rsid w:val="0E7455B2"/>
    <w:rsid w:val="0E7B1AA2"/>
    <w:rsid w:val="0E7F23A4"/>
    <w:rsid w:val="0EB02274"/>
    <w:rsid w:val="0EBC4442"/>
    <w:rsid w:val="0EC355B3"/>
    <w:rsid w:val="0EE52C29"/>
    <w:rsid w:val="0EEE56EB"/>
    <w:rsid w:val="0EFB3A31"/>
    <w:rsid w:val="0F1A3B0B"/>
    <w:rsid w:val="0F29172E"/>
    <w:rsid w:val="0F2A351A"/>
    <w:rsid w:val="0F2E3D3A"/>
    <w:rsid w:val="0F3A6B8F"/>
    <w:rsid w:val="0F5F1A0C"/>
    <w:rsid w:val="0F713C26"/>
    <w:rsid w:val="0F881128"/>
    <w:rsid w:val="0F972C0D"/>
    <w:rsid w:val="0FAB7566"/>
    <w:rsid w:val="0FBA413C"/>
    <w:rsid w:val="0FBE5C0C"/>
    <w:rsid w:val="0FD26F25"/>
    <w:rsid w:val="0FE4264A"/>
    <w:rsid w:val="0FFC1742"/>
    <w:rsid w:val="100101CD"/>
    <w:rsid w:val="10097768"/>
    <w:rsid w:val="101925B4"/>
    <w:rsid w:val="101D191F"/>
    <w:rsid w:val="102E6638"/>
    <w:rsid w:val="10341CED"/>
    <w:rsid w:val="1047087A"/>
    <w:rsid w:val="104A65A1"/>
    <w:rsid w:val="108B094A"/>
    <w:rsid w:val="109E0A4B"/>
    <w:rsid w:val="10AD2D88"/>
    <w:rsid w:val="10C81F6C"/>
    <w:rsid w:val="10EA2BC5"/>
    <w:rsid w:val="10F414EA"/>
    <w:rsid w:val="10FA0DBF"/>
    <w:rsid w:val="11166793"/>
    <w:rsid w:val="11293107"/>
    <w:rsid w:val="112E5EC1"/>
    <w:rsid w:val="1137024E"/>
    <w:rsid w:val="113D0F5B"/>
    <w:rsid w:val="114F2865"/>
    <w:rsid w:val="11596432"/>
    <w:rsid w:val="11A15B97"/>
    <w:rsid w:val="11A77CAA"/>
    <w:rsid w:val="11EE332D"/>
    <w:rsid w:val="11F06FDA"/>
    <w:rsid w:val="11F33CA4"/>
    <w:rsid w:val="11F748B7"/>
    <w:rsid w:val="12056664"/>
    <w:rsid w:val="12085B3C"/>
    <w:rsid w:val="120E415D"/>
    <w:rsid w:val="120E4C15"/>
    <w:rsid w:val="12327377"/>
    <w:rsid w:val="12672719"/>
    <w:rsid w:val="12767883"/>
    <w:rsid w:val="12A42854"/>
    <w:rsid w:val="12AB744F"/>
    <w:rsid w:val="12AC2975"/>
    <w:rsid w:val="12AC5C2E"/>
    <w:rsid w:val="12DF6C64"/>
    <w:rsid w:val="12E017EF"/>
    <w:rsid w:val="1340020D"/>
    <w:rsid w:val="13451652"/>
    <w:rsid w:val="13797A19"/>
    <w:rsid w:val="13A31C28"/>
    <w:rsid w:val="13BB7C9E"/>
    <w:rsid w:val="13CE7899"/>
    <w:rsid w:val="13CF528F"/>
    <w:rsid w:val="141E5F1B"/>
    <w:rsid w:val="14442C0E"/>
    <w:rsid w:val="14577569"/>
    <w:rsid w:val="1468030C"/>
    <w:rsid w:val="14736AB2"/>
    <w:rsid w:val="147B7590"/>
    <w:rsid w:val="1481490C"/>
    <w:rsid w:val="14B6241E"/>
    <w:rsid w:val="14C76A12"/>
    <w:rsid w:val="14D36781"/>
    <w:rsid w:val="14E25007"/>
    <w:rsid w:val="14EB18BB"/>
    <w:rsid w:val="15237771"/>
    <w:rsid w:val="153E5A17"/>
    <w:rsid w:val="159B6C93"/>
    <w:rsid w:val="159D39C7"/>
    <w:rsid w:val="15AE7584"/>
    <w:rsid w:val="15BF5528"/>
    <w:rsid w:val="15C40C40"/>
    <w:rsid w:val="15CA4090"/>
    <w:rsid w:val="16113804"/>
    <w:rsid w:val="16432473"/>
    <w:rsid w:val="165672E8"/>
    <w:rsid w:val="167964D4"/>
    <w:rsid w:val="16890903"/>
    <w:rsid w:val="16900E36"/>
    <w:rsid w:val="16917C74"/>
    <w:rsid w:val="16A01D0F"/>
    <w:rsid w:val="16A10ABF"/>
    <w:rsid w:val="16A82624"/>
    <w:rsid w:val="16AB476B"/>
    <w:rsid w:val="16B83E57"/>
    <w:rsid w:val="16C01312"/>
    <w:rsid w:val="16E719E6"/>
    <w:rsid w:val="16ED44DA"/>
    <w:rsid w:val="170E2F06"/>
    <w:rsid w:val="172C5003"/>
    <w:rsid w:val="175207E1"/>
    <w:rsid w:val="179258AA"/>
    <w:rsid w:val="17B95613"/>
    <w:rsid w:val="17F660E0"/>
    <w:rsid w:val="17F81D61"/>
    <w:rsid w:val="18291412"/>
    <w:rsid w:val="182A0E16"/>
    <w:rsid w:val="18315A8D"/>
    <w:rsid w:val="18626802"/>
    <w:rsid w:val="18D641E0"/>
    <w:rsid w:val="18E65685"/>
    <w:rsid w:val="18F719F9"/>
    <w:rsid w:val="19333C3D"/>
    <w:rsid w:val="193446F8"/>
    <w:rsid w:val="193631F2"/>
    <w:rsid w:val="19530656"/>
    <w:rsid w:val="19A80665"/>
    <w:rsid w:val="19AA0184"/>
    <w:rsid w:val="19E03E83"/>
    <w:rsid w:val="19E42FA8"/>
    <w:rsid w:val="19EA6CD0"/>
    <w:rsid w:val="19FD4A34"/>
    <w:rsid w:val="1A2076E9"/>
    <w:rsid w:val="1A2F6FA0"/>
    <w:rsid w:val="1A4678C3"/>
    <w:rsid w:val="1A737064"/>
    <w:rsid w:val="1A7F53D6"/>
    <w:rsid w:val="1A9A04D5"/>
    <w:rsid w:val="1A9B5FFB"/>
    <w:rsid w:val="1AD53910"/>
    <w:rsid w:val="1AE11D63"/>
    <w:rsid w:val="1B30700B"/>
    <w:rsid w:val="1B3747DD"/>
    <w:rsid w:val="1B606546"/>
    <w:rsid w:val="1B730D89"/>
    <w:rsid w:val="1B75684C"/>
    <w:rsid w:val="1B83540D"/>
    <w:rsid w:val="1B854CE1"/>
    <w:rsid w:val="1B862CED"/>
    <w:rsid w:val="1BB67C61"/>
    <w:rsid w:val="1BD07CC7"/>
    <w:rsid w:val="1BD725D3"/>
    <w:rsid w:val="1BF91E42"/>
    <w:rsid w:val="1C0D641B"/>
    <w:rsid w:val="1C191BC6"/>
    <w:rsid w:val="1C2F2D72"/>
    <w:rsid w:val="1C404EA7"/>
    <w:rsid w:val="1C6358AB"/>
    <w:rsid w:val="1C751D0C"/>
    <w:rsid w:val="1CA10EA8"/>
    <w:rsid w:val="1CA56E81"/>
    <w:rsid w:val="1CD21FF5"/>
    <w:rsid w:val="1CF1781E"/>
    <w:rsid w:val="1CF74F2E"/>
    <w:rsid w:val="1CFD3435"/>
    <w:rsid w:val="1D473D20"/>
    <w:rsid w:val="1D5F1AB5"/>
    <w:rsid w:val="1D791955"/>
    <w:rsid w:val="1D9134D8"/>
    <w:rsid w:val="1DD50B17"/>
    <w:rsid w:val="1DDC31B9"/>
    <w:rsid w:val="1DF36151"/>
    <w:rsid w:val="1DF43546"/>
    <w:rsid w:val="1DF66546"/>
    <w:rsid w:val="1E0B0B6C"/>
    <w:rsid w:val="1E0F3759"/>
    <w:rsid w:val="1E28435D"/>
    <w:rsid w:val="1E4B079E"/>
    <w:rsid w:val="1E5F714B"/>
    <w:rsid w:val="1E601701"/>
    <w:rsid w:val="1E787412"/>
    <w:rsid w:val="1E7C1FEB"/>
    <w:rsid w:val="1E840164"/>
    <w:rsid w:val="1E8D59CB"/>
    <w:rsid w:val="1E971C7C"/>
    <w:rsid w:val="1E9D2342"/>
    <w:rsid w:val="1EA96A41"/>
    <w:rsid w:val="1EAE365D"/>
    <w:rsid w:val="1EF108E0"/>
    <w:rsid w:val="1F212F73"/>
    <w:rsid w:val="1F2554A1"/>
    <w:rsid w:val="1F285841"/>
    <w:rsid w:val="1F5D7D23"/>
    <w:rsid w:val="1F8506BB"/>
    <w:rsid w:val="1FBF0321"/>
    <w:rsid w:val="1FC57DA2"/>
    <w:rsid w:val="1FD75EB6"/>
    <w:rsid w:val="20293342"/>
    <w:rsid w:val="203977DF"/>
    <w:rsid w:val="20AC11C0"/>
    <w:rsid w:val="20D76825"/>
    <w:rsid w:val="20DB3072"/>
    <w:rsid w:val="2100305C"/>
    <w:rsid w:val="21311468"/>
    <w:rsid w:val="216B0993"/>
    <w:rsid w:val="21764C9F"/>
    <w:rsid w:val="21806A80"/>
    <w:rsid w:val="21BC015E"/>
    <w:rsid w:val="21E85818"/>
    <w:rsid w:val="21EB64F7"/>
    <w:rsid w:val="21FB7D81"/>
    <w:rsid w:val="21FF7B22"/>
    <w:rsid w:val="221548E5"/>
    <w:rsid w:val="22250FCC"/>
    <w:rsid w:val="223654C7"/>
    <w:rsid w:val="22422404"/>
    <w:rsid w:val="226F628F"/>
    <w:rsid w:val="2273571C"/>
    <w:rsid w:val="228526E0"/>
    <w:rsid w:val="22943FB4"/>
    <w:rsid w:val="229E2B2D"/>
    <w:rsid w:val="22A91D27"/>
    <w:rsid w:val="22BE3D3F"/>
    <w:rsid w:val="22E06CA1"/>
    <w:rsid w:val="22E461E8"/>
    <w:rsid w:val="22F66AC1"/>
    <w:rsid w:val="231A1E2F"/>
    <w:rsid w:val="2335020B"/>
    <w:rsid w:val="23456E9F"/>
    <w:rsid w:val="238B183B"/>
    <w:rsid w:val="23A607C4"/>
    <w:rsid w:val="23AE5B30"/>
    <w:rsid w:val="23B34BAC"/>
    <w:rsid w:val="23B6282D"/>
    <w:rsid w:val="23BD5507"/>
    <w:rsid w:val="23C14CFA"/>
    <w:rsid w:val="23F21242"/>
    <w:rsid w:val="24072542"/>
    <w:rsid w:val="241256F5"/>
    <w:rsid w:val="241E2078"/>
    <w:rsid w:val="245F5471"/>
    <w:rsid w:val="24763D61"/>
    <w:rsid w:val="247B2001"/>
    <w:rsid w:val="24860AAE"/>
    <w:rsid w:val="24897B3B"/>
    <w:rsid w:val="24952361"/>
    <w:rsid w:val="24F829C8"/>
    <w:rsid w:val="24F86BC7"/>
    <w:rsid w:val="25046F1A"/>
    <w:rsid w:val="251470D6"/>
    <w:rsid w:val="252217F3"/>
    <w:rsid w:val="252F2B82"/>
    <w:rsid w:val="25300724"/>
    <w:rsid w:val="25306AC1"/>
    <w:rsid w:val="253357AE"/>
    <w:rsid w:val="254F010E"/>
    <w:rsid w:val="256376A5"/>
    <w:rsid w:val="25695674"/>
    <w:rsid w:val="256B5A72"/>
    <w:rsid w:val="25751673"/>
    <w:rsid w:val="257C268E"/>
    <w:rsid w:val="257F463C"/>
    <w:rsid w:val="259455FA"/>
    <w:rsid w:val="25A6736C"/>
    <w:rsid w:val="25A9485D"/>
    <w:rsid w:val="25D441CD"/>
    <w:rsid w:val="260E4227"/>
    <w:rsid w:val="260E7FC9"/>
    <w:rsid w:val="2621701E"/>
    <w:rsid w:val="266271CD"/>
    <w:rsid w:val="26633E71"/>
    <w:rsid w:val="26B80661"/>
    <w:rsid w:val="26C33296"/>
    <w:rsid w:val="26F73FDA"/>
    <w:rsid w:val="27106306"/>
    <w:rsid w:val="271138CD"/>
    <w:rsid w:val="27172D0A"/>
    <w:rsid w:val="271F1251"/>
    <w:rsid w:val="27450B08"/>
    <w:rsid w:val="275B0FEC"/>
    <w:rsid w:val="27623589"/>
    <w:rsid w:val="27710BD6"/>
    <w:rsid w:val="278842B7"/>
    <w:rsid w:val="27930786"/>
    <w:rsid w:val="27AA7A9F"/>
    <w:rsid w:val="27AE736E"/>
    <w:rsid w:val="27CB7F20"/>
    <w:rsid w:val="27EA0323"/>
    <w:rsid w:val="28100ED0"/>
    <w:rsid w:val="2828647E"/>
    <w:rsid w:val="28341F69"/>
    <w:rsid w:val="28444694"/>
    <w:rsid w:val="285223EF"/>
    <w:rsid w:val="28701C0B"/>
    <w:rsid w:val="28706D19"/>
    <w:rsid w:val="288F4569"/>
    <w:rsid w:val="28E64419"/>
    <w:rsid w:val="28E8191E"/>
    <w:rsid w:val="29127DD1"/>
    <w:rsid w:val="29360053"/>
    <w:rsid w:val="294B33FB"/>
    <w:rsid w:val="29611D97"/>
    <w:rsid w:val="2964687E"/>
    <w:rsid w:val="29684A53"/>
    <w:rsid w:val="296879F1"/>
    <w:rsid w:val="296E5E94"/>
    <w:rsid w:val="29810CA3"/>
    <w:rsid w:val="29830AB8"/>
    <w:rsid w:val="299077B6"/>
    <w:rsid w:val="29BF3AB4"/>
    <w:rsid w:val="29D14727"/>
    <w:rsid w:val="29D26E17"/>
    <w:rsid w:val="29F63F49"/>
    <w:rsid w:val="29FC6F97"/>
    <w:rsid w:val="2A083E5C"/>
    <w:rsid w:val="2A2102CB"/>
    <w:rsid w:val="2A217CF0"/>
    <w:rsid w:val="2A313580"/>
    <w:rsid w:val="2A4F2539"/>
    <w:rsid w:val="2A5207B3"/>
    <w:rsid w:val="2A674427"/>
    <w:rsid w:val="2A74238E"/>
    <w:rsid w:val="2A7D7069"/>
    <w:rsid w:val="2A885A56"/>
    <w:rsid w:val="2A935D31"/>
    <w:rsid w:val="2AB0029F"/>
    <w:rsid w:val="2AB54EB7"/>
    <w:rsid w:val="2AB6502A"/>
    <w:rsid w:val="2AB73A3B"/>
    <w:rsid w:val="2ADA1A0E"/>
    <w:rsid w:val="2ADA3203"/>
    <w:rsid w:val="2AE46A49"/>
    <w:rsid w:val="2B04168B"/>
    <w:rsid w:val="2B33475A"/>
    <w:rsid w:val="2B766569"/>
    <w:rsid w:val="2BAD10B9"/>
    <w:rsid w:val="2BB4300F"/>
    <w:rsid w:val="2BC10E1F"/>
    <w:rsid w:val="2BC2788C"/>
    <w:rsid w:val="2BFE70DC"/>
    <w:rsid w:val="2C271DE5"/>
    <w:rsid w:val="2C2916B9"/>
    <w:rsid w:val="2C532DA0"/>
    <w:rsid w:val="2C5F47C6"/>
    <w:rsid w:val="2C6B7D79"/>
    <w:rsid w:val="2C850D88"/>
    <w:rsid w:val="2C87404C"/>
    <w:rsid w:val="2C8E59C0"/>
    <w:rsid w:val="2CAA00EB"/>
    <w:rsid w:val="2CB20D73"/>
    <w:rsid w:val="2CBF3DCB"/>
    <w:rsid w:val="2CE82C7B"/>
    <w:rsid w:val="2D013193"/>
    <w:rsid w:val="2D12304D"/>
    <w:rsid w:val="2D594F9E"/>
    <w:rsid w:val="2D5B77E5"/>
    <w:rsid w:val="2D5D39A4"/>
    <w:rsid w:val="2D6F75A0"/>
    <w:rsid w:val="2D700E84"/>
    <w:rsid w:val="2D7B7CF2"/>
    <w:rsid w:val="2D7C322C"/>
    <w:rsid w:val="2D9B2143"/>
    <w:rsid w:val="2D9E1C33"/>
    <w:rsid w:val="2DBD47AF"/>
    <w:rsid w:val="2DD43EE3"/>
    <w:rsid w:val="2DF17D75"/>
    <w:rsid w:val="2DF93DDE"/>
    <w:rsid w:val="2DF95ADB"/>
    <w:rsid w:val="2E01070E"/>
    <w:rsid w:val="2E037A13"/>
    <w:rsid w:val="2E1A0D91"/>
    <w:rsid w:val="2E55688B"/>
    <w:rsid w:val="2E930E53"/>
    <w:rsid w:val="2ED81803"/>
    <w:rsid w:val="2EE634AB"/>
    <w:rsid w:val="2EFA10EB"/>
    <w:rsid w:val="2F3747C7"/>
    <w:rsid w:val="2F38042D"/>
    <w:rsid w:val="2F716042"/>
    <w:rsid w:val="2F7C1D5D"/>
    <w:rsid w:val="2F8476D6"/>
    <w:rsid w:val="2F912D37"/>
    <w:rsid w:val="2F972DDE"/>
    <w:rsid w:val="2F9A7B60"/>
    <w:rsid w:val="2FAE65EC"/>
    <w:rsid w:val="2FBC45F2"/>
    <w:rsid w:val="30204540"/>
    <w:rsid w:val="30281C88"/>
    <w:rsid w:val="302A4333"/>
    <w:rsid w:val="30482662"/>
    <w:rsid w:val="304B42F4"/>
    <w:rsid w:val="307A601C"/>
    <w:rsid w:val="308050E6"/>
    <w:rsid w:val="308E065B"/>
    <w:rsid w:val="30A05B40"/>
    <w:rsid w:val="30B8125D"/>
    <w:rsid w:val="30CB32FB"/>
    <w:rsid w:val="30DD2A72"/>
    <w:rsid w:val="30E212C3"/>
    <w:rsid w:val="30F05FA9"/>
    <w:rsid w:val="312954B5"/>
    <w:rsid w:val="31322DBE"/>
    <w:rsid w:val="317F3B29"/>
    <w:rsid w:val="31B22241"/>
    <w:rsid w:val="31D9148B"/>
    <w:rsid w:val="31EF2C58"/>
    <w:rsid w:val="32031D3C"/>
    <w:rsid w:val="320710EC"/>
    <w:rsid w:val="32381939"/>
    <w:rsid w:val="324042EC"/>
    <w:rsid w:val="324F44D1"/>
    <w:rsid w:val="32593FDB"/>
    <w:rsid w:val="325F30A0"/>
    <w:rsid w:val="3267491C"/>
    <w:rsid w:val="32A47CEB"/>
    <w:rsid w:val="32AD579D"/>
    <w:rsid w:val="32CA40C9"/>
    <w:rsid w:val="32CD0091"/>
    <w:rsid w:val="32D700C1"/>
    <w:rsid w:val="32F56799"/>
    <w:rsid w:val="3312040E"/>
    <w:rsid w:val="33141B89"/>
    <w:rsid w:val="3325072D"/>
    <w:rsid w:val="33291F9F"/>
    <w:rsid w:val="333F5C66"/>
    <w:rsid w:val="333F7C2D"/>
    <w:rsid w:val="33520E82"/>
    <w:rsid w:val="3361798A"/>
    <w:rsid w:val="337376BE"/>
    <w:rsid w:val="3374211D"/>
    <w:rsid w:val="33766F4C"/>
    <w:rsid w:val="337A55F7"/>
    <w:rsid w:val="337B2999"/>
    <w:rsid w:val="337C6572"/>
    <w:rsid w:val="339F50F5"/>
    <w:rsid w:val="33DF247C"/>
    <w:rsid w:val="33EE54D5"/>
    <w:rsid w:val="33F13244"/>
    <w:rsid w:val="340547BA"/>
    <w:rsid w:val="3409108A"/>
    <w:rsid w:val="340F0157"/>
    <w:rsid w:val="342441A9"/>
    <w:rsid w:val="343B705E"/>
    <w:rsid w:val="343E5F1E"/>
    <w:rsid w:val="34693F09"/>
    <w:rsid w:val="346E408A"/>
    <w:rsid w:val="34A6512B"/>
    <w:rsid w:val="34B463BC"/>
    <w:rsid w:val="35047151"/>
    <w:rsid w:val="351A6043"/>
    <w:rsid w:val="35380BBF"/>
    <w:rsid w:val="354C2609"/>
    <w:rsid w:val="35501281"/>
    <w:rsid w:val="3586368F"/>
    <w:rsid w:val="35941976"/>
    <w:rsid w:val="35960786"/>
    <w:rsid w:val="35A46254"/>
    <w:rsid w:val="35AD5109"/>
    <w:rsid w:val="35AF5AAB"/>
    <w:rsid w:val="35C83CF1"/>
    <w:rsid w:val="35D00DF7"/>
    <w:rsid w:val="35EE3B1E"/>
    <w:rsid w:val="35EF5204"/>
    <w:rsid w:val="35F83427"/>
    <w:rsid w:val="360269EC"/>
    <w:rsid w:val="360A2896"/>
    <w:rsid w:val="36162CAE"/>
    <w:rsid w:val="3618279F"/>
    <w:rsid w:val="363438F4"/>
    <w:rsid w:val="3655799F"/>
    <w:rsid w:val="367C587D"/>
    <w:rsid w:val="36957FA4"/>
    <w:rsid w:val="36DA0CE0"/>
    <w:rsid w:val="36E876EF"/>
    <w:rsid w:val="372633C5"/>
    <w:rsid w:val="372E148E"/>
    <w:rsid w:val="37377E86"/>
    <w:rsid w:val="373A29CC"/>
    <w:rsid w:val="374155EC"/>
    <w:rsid w:val="37581957"/>
    <w:rsid w:val="375A7CAE"/>
    <w:rsid w:val="378105FB"/>
    <w:rsid w:val="379C2387"/>
    <w:rsid w:val="37AC0C2C"/>
    <w:rsid w:val="37AD7F7D"/>
    <w:rsid w:val="37DD0AF5"/>
    <w:rsid w:val="383A743E"/>
    <w:rsid w:val="38883064"/>
    <w:rsid w:val="38910B38"/>
    <w:rsid w:val="389C046A"/>
    <w:rsid w:val="389F0980"/>
    <w:rsid w:val="38A24CCD"/>
    <w:rsid w:val="38B56F92"/>
    <w:rsid w:val="38B92017"/>
    <w:rsid w:val="38BD3ED5"/>
    <w:rsid w:val="38D86941"/>
    <w:rsid w:val="38FC7524"/>
    <w:rsid w:val="38FF5606"/>
    <w:rsid w:val="393B64CE"/>
    <w:rsid w:val="393D40D0"/>
    <w:rsid w:val="395D0B68"/>
    <w:rsid w:val="3962471C"/>
    <w:rsid w:val="396B1E16"/>
    <w:rsid w:val="39857FA0"/>
    <w:rsid w:val="39A64471"/>
    <w:rsid w:val="39BD5776"/>
    <w:rsid w:val="39E3080C"/>
    <w:rsid w:val="39E91BA4"/>
    <w:rsid w:val="39F50E2C"/>
    <w:rsid w:val="3A013C75"/>
    <w:rsid w:val="3A0339D0"/>
    <w:rsid w:val="3A2B2AA0"/>
    <w:rsid w:val="3A3928D0"/>
    <w:rsid w:val="3A696BE8"/>
    <w:rsid w:val="3A7254FB"/>
    <w:rsid w:val="3A8521B0"/>
    <w:rsid w:val="3A873793"/>
    <w:rsid w:val="3AA16444"/>
    <w:rsid w:val="3AA811CB"/>
    <w:rsid w:val="3AA82D0B"/>
    <w:rsid w:val="3AAC1615"/>
    <w:rsid w:val="3ABE1B66"/>
    <w:rsid w:val="3AD64BEA"/>
    <w:rsid w:val="3B0A066E"/>
    <w:rsid w:val="3B3237CF"/>
    <w:rsid w:val="3B3B31B7"/>
    <w:rsid w:val="3B700157"/>
    <w:rsid w:val="3B7423AC"/>
    <w:rsid w:val="3B9308FD"/>
    <w:rsid w:val="3BB64C32"/>
    <w:rsid w:val="3BBA40DC"/>
    <w:rsid w:val="3BBE174D"/>
    <w:rsid w:val="3BC47EE7"/>
    <w:rsid w:val="3BDB1D14"/>
    <w:rsid w:val="3BE71216"/>
    <w:rsid w:val="3C034F02"/>
    <w:rsid w:val="3C0B0AE8"/>
    <w:rsid w:val="3C35270F"/>
    <w:rsid w:val="3C40441C"/>
    <w:rsid w:val="3C504ED6"/>
    <w:rsid w:val="3C9F351B"/>
    <w:rsid w:val="3CA8487C"/>
    <w:rsid w:val="3CF7D354"/>
    <w:rsid w:val="3CFE3E64"/>
    <w:rsid w:val="3D021D9E"/>
    <w:rsid w:val="3D0D60B6"/>
    <w:rsid w:val="3D1666B8"/>
    <w:rsid w:val="3D181988"/>
    <w:rsid w:val="3D281EC8"/>
    <w:rsid w:val="3D2B2B8C"/>
    <w:rsid w:val="3D3213E4"/>
    <w:rsid w:val="3D335057"/>
    <w:rsid w:val="3D3B307D"/>
    <w:rsid w:val="3D6407A3"/>
    <w:rsid w:val="3D675DC6"/>
    <w:rsid w:val="3D812CBA"/>
    <w:rsid w:val="3D962926"/>
    <w:rsid w:val="3DB04EEF"/>
    <w:rsid w:val="3DB77C3B"/>
    <w:rsid w:val="3DC61E40"/>
    <w:rsid w:val="3DD50AFB"/>
    <w:rsid w:val="3DE0634E"/>
    <w:rsid w:val="3DE22F80"/>
    <w:rsid w:val="3E0A303B"/>
    <w:rsid w:val="3E1E4E42"/>
    <w:rsid w:val="3E294112"/>
    <w:rsid w:val="3E3A5ABC"/>
    <w:rsid w:val="3E642A25"/>
    <w:rsid w:val="3E6B33DD"/>
    <w:rsid w:val="3E706C08"/>
    <w:rsid w:val="3E767A53"/>
    <w:rsid w:val="3E9F7F61"/>
    <w:rsid w:val="3EA412D0"/>
    <w:rsid w:val="3EB05805"/>
    <w:rsid w:val="3ED2798E"/>
    <w:rsid w:val="3ED32447"/>
    <w:rsid w:val="3ED41958"/>
    <w:rsid w:val="3EDE0F05"/>
    <w:rsid w:val="3EE73304"/>
    <w:rsid w:val="3EF36C02"/>
    <w:rsid w:val="3F1D32FF"/>
    <w:rsid w:val="3F254B77"/>
    <w:rsid w:val="3F2A77CA"/>
    <w:rsid w:val="3F2E001B"/>
    <w:rsid w:val="3F5136FA"/>
    <w:rsid w:val="3F6760B2"/>
    <w:rsid w:val="3F6B7FDB"/>
    <w:rsid w:val="3F840C5D"/>
    <w:rsid w:val="3F924009"/>
    <w:rsid w:val="3FCB3647"/>
    <w:rsid w:val="3FF0C5F0"/>
    <w:rsid w:val="401A0D8A"/>
    <w:rsid w:val="401A675E"/>
    <w:rsid w:val="40316936"/>
    <w:rsid w:val="40380CF2"/>
    <w:rsid w:val="403A795B"/>
    <w:rsid w:val="4045512F"/>
    <w:rsid w:val="40503EC6"/>
    <w:rsid w:val="405975F3"/>
    <w:rsid w:val="406960D0"/>
    <w:rsid w:val="40771177"/>
    <w:rsid w:val="40877FBB"/>
    <w:rsid w:val="40921A5C"/>
    <w:rsid w:val="40A63F0F"/>
    <w:rsid w:val="40B27FF8"/>
    <w:rsid w:val="410A4A33"/>
    <w:rsid w:val="41100CA0"/>
    <w:rsid w:val="411173AA"/>
    <w:rsid w:val="41235477"/>
    <w:rsid w:val="41393CF5"/>
    <w:rsid w:val="41581E77"/>
    <w:rsid w:val="41847666"/>
    <w:rsid w:val="41AD6615"/>
    <w:rsid w:val="421A4B61"/>
    <w:rsid w:val="4250230A"/>
    <w:rsid w:val="425B7949"/>
    <w:rsid w:val="42683077"/>
    <w:rsid w:val="42770885"/>
    <w:rsid w:val="42880C47"/>
    <w:rsid w:val="429658F0"/>
    <w:rsid w:val="429926BE"/>
    <w:rsid w:val="42B539F3"/>
    <w:rsid w:val="42FA567F"/>
    <w:rsid w:val="4334513F"/>
    <w:rsid w:val="435C492E"/>
    <w:rsid w:val="436412A6"/>
    <w:rsid w:val="43B11758"/>
    <w:rsid w:val="43D81DF9"/>
    <w:rsid w:val="43E360E1"/>
    <w:rsid w:val="440D1EAD"/>
    <w:rsid w:val="44366C11"/>
    <w:rsid w:val="446479C9"/>
    <w:rsid w:val="446A5022"/>
    <w:rsid w:val="447B4624"/>
    <w:rsid w:val="449400FA"/>
    <w:rsid w:val="44B50B65"/>
    <w:rsid w:val="44D53D34"/>
    <w:rsid w:val="44DC1567"/>
    <w:rsid w:val="44F70C6A"/>
    <w:rsid w:val="4505497D"/>
    <w:rsid w:val="450F4D8A"/>
    <w:rsid w:val="45474A4C"/>
    <w:rsid w:val="457C53C2"/>
    <w:rsid w:val="457E350F"/>
    <w:rsid w:val="4591040A"/>
    <w:rsid w:val="45967968"/>
    <w:rsid w:val="459E4528"/>
    <w:rsid w:val="45AE069B"/>
    <w:rsid w:val="45C75919"/>
    <w:rsid w:val="45CE26BB"/>
    <w:rsid w:val="45CE28B2"/>
    <w:rsid w:val="45CF0244"/>
    <w:rsid w:val="45D71D2E"/>
    <w:rsid w:val="45D74514"/>
    <w:rsid w:val="45E94D4D"/>
    <w:rsid w:val="461C75ED"/>
    <w:rsid w:val="461D39EE"/>
    <w:rsid w:val="462D6C1B"/>
    <w:rsid w:val="463C0253"/>
    <w:rsid w:val="463C52FB"/>
    <w:rsid w:val="46503FBA"/>
    <w:rsid w:val="4655719D"/>
    <w:rsid w:val="465D6E59"/>
    <w:rsid w:val="46BD0F24"/>
    <w:rsid w:val="46D10DCA"/>
    <w:rsid w:val="46D532F9"/>
    <w:rsid w:val="46D85D5E"/>
    <w:rsid w:val="46E12D03"/>
    <w:rsid w:val="46F53399"/>
    <w:rsid w:val="46F76745"/>
    <w:rsid w:val="47062619"/>
    <w:rsid w:val="471825FE"/>
    <w:rsid w:val="477A6AEF"/>
    <w:rsid w:val="477B5D50"/>
    <w:rsid w:val="479F09BE"/>
    <w:rsid w:val="47BD67A4"/>
    <w:rsid w:val="47C7783E"/>
    <w:rsid w:val="47C805B8"/>
    <w:rsid w:val="47FE0532"/>
    <w:rsid w:val="47FE17F4"/>
    <w:rsid w:val="47FF70FE"/>
    <w:rsid w:val="480732DE"/>
    <w:rsid w:val="480A1F47"/>
    <w:rsid w:val="480F57AF"/>
    <w:rsid w:val="481501F8"/>
    <w:rsid w:val="481E0468"/>
    <w:rsid w:val="482761DD"/>
    <w:rsid w:val="483900A7"/>
    <w:rsid w:val="48507E7F"/>
    <w:rsid w:val="48671252"/>
    <w:rsid w:val="48743864"/>
    <w:rsid w:val="487F438D"/>
    <w:rsid w:val="488F6F88"/>
    <w:rsid w:val="48AA54D8"/>
    <w:rsid w:val="48C540C0"/>
    <w:rsid w:val="48D30915"/>
    <w:rsid w:val="48D367DD"/>
    <w:rsid w:val="4909363D"/>
    <w:rsid w:val="49290AF3"/>
    <w:rsid w:val="494A7B12"/>
    <w:rsid w:val="49521DF7"/>
    <w:rsid w:val="497610FD"/>
    <w:rsid w:val="49782B6D"/>
    <w:rsid w:val="497E0A06"/>
    <w:rsid w:val="49851442"/>
    <w:rsid w:val="499C5935"/>
    <w:rsid w:val="49A632F3"/>
    <w:rsid w:val="49A64783"/>
    <w:rsid w:val="49AC57B5"/>
    <w:rsid w:val="49D02721"/>
    <w:rsid w:val="49D37C56"/>
    <w:rsid w:val="49D56585"/>
    <w:rsid w:val="49F619EE"/>
    <w:rsid w:val="4A064B19"/>
    <w:rsid w:val="4A123335"/>
    <w:rsid w:val="4A1A5506"/>
    <w:rsid w:val="4A542548"/>
    <w:rsid w:val="4A646B66"/>
    <w:rsid w:val="4A740280"/>
    <w:rsid w:val="4A842484"/>
    <w:rsid w:val="4A981A8C"/>
    <w:rsid w:val="4AD82813"/>
    <w:rsid w:val="4AF17CC0"/>
    <w:rsid w:val="4AF40C8C"/>
    <w:rsid w:val="4B0372DA"/>
    <w:rsid w:val="4B0A19F1"/>
    <w:rsid w:val="4B0C7CA6"/>
    <w:rsid w:val="4B1D3AD6"/>
    <w:rsid w:val="4B217A7B"/>
    <w:rsid w:val="4B3E66D0"/>
    <w:rsid w:val="4B524B95"/>
    <w:rsid w:val="4BAD1567"/>
    <w:rsid w:val="4BB375DD"/>
    <w:rsid w:val="4BBE6A70"/>
    <w:rsid w:val="4BBF3681"/>
    <w:rsid w:val="4BC346FC"/>
    <w:rsid w:val="4BE15A04"/>
    <w:rsid w:val="4BFF6209"/>
    <w:rsid w:val="4C3F4944"/>
    <w:rsid w:val="4C4B52F4"/>
    <w:rsid w:val="4C9170DB"/>
    <w:rsid w:val="4C9B7652"/>
    <w:rsid w:val="4CB45878"/>
    <w:rsid w:val="4D2C6EDE"/>
    <w:rsid w:val="4D554D0C"/>
    <w:rsid w:val="4DD05A25"/>
    <w:rsid w:val="4DF40AE5"/>
    <w:rsid w:val="4DF53699"/>
    <w:rsid w:val="4E0B1010"/>
    <w:rsid w:val="4E296E9F"/>
    <w:rsid w:val="4E5263F6"/>
    <w:rsid w:val="4E634E82"/>
    <w:rsid w:val="4E6A1991"/>
    <w:rsid w:val="4E7A5D02"/>
    <w:rsid w:val="4EC36824"/>
    <w:rsid w:val="4EC531EF"/>
    <w:rsid w:val="4ECD0381"/>
    <w:rsid w:val="4ECD5AF8"/>
    <w:rsid w:val="4EEA457E"/>
    <w:rsid w:val="4F046192"/>
    <w:rsid w:val="4F227917"/>
    <w:rsid w:val="4F5D32A4"/>
    <w:rsid w:val="4F7B7DFC"/>
    <w:rsid w:val="4FA82692"/>
    <w:rsid w:val="4FAA574F"/>
    <w:rsid w:val="50091D29"/>
    <w:rsid w:val="500F69BB"/>
    <w:rsid w:val="502A7CEF"/>
    <w:rsid w:val="50444D71"/>
    <w:rsid w:val="50467DF8"/>
    <w:rsid w:val="504B57F2"/>
    <w:rsid w:val="505F3376"/>
    <w:rsid w:val="50760A57"/>
    <w:rsid w:val="50903563"/>
    <w:rsid w:val="50AA2370"/>
    <w:rsid w:val="50C3182D"/>
    <w:rsid w:val="50C42459"/>
    <w:rsid w:val="50C854B3"/>
    <w:rsid w:val="50CF01D2"/>
    <w:rsid w:val="50E2295D"/>
    <w:rsid w:val="50EC48E0"/>
    <w:rsid w:val="51017205"/>
    <w:rsid w:val="512110B0"/>
    <w:rsid w:val="51275918"/>
    <w:rsid w:val="5138767D"/>
    <w:rsid w:val="514477A1"/>
    <w:rsid w:val="515E513F"/>
    <w:rsid w:val="51653A78"/>
    <w:rsid w:val="51675ADE"/>
    <w:rsid w:val="516A3B06"/>
    <w:rsid w:val="516F16A8"/>
    <w:rsid w:val="51750D79"/>
    <w:rsid w:val="51D862A4"/>
    <w:rsid w:val="51E66A28"/>
    <w:rsid w:val="521D47E0"/>
    <w:rsid w:val="5247586A"/>
    <w:rsid w:val="5271389B"/>
    <w:rsid w:val="52927EBD"/>
    <w:rsid w:val="52953DA4"/>
    <w:rsid w:val="52A575BB"/>
    <w:rsid w:val="52BE3C8F"/>
    <w:rsid w:val="52C03FC9"/>
    <w:rsid w:val="52DE4138"/>
    <w:rsid w:val="530E2C43"/>
    <w:rsid w:val="531262E7"/>
    <w:rsid w:val="5322125E"/>
    <w:rsid w:val="532A2228"/>
    <w:rsid w:val="535320ED"/>
    <w:rsid w:val="53644E32"/>
    <w:rsid w:val="5371289D"/>
    <w:rsid w:val="53DE6D19"/>
    <w:rsid w:val="53F61DBC"/>
    <w:rsid w:val="53FF3638"/>
    <w:rsid w:val="540235C5"/>
    <w:rsid w:val="54036473"/>
    <w:rsid w:val="540A5C84"/>
    <w:rsid w:val="540E63A1"/>
    <w:rsid w:val="54457114"/>
    <w:rsid w:val="54752E3E"/>
    <w:rsid w:val="547D79BE"/>
    <w:rsid w:val="54844437"/>
    <w:rsid w:val="549C03CB"/>
    <w:rsid w:val="54A0116D"/>
    <w:rsid w:val="550058CC"/>
    <w:rsid w:val="55124B31"/>
    <w:rsid w:val="55393E6B"/>
    <w:rsid w:val="553E36FF"/>
    <w:rsid w:val="556128E7"/>
    <w:rsid w:val="556204EF"/>
    <w:rsid w:val="557A38E3"/>
    <w:rsid w:val="55925D4F"/>
    <w:rsid w:val="5597762A"/>
    <w:rsid w:val="55B00C6D"/>
    <w:rsid w:val="55E22755"/>
    <w:rsid w:val="55F81F79"/>
    <w:rsid w:val="560F4F27"/>
    <w:rsid w:val="56135319"/>
    <w:rsid w:val="56186177"/>
    <w:rsid w:val="562468CA"/>
    <w:rsid w:val="56464A92"/>
    <w:rsid w:val="567B624D"/>
    <w:rsid w:val="56821074"/>
    <w:rsid w:val="56B06D7D"/>
    <w:rsid w:val="56C90818"/>
    <w:rsid w:val="56DD7DCF"/>
    <w:rsid w:val="56E62C85"/>
    <w:rsid w:val="56EF5522"/>
    <w:rsid w:val="570D3EE5"/>
    <w:rsid w:val="571C5FED"/>
    <w:rsid w:val="5721105B"/>
    <w:rsid w:val="572809B6"/>
    <w:rsid w:val="57527466"/>
    <w:rsid w:val="57762675"/>
    <w:rsid w:val="57910C04"/>
    <w:rsid w:val="57A77A6C"/>
    <w:rsid w:val="57BB1377"/>
    <w:rsid w:val="57CC77E6"/>
    <w:rsid w:val="57D55BFA"/>
    <w:rsid w:val="57F1549A"/>
    <w:rsid w:val="57FD3876"/>
    <w:rsid w:val="580521C8"/>
    <w:rsid w:val="581A3F8E"/>
    <w:rsid w:val="58201145"/>
    <w:rsid w:val="584855C9"/>
    <w:rsid w:val="585B059D"/>
    <w:rsid w:val="585E0536"/>
    <w:rsid w:val="586A1A57"/>
    <w:rsid w:val="586A3B2C"/>
    <w:rsid w:val="58751A71"/>
    <w:rsid w:val="58AE76F6"/>
    <w:rsid w:val="58F05189"/>
    <w:rsid w:val="590D43CD"/>
    <w:rsid w:val="59180DE0"/>
    <w:rsid w:val="592C7308"/>
    <w:rsid w:val="592E77F7"/>
    <w:rsid w:val="59537B91"/>
    <w:rsid w:val="595E65AD"/>
    <w:rsid w:val="59710078"/>
    <w:rsid w:val="597169B0"/>
    <w:rsid w:val="59725B9E"/>
    <w:rsid w:val="59A5436A"/>
    <w:rsid w:val="59AF4BCB"/>
    <w:rsid w:val="59CC667E"/>
    <w:rsid w:val="59DC02C3"/>
    <w:rsid w:val="59DC4B2F"/>
    <w:rsid w:val="5A054D7E"/>
    <w:rsid w:val="5A0A7157"/>
    <w:rsid w:val="5A21548F"/>
    <w:rsid w:val="5A30402F"/>
    <w:rsid w:val="5A3617C7"/>
    <w:rsid w:val="5A5149F9"/>
    <w:rsid w:val="5A725C75"/>
    <w:rsid w:val="5A795CD3"/>
    <w:rsid w:val="5A7A3DD4"/>
    <w:rsid w:val="5A874B8D"/>
    <w:rsid w:val="5AC10B8B"/>
    <w:rsid w:val="5AC362EC"/>
    <w:rsid w:val="5AE876A9"/>
    <w:rsid w:val="5B2766E1"/>
    <w:rsid w:val="5B340913"/>
    <w:rsid w:val="5B7E1A86"/>
    <w:rsid w:val="5B7E2649"/>
    <w:rsid w:val="5B80606F"/>
    <w:rsid w:val="5B8D499C"/>
    <w:rsid w:val="5B8D59B9"/>
    <w:rsid w:val="5B8E27A1"/>
    <w:rsid w:val="5B90055D"/>
    <w:rsid w:val="5B9C1D95"/>
    <w:rsid w:val="5BE3143E"/>
    <w:rsid w:val="5C323E85"/>
    <w:rsid w:val="5C395701"/>
    <w:rsid w:val="5C3C314C"/>
    <w:rsid w:val="5C4D3BFA"/>
    <w:rsid w:val="5C6F29F4"/>
    <w:rsid w:val="5C741D5A"/>
    <w:rsid w:val="5C7774D3"/>
    <w:rsid w:val="5CA1107D"/>
    <w:rsid w:val="5CA17A28"/>
    <w:rsid w:val="5CC77176"/>
    <w:rsid w:val="5D0A2A1B"/>
    <w:rsid w:val="5D2C42B6"/>
    <w:rsid w:val="5D32166B"/>
    <w:rsid w:val="5D3F0F58"/>
    <w:rsid w:val="5D51797B"/>
    <w:rsid w:val="5D6C7BC2"/>
    <w:rsid w:val="5D997B9D"/>
    <w:rsid w:val="5D9C51D6"/>
    <w:rsid w:val="5DA73589"/>
    <w:rsid w:val="5DBA7B13"/>
    <w:rsid w:val="5DBD5B7D"/>
    <w:rsid w:val="5DDC6E91"/>
    <w:rsid w:val="5DDE4708"/>
    <w:rsid w:val="5E3D78A1"/>
    <w:rsid w:val="5E3E6996"/>
    <w:rsid w:val="5E53564E"/>
    <w:rsid w:val="5E573605"/>
    <w:rsid w:val="5E7A6926"/>
    <w:rsid w:val="5E867E4E"/>
    <w:rsid w:val="5E9828A0"/>
    <w:rsid w:val="5E9B16F3"/>
    <w:rsid w:val="5EA60EB9"/>
    <w:rsid w:val="5EDF5F2D"/>
    <w:rsid w:val="5F0C25F1"/>
    <w:rsid w:val="5F2913F5"/>
    <w:rsid w:val="5F2D6E5A"/>
    <w:rsid w:val="5F35198B"/>
    <w:rsid w:val="5F36141C"/>
    <w:rsid w:val="5F3D1890"/>
    <w:rsid w:val="5F5B2511"/>
    <w:rsid w:val="5F7E529D"/>
    <w:rsid w:val="5F85439C"/>
    <w:rsid w:val="5F98725C"/>
    <w:rsid w:val="5F9A3369"/>
    <w:rsid w:val="5FCD1E6B"/>
    <w:rsid w:val="5FCE0310"/>
    <w:rsid w:val="5FEC638A"/>
    <w:rsid w:val="6022180D"/>
    <w:rsid w:val="605660D3"/>
    <w:rsid w:val="606A75CF"/>
    <w:rsid w:val="60806DF2"/>
    <w:rsid w:val="60825B34"/>
    <w:rsid w:val="60883EF9"/>
    <w:rsid w:val="60A4258A"/>
    <w:rsid w:val="60A93BB5"/>
    <w:rsid w:val="60AB7B52"/>
    <w:rsid w:val="60C50CA9"/>
    <w:rsid w:val="60FD2147"/>
    <w:rsid w:val="610C731A"/>
    <w:rsid w:val="6128091C"/>
    <w:rsid w:val="613B7151"/>
    <w:rsid w:val="61475B62"/>
    <w:rsid w:val="617F102D"/>
    <w:rsid w:val="61903CAA"/>
    <w:rsid w:val="619E2C93"/>
    <w:rsid w:val="61AA4A49"/>
    <w:rsid w:val="61BE7AEB"/>
    <w:rsid w:val="61C72655"/>
    <w:rsid w:val="61CB310F"/>
    <w:rsid w:val="61CB329D"/>
    <w:rsid w:val="61D05B58"/>
    <w:rsid w:val="61E15E97"/>
    <w:rsid w:val="621C2B4B"/>
    <w:rsid w:val="623B64E6"/>
    <w:rsid w:val="623F2656"/>
    <w:rsid w:val="624A70C7"/>
    <w:rsid w:val="624F1172"/>
    <w:rsid w:val="62997217"/>
    <w:rsid w:val="62AE2A2A"/>
    <w:rsid w:val="62C236F2"/>
    <w:rsid w:val="62D97B6C"/>
    <w:rsid w:val="62E91920"/>
    <w:rsid w:val="6319386D"/>
    <w:rsid w:val="631A52DC"/>
    <w:rsid w:val="63622E87"/>
    <w:rsid w:val="636274DB"/>
    <w:rsid w:val="63662255"/>
    <w:rsid w:val="63675512"/>
    <w:rsid w:val="638473E2"/>
    <w:rsid w:val="63920EDA"/>
    <w:rsid w:val="63A1155A"/>
    <w:rsid w:val="63B47803"/>
    <w:rsid w:val="63B77CEA"/>
    <w:rsid w:val="63B92EE5"/>
    <w:rsid w:val="63F58A11"/>
    <w:rsid w:val="63F93517"/>
    <w:rsid w:val="63FE1B71"/>
    <w:rsid w:val="642F5001"/>
    <w:rsid w:val="646D3B32"/>
    <w:rsid w:val="64A30025"/>
    <w:rsid w:val="64C44139"/>
    <w:rsid w:val="64DE6705"/>
    <w:rsid w:val="65055B18"/>
    <w:rsid w:val="650E2619"/>
    <w:rsid w:val="652634A0"/>
    <w:rsid w:val="656C203B"/>
    <w:rsid w:val="656E190F"/>
    <w:rsid w:val="65826BA0"/>
    <w:rsid w:val="65905F2A"/>
    <w:rsid w:val="659F5D29"/>
    <w:rsid w:val="65B65064"/>
    <w:rsid w:val="65B975D9"/>
    <w:rsid w:val="65D11305"/>
    <w:rsid w:val="65D8613A"/>
    <w:rsid w:val="65EB2226"/>
    <w:rsid w:val="65F8742B"/>
    <w:rsid w:val="66345205"/>
    <w:rsid w:val="66666A8A"/>
    <w:rsid w:val="66772A46"/>
    <w:rsid w:val="66B001E2"/>
    <w:rsid w:val="66B33AA8"/>
    <w:rsid w:val="66B617C0"/>
    <w:rsid w:val="66D67CEA"/>
    <w:rsid w:val="66D74C03"/>
    <w:rsid w:val="66F95D5F"/>
    <w:rsid w:val="6712276E"/>
    <w:rsid w:val="67695363"/>
    <w:rsid w:val="679D028A"/>
    <w:rsid w:val="68275CED"/>
    <w:rsid w:val="683F3A37"/>
    <w:rsid w:val="6842639B"/>
    <w:rsid w:val="68825AA7"/>
    <w:rsid w:val="688F1B0F"/>
    <w:rsid w:val="68A622BF"/>
    <w:rsid w:val="68B55243"/>
    <w:rsid w:val="68B56396"/>
    <w:rsid w:val="68C07642"/>
    <w:rsid w:val="690600B1"/>
    <w:rsid w:val="691002CE"/>
    <w:rsid w:val="6912239E"/>
    <w:rsid w:val="69263A39"/>
    <w:rsid w:val="693430AE"/>
    <w:rsid w:val="693B24AA"/>
    <w:rsid w:val="693C3339"/>
    <w:rsid w:val="693C538C"/>
    <w:rsid w:val="693F2021"/>
    <w:rsid w:val="697015AC"/>
    <w:rsid w:val="69B06E35"/>
    <w:rsid w:val="69BB1B96"/>
    <w:rsid w:val="69F07613"/>
    <w:rsid w:val="69FB4534"/>
    <w:rsid w:val="69FE1FF8"/>
    <w:rsid w:val="69FF08C6"/>
    <w:rsid w:val="6A2F40E7"/>
    <w:rsid w:val="6A617C95"/>
    <w:rsid w:val="6A667059"/>
    <w:rsid w:val="6A675E13"/>
    <w:rsid w:val="6A6A1D50"/>
    <w:rsid w:val="6A7E767E"/>
    <w:rsid w:val="6A873318"/>
    <w:rsid w:val="6ACB3360"/>
    <w:rsid w:val="6ACB5685"/>
    <w:rsid w:val="6AF44665"/>
    <w:rsid w:val="6B00125C"/>
    <w:rsid w:val="6B013AC4"/>
    <w:rsid w:val="6B022B20"/>
    <w:rsid w:val="6B0B2C71"/>
    <w:rsid w:val="6B0D1E4C"/>
    <w:rsid w:val="6B225204"/>
    <w:rsid w:val="6B5D5FDB"/>
    <w:rsid w:val="6B5D73DB"/>
    <w:rsid w:val="6B60329D"/>
    <w:rsid w:val="6B851761"/>
    <w:rsid w:val="6B8F43C5"/>
    <w:rsid w:val="6BA74108"/>
    <w:rsid w:val="6BA932CC"/>
    <w:rsid w:val="6BAA3BFF"/>
    <w:rsid w:val="6BC631B0"/>
    <w:rsid w:val="6BD52BAE"/>
    <w:rsid w:val="6BD52F92"/>
    <w:rsid w:val="6BF568E6"/>
    <w:rsid w:val="6C086473"/>
    <w:rsid w:val="6C196A37"/>
    <w:rsid w:val="6C2614F4"/>
    <w:rsid w:val="6C263EF0"/>
    <w:rsid w:val="6C294C9F"/>
    <w:rsid w:val="6C557385"/>
    <w:rsid w:val="6C5B4F41"/>
    <w:rsid w:val="6C5B54D6"/>
    <w:rsid w:val="6C657755"/>
    <w:rsid w:val="6C73245F"/>
    <w:rsid w:val="6C7F4402"/>
    <w:rsid w:val="6CA41755"/>
    <w:rsid w:val="6CB6422F"/>
    <w:rsid w:val="6CD00B93"/>
    <w:rsid w:val="6CDD5062"/>
    <w:rsid w:val="6CDE79AF"/>
    <w:rsid w:val="6CF46B9E"/>
    <w:rsid w:val="6CFD81DF"/>
    <w:rsid w:val="6D175C89"/>
    <w:rsid w:val="6D360C7F"/>
    <w:rsid w:val="6D404378"/>
    <w:rsid w:val="6D7A0F67"/>
    <w:rsid w:val="6D820AE9"/>
    <w:rsid w:val="6DB200D0"/>
    <w:rsid w:val="6DC5053A"/>
    <w:rsid w:val="6DD4077E"/>
    <w:rsid w:val="6DEA4604"/>
    <w:rsid w:val="6DFB7BC5"/>
    <w:rsid w:val="6E932C1C"/>
    <w:rsid w:val="6EB94CA1"/>
    <w:rsid w:val="6EE07AA3"/>
    <w:rsid w:val="6EEB8E5F"/>
    <w:rsid w:val="6EEF1D13"/>
    <w:rsid w:val="6F062841"/>
    <w:rsid w:val="6F084862"/>
    <w:rsid w:val="6F1C3334"/>
    <w:rsid w:val="6F2F1C60"/>
    <w:rsid w:val="6F4436E1"/>
    <w:rsid w:val="6F806DDA"/>
    <w:rsid w:val="6F887A72"/>
    <w:rsid w:val="6F887B94"/>
    <w:rsid w:val="6FA32AFD"/>
    <w:rsid w:val="6FA535AD"/>
    <w:rsid w:val="6FD111A8"/>
    <w:rsid w:val="6FDC60D0"/>
    <w:rsid w:val="6FF671C3"/>
    <w:rsid w:val="6FFA62C5"/>
    <w:rsid w:val="7009145B"/>
    <w:rsid w:val="70196838"/>
    <w:rsid w:val="7023229D"/>
    <w:rsid w:val="702707C6"/>
    <w:rsid w:val="70351AE0"/>
    <w:rsid w:val="703A2BF0"/>
    <w:rsid w:val="70425469"/>
    <w:rsid w:val="7048478E"/>
    <w:rsid w:val="708C17E3"/>
    <w:rsid w:val="708D34F0"/>
    <w:rsid w:val="709435AA"/>
    <w:rsid w:val="70B84AEA"/>
    <w:rsid w:val="70BA73D6"/>
    <w:rsid w:val="70D171F6"/>
    <w:rsid w:val="71033031"/>
    <w:rsid w:val="711A010D"/>
    <w:rsid w:val="71384F8A"/>
    <w:rsid w:val="715D620A"/>
    <w:rsid w:val="71A96202"/>
    <w:rsid w:val="724610A5"/>
    <w:rsid w:val="7258372B"/>
    <w:rsid w:val="72621DA4"/>
    <w:rsid w:val="727A76BE"/>
    <w:rsid w:val="72945F4F"/>
    <w:rsid w:val="72AB7696"/>
    <w:rsid w:val="72E45309"/>
    <w:rsid w:val="7306587D"/>
    <w:rsid w:val="732C21E6"/>
    <w:rsid w:val="735A1725"/>
    <w:rsid w:val="735D0C69"/>
    <w:rsid w:val="73685BF0"/>
    <w:rsid w:val="73922C6D"/>
    <w:rsid w:val="73944C37"/>
    <w:rsid w:val="73B05A03"/>
    <w:rsid w:val="73B928EF"/>
    <w:rsid w:val="73CB43D1"/>
    <w:rsid w:val="73E13BF4"/>
    <w:rsid w:val="73E75E56"/>
    <w:rsid w:val="73FB2F08"/>
    <w:rsid w:val="74184804"/>
    <w:rsid w:val="741915E0"/>
    <w:rsid w:val="741E2986"/>
    <w:rsid w:val="74212644"/>
    <w:rsid w:val="74941905"/>
    <w:rsid w:val="74A77970"/>
    <w:rsid w:val="74B144CB"/>
    <w:rsid w:val="74DF5BAC"/>
    <w:rsid w:val="75100FAB"/>
    <w:rsid w:val="75181898"/>
    <w:rsid w:val="751F42D8"/>
    <w:rsid w:val="75251A1D"/>
    <w:rsid w:val="754B5E50"/>
    <w:rsid w:val="754D5B12"/>
    <w:rsid w:val="754E3162"/>
    <w:rsid w:val="75695572"/>
    <w:rsid w:val="757C4776"/>
    <w:rsid w:val="75AF517F"/>
    <w:rsid w:val="75B27404"/>
    <w:rsid w:val="75E72B9D"/>
    <w:rsid w:val="76074E01"/>
    <w:rsid w:val="760836BA"/>
    <w:rsid w:val="761B4486"/>
    <w:rsid w:val="762940CF"/>
    <w:rsid w:val="763A3F76"/>
    <w:rsid w:val="76500BBD"/>
    <w:rsid w:val="768F7E91"/>
    <w:rsid w:val="769C6AE5"/>
    <w:rsid w:val="769E3900"/>
    <w:rsid w:val="76A55630"/>
    <w:rsid w:val="76AF7FDA"/>
    <w:rsid w:val="76CB2EC2"/>
    <w:rsid w:val="76EC115C"/>
    <w:rsid w:val="76FD1063"/>
    <w:rsid w:val="772462D2"/>
    <w:rsid w:val="772E4ACD"/>
    <w:rsid w:val="773B415B"/>
    <w:rsid w:val="77562203"/>
    <w:rsid w:val="776970C2"/>
    <w:rsid w:val="7792125E"/>
    <w:rsid w:val="77C11D73"/>
    <w:rsid w:val="77F7692C"/>
    <w:rsid w:val="781A7BBF"/>
    <w:rsid w:val="782D38B6"/>
    <w:rsid w:val="784851FE"/>
    <w:rsid w:val="784B53AE"/>
    <w:rsid w:val="785707F0"/>
    <w:rsid w:val="786F1A82"/>
    <w:rsid w:val="7879264D"/>
    <w:rsid w:val="789B7D2E"/>
    <w:rsid w:val="78A4393C"/>
    <w:rsid w:val="78B57075"/>
    <w:rsid w:val="78BB2421"/>
    <w:rsid w:val="78BD6B1B"/>
    <w:rsid w:val="78D22B0A"/>
    <w:rsid w:val="78E47951"/>
    <w:rsid w:val="79077B21"/>
    <w:rsid w:val="79224A93"/>
    <w:rsid w:val="79507852"/>
    <w:rsid w:val="796F155A"/>
    <w:rsid w:val="797B1A25"/>
    <w:rsid w:val="798B4C4F"/>
    <w:rsid w:val="79CE4C1B"/>
    <w:rsid w:val="79E62D95"/>
    <w:rsid w:val="79E65931"/>
    <w:rsid w:val="7A0A6CBA"/>
    <w:rsid w:val="7A2C50FB"/>
    <w:rsid w:val="7A574C10"/>
    <w:rsid w:val="7A5D0AA5"/>
    <w:rsid w:val="7A7B0CC7"/>
    <w:rsid w:val="7A8D11E4"/>
    <w:rsid w:val="7AA949B4"/>
    <w:rsid w:val="7AC41220"/>
    <w:rsid w:val="7AC67C05"/>
    <w:rsid w:val="7AE364A4"/>
    <w:rsid w:val="7AEA338E"/>
    <w:rsid w:val="7B081318"/>
    <w:rsid w:val="7B191583"/>
    <w:rsid w:val="7B1E6DF9"/>
    <w:rsid w:val="7B2A5E81"/>
    <w:rsid w:val="7B354F51"/>
    <w:rsid w:val="7B42437E"/>
    <w:rsid w:val="7B5800FE"/>
    <w:rsid w:val="7B647BE5"/>
    <w:rsid w:val="7B8B02EE"/>
    <w:rsid w:val="7B91477D"/>
    <w:rsid w:val="7BA674A3"/>
    <w:rsid w:val="7BD535D9"/>
    <w:rsid w:val="7BD54882"/>
    <w:rsid w:val="7BD65C61"/>
    <w:rsid w:val="7C043085"/>
    <w:rsid w:val="7C084414"/>
    <w:rsid w:val="7C1120EB"/>
    <w:rsid w:val="7C285AC3"/>
    <w:rsid w:val="7C442F72"/>
    <w:rsid w:val="7C443F36"/>
    <w:rsid w:val="7C6333F8"/>
    <w:rsid w:val="7C6D3BA7"/>
    <w:rsid w:val="7C813749"/>
    <w:rsid w:val="7C923CDE"/>
    <w:rsid w:val="7C967236"/>
    <w:rsid w:val="7C9944BA"/>
    <w:rsid w:val="7CBA32DC"/>
    <w:rsid w:val="7CDB3D33"/>
    <w:rsid w:val="7CED53B8"/>
    <w:rsid w:val="7D037479"/>
    <w:rsid w:val="7D1F2F41"/>
    <w:rsid w:val="7D487C57"/>
    <w:rsid w:val="7D492911"/>
    <w:rsid w:val="7D4F793D"/>
    <w:rsid w:val="7D5D30A9"/>
    <w:rsid w:val="7D5F2FDC"/>
    <w:rsid w:val="7D606518"/>
    <w:rsid w:val="7D6F731B"/>
    <w:rsid w:val="7D782ED3"/>
    <w:rsid w:val="7DA87CB9"/>
    <w:rsid w:val="7DC9F78F"/>
    <w:rsid w:val="7DE02B83"/>
    <w:rsid w:val="7DE41E29"/>
    <w:rsid w:val="7DE45BD4"/>
    <w:rsid w:val="7DF198A7"/>
    <w:rsid w:val="7DF62846"/>
    <w:rsid w:val="7DF63C7C"/>
    <w:rsid w:val="7E0155BF"/>
    <w:rsid w:val="7E142269"/>
    <w:rsid w:val="7E303B61"/>
    <w:rsid w:val="7E5216DD"/>
    <w:rsid w:val="7E567623"/>
    <w:rsid w:val="7E795155"/>
    <w:rsid w:val="7E9E0514"/>
    <w:rsid w:val="7EA01D85"/>
    <w:rsid w:val="7EB20667"/>
    <w:rsid w:val="7EC02B3B"/>
    <w:rsid w:val="7EC91566"/>
    <w:rsid w:val="7ECD1958"/>
    <w:rsid w:val="7EF936FE"/>
    <w:rsid w:val="7EFD2FAE"/>
    <w:rsid w:val="7F160BF6"/>
    <w:rsid w:val="7F397B88"/>
    <w:rsid w:val="7F564788"/>
    <w:rsid w:val="7F596CCC"/>
    <w:rsid w:val="7F622093"/>
    <w:rsid w:val="7F9E2695"/>
    <w:rsid w:val="7FD1465F"/>
    <w:rsid w:val="7FD25A8B"/>
    <w:rsid w:val="7FDA7299"/>
    <w:rsid w:val="7FE10806"/>
    <w:rsid w:val="7FEB4820"/>
    <w:rsid w:val="7FEDFBC4"/>
    <w:rsid w:val="9D9F2B6B"/>
    <w:rsid w:val="9FFE8308"/>
    <w:rsid w:val="ABFB51A7"/>
    <w:rsid w:val="BFAC6943"/>
    <w:rsid w:val="BFF63921"/>
    <w:rsid w:val="BFFC3320"/>
    <w:rsid w:val="DBFF4A31"/>
    <w:rsid w:val="DCF7EC0B"/>
    <w:rsid w:val="DD9E049B"/>
    <w:rsid w:val="DEFBF979"/>
    <w:rsid w:val="DFBD8081"/>
    <w:rsid w:val="EDB6753C"/>
    <w:rsid w:val="EDFE6C4E"/>
    <w:rsid w:val="EFCFD539"/>
    <w:rsid w:val="F7DF7AB4"/>
    <w:rsid w:val="F7FD133C"/>
    <w:rsid w:val="FBECA098"/>
    <w:rsid w:val="FDF5B560"/>
    <w:rsid w:val="FF2F05A9"/>
    <w:rsid w:val="FFCB0B34"/>
    <w:rsid w:val="FFF71F8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99"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qFormat="1" w:unhideWhenUsed="0" w:uiPriority="99" w:semiHidden="0" w:name="HTML Preformatted"/>
    <w:lsdException w:qFormat="1" w:uiPriority="99" w:semiHidden="0" w:name="HTML Sample"/>
    <w:lsdException w:qFormat="1" w:uiPriority="99" w:semiHidden="0" w:name="HTML Typewriter"/>
    <w:lsdException w:qFormat="1" w:uiPriority="99" w:semiHidden="0"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105"/>
    <w:qFormat/>
    <w:uiPriority w:val="0"/>
    <w:pPr>
      <w:jc w:val="center"/>
      <w:outlineLvl w:val="0"/>
    </w:pPr>
    <w:rPr>
      <w:rFonts w:ascii="黑体" w:hAnsi="黑体" w:eastAsia="仿宋"/>
      <w:b/>
      <w:sz w:val="30"/>
      <w:highlight w:val="none"/>
    </w:rPr>
  </w:style>
  <w:style w:type="paragraph" w:styleId="4">
    <w:name w:val="heading 2"/>
    <w:basedOn w:val="1"/>
    <w:next w:val="1"/>
    <w:link w:val="106"/>
    <w:qFormat/>
    <w:uiPriority w:val="0"/>
    <w:pPr>
      <w:keepNext/>
      <w:keepLines/>
      <w:spacing w:before="260" w:after="260" w:line="416" w:lineRule="auto"/>
      <w:outlineLvl w:val="1"/>
    </w:pPr>
    <w:rPr>
      <w:rFonts w:ascii="Arial" w:hAnsi="Arial" w:eastAsia="黑体"/>
      <w:b/>
      <w:bCs/>
      <w:kern w:val="0"/>
      <w:sz w:val="32"/>
      <w:szCs w:val="32"/>
    </w:rPr>
  </w:style>
  <w:style w:type="paragraph" w:styleId="5">
    <w:name w:val="heading 3"/>
    <w:basedOn w:val="1"/>
    <w:next w:val="1"/>
    <w:link w:val="107"/>
    <w:qFormat/>
    <w:uiPriority w:val="0"/>
    <w:pPr>
      <w:keepNext/>
      <w:keepLines/>
      <w:widowControl/>
      <w:numPr>
        <w:ilvl w:val="2"/>
        <w:numId w:val="1"/>
      </w:numPr>
      <w:spacing w:before="120" w:after="120" w:line="360" w:lineRule="auto"/>
      <w:jc w:val="center"/>
      <w:outlineLvl w:val="2"/>
    </w:pPr>
    <w:rPr>
      <w:b/>
      <w:kern w:val="0"/>
      <w:sz w:val="32"/>
      <w:szCs w:val="20"/>
    </w:rPr>
  </w:style>
  <w:style w:type="paragraph" w:styleId="6">
    <w:name w:val="heading 4"/>
    <w:basedOn w:val="1"/>
    <w:next w:val="1"/>
    <w:qFormat/>
    <w:uiPriority w:val="0"/>
    <w:pPr>
      <w:keepNext/>
      <w:keepLines/>
      <w:spacing w:before="280" w:beforeLines="0" w:after="290" w:afterLines="0" w:line="374" w:lineRule="auto"/>
      <w:outlineLvl w:val="3"/>
    </w:pPr>
    <w:rPr>
      <w:rFonts w:ascii="Arial" w:hAnsi="Arial" w:eastAsia="黑体"/>
      <w:b/>
      <w:bCs/>
      <w:sz w:val="28"/>
      <w:szCs w:val="28"/>
    </w:rPr>
  </w:style>
  <w:style w:type="paragraph" w:styleId="7">
    <w:name w:val="heading 5"/>
    <w:basedOn w:val="1"/>
    <w:next w:val="1"/>
    <w:qFormat/>
    <w:uiPriority w:val="0"/>
    <w:pPr>
      <w:keepNext/>
      <w:keepLines/>
      <w:spacing w:before="280" w:after="290" w:line="376" w:lineRule="auto"/>
      <w:outlineLvl w:val="4"/>
    </w:pPr>
    <w:rPr>
      <w:rFonts w:eastAsia="宋体"/>
      <w:b/>
      <w:sz w:val="28"/>
      <w:szCs w:val="20"/>
    </w:rPr>
  </w:style>
  <w:style w:type="paragraph" w:styleId="8">
    <w:name w:val="heading 6"/>
    <w:basedOn w:val="1"/>
    <w:next w:val="1"/>
    <w:link w:val="108"/>
    <w:qFormat/>
    <w:uiPriority w:val="0"/>
    <w:pPr>
      <w:keepNext/>
      <w:keepLines/>
      <w:widowControl/>
      <w:numPr>
        <w:ilvl w:val="5"/>
        <w:numId w:val="1"/>
      </w:numPr>
      <w:spacing w:before="240" w:after="64" w:line="320" w:lineRule="auto"/>
      <w:jc w:val="left"/>
      <w:outlineLvl w:val="5"/>
    </w:pPr>
    <w:rPr>
      <w:rFonts w:ascii="Arial" w:hAnsi="Arial" w:eastAsia="黑体"/>
      <w:b/>
      <w:bCs/>
      <w:kern w:val="0"/>
      <w:sz w:val="24"/>
      <w:szCs w:val="24"/>
    </w:rPr>
  </w:style>
  <w:style w:type="paragraph" w:styleId="9">
    <w:name w:val="heading 7"/>
    <w:basedOn w:val="1"/>
    <w:next w:val="1"/>
    <w:link w:val="109"/>
    <w:qFormat/>
    <w:uiPriority w:val="0"/>
    <w:pPr>
      <w:keepNext/>
      <w:keepLines/>
      <w:widowControl/>
      <w:numPr>
        <w:ilvl w:val="6"/>
        <w:numId w:val="1"/>
      </w:numPr>
      <w:spacing w:before="240" w:after="64" w:line="320" w:lineRule="auto"/>
      <w:jc w:val="left"/>
      <w:outlineLvl w:val="6"/>
    </w:pPr>
    <w:rPr>
      <w:b/>
      <w:bCs/>
      <w:kern w:val="0"/>
      <w:sz w:val="24"/>
      <w:szCs w:val="24"/>
    </w:rPr>
  </w:style>
  <w:style w:type="paragraph" w:styleId="10">
    <w:name w:val="heading 8"/>
    <w:basedOn w:val="1"/>
    <w:next w:val="1"/>
    <w:link w:val="110"/>
    <w:qFormat/>
    <w:uiPriority w:val="0"/>
    <w:pPr>
      <w:keepNext/>
      <w:keepLines/>
      <w:widowControl/>
      <w:numPr>
        <w:ilvl w:val="7"/>
        <w:numId w:val="1"/>
      </w:numPr>
      <w:spacing w:before="240" w:after="64" w:line="320" w:lineRule="auto"/>
      <w:jc w:val="left"/>
      <w:outlineLvl w:val="7"/>
    </w:pPr>
    <w:rPr>
      <w:rFonts w:ascii="Arial" w:hAnsi="Arial" w:eastAsia="黑体"/>
      <w:kern w:val="0"/>
      <w:sz w:val="24"/>
      <w:szCs w:val="24"/>
    </w:rPr>
  </w:style>
  <w:style w:type="paragraph" w:styleId="11">
    <w:name w:val="heading 9"/>
    <w:basedOn w:val="1"/>
    <w:next w:val="1"/>
    <w:link w:val="111"/>
    <w:qFormat/>
    <w:uiPriority w:val="0"/>
    <w:pPr>
      <w:keepNext/>
      <w:keepLines/>
      <w:widowControl/>
      <w:numPr>
        <w:ilvl w:val="8"/>
        <w:numId w:val="1"/>
      </w:numPr>
      <w:spacing w:before="240" w:after="64" w:line="320" w:lineRule="auto"/>
      <w:jc w:val="left"/>
      <w:outlineLvl w:val="8"/>
    </w:pPr>
    <w:rPr>
      <w:rFonts w:ascii="Arial" w:hAnsi="Arial" w:eastAsia="黑体"/>
      <w:kern w:val="0"/>
      <w:szCs w:val="21"/>
    </w:rPr>
  </w:style>
  <w:style w:type="character" w:default="1" w:styleId="43">
    <w:name w:val="Default Paragraph Font"/>
    <w:unhideWhenUsed/>
    <w:qFormat/>
    <w:uiPriority w:val="1"/>
  </w:style>
  <w:style w:type="table" w:default="1" w:styleId="41">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114"/>
    <w:qFormat/>
    <w:uiPriority w:val="0"/>
    <w:pPr>
      <w:spacing w:after="120"/>
    </w:pPr>
    <w:rPr>
      <w:rFonts w:ascii="宋体" w:hAnsi="宋体"/>
      <w:kern w:val="0"/>
      <w:sz w:val="20"/>
      <w:szCs w:val="24"/>
    </w:rPr>
  </w:style>
  <w:style w:type="paragraph" w:styleId="12">
    <w:name w:val="toc 7"/>
    <w:basedOn w:val="1"/>
    <w:next w:val="1"/>
    <w:semiHidden/>
    <w:qFormat/>
    <w:uiPriority w:val="0"/>
    <w:pPr>
      <w:ind w:left="1200"/>
      <w:jc w:val="left"/>
    </w:pPr>
    <w:rPr>
      <w:rFonts w:ascii="Times New Roman" w:hAnsi="Times New Roman"/>
      <w:kern w:val="0"/>
      <w:sz w:val="18"/>
      <w:szCs w:val="18"/>
    </w:rPr>
  </w:style>
  <w:style w:type="paragraph" w:styleId="13">
    <w:name w:val="Normal Indent"/>
    <w:basedOn w:val="1"/>
    <w:qFormat/>
    <w:uiPriority w:val="0"/>
    <w:pPr>
      <w:ind w:firstLine="420" w:firstLineChars="200"/>
    </w:pPr>
    <w:rPr>
      <w:rFonts w:ascii="宋体" w:hAnsi="宋体"/>
      <w:kern w:val="0"/>
      <w:sz w:val="20"/>
      <w:szCs w:val="24"/>
    </w:rPr>
  </w:style>
  <w:style w:type="paragraph" w:styleId="14">
    <w:name w:val="caption"/>
    <w:basedOn w:val="1"/>
    <w:next w:val="1"/>
    <w:qFormat/>
    <w:uiPriority w:val="99"/>
    <w:pPr>
      <w:spacing w:before="152" w:after="160"/>
    </w:pPr>
    <w:rPr>
      <w:rFonts w:ascii="Arial" w:hAnsi="Arial" w:eastAsia="黑体" w:cs="Arial"/>
      <w:sz w:val="20"/>
      <w:szCs w:val="20"/>
    </w:rPr>
  </w:style>
  <w:style w:type="paragraph" w:styleId="15">
    <w:name w:val="Document Map"/>
    <w:basedOn w:val="1"/>
    <w:link w:val="112"/>
    <w:semiHidden/>
    <w:qFormat/>
    <w:uiPriority w:val="0"/>
    <w:pPr>
      <w:shd w:val="clear" w:color="auto" w:fill="000080"/>
    </w:pPr>
    <w:rPr>
      <w:rFonts w:ascii="宋体" w:hAnsi="宋体"/>
      <w:kern w:val="0"/>
      <w:sz w:val="20"/>
      <w:szCs w:val="24"/>
    </w:rPr>
  </w:style>
  <w:style w:type="paragraph" w:styleId="16">
    <w:name w:val="annotation text"/>
    <w:basedOn w:val="1"/>
    <w:link w:val="113"/>
    <w:qFormat/>
    <w:uiPriority w:val="0"/>
    <w:pPr>
      <w:jc w:val="left"/>
    </w:pPr>
    <w:rPr>
      <w:rFonts w:ascii="Courier New" w:hAnsi="Courier New"/>
      <w:color w:val="000000"/>
      <w:kern w:val="0"/>
      <w:sz w:val="24"/>
      <w:szCs w:val="24"/>
      <w:lang w:val="zh-CN"/>
    </w:rPr>
  </w:style>
  <w:style w:type="paragraph" w:styleId="17">
    <w:name w:val="Body Text Indent"/>
    <w:basedOn w:val="1"/>
    <w:next w:val="18"/>
    <w:link w:val="115"/>
    <w:qFormat/>
    <w:uiPriority w:val="0"/>
    <w:pPr>
      <w:spacing w:after="120"/>
      <w:ind w:left="420" w:leftChars="200"/>
    </w:pPr>
    <w:rPr>
      <w:rFonts w:ascii="宋体" w:hAnsi="宋体"/>
      <w:kern w:val="0"/>
      <w:sz w:val="20"/>
      <w:szCs w:val="24"/>
    </w:rPr>
  </w:style>
  <w:style w:type="paragraph" w:styleId="18">
    <w:name w:val="envelope return"/>
    <w:basedOn w:val="1"/>
    <w:qFormat/>
    <w:uiPriority w:val="0"/>
    <w:pPr>
      <w:snapToGrid w:val="0"/>
      <w:spacing w:line="360" w:lineRule="auto"/>
      <w:ind w:firstLine="200" w:firstLineChars="200"/>
    </w:pPr>
    <w:rPr>
      <w:rFonts w:ascii="Arial" w:hAnsi="Arial" w:cs="Arial"/>
      <w:sz w:val="24"/>
    </w:rPr>
  </w:style>
  <w:style w:type="paragraph" w:styleId="19">
    <w:name w:val="List 2"/>
    <w:basedOn w:val="1"/>
    <w:qFormat/>
    <w:uiPriority w:val="0"/>
    <w:pPr>
      <w:ind w:left="100" w:leftChars="200" w:hanging="200" w:hangingChars="200"/>
      <w:contextualSpacing/>
    </w:pPr>
  </w:style>
  <w:style w:type="paragraph" w:styleId="20">
    <w:name w:val="Block Text"/>
    <w:basedOn w:val="1"/>
    <w:qFormat/>
    <w:uiPriority w:val="0"/>
    <w:pPr>
      <w:ind w:left="-4" w:right="-108"/>
    </w:pPr>
    <w:rPr>
      <w:rFonts w:ascii="宋体" w:hAnsi="Times New Roman"/>
      <w:sz w:val="28"/>
      <w:szCs w:val="20"/>
    </w:rPr>
  </w:style>
  <w:style w:type="paragraph" w:styleId="21">
    <w:name w:val="toc 5"/>
    <w:basedOn w:val="1"/>
    <w:next w:val="1"/>
    <w:semiHidden/>
    <w:qFormat/>
    <w:uiPriority w:val="0"/>
    <w:pPr>
      <w:ind w:left="800"/>
      <w:jc w:val="left"/>
    </w:pPr>
    <w:rPr>
      <w:rFonts w:ascii="Times New Roman" w:hAnsi="Times New Roman"/>
      <w:kern w:val="0"/>
      <w:sz w:val="18"/>
      <w:szCs w:val="18"/>
    </w:rPr>
  </w:style>
  <w:style w:type="paragraph" w:styleId="22">
    <w:name w:val="toc 3"/>
    <w:basedOn w:val="1"/>
    <w:next w:val="1"/>
    <w:semiHidden/>
    <w:qFormat/>
    <w:uiPriority w:val="0"/>
    <w:pPr>
      <w:ind w:left="400"/>
      <w:jc w:val="left"/>
    </w:pPr>
    <w:rPr>
      <w:rFonts w:ascii="Times New Roman" w:hAnsi="Times New Roman"/>
      <w:i/>
      <w:iCs/>
      <w:kern w:val="0"/>
      <w:sz w:val="20"/>
      <w:szCs w:val="20"/>
    </w:rPr>
  </w:style>
  <w:style w:type="paragraph" w:styleId="23">
    <w:name w:val="Plain Text"/>
    <w:basedOn w:val="1"/>
    <w:link w:val="116"/>
    <w:qFormat/>
    <w:uiPriority w:val="0"/>
    <w:rPr>
      <w:rFonts w:ascii="宋体" w:hAnsi="Courier New"/>
      <w:szCs w:val="20"/>
    </w:rPr>
  </w:style>
  <w:style w:type="paragraph" w:styleId="24">
    <w:name w:val="toc 8"/>
    <w:basedOn w:val="1"/>
    <w:next w:val="1"/>
    <w:semiHidden/>
    <w:qFormat/>
    <w:uiPriority w:val="0"/>
    <w:pPr>
      <w:ind w:left="1400"/>
      <w:jc w:val="left"/>
    </w:pPr>
    <w:rPr>
      <w:rFonts w:ascii="Times New Roman" w:hAnsi="Times New Roman"/>
      <w:kern w:val="0"/>
      <w:sz w:val="18"/>
      <w:szCs w:val="18"/>
    </w:rPr>
  </w:style>
  <w:style w:type="paragraph" w:styleId="25">
    <w:name w:val="Date"/>
    <w:basedOn w:val="1"/>
    <w:next w:val="1"/>
    <w:link w:val="117"/>
    <w:unhideWhenUsed/>
    <w:qFormat/>
    <w:uiPriority w:val="99"/>
    <w:pPr>
      <w:ind w:left="100" w:leftChars="2500"/>
    </w:pPr>
  </w:style>
  <w:style w:type="paragraph" w:styleId="26">
    <w:name w:val="Body Text Indent 2"/>
    <w:basedOn w:val="1"/>
    <w:link w:val="118"/>
    <w:qFormat/>
    <w:uiPriority w:val="0"/>
    <w:pPr>
      <w:spacing w:after="120" w:line="480" w:lineRule="auto"/>
      <w:ind w:left="420" w:leftChars="200"/>
    </w:pPr>
    <w:rPr>
      <w:rFonts w:ascii="宋体" w:hAnsi="宋体"/>
      <w:kern w:val="0"/>
      <w:sz w:val="20"/>
      <w:szCs w:val="24"/>
    </w:rPr>
  </w:style>
  <w:style w:type="paragraph" w:styleId="27">
    <w:name w:val="Balloon Text"/>
    <w:basedOn w:val="1"/>
    <w:link w:val="119"/>
    <w:unhideWhenUsed/>
    <w:qFormat/>
    <w:uiPriority w:val="99"/>
    <w:rPr>
      <w:kern w:val="0"/>
      <w:sz w:val="18"/>
      <w:szCs w:val="18"/>
    </w:rPr>
  </w:style>
  <w:style w:type="paragraph" w:styleId="28">
    <w:name w:val="footer"/>
    <w:basedOn w:val="1"/>
    <w:link w:val="120"/>
    <w:unhideWhenUsed/>
    <w:qFormat/>
    <w:uiPriority w:val="99"/>
    <w:pPr>
      <w:tabs>
        <w:tab w:val="center" w:pos="4153"/>
        <w:tab w:val="right" w:pos="8306"/>
      </w:tabs>
      <w:snapToGrid w:val="0"/>
      <w:jc w:val="left"/>
    </w:pPr>
    <w:rPr>
      <w:kern w:val="0"/>
      <w:sz w:val="18"/>
      <w:szCs w:val="18"/>
    </w:rPr>
  </w:style>
  <w:style w:type="paragraph" w:styleId="29">
    <w:name w:val="header"/>
    <w:basedOn w:val="1"/>
    <w:link w:val="121"/>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0">
    <w:name w:val="toc 1"/>
    <w:basedOn w:val="1"/>
    <w:next w:val="1"/>
    <w:semiHidden/>
    <w:qFormat/>
    <w:uiPriority w:val="0"/>
    <w:pPr>
      <w:tabs>
        <w:tab w:val="right" w:leader="dot" w:pos="8985"/>
      </w:tabs>
      <w:snapToGrid w:val="0"/>
      <w:spacing w:before="120" w:after="120" w:line="360" w:lineRule="auto"/>
      <w:jc w:val="center"/>
    </w:pPr>
    <w:rPr>
      <w:rFonts w:ascii="Times New Roman" w:hAnsi="Times New Roman"/>
      <w:b/>
      <w:bCs/>
      <w:caps/>
      <w:kern w:val="0"/>
      <w:sz w:val="32"/>
      <w:szCs w:val="32"/>
    </w:rPr>
  </w:style>
  <w:style w:type="paragraph" w:styleId="31">
    <w:name w:val="toc 4"/>
    <w:basedOn w:val="1"/>
    <w:next w:val="1"/>
    <w:semiHidden/>
    <w:qFormat/>
    <w:uiPriority w:val="0"/>
    <w:pPr>
      <w:ind w:left="600"/>
      <w:jc w:val="left"/>
    </w:pPr>
    <w:rPr>
      <w:rFonts w:ascii="Times New Roman" w:hAnsi="Times New Roman"/>
      <w:kern w:val="0"/>
      <w:sz w:val="18"/>
      <w:szCs w:val="18"/>
    </w:rPr>
  </w:style>
  <w:style w:type="paragraph" w:styleId="32">
    <w:name w:val="toc 6"/>
    <w:basedOn w:val="1"/>
    <w:next w:val="1"/>
    <w:semiHidden/>
    <w:qFormat/>
    <w:uiPriority w:val="0"/>
    <w:pPr>
      <w:ind w:left="1000"/>
      <w:jc w:val="left"/>
    </w:pPr>
    <w:rPr>
      <w:rFonts w:ascii="Times New Roman" w:hAnsi="Times New Roman"/>
      <w:kern w:val="0"/>
      <w:sz w:val="18"/>
      <w:szCs w:val="18"/>
    </w:rPr>
  </w:style>
  <w:style w:type="paragraph" w:styleId="33">
    <w:name w:val="Body Text Indent 3"/>
    <w:basedOn w:val="1"/>
    <w:qFormat/>
    <w:uiPriority w:val="0"/>
    <w:pPr>
      <w:spacing w:after="120" w:afterLines="0"/>
      <w:ind w:left="420" w:leftChars="200"/>
    </w:pPr>
    <w:rPr>
      <w:sz w:val="16"/>
      <w:szCs w:val="16"/>
    </w:rPr>
  </w:style>
  <w:style w:type="paragraph" w:styleId="34">
    <w:name w:val="toc 2"/>
    <w:basedOn w:val="1"/>
    <w:next w:val="1"/>
    <w:semiHidden/>
    <w:qFormat/>
    <w:uiPriority w:val="0"/>
    <w:pPr>
      <w:tabs>
        <w:tab w:val="right" w:leader="dot" w:pos="8985"/>
      </w:tabs>
      <w:snapToGrid w:val="0"/>
      <w:ind w:left="198"/>
      <w:jc w:val="left"/>
    </w:pPr>
    <w:rPr>
      <w:rFonts w:ascii="Times New Roman" w:hAnsi="Times New Roman"/>
      <w:smallCaps/>
      <w:kern w:val="0"/>
      <w:sz w:val="20"/>
      <w:szCs w:val="20"/>
    </w:rPr>
  </w:style>
  <w:style w:type="paragraph" w:styleId="35">
    <w:name w:val="toc 9"/>
    <w:basedOn w:val="1"/>
    <w:next w:val="1"/>
    <w:semiHidden/>
    <w:qFormat/>
    <w:uiPriority w:val="0"/>
    <w:pPr>
      <w:ind w:left="1600"/>
      <w:jc w:val="left"/>
    </w:pPr>
    <w:rPr>
      <w:rFonts w:ascii="Times New Roman" w:hAnsi="Times New Roman"/>
      <w:kern w:val="0"/>
      <w:sz w:val="18"/>
      <w:szCs w:val="18"/>
    </w:rPr>
  </w:style>
  <w:style w:type="paragraph" w:styleId="36">
    <w:name w:val="HTML Preformatted"/>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kern w:val="0"/>
      <w:sz w:val="24"/>
    </w:rPr>
  </w:style>
  <w:style w:type="paragraph" w:styleId="37">
    <w:name w:val="Normal (Web)"/>
    <w:basedOn w:val="1"/>
    <w:qFormat/>
    <w:uiPriority w:val="0"/>
    <w:pPr>
      <w:widowControl/>
      <w:spacing w:before="100" w:beforeAutospacing="1" w:after="100" w:afterAutospacing="1"/>
      <w:jc w:val="left"/>
    </w:pPr>
    <w:rPr>
      <w:rFonts w:ascii="宋体" w:hAnsi="宋体" w:cs="宋体"/>
      <w:color w:val="000000"/>
      <w:kern w:val="0"/>
      <w:sz w:val="24"/>
      <w:szCs w:val="24"/>
    </w:rPr>
  </w:style>
  <w:style w:type="paragraph" w:styleId="38">
    <w:name w:val="Title"/>
    <w:basedOn w:val="1"/>
    <w:next w:val="1"/>
    <w:link w:val="122"/>
    <w:qFormat/>
    <w:uiPriority w:val="0"/>
    <w:pPr>
      <w:spacing w:before="240" w:after="60"/>
      <w:jc w:val="center"/>
      <w:outlineLvl w:val="0"/>
    </w:pPr>
    <w:rPr>
      <w:rFonts w:ascii="Arial" w:hAnsi="Arial"/>
      <w:b/>
      <w:bCs/>
      <w:kern w:val="0"/>
      <w:sz w:val="32"/>
      <w:szCs w:val="32"/>
    </w:rPr>
  </w:style>
  <w:style w:type="paragraph" w:styleId="39">
    <w:name w:val="annotation subject"/>
    <w:basedOn w:val="16"/>
    <w:next w:val="16"/>
    <w:link w:val="123"/>
    <w:semiHidden/>
    <w:qFormat/>
    <w:uiPriority w:val="0"/>
    <w:rPr>
      <w:rFonts w:ascii="宋体" w:hAnsi="宋体"/>
      <w:b/>
      <w:bCs/>
    </w:rPr>
  </w:style>
  <w:style w:type="paragraph" w:styleId="40">
    <w:name w:val="Body Text First Indent 2"/>
    <w:basedOn w:val="17"/>
    <w:next w:val="1"/>
    <w:qFormat/>
    <w:uiPriority w:val="0"/>
    <w:pPr>
      <w:spacing w:after="120"/>
      <w:ind w:left="200" w:leftChars="200" w:firstLine="420"/>
      <w:jc w:val="both"/>
    </w:pPr>
    <w:rPr>
      <w:rFonts w:ascii="Calibri" w:hAnsi="Calibri" w:eastAsia="宋体"/>
      <w:szCs w:val="24"/>
      <w:lang w:val="en-US"/>
    </w:rPr>
  </w:style>
  <w:style w:type="table" w:styleId="42">
    <w:name w:val="Table Grid"/>
    <w:basedOn w:val="4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basedOn w:val="43"/>
    <w:qFormat/>
    <w:uiPriority w:val="22"/>
    <w:rPr>
      <w:b/>
      <w:bCs/>
    </w:rPr>
  </w:style>
  <w:style w:type="character" w:styleId="45">
    <w:name w:val="page number"/>
    <w:qFormat/>
    <w:uiPriority w:val="0"/>
  </w:style>
  <w:style w:type="character" w:styleId="46">
    <w:name w:val="FollowedHyperlink"/>
    <w:qFormat/>
    <w:uiPriority w:val="0"/>
    <w:rPr>
      <w:rFonts w:hint="eastAsia" w:ascii="微软雅黑" w:hAnsi="微软雅黑" w:eastAsia="微软雅黑" w:cs="微软雅黑"/>
      <w:color w:val="333333"/>
      <w:sz w:val="21"/>
      <w:szCs w:val="21"/>
      <w:u w:val="none"/>
    </w:rPr>
  </w:style>
  <w:style w:type="character" w:styleId="47">
    <w:name w:val="Emphasis"/>
    <w:qFormat/>
    <w:uiPriority w:val="20"/>
  </w:style>
  <w:style w:type="character" w:styleId="48">
    <w:name w:val="HTML Definition"/>
    <w:unhideWhenUsed/>
    <w:qFormat/>
    <w:uiPriority w:val="99"/>
  </w:style>
  <w:style w:type="character" w:styleId="49">
    <w:name w:val="HTML Typewriter"/>
    <w:unhideWhenUsed/>
    <w:qFormat/>
    <w:uiPriority w:val="99"/>
    <w:rPr>
      <w:rFonts w:hint="default" w:ascii="monospace" w:hAnsi="monospace" w:eastAsia="monospace" w:cs="monospace"/>
      <w:sz w:val="20"/>
    </w:rPr>
  </w:style>
  <w:style w:type="character" w:styleId="50">
    <w:name w:val="HTML Acronym"/>
    <w:unhideWhenUsed/>
    <w:qFormat/>
    <w:uiPriority w:val="99"/>
  </w:style>
  <w:style w:type="character" w:styleId="51">
    <w:name w:val="HTML Variable"/>
    <w:unhideWhenUsed/>
    <w:qFormat/>
    <w:uiPriority w:val="99"/>
  </w:style>
  <w:style w:type="character" w:styleId="52">
    <w:name w:val="Hyperlink"/>
    <w:qFormat/>
    <w:uiPriority w:val="0"/>
    <w:rPr>
      <w:rFonts w:hint="eastAsia" w:ascii="微软雅黑" w:hAnsi="微软雅黑" w:eastAsia="微软雅黑" w:cs="微软雅黑"/>
      <w:color w:val="333333"/>
      <w:sz w:val="21"/>
      <w:szCs w:val="21"/>
      <w:u w:val="none"/>
    </w:rPr>
  </w:style>
  <w:style w:type="character" w:styleId="53">
    <w:name w:val="HTML Code"/>
    <w:unhideWhenUsed/>
    <w:qFormat/>
    <w:uiPriority w:val="99"/>
    <w:rPr>
      <w:rFonts w:hint="default" w:ascii="monospace" w:hAnsi="monospace" w:eastAsia="monospace" w:cs="monospace"/>
      <w:sz w:val="20"/>
    </w:rPr>
  </w:style>
  <w:style w:type="character" w:styleId="54">
    <w:name w:val="annotation reference"/>
    <w:qFormat/>
    <w:uiPriority w:val="0"/>
    <w:rPr>
      <w:sz w:val="21"/>
      <w:szCs w:val="21"/>
    </w:rPr>
  </w:style>
  <w:style w:type="character" w:styleId="55">
    <w:name w:val="HTML Cite"/>
    <w:unhideWhenUsed/>
    <w:qFormat/>
    <w:uiPriority w:val="99"/>
  </w:style>
  <w:style w:type="character" w:styleId="56">
    <w:name w:val="HTML Keyboard"/>
    <w:unhideWhenUsed/>
    <w:qFormat/>
    <w:uiPriority w:val="99"/>
    <w:rPr>
      <w:rFonts w:ascii="monospace" w:hAnsi="monospace" w:eastAsia="monospace" w:cs="monospace"/>
      <w:sz w:val="20"/>
    </w:rPr>
  </w:style>
  <w:style w:type="character" w:styleId="57">
    <w:name w:val="HTML Sample"/>
    <w:unhideWhenUsed/>
    <w:qFormat/>
    <w:uiPriority w:val="99"/>
    <w:rPr>
      <w:rFonts w:hint="default" w:ascii="monospace" w:hAnsi="monospace" w:eastAsia="monospace" w:cs="monospace"/>
      <w:bdr w:val="single" w:color="BDBEC1" w:sz="6" w:space="0"/>
      <w:shd w:val="clear" w:color="auto" w:fill="FFFFFF"/>
    </w:rPr>
  </w:style>
  <w:style w:type="paragraph" w:customStyle="1" w:styleId="58">
    <w:name w:val="Default"/>
    <w:next w:val="1"/>
    <w:qFormat/>
    <w:uiPriority w:val="99"/>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59">
    <w:name w:val="正文文本 (3)"/>
    <w:basedOn w:val="1"/>
    <w:link w:val="128"/>
    <w:qFormat/>
    <w:uiPriority w:val="0"/>
    <w:pPr>
      <w:shd w:val="clear" w:color="auto" w:fill="FFFFFF"/>
      <w:spacing w:after="1020" w:line="500" w:lineRule="exact"/>
      <w:jc w:val="left"/>
    </w:pPr>
    <w:rPr>
      <w:rFonts w:ascii="MingLiU" w:eastAsia="MingLiU"/>
      <w:spacing w:val="50"/>
      <w:kern w:val="0"/>
      <w:sz w:val="50"/>
      <w:szCs w:val="50"/>
    </w:rPr>
  </w:style>
  <w:style w:type="paragraph" w:customStyle="1" w:styleId="60">
    <w:name w:val="正文文本 (2)1"/>
    <w:basedOn w:val="1"/>
    <w:link w:val="138"/>
    <w:qFormat/>
    <w:uiPriority w:val="0"/>
    <w:pPr>
      <w:shd w:val="clear" w:color="auto" w:fill="FFFFFF"/>
      <w:spacing w:before="340" w:after="340" w:line="220" w:lineRule="exact"/>
      <w:jc w:val="distribute"/>
    </w:pPr>
    <w:rPr>
      <w:rFonts w:ascii="MingLiU" w:eastAsia="MingLiU"/>
      <w:kern w:val="0"/>
      <w:sz w:val="22"/>
      <w:szCs w:val="20"/>
    </w:rPr>
  </w:style>
  <w:style w:type="paragraph" w:customStyle="1" w:styleId="61">
    <w:name w:val="xl3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2">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63">
    <w:name w:val="xl30"/>
    <w:basedOn w:val="1"/>
    <w:qFormat/>
    <w:uiPriority w:val="0"/>
    <w:pPr>
      <w:widowControl/>
      <w:spacing w:before="100" w:beforeAutospacing="1" w:after="100" w:afterAutospacing="1"/>
      <w:jc w:val="center"/>
      <w:textAlignment w:val="center"/>
    </w:pPr>
    <w:rPr>
      <w:rFonts w:ascii="宋体" w:hAnsi="宋体"/>
      <w:b/>
      <w:bCs/>
      <w:kern w:val="0"/>
      <w:sz w:val="48"/>
      <w:szCs w:val="48"/>
    </w:rPr>
  </w:style>
  <w:style w:type="paragraph" w:customStyle="1" w:styleId="64">
    <w:name w:val="GCEBStyles4"/>
    <w:basedOn w:val="1"/>
    <w:qFormat/>
    <w:uiPriority w:val="0"/>
    <w:pPr>
      <w:jc w:val="left"/>
      <w:outlineLvl w:val="4"/>
    </w:pPr>
    <w:rPr>
      <w:rFonts w:ascii="宋体" w:hAnsi="宋体"/>
      <w:b/>
      <w:bCs/>
      <w:kern w:val="0"/>
      <w:sz w:val="28"/>
      <w:szCs w:val="24"/>
    </w:rPr>
  </w:style>
  <w:style w:type="paragraph" w:customStyle="1" w:styleId="65">
    <w:name w:val="xl24"/>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66">
    <w:name w:val="xl3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67">
    <w:name w:val="_Style 48"/>
    <w:basedOn w:val="1"/>
    <w:qFormat/>
    <w:uiPriority w:val="0"/>
    <w:pPr>
      <w:autoSpaceDE/>
      <w:autoSpaceDN/>
      <w:adjustRightInd/>
      <w:spacing w:line="480" w:lineRule="auto"/>
      <w:ind w:firstLine="403" w:firstLineChars="168"/>
      <w:jc w:val="center"/>
    </w:pPr>
    <w:rPr>
      <w:rFonts w:ascii="宋体" w:hAnsi="宋体"/>
      <w:kern w:val="2"/>
    </w:rPr>
  </w:style>
  <w:style w:type="paragraph" w:customStyle="1" w:styleId="68">
    <w:name w:val="xl32"/>
    <w:basedOn w:val="1"/>
    <w:qFormat/>
    <w:uiPriority w:val="0"/>
    <w:pPr>
      <w:widowControl/>
      <w:pBdr>
        <w:bottom w:val="single" w:color="auto" w:sz="4" w:space="0"/>
      </w:pBdr>
      <w:spacing w:before="100" w:beforeAutospacing="1" w:after="100" w:afterAutospacing="1"/>
      <w:jc w:val="center"/>
      <w:textAlignment w:val="center"/>
    </w:pPr>
    <w:rPr>
      <w:rFonts w:ascii="宋体" w:hAnsi="宋体"/>
      <w:kern w:val="0"/>
      <w:sz w:val="32"/>
      <w:szCs w:val="32"/>
    </w:rPr>
  </w:style>
  <w:style w:type="paragraph" w:customStyle="1" w:styleId="69">
    <w:name w:val="List Paragraph1"/>
    <w:basedOn w:val="1"/>
    <w:qFormat/>
    <w:uiPriority w:val="0"/>
    <w:pPr>
      <w:ind w:firstLine="420" w:firstLineChars="200"/>
    </w:pPr>
    <w:rPr>
      <w:szCs w:val="21"/>
    </w:rPr>
  </w:style>
  <w:style w:type="paragraph" w:customStyle="1" w:styleId="70">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paragraph" w:customStyle="1" w:styleId="7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72">
    <w:name w:val="xl25"/>
    <w:basedOn w:val="1"/>
    <w:qFormat/>
    <w:uiPriority w:val="0"/>
    <w:pPr>
      <w:widowControl/>
      <w:spacing w:before="100" w:beforeAutospacing="1" w:after="100" w:afterAutospacing="1"/>
      <w:jc w:val="center"/>
      <w:textAlignment w:val="center"/>
    </w:pPr>
    <w:rPr>
      <w:rFonts w:ascii="宋体" w:hAnsi="宋体"/>
      <w:kern w:val="0"/>
      <w:sz w:val="32"/>
      <w:szCs w:val="32"/>
    </w:rPr>
  </w:style>
  <w:style w:type="paragraph" w:customStyle="1" w:styleId="73">
    <w:name w:val="xl28"/>
    <w:basedOn w:val="1"/>
    <w:qFormat/>
    <w:uiPriority w:val="0"/>
    <w:pPr>
      <w:widowControl/>
      <w:spacing w:before="100" w:beforeAutospacing="1" w:after="100" w:afterAutospacing="1"/>
      <w:jc w:val="center"/>
    </w:pPr>
    <w:rPr>
      <w:rFonts w:hint="eastAsia" w:ascii="黑体" w:hAnsi="宋体" w:eastAsia="黑体"/>
      <w:kern w:val="0"/>
      <w:sz w:val="48"/>
      <w:szCs w:val="48"/>
      <w:u w:val="single"/>
    </w:rPr>
  </w:style>
  <w:style w:type="paragraph" w:customStyle="1" w:styleId="74">
    <w:name w:val="Style9"/>
    <w:basedOn w:val="1"/>
    <w:qFormat/>
    <w:uiPriority w:val="0"/>
    <w:pPr>
      <w:adjustRightInd w:val="0"/>
      <w:jc w:val="left"/>
    </w:pPr>
    <w:rPr>
      <w:rFonts w:ascii="宋体" w:hAnsi="Calibri" w:eastAsia="宋体" w:cs="Times New Roman"/>
      <w:kern w:val="0"/>
      <w:sz w:val="24"/>
      <w:szCs w:val="24"/>
    </w:rPr>
  </w:style>
  <w:style w:type="paragraph" w:customStyle="1" w:styleId="75">
    <w:name w:val="WPSOffice手动目录 1"/>
    <w:qFormat/>
    <w:uiPriority w:val="0"/>
    <w:pPr>
      <w:ind w:leftChars="0"/>
    </w:pPr>
    <w:rPr>
      <w:rFonts w:ascii="Times New Roman" w:hAnsi="Times New Roman" w:eastAsia="宋体" w:cs="Times New Roman"/>
      <w:sz w:val="20"/>
      <w:szCs w:val="20"/>
    </w:rPr>
  </w:style>
  <w:style w:type="paragraph" w:styleId="76">
    <w:name w:val="List Paragraph"/>
    <w:basedOn w:val="1"/>
    <w:next w:val="1"/>
    <w:qFormat/>
    <w:uiPriority w:val="34"/>
    <w:pPr>
      <w:ind w:firstLine="420" w:firstLineChars="200"/>
    </w:pPr>
    <w:rPr>
      <w:rFonts w:ascii="Calibri" w:hAnsi="Calibri" w:cs="Times New Roman"/>
      <w:kern w:val="2"/>
      <w:sz w:val="21"/>
    </w:rPr>
  </w:style>
  <w:style w:type="paragraph" w:customStyle="1" w:styleId="77">
    <w:name w:val="普通(网站)1"/>
    <w:basedOn w:val="1"/>
    <w:qFormat/>
    <w:uiPriority w:val="0"/>
    <w:pPr>
      <w:widowControl/>
      <w:spacing w:before="100" w:beforeAutospacing="1" w:after="100" w:afterAutospacing="1"/>
      <w:jc w:val="left"/>
    </w:pPr>
    <w:rPr>
      <w:rFonts w:ascii="宋体" w:hAnsi="宋体" w:eastAsia="宋体"/>
      <w:kern w:val="0"/>
      <w:sz w:val="24"/>
      <w:szCs w:val="24"/>
    </w:rPr>
  </w:style>
  <w:style w:type="paragraph" w:customStyle="1" w:styleId="78">
    <w:name w:val="xl22"/>
    <w:basedOn w:val="1"/>
    <w:qFormat/>
    <w:uiPriority w:val="0"/>
    <w:pPr>
      <w:widowControl/>
      <w:spacing w:before="100" w:beforeAutospacing="1" w:after="100" w:afterAutospacing="1"/>
      <w:jc w:val="left"/>
    </w:pPr>
    <w:rPr>
      <w:rFonts w:ascii="宋体" w:hAnsi="宋体"/>
      <w:kern w:val="0"/>
      <w:sz w:val="32"/>
      <w:szCs w:val="32"/>
    </w:rPr>
  </w:style>
  <w:style w:type="paragraph" w:customStyle="1" w:styleId="79">
    <w:name w:val="Char"/>
    <w:basedOn w:val="15"/>
    <w:qFormat/>
    <w:uiPriority w:val="0"/>
    <w:pPr>
      <w:widowControl/>
    </w:pPr>
    <w:rPr>
      <w:rFonts w:ascii="Tahoma" w:hAnsi="Tahoma"/>
      <w:kern w:val="2"/>
      <w:sz w:val="24"/>
    </w:rPr>
  </w:style>
  <w:style w:type="paragraph" w:customStyle="1" w:styleId="80">
    <w:name w:val="Char Char"/>
    <w:basedOn w:val="1"/>
    <w:qFormat/>
    <w:uiPriority w:val="0"/>
    <w:pPr>
      <w:ind w:firstLine="200" w:firstLineChars="200"/>
    </w:pPr>
    <w:rPr>
      <w:rFonts w:ascii="Times New Roman" w:hAnsi="Times New Roman"/>
      <w:szCs w:val="24"/>
    </w:rPr>
  </w:style>
  <w:style w:type="paragraph" w:customStyle="1" w:styleId="81">
    <w:name w:val="样式29"/>
    <w:basedOn w:val="1"/>
    <w:qFormat/>
    <w:uiPriority w:val="0"/>
    <w:pPr>
      <w:widowControl/>
      <w:spacing w:before="100" w:beforeAutospacing="1" w:after="100" w:afterAutospacing="1" w:line="440" w:lineRule="exact"/>
      <w:ind w:firstLine="200" w:firstLineChars="200"/>
      <w:jc w:val="left"/>
    </w:pPr>
    <w:rPr>
      <w:rFonts w:ascii="Times New Roman" w:hAnsi="Times New Roman" w:eastAsia="楷体_GB2312"/>
      <w:spacing w:val="6"/>
      <w:kern w:val="0"/>
      <w:sz w:val="24"/>
      <w:szCs w:val="20"/>
    </w:rPr>
  </w:style>
  <w:style w:type="paragraph" w:customStyle="1" w:styleId="82">
    <w:name w:val="GCEBStyles0"/>
    <w:basedOn w:val="1"/>
    <w:qFormat/>
    <w:uiPriority w:val="0"/>
    <w:pPr>
      <w:jc w:val="left"/>
      <w:outlineLvl w:val="0"/>
    </w:pPr>
    <w:rPr>
      <w:rFonts w:ascii="宋体" w:hAnsi="宋体"/>
      <w:b/>
      <w:bCs/>
      <w:kern w:val="0"/>
      <w:sz w:val="44"/>
      <w:szCs w:val="24"/>
    </w:rPr>
  </w:style>
  <w:style w:type="paragraph" w:customStyle="1" w:styleId="83">
    <w:name w:val="xl36"/>
    <w:basedOn w:val="1"/>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84">
    <w:name w:val="GCEBStyles1"/>
    <w:basedOn w:val="1"/>
    <w:qFormat/>
    <w:uiPriority w:val="0"/>
    <w:pPr>
      <w:jc w:val="left"/>
      <w:outlineLvl w:val="1"/>
    </w:pPr>
    <w:rPr>
      <w:rFonts w:ascii="黑体" w:hAnsi="宋体" w:eastAsia="黑体"/>
      <w:b/>
      <w:bCs/>
      <w:kern w:val="0"/>
      <w:sz w:val="32"/>
      <w:szCs w:val="24"/>
    </w:rPr>
  </w:style>
  <w:style w:type="paragraph" w:customStyle="1" w:styleId="85">
    <w:name w:val="正文格式"/>
    <w:basedOn w:val="1"/>
    <w:qFormat/>
    <w:uiPriority w:val="0"/>
    <w:pPr>
      <w:widowControl/>
      <w:adjustRightInd w:val="0"/>
      <w:snapToGrid w:val="0"/>
      <w:spacing w:line="400" w:lineRule="atLeast"/>
      <w:ind w:firstLine="482"/>
      <w:textAlignment w:val="baseline"/>
    </w:pPr>
    <w:rPr>
      <w:rFonts w:ascii="Times New Roman" w:hAnsi="Times New Roman"/>
      <w:kern w:val="0"/>
      <w:sz w:val="24"/>
    </w:rPr>
  </w:style>
  <w:style w:type="paragraph" w:customStyle="1" w:styleId="86">
    <w:name w:val="xl37"/>
    <w:basedOn w:val="1"/>
    <w:qFormat/>
    <w:uiPriority w:val="0"/>
    <w:pPr>
      <w:widowControl/>
      <w:pBdr>
        <w:top w:val="single" w:color="auto" w:sz="4" w:space="0"/>
        <w:left w:val="single" w:color="auto" w:sz="4" w:space="0"/>
        <w:bottom w:val="double" w:color="auto" w:sz="6" w:space="0"/>
        <w:right w:val="double" w:color="auto" w:sz="6" w:space="0"/>
      </w:pBdr>
      <w:spacing w:before="100" w:beforeAutospacing="1" w:after="100" w:afterAutospacing="1"/>
      <w:jc w:val="center"/>
    </w:pPr>
    <w:rPr>
      <w:rFonts w:ascii="宋体" w:hAnsi="宋体" w:cs="宋体"/>
      <w:kern w:val="0"/>
      <w:sz w:val="20"/>
      <w:szCs w:val="20"/>
    </w:rPr>
  </w:style>
  <w:style w:type="paragraph" w:customStyle="1" w:styleId="87">
    <w:name w:val="xl31"/>
    <w:basedOn w:val="1"/>
    <w:qFormat/>
    <w:uiPriority w:val="0"/>
    <w:pPr>
      <w:widowControl/>
      <w:spacing w:before="100" w:beforeAutospacing="1" w:after="100" w:afterAutospacing="1"/>
      <w:jc w:val="center"/>
      <w:textAlignment w:val="center"/>
    </w:pPr>
    <w:rPr>
      <w:rFonts w:ascii="宋体" w:hAnsi="宋体"/>
      <w:kern w:val="0"/>
      <w:sz w:val="24"/>
      <w:szCs w:val="24"/>
    </w:rPr>
  </w:style>
  <w:style w:type="paragraph" w:customStyle="1" w:styleId="88">
    <w:name w:val="xl26"/>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89">
    <w:name w:val="Table Paragraph"/>
    <w:basedOn w:val="1"/>
    <w:qFormat/>
    <w:uiPriority w:val="1"/>
    <w:pPr>
      <w:jc w:val="left"/>
    </w:pPr>
    <w:rPr>
      <w:rFonts w:cs="宋体"/>
      <w:sz w:val="22"/>
      <w:lang w:eastAsia="en-US"/>
    </w:rPr>
  </w:style>
  <w:style w:type="paragraph" w:customStyle="1" w:styleId="90">
    <w:name w:val="xl29"/>
    <w:basedOn w:val="1"/>
    <w:qFormat/>
    <w:uiPriority w:val="0"/>
    <w:pPr>
      <w:widowControl/>
      <w:spacing w:before="100" w:beforeAutospacing="1" w:after="100" w:afterAutospacing="1"/>
      <w:jc w:val="center"/>
    </w:pPr>
    <w:rPr>
      <w:rFonts w:ascii="宋体" w:hAnsi="宋体"/>
      <w:kern w:val="0"/>
      <w:sz w:val="24"/>
      <w:szCs w:val="24"/>
      <w:u w:val="single"/>
    </w:rPr>
  </w:style>
  <w:style w:type="paragraph" w:customStyle="1" w:styleId="91">
    <w:name w:val="GCEBStyles6"/>
    <w:basedOn w:val="1"/>
    <w:qFormat/>
    <w:uiPriority w:val="0"/>
    <w:pPr>
      <w:jc w:val="left"/>
      <w:outlineLvl w:val="6"/>
    </w:pPr>
    <w:rPr>
      <w:rFonts w:ascii="宋体" w:hAnsi="宋体"/>
      <w:b/>
      <w:bCs/>
      <w:kern w:val="0"/>
      <w:sz w:val="24"/>
      <w:szCs w:val="24"/>
    </w:rPr>
  </w:style>
  <w:style w:type="paragraph" w:customStyle="1" w:styleId="92">
    <w:name w:val="xl27"/>
    <w:basedOn w:val="1"/>
    <w:qFormat/>
    <w:uiPriority w:val="0"/>
    <w:pPr>
      <w:widowControl/>
      <w:spacing w:before="100" w:beforeAutospacing="1" w:after="100" w:afterAutospacing="1"/>
      <w:jc w:val="left"/>
      <w:textAlignment w:val="center"/>
    </w:pPr>
    <w:rPr>
      <w:rFonts w:ascii="宋体" w:hAnsi="宋体"/>
      <w:kern w:val="0"/>
      <w:sz w:val="24"/>
      <w:szCs w:val="24"/>
    </w:rPr>
  </w:style>
  <w:style w:type="paragraph" w:customStyle="1" w:styleId="93">
    <w:name w:val="TOC1"/>
    <w:basedOn w:val="1"/>
    <w:next w:val="1"/>
    <w:qFormat/>
    <w:locked/>
    <w:uiPriority w:val="0"/>
    <w:pPr>
      <w:tabs>
        <w:tab w:val="right" w:leader="dot" w:pos="8985"/>
      </w:tabs>
      <w:snapToGrid w:val="0"/>
      <w:spacing w:before="120" w:after="120" w:line="360" w:lineRule="auto"/>
      <w:jc w:val="center"/>
    </w:pPr>
    <w:rPr>
      <w:sz w:val="32"/>
      <w:szCs w:val="32"/>
    </w:rPr>
  </w:style>
  <w:style w:type="paragraph" w:customStyle="1" w:styleId="94">
    <w:name w:val="GCEBStyles7"/>
    <w:basedOn w:val="1"/>
    <w:qFormat/>
    <w:uiPriority w:val="0"/>
    <w:pPr>
      <w:jc w:val="left"/>
      <w:outlineLvl w:val="7"/>
    </w:pPr>
    <w:rPr>
      <w:rFonts w:ascii="黑体" w:hAnsi="宋体" w:eastAsia="黑体"/>
      <w:bCs/>
      <w:kern w:val="0"/>
      <w:sz w:val="24"/>
      <w:szCs w:val="24"/>
    </w:rPr>
  </w:style>
  <w:style w:type="paragraph" w:customStyle="1" w:styleId="95">
    <w:name w:val="GCEBStyles5"/>
    <w:basedOn w:val="1"/>
    <w:qFormat/>
    <w:uiPriority w:val="0"/>
    <w:pPr>
      <w:jc w:val="left"/>
      <w:outlineLvl w:val="5"/>
    </w:pPr>
    <w:rPr>
      <w:rFonts w:ascii="黑体" w:hAnsi="宋体" w:eastAsia="黑体"/>
      <w:b/>
      <w:bCs/>
      <w:kern w:val="0"/>
      <w:sz w:val="24"/>
      <w:szCs w:val="24"/>
    </w:rPr>
  </w:style>
  <w:style w:type="paragraph" w:customStyle="1" w:styleId="96">
    <w:name w:val="xl35"/>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97">
    <w:name w:val="xl23"/>
    <w:basedOn w:val="1"/>
    <w:qFormat/>
    <w:uiPriority w:val="0"/>
    <w:pPr>
      <w:widowControl/>
      <w:spacing w:before="100" w:beforeAutospacing="1" w:after="100" w:afterAutospacing="1"/>
      <w:jc w:val="left"/>
      <w:textAlignment w:val="center"/>
    </w:pPr>
    <w:rPr>
      <w:rFonts w:ascii="宋体" w:hAnsi="宋体"/>
      <w:kern w:val="0"/>
      <w:sz w:val="32"/>
      <w:szCs w:val="32"/>
    </w:rPr>
  </w:style>
  <w:style w:type="paragraph" w:customStyle="1" w:styleId="98">
    <w:name w:val="GCEBStyles9"/>
    <w:basedOn w:val="1"/>
    <w:qFormat/>
    <w:uiPriority w:val="0"/>
    <w:pPr>
      <w:jc w:val="left"/>
    </w:pPr>
    <w:rPr>
      <w:rFonts w:ascii="黑体" w:hAnsi="宋体" w:eastAsia="黑体"/>
      <w:bCs/>
      <w:kern w:val="0"/>
      <w:szCs w:val="24"/>
    </w:rPr>
  </w:style>
  <w:style w:type="paragraph" w:customStyle="1" w:styleId="99">
    <w:name w:val="font6"/>
    <w:basedOn w:val="1"/>
    <w:qFormat/>
    <w:uiPriority w:val="0"/>
    <w:pPr>
      <w:widowControl/>
      <w:spacing w:before="100" w:beforeAutospacing="1" w:after="100" w:afterAutospacing="1"/>
      <w:jc w:val="left"/>
    </w:pPr>
    <w:rPr>
      <w:rFonts w:hint="eastAsia" w:ascii="宋体" w:hAnsi="宋体"/>
      <w:b/>
      <w:bCs/>
      <w:kern w:val="0"/>
      <w:sz w:val="48"/>
      <w:szCs w:val="48"/>
    </w:rPr>
  </w:style>
  <w:style w:type="paragraph" w:customStyle="1" w:styleId="100">
    <w:name w:val="GCEBStyles2"/>
    <w:basedOn w:val="1"/>
    <w:qFormat/>
    <w:uiPriority w:val="0"/>
    <w:pPr>
      <w:jc w:val="left"/>
      <w:outlineLvl w:val="2"/>
    </w:pPr>
    <w:rPr>
      <w:rFonts w:ascii="宋体" w:hAnsi="宋体"/>
      <w:b/>
      <w:bCs/>
      <w:kern w:val="0"/>
      <w:sz w:val="32"/>
      <w:szCs w:val="24"/>
    </w:rPr>
  </w:style>
  <w:style w:type="paragraph" w:customStyle="1" w:styleId="101">
    <w:name w:val="GCEBStyles8"/>
    <w:basedOn w:val="1"/>
    <w:qFormat/>
    <w:uiPriority w:val="0"/>
    <w:pPr>
      <w:jc w:val="left"/>
      <w:outlineLvl w:val="8"/>
    </w:pPr>
    <w:rPr>
      <w:rFonts w:ascii="黑体" w:hAnsi="宋体" w:eastAsia="黑体"/>
      <w:bCs/>
      <w:kern w:val="0"/>
      <w:szCs w:val="24"/>
    </w:rPr>
  </w:style>
  <w:style w:type="paragraph" w:customStyle="1" w:styleId="102">
    <w:name w:val="GCEBStyles3"/>
    <w:basedOn w:val="1"/>
    <w:qFormat/>
    <w:uiPriority w:val="0"/>
    <w:pPr>
      <w:jc w:val="left"/>
      <w:outlineLvl w:val="3"/>
    </w:pPr>
    <w:rPr>
      <w:rFonts w:ascii="黑体" w:hAnsi="宋体" w:eastAsia="黑体"/>
      <w:b/>
      <w:bCs/>
      <w:kern w:val="0"/>
      <w:sz w:val="28"/>
      <w:szCs w:val="24"/>
    </w:rPr>
  </w:style>
  <w:style w:type="paragraph" w:customStyle="1" w:styleId="103">
    <w:name w:val="font7"/>
    <w:basedOn w:val="1"/>
    <w:qFormat/>
    <w:uiPriority w:val="0"/>
    <w:pPr>
      <w:widowControl/>
      <w:spacing w:before="100" w:beforeAutospacing="1" w:after="100" w:afterAutospacing="1"/>
      <w:jc w:val="left"/>
    </w:pPr>
    <w:rPr>
      <w:rFonts w:ascii="Times New Roman" w:hAnsi="Times New Roman"/>
      <w:b/>
      <w:bCs/>
      <w:kern w:val="0"/>
      <w:sz w:val="48"/>
      <w:szCs w:val="48"/>
    </w:rPr>
  </w:style>
  <w:style w:type="paragraph" w:customStyle="1" w:styleId="104">
    <w:name w:val="大标题"/>
    <w:basedOn w:val="38"/>
    <w:next w:val="40"/>
    <w:qFormat/>
    <w:uiPriority w:val="0"/>
    <w:pPr>
      <w:tabs>
        <w:tab w:val="left" w:pos="795"/>
        <w:tab w:val="center" w:pos="4156"/>
      </w:tabs>
      <w:spacing w:line="360" w:lineRule="auto"/>
      <w:ind w:firstLine="200" w:firstLineChars="200"/>
    </w:pPr>
    <w:rPr>
      <w:rFonts w:ascii="宋体" w:hAnsi="宋体"/>
      <w:bCs w:val="0"/>
      <w:kern w:val="0"/>
      <w:szCs w:val="20"/>
    </w:rPr>
  </w:style>
  <w:style w:type="character" w:customStyle="1" w:styleId="105">
    <w:name w:val="标题 1 字符"/>
    <w:link w:val="3"/>
    <w:qFormat/>
    <w:uiPriority w:val="0"/>
    <w:rPr>
      <w:rFonts w:ascii="黑体" w:hAnsi="黑体" w:eastAsia="仿宋"/>
      <w:b/>
      <w:kern w:val="2"/>
      <w:sz w:val="30"/>
      <w:szCs w:val="22"/>
      <w:highlight w:val="none"/>
      <w:lang w:val="en-US" w:eastAsia="zh-CN" w:bidi="ar-SA"/>
    </w:rPr>
  </w:style>
  <w:style w:type="character" w:customStyle="1" w:styleId="106">
    <w:name w:val="标题 2 字符"/>
    <w:link w:val="4"/>
    <w:qFormat/>
    <w:uiPriority w:val="0"/>
    <w:rPr>
      <w:rFonts w:ascii="Arial" w:hAnsi="Arial" w:eastAsia="黑体"/>
      <w:b/>
      <w:bCs/>
      <w:sz w:val="32"/>
      <w:szCs w:val="32"/>
    </w:rPr>
  </w:style>
  <w:style w:type="character" w:customStyle="1" w:styleId="107">
    <w:name w:val="标题 3 字符"/>
    <w:link w:val="5"/>
    <w:qFormat/>
    <w:uiPriority w:val="0"/>
    <w:rPr>
      <w:rFonts w:ascii="Times New Roman" w:hAnsi="Times New Roman"/>
      <w:b/>
      <w:sz w:val="32"/>
    </w:rPr>
  </w:style>
  <w:style w:type="character" w:customStyle="1" w:styleId="108">
    <w:name w:val="标题 6 字符"/>
    <w:link w:val="8"/>
    <w:qFormat/>
    <w:uiPriority w:val="0"/>
    <w:rPr>
      <w:rFonts w:ascii="Arial" w:hAnsi="Arial" w:eastAsia="黑体"/>
      <w:b/>
      <w:bCs/>
      <w:sz w:val="24"/>
      <w:szCs w:val="24"/>
    </w:rPr>
  </w:style>
  <w:style w:type="character" w:customStyle="1" w:styleId="109">
    <w:name w:val="标题 7 字符"/>
    <w:link w:val="9"/>
    <w:qFormat/>
    <w:uiPriority w:val="0"/>
    <w:rPr>
      <w:rFonts w:ascii="Times New Roman" w:hAnsi="Times New Roman"/>
      <w:b/>
      <w:bCs/>
      <w:sz w:val="24"/>
      <w:szCs w:val="24"/>
    </w:rPr>
  </w:style>
  <w:style w:type="character" w:customStyle="1" w:styleId="110">
    <w:name w:val="标题 8 字符"/>
    <w:link w:val="10"/>
    <w:qFormat/>
    <w:uiPriority w:val="0"/>
    <w:rPr>
      <w:rFonts w:ascii="Arial" w:hAnsi="Arial" w:eastAsia="黑体"/>
      <w:sz w:val="24"/>
      <w:szCs w:val="24"/>
    </w:rPr>
  </w:style>
  <w:style w:type="character" w:customStyle="1" w:styleId="111">
    <w:name w:val="标题 9 字符"/>
    <w:link w:val="11"/>
    <w:qFormat/>
    <w:uiPriority w:val="0"/>
    <w:rPr>
      <w:rFonts w:ascii="Arial" w:hAnsi="Arial" w:eastAsia="黑体"/>
      <w:sz w:val="21"/>
      <w:szCs w:val="21"/>
    </w:rPr>
  </w:style>
  <w:style w:type="character" w:customStyle="1" w:styleId="112">
    <w:name w:val="文档结构图 字符"/>
    <w:link w:val="15"/>
    <w:semiHidden/>
    <w:qFormat/>
    <w:uiPriority w:val="0"/>
    <w:rPr>
      <w:rFonts w:ascii="宋体" w:hAnsi="宋体"/>
      <w:szCs w:val="24"/>
      <w:shd w:val="clear" w:color="auto" w:fill="000080"/>
    </w:rPr>
  </w:style>
  <w:style w:type="character" w:customStyle="1" w:styleId="113">
    <w:name w:val="批注文字 字符"/>
    <w:link w:val="16"/>
    <w:qFormat/>
    <w:uiPriority w:val="0"/>
    <w:rPr>
      <w:rFonts w:ascii="Courier New" w:hAnsi="Courier New" w:eastAsia="宋体" w:cs="Courier New"/>
      <w:color w:val="000000"/>
      <w:kern w:val="0"/>
      <w:sz w:val="24"/>
      <w:szCs w:val="24"/>
      <w:lang w:val="zh-CN"/>
    </w:rPr>
  </w:style>
  <w:style w:type="character" w:customStyle="1" w:styleId="114">
    <w:name w:val="正文文本 字符"/>
    <w:link w:val="2"/>
    <w:qFormat/>
    <w:uiPriority w:val="0"/>
    <w:rPr>
      <w:rFonts w:ascii="宋体" w:hAnsi="宋体"/>
      <w:szCs w:val="24"/>
    </w:rPr>
  </w:style>
  <w:style w:type="character" w:customStyle="1" w:styleId="115">
    <w:name w:val="正文文本缩进 字符"/>
    <w:link w:val="17"/>
    <w:qFormat/>
    <w:uiPriority w:val="0"/>
    <w:rPr>
      <w:rFonts w:ascii="宋体" w:hAnsi="宋体"/>
      <w:szCs w:val="24"/>
    </w:rPr>
  </w:style>
  <w:style w:type="character" w:customStyle="1" w:styleId="116">
    <w:name w:val="纯文本 字符"/>
    <w:link w:val="23"/>
    <w:qFormat/>
    <w:uiPriority w:val="0"/>
    <w:rPr>
      <w:rFonts w:ascii="宋体" w:hAnsi="Courier New"/>
      <w:kern w:val="2"/>
      <w:sz w:val="21"/>
    </w:rPr>
  </w:style>
  <w:style w:type="character" w:customStyle="1" w:styleId="117">
    <w:name w:val="日期 字符"/>
    <w:link w:val="25"/>
    <w:semiHidden/>
    <w:qFormat/>
    <w:uiPriority w:val="99"/>
  </w:style>
  <w:style w:type="character" w:customStyle="1" w:styleId="118">
    <w:name w:val="正文文本缩进 2 字符"/>
    <w:link w:val="26"/>
    <w:qFormat/>
    <w:uiPriority w:val="0"/>
    <w:rPr>
      <w:rFonts w:ascii="宋体" w:hAnsi="宋体"/>
      <w:szCs w:val="24"/>
    </w:rPr>
  </w:style>
  <w:style w:type="character" w:customStyle="1" w:styleId="119">
    <w:name w:val="批注框文本 字符"/>
    <w:link w:val="27"/>
    <w:semiHidden/>
    <w:qFormat/>
    <w:uiPriority w:val="99"/>
    <w:rPr>
      <w:sz w:val="18"/>
      <w:szCs w:val="18"/>
    </w:rPr>
  </w:style>
  <w:style w:type="character" w:customStyle="1" w:styleId="120">
    <w:name w:val="页脚 字符"/>
    <w:link w:val="28"/>
    <w:qFormat/>
    <w:uiPriority w:val="99"/>
    <w:rPr>
      <w:sz w:val="18"/>
      <w:szCs w:val="18"/>
    </w:rPr>
  </w:style>
  <w:style w:type="character" w:customStyle="1" w:styleId="121">
    <w:name w:val="页眉 字符"/>
    <w:link w:val="29"/>
    <w:qFormat/>
    <w:uiPriority w:val="99"/>
    <w:rPr>
      <w:sz w:val="18"/>
      <w:szCs w:val="18"/>
    </w:rPr>
  </w:style>
  <w:style w:type="character" w:customStyle="1" w:styleId="122">
    <w:name w:val="标题 字符"/>
    <w:link w:val="38"/>
    <w:qFormat/>
    <w:uiPriority w:val="0"/>
    <w:rPr>
      <w:rFonts w:ascii="Arial" w:hAnsi="Arial" w:cs="Arial"/>
      <w:b/>
      <w:bCs/>
      <w:sz w:val="32"/>
      <w:szCs w:val="32"/>
    </w:rPr>
  </w:style>
  <w:style w:type="character" w:customStyle="1" w:styleId="123">
    <w:name w:val="批注主题 字符"/>
    <w:link w:val="39"/>
    <w:semiHidden/>
    <w:qFormat/>
    <w:uiPriority w:val="0"/>
    <w:rPr>
      <w:rFonts w:ascii="宋体" w:hAnsi="宋体" w:eastAsia="宋体" w:cs="Courier New"/>
      <w:b/>
      <w:bCs/>
      <w:color w:val="000000"/>
      <w:kern w:val="0"/>
      <w:sz w:val="24"/>
      <w:szCs w:val="24"/>
      <w:lang w:val="zh-CN"/>
    </w:rPr>
  </w:style>
  <w:style w:type="character" w:customStyle="1" w:styleId="124">
    <w:name w:val="font91"/>
    <w:qFormat/>
    <w:uiPriority w:val="0"/>
    <w:rPr>
      <w:rFonts w:hint="eastAsia" w:ascii="宋体" w:hAnsi="宋体" w:eastAsia="宋体" w:cs="宋体"/>
      <w:color w:val="000000"/>
      <w:sz w:val="22"/>
      <w:szCs w:val="22"/>
      <w:u w:val="none"/>
    </w:rPr>
  </w:style>
  <w:style w:type="character" w:customStyle="1" w:styleId="125">
    <w:name w:val="font51"/>
    <w:qFormat/>
    <w:uiPriority w:val="0"/>
    <w:rPr>
      <w:rFonts w:hint="eastAsia" w:ascii="宋体" w:hAnsi="宋体" w:eastAsia="宋体" w:cs="宋体"/>
      <w:color w:val="000000"/>
      <w:sz w:val="24"/>
      <w:szCs w:val="24"/>
      <w:u w:val="none"/>
    </w:rPr>
  </w:style>
  <w:style w:type="character" w:customStyle="1" w:styleId="126">
    <w:name w:val="font01"/>
    <w:qFormat/>
    <w:uiPriority w:val="0"/>
    <w:rPr>
      <w:rFonts w:hint="default" w:ascii="Arial" w:hAnsi="Arial" w:cs="Arial"/>
      <w:color w:val="000000"/>
      <w:sz w:val="20"/>
      <w:szCs w:val="20"/>
      <w:u w:val="none"/>
    </w:rPr>
  </w:style>
  <w:style w:type="character" w:customStyle="1" w:styleId="127">
    <w:name w:val="flatpickr-weekday"/>
    <w:basedOn w:val="43"/>
    <w:qFormat/>
    <w:uiPriority w:val="0"/>
    <w:rPr>
      <w:b/>
      <w:bCs/>
      <w:sz w:val="21"/>
      <w:szCs w:val="21"/>
    </w:rPr>
  </w:style>
  <w:style w:type="character" w:customStyle="1" w:styleId="128">
    <w:name w:val="正文文本 (3)_"/>
    <w:link w:val="59"/>
    <w:qFormat/>
    <w:uiPriority w:val="0"/>
    <w:rPr>
      <w:rFonts w:ascii="MingLiU" w:eastAsia="MingLiU" w:cs="MingLiU"/>
      <w:spacing w:val="50"/>
      <w:sz w:val="50"/>
      <w:szCs w:val="50"/>
      <w:shd w:val="clear" w:color="auto" w:fill="FFFFFF"/>
    </w:rPr>
  </w:style>
  <w:style w:type="character" w:customStyle="1" w:styleId="129">
    <w:name w:val="font11"/>
    <w:qFormat/>
    <w:uiPriority w:val="0"/>
    <w:rPr>
      <w:rFonts w:hint="eastAsia" w:ascii="宋体" w:hAnsi="宋体" w:eastAsia="宋体" w:cs="宋体"/>
      <w:b/>
      <w:bCs/>
      <w:color w:val="000000"/>
      <w:sz w:val="20"/>
      <w:szCs w:val="20"/>
      <w:u w:val="none"/>
    </w:rPr>
  </w:style>
  <w:style w:type="character" w:customStyle="1" w:styleId="130">
    <w:name w:val="flatpickr-day"/>
    <w:qFormat/>
    <w:uiPriority w:val="0"/>
  </w:style>
  <w:style w:type="character" w:customStyle="1" w:styleId="131">
    <w:name w:val="first-child"/>
    <w:qFormat/>
    <w:uiPriority w:val="0"/>
  </w:style>
  <w:style w:type="character" w:customStyle="1" w:styleId="132">
    <w:name w:val="layui-layer-tabnow"/>
    <w:qFormat/>
    <w:uiPriority w:val="0"/>
    <w:rPr>
      <w:bdr w:val="single" w:color="CCCCCC" w:sz="6" w:space="0"/>
      <w:shd w:val="clear" w:color="auto" w:fill="FFFFFF"/>
    </w:rPr>
  </w:style>
  <w:style w:type="character" w:customStyle="1" w:styleId="133">
    <w:name w:val="flatpickr-weekday2"/>
    <w:qFormat/>
    <w:uiPriority w:val="0"/>
    <w:rPr>
      <w:b/>
      <w:bCs/>
      <w:sz w:val="21"/>
      <w:szCs w:val="21"/>
    </w:rPr>
  </w:style>
  <w:style w:type="character" w:customStyle="1" w:styleId="134">
    <w:name w:val="hover1"/>
    <w:qFormat/>
    <w:uiPriority w:val="0"/>
    <w:rPr>
      <w:color w:val="2590EB"/>
    </w:rPr>
  </w:style>
  <w:style w:type="character" w:customStyle="1" w:styleId="135">
    <w:name w:val="标题1"/>
    <w:qFormat/>
    <w:uiPriority w:val="0"/>
  </w:style>
  <w:style w:type="character" w:customStyle="1" w:styleId="136">
    <w:name w:val="hover2"/>
    <w:qFormat/>
    <w:uiPriority w:val="0"/>
  </w:style>
  <w:style w:type="character" w:customStyle="1" w:styleId="137">
    <w:name w:val="font31"/>
    <w:qFormat/>
    <w:uiPriority w:val="0"/>
    <w:rPr>
      <w:rFonts w:hint="eastAsia" w:ascii="宋体" w:hAnsi="宋体" w:eastAsia="宋体" w:cs="宋体"/>
      <w:color w:val="000000"/>
      <w:sz w:val="20"/>
      <w:szCs w:val="20"/>
      <w:u w:val="none"/>
    </w:rPr>
  </w:style>
  <w:style w:type="character" w:customStyle="1" w:styleId="138">
    <w:name w:val="正文文本 (2)_"/>
    <w:link w:val="60"/>
    <w:qFormat/>
    <w:uiPriority w:val="0"/>
    <w:rPr>
      <w:rFonts w:ascii="MingLiU" w:eastAsia="MingLiU" w:cs="MingLiU"/>
      <w:sz w:val="22"/>
      <w:shd w:val="clear" w:color="auto" w:fill="FFFFFF"/>
    </w:rPr>
  </w:style>
  <w:style w:type="character" w:customStyle="1" w:styleId="139">
    <w:name w:val="正文文本 (2)"/>
    <w:qFormat/>
    <w:uiPriority w:val="0"/>
    <w:rPr>
      <w:rFonts w:ascii="MingLiU" w:eastAsia="MingLiU" w:cs="MingLiU"/>
      <w:sz w:val="22"/>
      <w:shd w:val="clear" w:color="auto" w:fill="FFFFFF"/>
    </w:rPr>
  </w:style>
  <w:style w:type="character" w:customStyle="1" w:styleId="140">
    <w:name w:val="font21"/>
    <w:qFormat/>
    <w:uiPriority w:val="0"/>
    <w:rPr>
      <w:rFonts w:hint="default" w:ascii="Arial" w:hAnsi="Arial" w:cs="Arial"/>
      <w:b/>
      <w:bCs/>
      <w:color w:val="000000"/>
      <w:sz w:val="20"/>
      <w:szCs w:val="20"/>
      <w:u w:val="none"/>
    </w:rPr>
  </w:style>
  <w:style w:type="character" w:customStyle="1" w:styleId="141">
    <w:name w:val="标题 2 Char Char Char Char Char Char Char Char Char Char Char Char Char Char Char Char Char Char Char Char Char"/>
    <w:qFormat/>
    <w:uiPriority w:val="0"/>
  </w:style>
  <w:style w:type="character" w:customStyle="1" w:styleId="142">
    <w:name w:val="font71"/>
    <w:qFormat/>
    <w:uiPriority w:val="0"/>
    <w:rPr>
      <w:rFonts w:ascii="仿宋_GB2312" w:eastAsia="仿宋_GB2312" w:cs="仿宋_GB2312"/>
      <w:color w:val="000000"/>
      <w:sz w:val="24"/>
      <w:szCs w:val="24"/>
      <w:u w:val="none"/>
    </w:rPr>
  </w:style>
  <w:style w:type="character" w:customStyle="1" w:styleId="143">
    <w:name w:val="hover"/>
    <w:qFormat/>
    <w:uiPriority w:val="0"/>
    <w:rPr>
      <w:color w:val="2590EB"/>
    </w:rPr>
  </w:style>
  <w:style w:type="character" w:customStyle="1" w:styleId="144">
    <w:name w:val="font61"/>
    <w:qFormat/>
    <w:uiPriority w:val="0"/>
    <w:rPr>
      <w:rFonts w:hint="default" w:ascii="Times New Roman" w:hAnsi="Times New Roman" w:cs="Times New Roman"/>
      <w:color w:val="000000"/>
      <w:sz w:val="24"/>
      <w:szCs w:val="24"/>
      <w:u w:val="none"/>
    </w:rPr>
  </w:style>
  <w:style w:type="character" w:customStyle="1" w:styleId="145">
    <w:name w:val="font81"/>
    <w:qFormat/>
    <w:uiPriority w:val="0"/>
    <w:rPr>
      <w:rFonts w:hint="default" w:ascii="Times New Roman" w:hAnsi="Times New Roman" w:cs="Times New Roman"/>
      <w:color w:val="000000"/>
      <w:sz w:val="22"/>
      <w:szCs w:val="22"/>
      <w:u w:val="none"/>
    </w:rPr>
  </w:style>
  <w:style w:type="character" w:customStyle="1" w:styleId="146">
    <w:name w:val="hover3"/>
    <w:qFormat/>
    <w:uiPriority w:val="0"/>
  </w:style>
  <w:style w:type="character" w:customStyle="1" w:styleId="147">
    <w:name w:val="flatpickr-day2"/>
    <w:basedOn w:val="43"/>
    <w:qFormat/>
    <w:uiPriority w:val="0"/>
  </w:style>
  <w:style w:type="character" w:customStyle="1" w:styleId="148">
    <w:name w:val="layui-laypage-curr"/>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63</Pages>
  <Words>22970</Words>
  <Characters>24543</Characters>
  <Lines>273</Lines>
  <Paragraphs>77</Paragraphs>
  <TotalTime>19</TotalTime>
  <ScaleCrop>false</ScaleCrop>
  <LinksUpToDate>false</LinksUpToDate>
  <CharactersWithSpaces>24663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2024-04-06T07:36:00Z</dcterms:created>
  <dc:creator>Sky123.Org</dc:creator>
  <cp:lastModifiedBy>l</cp:lastModifiedBy>
  <cp:lastPrinted>2023-04-20T00:59:00Z</cp:lastPrinted>
  <dcterms:modified xsi:type="dcterms:W3CDTF">2026-09-20T08:21:14Z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6BCE581EFA5B44DE90C948265B339DDF_13</vt:lpwstr>
  </property>
  <property fmtid="{D5CDD505-2E9C-101B-9397-08002B2CF9AE}" pid="4" name="KSOTemplateDocerSaveRecord">
    <vt:lpwstr>eyJoZGlkIjoiMTVhODhjMTUwZjUwNjkzMjQ0MTZlNTBlMWU0MzllYjAiLCJ1c2VySWQiOiIyNjI0NzI1In0=</vt:lpwstr>
  </property>
</Properties>
</file>