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C07B8F">
      <w:pPr>
        <w:pStyle w:val="40"/>
        <w:tabs>
          <w:tab w:val="left" w:pos="5388"/>
          <w:tab w:val="clear" w:pos="916"/>
          <w:tab w:val="clear" w:pos="2748"/>
          <w:tab w:val="clear" w:pos="4580"/>
          <w:tab w:val="clear" w:pos="6412"/>
          <w:tab w:val="clear" w:pos="8244"/>
          <w:tab w:val="clear" w:pos="10076"/>
          <w:tab w:val="clear" w:pos="11908"/>
          <w:tab w:val="clear" w:pos="13740"/>
        </w:tabs>
        <w:spacing w:line="400" w:lineRule="exact"/>
        <w:rPr>
          <w:rFonts w:ascii="仿宋" w:hAnsi="仿宋" w:eastAsia="仿宋" w:cs="仿宋"/>
          <w:b/>
          <w:color w:val="auto"/>
          <w:sz w:val="28"/>
          <w:szCs w:val="28"/>
          <w:highlight w:val="none"/>
        </w:rPr>
      </w:pPr>
      <w:bookmarkStart w:id="0" w:name="_Hlk35761645"/>
      <w:r>
        <w:rPr>
          <w:rFonts w:hint="eastAsia" w:ascii="仿宋" w:hAnsi="仿宋" w:eastAsia="仿宋" w:cs="仿宋"/>
          <w:b/>
          <w:color w:val="auto"/>
          <w:sz w:val="28"/>
          <w:szCs w:val="28"/>
          <w:highlight w:val="none"/>
        </w:rPr>
        <w:tab/>
      </w:r>
    </w:p>
    <w:p w14:paraId="5EA9E580">
      <w:pPr>
        <w:pStyle w:val="40"/>
        <w:spacing w:line="400" w:lineRule="exact"/>
        <w:rPr>
          <w:rFonts w:ascii="仿宋" w:hAnsi="仿宋" w:eastAsia="仿宋" w:cs="仿宋"/>
          <w:b/>
          <w:color w:val="auto"/>
          <w:sz w:val="28"/>
          <w:szCs w:val="28"/>
          <w:highlight w:val="none"/>
        </w:rPr>
      </w:pPr>
    </w:p>
    <w:bookmarkEnd w:id="0"/>
    <w:p w14:paraId="329C596C">
      <w:pPr>
        <w:spacing w:line="400" w:lineRule="exact"/>
        <w:rPr>
          <w:rFonts w:ascii="仿宋" w:hAnsi="仿宋" w:eastAsia="仿宋" w:cs="仿宋"/>
          <w:color w:val="auto"/>
          <w:sz w:val="44"/>
          <w:szCs w:val="44"/>
          <w:highlight w:val="none"/>
        </w:rPr>
      </w:pPr>
    </w:p>
    <w:p w14:paraId="328401CE">
      <w:pPr>
        <w:jc w:val="center"/>
        <w:rPr>
          <w:rFonts w:ascii="仿宋" w:hAnsi="仿宋" w:eastAsia="仿宋" w:cs="仿宋"/>
          <w:b/>
          <w:color w:val="auto"/>
          <w:sz w:val="52"/>
          <w:szCs w:val="52"/>
          <w:highlight w:val="none"/>
        </w:rPr>
      </w:pPr>
      <w:r>
        <w:rPr>
          <w:rFonts w:hint="eastAsia" w:ascii="仿宋" w:hAnsi="仿宋" w:eastAsia="仿宋" w:cs="仿宋"/>
          <w:b/>
          <w:color w:val="auto"/>
          <w:sz w:val="52"/>
          <w:szCs w:val="52"/>
          <w:highlight w:val="none"/>
        </w:rPr>
        <w:t>威海市环翠区环晟商业经营管理有限公司</w:t>
      </w:r>
    </w:p>
    <w:p w14:paraId="3830DF15">
      <w:pPr>
        <w:spacing w:line="1400" w:lineRule="exact"/>
        <w:jc w:val="center"/>
        <w:rPr>
          <w:rFonts w:ascii="仿宋" w:hAnsi="仿宋" w:eastAsia="仿宋" w:cs="仿宋"/>
          <w:b/>
          <w:color w:val="auto"/>
          <w:sz w:val="72"/>
          <w:szCs w:val="52"/>
          <w:highlight w:val="none"/>
        </w:rPr>
      </w:pPr>
      <w:r>
        <w:rPr>
          <w:rFonts w:hint="eastAsia" w:ascii="仿宋" w:hAnsi="仿宋" w:eastAsia="仿宋" w:cs="仿宋"/>
          <w:b/>
          <w:color w:val="auto"/>
          <w:sz w:val="72"/>
          <w:szCs w:val="52"/>
          <w:highlight w:val="none"/>
        </w:rPr>
        <w:t>公开招标</w:t>
      </w:r>
      <w:r>
        <w:rPr>
          <w:rFonts w:hint="eastAsia" w:ascii="仿宋" w:hAnsi="仿宋" w:eastAsia="仿宋" w:cs="仿宋"/>
          <w:b/>
          <w:color w:val="auto"/>
          <w:sz w:val="72"/>
          <w:szCs w:val="52"/>
          <w:highlight w:val="none"/>
        </w:rPr>
        <w:fldChar w:fldCharType="begin"/>
      </w:r>
      <w:r>
        <w:rPr>
          <w:rFonts w:hint="eastAsia" w:ascii="仿宋" w:hAnsi="仿宋" w:eastAsia="仿宋" w:cs="仿宋"/>
          <w:b/>
          <w:color w:val="auto"/>
          <w:sz w:val="72"/>
          <w:szCs w:val="52"/>
          <w:highlight w:val="none"/>
        </w:rPr>
        <w:instrText xml:space="preserve">&lt;MK&gt;translateEnum(pro.tradeway)&lt;/MK&gt;</w:instrText>
      </w:r>
      <w:r>
        <w:rPr>
          <w:rFonts w:hint="eastAsia" w:ascii="仿宋" w:hAnsi="仿宋" w:eastAsia="仿宋" w:cs="仿宋"/>
          <w:b/>
          <w:color w:val="auto"/>
          <w:sz w:val="72"/>
          <w:szCs w:val="52"/>
          <w:highlight w:val="none"/>
        </w:rPr>
        <w:fldChar w:fldCharType="end"/>
      </w:r>
      <w:r>
        <w:rPr>
          <w:rFonts w:hint="eastAsia" w:ascii="仿宋" w:hAnsi="仿宋" w:eastAsia="仿宋" w:cs="仿宋"/>
          <w:b/>
          <w:color w:val="auto"/>
          <w:sz w:val="72"/>
          <w:szCs w:val="52"/>
          <w:highlight w:val="none"/>
        </w:rPr>
        <w:t>文件</w:t>
      </w:r>
    </w:p>
    <w:p w14:paraId="655E4EF9">
      <w:pPr>
        <w:spacing w:line="360" w:lineRule="auto"/>
        <w:ind w:firstLine="723" w:firstLineChars="201"/>
        <w:jc w:val="left"/>
        <w:rPr>
          <w:rFonts w:ascii="仿宋" w:hAnsi="仿宋" w:eastAsia="仿宋" w:cs="仿宋"/>
          <w:color w:val="auto"/>
          <w:sz w:val="36"/>
          <w:szCs w:val="36"/>
          <w:highlight w:val="none"/>
        </w:rPr>
      </w:pPr>
    </w:p>
    <w:p w14:paraId="50AF8C27">
      <w:pPr>
        <w:spacing w:line="360" w:lineRule="auto"/>
        <w:jc w:val="left"/>
        <w:rPr>
          <w:rFonts w:ascii="仿宋" w:hAnsi="仿宋" w:eastAsia="仿宋" w:cs="仿宋"/>
          <w:color w:val="auto"/>
          <w:sz w:val="36"/>
          <w:szCs w:val="36"/>
          <w:highlight w:val="none"/>
        </w:rPr>
      </w:pPr>
    </w:p>
    <w:p w14:paraId="6AA4D52A">
      <w:pPr>
        <w:spacing w:afterLines="50" w:line="360" w:lineRule="auto"/>
        <w:ind w:left="2563" w:leftChars="459" w:hanging="1600" w:hangingChars="500"/>
        <w:jc w:val="left"/>
        <w:rPr>
          <w:rFonts w:ascii="仿宋" w:hAnsi="仿宋" w:eastAsia="仿宋" w:cs="仿宋"/>
          <w:bCs/>
          <w:color w:val="auto"/>
          <w:sz w:val="32"/>
          <w:szCs w:val="32"/>
          <w:highlight w:val="none"/>
        </w:rPr>
      </w:pPr>
      <w:r>
        <w:rPr>
          <w:rFonts w:hint="eastAsia" w:ascii="仿宋" w:hAnsi="仿宋" w:eastAsia="仿宋" w:cs="仿宋"/>
          <w:b/>
          <w:color w:val="auto"/>
          <w:sz w:val="32"/>
          <w:szCs w:val="32"/>
          <w:highlight w:val="none"/>
        </w:rPr>
        <w:t>项目名称：</w:t>
      </w:r>
      <w:bookmarkStart w:id="1" w:name="OLE_LINK8"/>
      <w:bookmarkStart w:id="2" w:name="OLE_LINK7"/>
      <w:r>
        <w:rPr>
          <w:rFonts w:hint="eastAsia" w:ascii="仿宋" w:hAnsi="仿宋" w:eastAsia="仿宋" w:cs="仿宋"/>
          <w:bCs/>
          <w:color w:val="auto"/>
          <w:sz w:val="32"/>
          <w:szCs w:val="32"/>
          <w:highlight w:val="none"/>
        </w:rPr>
        <w:t>威海电视观光塔文旅项目检测鉴定服务</w:t>
      </w:r>
      <w:bookmarkEnd w:id="1"/>
      <w:bookmarkEnd w:id="2"/>
      <w:r>
        <w:rPr>
          <w:rFonts w:hint="eastAsia" w:ascii="仿宋" w:hAnsi="仿宋" w:eastAsia="仿宋" w:cs="仿宋"/>
          <w:bCs/>
          <w:color w:val="auto"/>
          <w:sz w:val="32"/>
          <w:szCs w:val="32"/>
          <w:highlight w:val="none"/>
        </w:rPr>
        <w:fldChar w:fldCharType="begin"/>
      </w:r>
      <w:r>
        <w:rPr>
          <w:rFonts w:hint="eastAsia" w:ascii="仿宋" w:hAnsi="仿宋" w:eastAsia="仿宋" w:cs="仿宋"/>
          <w:bCs/>
          <w:color w:val="auto"/>
          <w:sz w:val="32"/>
          <w:szCs w:val="32"/>
          <w:highlight w:val="none"/>
        </w:rPr>
        <w:instrText xml:space="preserve">&lt;MK&gt;pro.projectname &lt;/MK&gt;</w:instrText>
      </w:r>
      <w:r>
        <w:rPr>
          <w:rFonts w:hint="eastAsia" w:ascii="仿宋" w:hAnsi="仿宋" w:eastAsia="仿宋" w:cs="仿宋"/>
          <w:bCs/>
          <w:color w:val="auto"/>
          <w:sz w:val="32"/>
          <w:szCs w:val="32"/>
          <w:highlight w:val="none"/>
        </w:rPr>
        <w:fldChar w:fldCharType="end"/>
      </w:r>
    </w:p>
    <w:p w14:paraId="177723A0">
      <w:pPr>
        <w:spacing w:afterLines="50" w:line="360" w:lineRule="auto"/>
        <w:ind w:firstLine="960" w:firstLineChars="300"/>
        <w:jc w:val="left"/>
        <w:rPr>
          <w:rFonts w:ascii="仿宋" w:hAnsi="仿宋" w:eastAsia="仿宋" w:cs="仿宋"/>
          <w:bCs/>
          <w:color w:val="auto"/>
          <w:sz w:val="32"/>
          <w:szCs w:val="32"/>
          <w:highlight w:val="none"/>
        </w:rPr>
      </w:pPr>
      <w:r>
        <w:rPr>
          <w:rFonts w:hint="eastAsia" w:ascii="仿宋" w:hAnsi="仿宋" w:eastAsia="仿宋" w:cs="仿宋"/>
          <w:b/>
          <w:color w:val="auto"/>
          <w:sz w:val="32"/>
          <w:szCs w:val="32"/>
          <w:highlight w:val="none"/>
        </w:rPr>
        <w:t>项目编号：</w:t>
      </w:r>
      <w:r>
        <w:rPr>
          <w:rFonts w:hint="eastAsia" w:ascii="仿宋" w:hAnsi="仿宋" w:eastAsia="仿宋" w:cs="仿宋"/>
          <w:bCs/>
          <w:color w:val="auto"/>
          <w:sz w:val="32"/>
          <w:szCs w:val="32"/>
          <w:highlight w:val="none"/>
        </w:rPr>
        <w:t>HSSGZC20260601</w:t>
      </w:r>
      <w:r>
        <w:rPr>
          <w:rFonts w:hint="eastAsia" w:ascii="仿宋" w:hAnsi="仿宋" w:eastAsia="仿宋" w:cs="仿宋"/>
          <w:bCs/>
          <w:color w:val="auto"/>
          <w:sz w:val="32"/>
          <w:szCs w:val="32"/>
          <w:highlight w:val="none"/>
        </w:rPr>
        <w:fldChar w:fldCharType="begin"/>
      </w:r>
      <w:r>
        <w:rPr>
          <w:rFonts w:hint="eastAsia" w:ascii="仿宋" w:hAnsi="仿宋" w:eastAsia="仿宋" w:cs="仿宋"/>
          <w:bCs/>
          <w:color w:val="auto"/>
          <w:sz w:val="32"/>
          <w:szCs w:val="32"/>
          <w:highlight w:val="none"/>
        </w:rPr>
        <w:instrText xml:space="preserve">&lt;MK&gt;pro.projectcode &lt;/MK&gt;</w:instrText>
      </w:r>
      <w:r>
        <w:rPr>
          <w:rFonts w:hint="eastAsia" w:ascii="仿宋" w:hAnsi="仿宋" w:eastAsia="仿宋" w:cs="仿宋"/>
          <w:bCs/>
          <w:color w:val="auto"/>
          <w:sz w:val="32"/>
          <w:szCs w:val="32"/>
          <w:highlight w:val="none"/>
        </w:rPr>
        <w:fldChar w:fldCharType="end"/>
      </w:r>
    </w:p>
    <w:p w14:paraId="6CC846EC">
      <w:pPr>
        <w:spacing w:afterLines="50" w:line="360" w:lineRule="auto"/>
        <w:ind w:firstLine="960" w:firstLineChars="300"/>
        <w:jc w:val="left"/>
        <w:rPr>
          <w:rFonts w:ascii="仿宋" w:hAnsi="仿宋" w:eastAsia="仿宋" w:cs="仿宋"/>
          <w:bCs/>
          <w:color w:val="auto"/>
          <w:sz w:val="32"/>
          <w:szCs w:val="32"/>
          <w:highlight w:val="none"/>
        </w:rPr>
      </w:pPr>
      <w:r>
        <w:rPr>
          <w:rFonts w:hint="eastAsia" w:ascii="仿宋" w:hAnsi="仿宋" w:eastAsia="仿宋" w:cs="仿宋"/>
          <w:b/>
          <w:color w:val="auto"/>
          <w:sz w:val="32"/>
          <w:szCs w:val="32"/>
          <w:highlight w:val="none"/>
        </w:rPr>
        <w:t>采购方式：</w:t>
      </w:r>
      <w:r>
        <w:rPr>
          <w:rFonts w:hint="eastAsia" w:ascii="仿宋" w:hAnsi="仿宋" w:eastAsia="仿宋" w:cs="仿宋"/>
          <w:bCs/>
          <w:color w:val="auto"/>
          <w:sz w:val="32"/>
          <w:szCs w:val="32"/>
          <w:highlight w:val="none"/>
        </w:rPr>
        <w:t>公开招标</w:t>
      </w:r>
      <w:r>
        <w:rPr>
          <w:rFonts w:hint="eastAsia" w:ascii="仿宋" w:hAnsi="仿宋" w:eastAsia="仿宋" w:cs="仿宋"/>
          <w:bCs/>
          <w:color w:val="auto"/>
          <w:sz w:val="32"/>
          <w:szCs w:val="32"/>
          <w:highlight w:val="none"/>
        </w:rPr>
        <w:fldChar w:fldCharType="begin"/>
      </w:r>
      <w:r>
        <w:rPr>
          <w:rFonts w:hint="eastAsia" w:ascii="仿宋" w:hAnsi="仿宋" w:eastAsia="仿宋" w:cs="仿宋"/>
          <w:bCs/>
          <w:color w:val="auto"/>
          <w:sz w:val="32"/>
          <w:szCs w:val="32"/>
          <w:highlight w:val="none"/>
        </w:rPr>
        <w:instrText xml:space="preserve">&lt;MK&gt;translateEnum(pro.tradeway)&lt;/MK&gt;</w:instrText>
      </w:r>
      <w:r>
        <w:rPr>
          <w:rFonts w:hint="eastAsia" w:ascii="仿宋" w:hAnsi="仿宋" w:eastAsia="仿宋" w:cs="仿宋"/>
          <w:bCs/>
          <w:color w:val="auto"/>
          <w:sz w:val="32"/>
          <w:szCs w:val="32"/>
          <w:highlight w:val="none"/>
        </w:rPr>
        <w:fldChar w:fldCharType="end"/>
      </w:r>
    </w:p>
    <w:p w14:paraId="2A0AFAD8">
      <w:pPr>
        <w:spacing w:line="360" w:lineRule="auto"/>
        <w:rPr>
          <w:rFonts w:ascii="仿宋" w:hAnsi="仿宋" w:eastAsia="仿宋" w:cs="仿宋"/>
          <w:b/>
          <w:color w:val="auto"/>
          <w:sz w:val="16"/>
          <w:szCs w:val="36"/>
          <w:highlight w:val="none"/>
        </w:rPr>
      </w:pPr>
    </w:p>
    <w:p w14:paraId="3F16E6E6">
      <w:pPr>
        <w:pStyle w:val="58"/>
        <w:rPr>
          <w:rFonts w:ascii="仿宋" w:hAnsi="仿宋" w:eastAsia="仿宋" w:cs="仿宋"/>
          <w:color w:val="auto"/>
          <w:highlight w:val="none"/>
        </w:rPr>
      </w:pPr>
    </w:p>
    <w:p w14:paraId="181E2764">
      <w:pPr>
        <w:spacing w:line="360" w:lineRule="auto"/>
        <w:ind w:firstLine="361" w:firstLineChars="201"/>
        <w:jc w:val="center"/>
        <w:rPr>
          <w:rFonts w:ascii="仿宋" w:hAnsi="仿宋" w:eastAsia="仿宋" w:cs="仿宋"/>
          <w:b/>
          <w:color w:val="auto"/>
          <w:sz w:val="18"/>
          <w:szCs w:val="36"/>
          <w:highlight w:val="none"/>
        </w:rPr>
      </w:pPr>
    </w:p>
    <w:p w14:paraId="7EFF820A">
      <w:pPr>
        <w:pStyle w:val="58"/>
        <w:rPr>
          <w:rFonts w:ascii="仿宋" w:hAnsi="仿宋" w:eastAsia="仿宋" w:cs="仿宋"/>
          <w:b/>
          <w:color w:val="auto"/>
          <w:kern w:val="2"/>
          <w:sz w:val="18"/>
          <w:szCs w:val="36"/>
          <w:highlight w:val="none"/>
        </w:rPr>
      </w:pPr>
    </w:p>
    <w:p w14:paraId="5AE8B001">
      <w:pPr>
        <w:pStyle w:val="38"/>
        <w:rPr>
          <w:rFonts w:ascii="仿宋" w:hAnsi="仿宋" w:eastAsia="仿宋" w:cs="仿宋"/>
          <w:b/>
          <w:color w:val="auto"/>
          <w:sz w:val="18"/>
          <w:szCs w:val="36"/>
          <w:highlight w:val="none"/>
        </w:rPr>
      </w:pPr>
    </w:p>
    <w:p w14:paraId="45D12413">
      <w:pPr>
        <w:rPr>
          <w:rFonts w:ascii="仿宋" w:hAnsi="仿宋" w:eastAsia="仿宋" w:cs="仿宋"/>
          <w:b/>
          <w:color w:val="auto"/>
          <w:sz w:val="18"/>
          <w:szCs w:val="36"/>
          <w:highlight w:val="none"/>
        </w:rPr>
      </w:pPr>
    </w:p>
    <w:p w14:paraId="5ABF1723">
      <w:pPr>
        <w:pStyle w:val="5"/>
        <w:rPr>
          <w:rFonts w:ascii="仿宋" w:hAnsi="仿宋" w:eastAsia="仿宋"/>
          <w:color w:val="auto"/>
          <w:highlight w:val="none"/>
        </w:rPr>
      </w:pPr>
    </w:p>
    <w:p w14:paraId="6094044A">
      <w:pPr>
        <w:spacing w:beforeLines="50" w:line="360" w:lineRule="auto"/>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代理机构：山东达信招标代理有限公司</w:t>
      </w:r>
    </w:p>
    <w:p w14:paraId="605E079B">
      <w:pPr>
        <w:spacing w:line="360" w:lineRule="auto"/>
        <w:jc w:val="cente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t>编制时间：202</w:t>
      </w:r>
      <w:r>
        <w:rPr>
          <w:rFonts w:ascii="仿宋" w:hAnsi="仿宋" w:eastAsia="仿宋" w:cs="仿宋"/>
          <w:b/>
          <w:color w:val="auto"/>
          <w:sz w:val="36"/>
          <w:szCs w:val="36"/>
          <w:highlight w:val="none"/>
        </w:rPr>
        <w:t>6</w:t>
      </w:r>
      <w:r>
        <w:rPr>
          <w:rFonts w:hint="eastAsia" w:ascii="仿宋" w:hAnsi="仿宋" w:eastAsia="仿宋" w:cs="仿宋"/>
          <w:b/>
          <w:color w:val="auto"/>
          <w:sz w:val="36"/>
          <w:szCs w:val="36"/>
          <w:highlight w:val="none"/>
        </w:rPr>
        <w:t>年06月</w:t>
      </w:r>
    </w:p>
    <w:p w14:paraId="4F084D8D">
      <w:pPr>
        <w:spacing w:line="360" w:lineRule="auto"/>
        <w:jc w:val="center"/>
        <w:rPr>
          <w:rFonts w:ascii="仿宋" w:hAnsi="仿宋" w:eastAsia="仿宋" w:cs="仿宋"/>
          <w:color w:val="auto"/>
          <w:sz w:val="36"/>
          <w:szCs w:val="36"/>
          <w:highlight w:val="none"/>
        </w:rPr>
      </w:pPr>
    </w:p>
    <w:p w14:paraId="0198C40F">
      <w:pPr>
        <w:spacing w:line="360" w:lineRule="auto"/>
        <w:jc w:val="center"/>
        <w:rPr>
          <w:rFonts w:ascii="仿宋" w:hAnsi="仿宋" w:eastAsia="仿宋" w:cs="仿宋"/>
          <w:color w:val="auto"/>
          <w:sz w:val="36"/>
          <w:szCs w:val="36"/>
          <w:highlight w:val="none"/>
        </w:rPr>
      </w:pPr>
    </w:p>
    <w:p w14:paraId="1376EF9E">
      <w:pPr>
        <w:spacing w:line="360" w:lineRule="auto"/>
        <w:jc w:val="center"/>
        <w:rPr>
          <w:rFonts w:ascii="仿宋" w:hAnsi="仿宋" w:eastAsia="仿宋" w:cs="仿宋"/>
          <w:color w:val="auto"/>
          <w:kern w:val="0"/>
          <w:sz w:val="52"/>
          <w:szCs w:val="52"/>
          <w:highlight w:val="none"/>
        </w:rPr>
        <w:sectPr>
          <w:headerReference r:id="rId3" w:type="default"/>
          <w:footerReference r:id="rId5" w:type="default"/>
          <w:headerReference r:id="rId4" w:type="even"/>
          <w:pgSz w:w="11906" w:h="16838"/>
          <w:pgMar w:top="1440" w:right="1361" w:bottom="1440" w:left="1418" w:header="851" w:footer="992" w:gutter="0"/>
          <w:pgNumType w:start="0"/>
          <w:cols w:space="425" w:num="1"/>
          <w:docGrid w:type="linesAndChars" w:linePitch="312" w:charSpace="0"/>
        </w:sectPr>
      </w:pPr>
    </w:p>
    <w:p w14:paraId="1C6C16E0">
      <w:pPr>
        <w:spacing w:line="360" w:lineRule="auto"/>
        <w:jc w:val="center"/>
        <w:rPr>
          <w:rFonts w:ascii="仿宋" w:hAnsi="仿宋" w:eastAsia="仿宋" w:cs="仿宋"/>
          <w:b/>
          <w:color w:val="auto"/>
          <w:sz w:val="44"/>
          <w:szCs w:val="44"/>
          <w:highlight w:val="none"/>
        </w:rPr>
      </w:pPr>
      <w:r>
        <w:rPr>
          <w:rFonts w:hint="eastAsia" w:ascii="仿宋" w:hAnsi="仿宋" w:eastAsia="仿宋" w:cs="仿宋"/>
          <w:color w:val="auto"/>
          <w:kern w:val="0"/>
          <w:sz w:val="52"/>
          <w:szCs w:val="52"/>
          <w:highlight w:val="none"/>
        </w:rPr>
        <w:t>目录</w:t>
      </w:r>
    </w:p>
    <w:p w14:paraId="5C4A4525">
      <w:pPr>
        <w:spacing w:line="560" w:lineRule="exact"/>
        <w:ind w:firstLine="562" w:firstLineChars="201"/>
        <w:jc w:val="left"/>
        <w:rPr>
          <w:rFonts w:ascii="仿宋" w:hAnsi="仿宋" w:eastAsia="仿宋" w:cs="仿宋"/>
          <w:color w:val="auto"/>
          <w:sz w:val="28"/>
          <w:szCs w:val="28"/>
          <w:highlight w:val="none"/>
        </w:rPr>
      </w:pPr>
    </w:p>
    <w:p w14:paraId="46E921E8">
      <w:pPr>
        <w:spacing w:line="560" w:lineRule="exact"/>
        <w:ind w:firstLine="562" w:firstLineChars="201"/>
        <w:jc w:val="left"/>
        <w:rPr>
          <w:rFonts w:ascii="仿宋" w:hAnsi="仿宋" w:eastAsia="仿宋" w:cs="仿宋"/>
          <w:color w:val="auto"/>
          <w:sz w:val="28"/>
          <w:szCs w:val="28"/>
          <w:highlight w:val="none"/>
        </w:rPr>
      </w:pPr>
    </w:p>
    <w:p w14:paraId="74FE6AD3">
      <w:pPr>
        <w:pStyle w:val="32"/>
        <w:tabs>
          <w:tab w:val="right" w:leader="dot" w:pos="9127"/>
          <w:tab w:val="clear" w:pos="8834"/>
        </w:tabs>
        <w:rPr>
          <w:color w:val="auto"/>
          <w:highlight w:val="none"/>
        </w:rPr>
      </w:pPr>
      <w:r>
        <w:rPr>
          <w:rFonts w:ascii="仿宋" w:hAnsi="仿宋" w:eastAsia="仿宋" w:cs="仿宋"/>
          <w:color w:val="auto"/>
          <w:highlight w:val="none"/>
        </w:rPr>
        <w:fldChar w:fldCharType="begin"/>
      </w:r>
      <w:r>
        <w:rPr>
          <w:rFonts w:ascii="仿宋" w:hAnsi="仿宋" w:eastAsia="仿宋" w:cs="仿宋"/>
          <w:color w:val="auto"/>
          <w:highlight w:val="none"/>
        </w:rPr>
        <w:instrText xml:space="preserve">TOC \o "1-1" \h \u </w:instrText>
      </w:r>
      <w:r>
        <w:rPr>
          <w:rFonts w:ascii="仿宋" w:hAnsi="仿宋" w:eastAsia="仿宋" w:cs="仿宋"/>
          <w:color w:val="auto"/>
          <w:highlight w:val="none"/>
        </w:rPr>
        <w:fldChar w:fldCharType="separate"/>
      </w:r>
      <w:r>
        <w:rPr>
          <w:color w:val="auto"/>
          <w:highlight w:val="none"/>
        </w:rPr>
        <w:fldChar w:fldCharType="begin"/>
      </w:r>
      <w:r>
        <w:rPr>
          <w:color w:val="auto"/>
          <w:highlight w:val="none"/>
        </w:rPr>
        <w:instrText xml:space="preserve"> HYPERLINK \l "_Toc23694" </w:instrText>
      </w:r>
      <w:r>
        <w:rPr>
          <w:color w:val="auto"/>
          <w:highlight w:val="none"/>
        </w:rPr>
        <w:fldChar w:fldCharType="separate"/>
      </w:r>
      <w:r>
        <w:rPr>
          <w:rFonts w:hint="eastAsia"/>
          <w:color w:val="auto"/>
          <w:szCs w:val="44"/>
          <w:highlight w:val="none"/>
        </w:rPr>
        <w:t>第一章招标公告</w:t>
      </w:r>
      <w:r>
        <w:rPr>
          <w:color w:val="auto"/>
          <w:highlight w:val="none"/>
        </w:rPr>
        <w:tab/>
      </w:r>
      <w:r>
        <w:rPr>
          <w:color w:val="auto"/>
          <w:highlight w:val="none"/>
        </w:rPr>
        <w:fldChar w:fldCharType="begin"/>
      </w:r>
      <w:r>
        <w:rPr>
          <w:color w:val="auto"/>
          <w:highlight w:val="none"/>
        </w:rPr>
        <w:instrText xml:space="preserve"> PAGEREF _Toc23694 \h </w:instrText>
      </w:r>
      <w:r>
        <w:rPr>
          <w:color w:val="auto"/>
          <w:highlight w:val="none"/>
        </w:rPr>
        <w:fldChar w:fldCharType="separate"/>
      </w:r>
      <w:r>
        <w:rPr>
          <w:color w:val="auto"/>
          <w:highlight w:val="none"/>
        </w:rPr>
        <w:t>2</w:t>
      </w:r>
      <w:r>
        <w:rPr>
          <w:color w:val="auto"/>
          <w:highlight w:val="none"/>
        </w:rPr>
        <w:fldChar w:fldCharType="end"/>
      </w:r>
      <w:r>
        <w:rPr>
          <w:color w:val="auto"/>
          <w:highlight w:val="none"/>
        </w:rPr>
        <w:fldChar w:fldCharType="end"/>
      </w:r>
    </w:p>
    <w:p w14:paraId="19618F44">
      <w:pPr>
        <w:pStyle w:val="32"/>
        <w:tabs>
          <w:tab w:val="right" w:leader="dot" w:pos="9127"/>
          <w:tab w:val="clear" w:pos="8834"/>
        </w:tabs>
        <w:rPr>
          <w:color w:val="auto"/>
          <w:highlight w:val="none"/>
        </w:rPr>
      </w:pPr>
      <w:r>
        <w:rPr>
          <w:color w:val="auto"/>
          <w:highlight w:val="none"/>
        </w:rPr>
        <w:fldChar w:fldCharType="begin"/>
      </w:r>
      <w:r>
        <w:rPr>
          <w:color w:val="auto"/>
          <w:highlight w:val="none"/>
        </w:rPr>
        <w:instrText xml:space="preserve"> HYPERLINK \l "_Toc21832" </w:instrText>
      </w:r>
      <w:r>
        <w:rPr>
          <w:color w:val="auto"/>
          <w:highlight w:val="none"/>
        </w:rPr>
        <w:fldChar w:fldCharType="separate"/>
      </w:r>
      <w:r>
        <w:rPr>
          <w:rFonts w:hint="eastAsia"/>
          <w:color w:val="auto"/>
          <w:highlight w:val="none"/>
        </w:rPr>
        <w:t>第二章投标人须知</w:t>
      </w:r>
      <w:r>
        <w:rPr>
          <w:color w:val="auto"/>
          <w:highlight w:val="none"/>
        </w:rPr>
        <w:tab/>
      </w:r>
      <w:r>
        <w:rPr>
          <w:color w:val="auto"/>
          <w:highlight w:val="none"/>
        </w:rPr>
        <w:fldChar w:fldCharType="begin"/>
      </w:r>
      <w:r>
        <w:rPr>
          <w:color w:val="auto"/>
          <w:highlight w:val="none"/>
        </w:rPr>
        <w:instrText xml:space="preserve"> PAGEREF _Toc21832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0DBD9E70">
      <w:pPr>
        <w:pStyle w:val="32"/>
        <w:tabs>
          <w:tab w:val="right" w:leader="dot" w:pos="9127"/>
          <w:tab w:val="clear" w:pos="8834"/>
        </w:tabs>
        <w:rPr>
          <w:color w:val="auto"/>
          <w:highlight w:val="none"/>
        </w:rPr>
      </w:pPr>
      <w:r>
        <w:rPr>
          <w:color w:val="auto"/>
          <w:highlight w:val="none"/>
        </w:rPr>
        <w:fldChar w:fldCharType="begin"/>
      </w:r>
      <w:r>
        <w:rPr>
          <w:color w:val="auto"/>
          <w:highlight w:val="none"/>
        </w:rPr>
        <w:instrText xml:space="preserve"> HYPERLINK \l "_Toc9023" </w:instrText>
      </w:r>
      <w:r>
        <w:rPr>
          <w:color w:val="auto"/>
          <w:highlight w:val="none"/>
        </w:rPr>
        <w:fldChar w:fldCharType="separate"/>
      </w:r>
      <w:r>
        <w:rPr>
          <w:rFonts w:hint="eastAsia"/>
          <w:color w:val="auto"/>
          <w:highlight w:val="none"/>
        </w:rPr>
        <w:t>第三章采购项目说明</w:t>
      </w:r>
      <w:r>
        <w:rPr>
          <w:color w:val="auto"/>
          <w:highlight w:val="none"/>
        </w:rPr>
        <w:tab/>
      </w:r>
      <w:r>
        <w:rPr>
          <w:color w:val="auto"/>
          <w:highlight w:val="none"/>
        </w:rPr>
        <w:fldChar w:fldCharType="begin"/>
      </w:r>
      <w:r>
        <w:rPr>
          <w:color w:val="auto"/>
          <w:highlight w:val="none"/>
        </w:rPr>
        <w:instrText xml:space="preserve"> PAGEREF _Toc9023 \h </w:instrText>
      </w:r>
      <w:r>
        <w:rPr>
          <w:color w:val="auto"/>
          <w:highlight w:val="none"/>
        </w:rPr>
        <w:fldChar w:fldCharType="separate"/>
      </w:r>
      <w:r>
        <w:rPr>
          <w:color w:val="auto"/>
          <w:highlight w:val="none"/>
        </w:rPr>
        <w:t>40</w:t>
      </w:r>
      <w:r>
        <w:rPr>
          <w:color w:val="auto"/>
          <w:highlight w:val="none"/>
        </w:rPr>
        <w:fldChar w:fldCharType="end"/>
      </w:r>
      <w:r>
        <w:rPr>
          <w:color w:val="auto"/>
          <w:highlight w:val="none"/>
        </w:rPr>
        <w:fldChar w:fldCharType="end"/>
      </w:r>
    </w:p>
    <w:p w14:paraId="2C87F3C9">
      <w:pPr>
        <w:pStyle w:val="32"/>
        <w:tabs>
          <w:tab w:val="right" w:leader="dot" w:pos="9127"/>
          <w:tab w:val="clear" w:pos="8834"/>
        </w:tabs>
        <w:rPr>
          <w:color w:val="auto"/>
          <w:highlight w:val="none"/>
        </w:rPr>
      </w:pPr>
      <w:r>
        <w:rPr>
          <w:color w:val="auto"/>
          <w:highlight w:val="none"/>
        </w:rPr>
        <w:fldChar w:fldCharType="begin"/>
      </w:r>
      <w:r>
        <w:rPr>
          <w:color w:val="auto"/>
          <w:highlight w:val="none"/>
        </w:rPr>
        <w:instrText xml:space="preserve"> HYPERLINK \l "_Toc26519" </w:instrText>
      </w:r>
      <w:r>
        <w:rPr>
          <w:color w:val="auto"/>
          <w:highlight w:val="none"/>
        </w:rPr>
        <w:fldChar w:fldCharType="separate"/>
      </w:r>
      <w:r>
        <w:rPr>
          <w:rFonts w:hint="eastAsia"/>
          <w:color w:val="auto"/>
          <w:highlight w:val="none"/>
        </w:rPr>
        <w:t>第四章评标原则、程序与方法</w:t>
      </w:r>
      <w:r>
        <w:rPr>
          <w:color w:val="auto"/>
          <w:highlight w:val="none"/>
        </w:rPr>
        <w:tab/>
      </w:r>
      <w:r>
        <w:rPr>
          <w:color w:val="auto"/>
          <w:highlight w:val="none"/>
        </w:rPr>
        <w:fldChar w:fldCharType="begin"/>
      </w:r>
      <w:r>
        <w:rPr>
          <w:color w:val="auto"/>
          <w:highlight w:val="none"/>
        </w:rPr>
        <w:instrText xml:space="preserve"> PAGEREF _Toc26519 \h </w:instrText>
      </w:r>
      <w:r>
        <w:rPr>
          <w:color w:val="auto"/>
          <w:highlight w:val="none"/>
        </w:rPr>
        <w:fldChar w:fldCharType="separate"/>
      </w:r>
      <w:r>
        <w:rPr>
          <w:color w:val="auto"/>
          <w:highlight w:val="none"/>
        </w:rPr>
        <w:t>45</w:t>
      </w:r>
      <w:r>
        <w:rPr>
          <w:color w:val="auto"/>
          <w:highlight w:val="none"/>
        </w:rPr>
        <w:fldChar w:fldCharType="end"/>
      </w:r>
      <w:r>
        <w:rPr>
          <w:color w:val="auto"/>
          <w:highlight w:val="none"/>
        </w:rPr>
        <w:fldChar w:fldCharType="end"/>
      </w:r>
    </w:p>
    <w:p w14:paraId="129251CC">
      <w:pPr>
        <w:pStyle w:val="32"/>
        <w:tabs>
          <w:tab w:val="right" w:leader="dot" w:pos="9127"/>
          <w:tab w:val="clear" w:pos="8834"/>
        </w:tabs>
        <w:rPr>
          <w:color w:val="auto"/>
          <w:highlight w:val="none"/>
        </w:rPr>
      </w:pPr>
      <w:r>
        <w:rPr>
          <w:color w:val="auto"/>
          <w:highlight w:val="none"/>
        </w:rPr>
        <w:fldChar w:fldCharType="begin"/>
      </w:r>
      <w:r>
        <w:rPr>
          <w:color w:val="auto"/>
          <w:highlight w:val="none"/>
        </w:rPr>
        <w:instrText xml:space="preserve"> HYPERLINK \l "_Toc19398" </w:instrText>
      </w:r>
      <w:r>
        <w:rPr>
          <w:color w:val="auto"/>
          <w:highlight w:val="none"/>
        </w:rPr>
        <w:fldChar w:fldCharType="separate"/>
      </w:r>
      <w:r>
        <w:rPr>
          <w:rFonts w:hint="eastAsia"/>
          <w:color w:val="auto"/>
          <w:highlight w:val="none"/>
        </w:rPr>
        <w:t>第五章投标文件格式</w:t>
      </w:r>
      <w:r>
        <w:rPr>
          <w:color w:val="auto"/>
          <w:highlight w:val="none"/>
        </w:rPr>
        <w:tab/>
      </w:r>
      <w:r>
        <w:rPr>
          <w:color w:val="auto"/>
          <w:highlight w:val="none"/>
        </w:rPr>
        <w:fldChar w:fldCharType="begin"/>
      </w:r>
      <w:r>
        <w:rPr>
          <w:color w:val="auto"/>
          <w:highlight w:val="none"/>
        </w:rPr>
        <w:instrText xml:space="preserve"> PAGEREF _Toc19398 \h </w:instrText>
      </w:r>
      <w:r>
        <w:rPr>
          <w:color w:val="auto"/>
          <w:highlight w:val="none"/>
        </w:rPr>
        <w:fldChar w:fldCharType="separate"/>
      </w:r>
      <w:r>
        <w:rPr>
          <w:color w:val="auto"/>
          <w:highlight w:val="none"/>
        </w:rPr>
        <w:t>50</w:t>
      </w:r>
      <w:r>
        <w:rPr>
          <w:color w:val="auto"/>
          <w:highlight w:val="none"/>
        </w:rPr>
        <w:fldChar w:fldCharType="end"/>
      </w:r>
      <w:r>
        <w:rPr>
          <w:color w:val="auto"/>
          <w:highlight w:val="none"/>
        </w:rPr>
        <w:fldChar w:fldCharType="end"/>
      </w:r>
    </w:p>
    <w:p w14:paraId="147E1246">
      <w:pPr>
        <w:pStyle w:val="32"/>
        <w:tabs>
          <w:tab w:val="right" w:leader="dot" w:pos="9127"/>
          <w:tab w:val="clear" w:pos="8834"/>
        </w:tabs>
        <w:rPr>
          <w:color w:val="auto"/>
          <w:highlight w:val="none"/>
        </w:rPr>
      </w:pPr>
      <w:r>
        <w:rPr>
          <w:color w:val="auto"/>
          <w:highlight w:val="none"/>
        </w:rPr>
        <w:fldChar w:fldCharType="begin"/>
      </w:r>
      <w:r>
        <w:rPr>
          <w:color w:val="auto"/>
          <w:highlight w:val="none"/>
        </w:rPr>
        <w:instrText xml:space="preserve"> HYPERLINK \l "_Toc6088" </w:instrText>
      </w:r>
      <w:r>
        <w:rPr>
          <w:color w:val="auto"/>
          <w:highlight w:val="none"/>
        </w:rPr>
        <w:fldChar w:fldCharType="separate"/>
      </w:r>
      <w:r>
        <w:rPr>
          <w:rFonts w:hint="eastAsia"/>
          <w:color w:val="auto"/>
          <w:highlight w:val="none"/>
        </w:rPr>
        <w:t>第六章采购合同（范本）</w:t>
      </w:r>
      <w:r>
        <w:rPr>
          <w:color w:val="auto"/>
          <w:highlight w:val="none"/>
        </w:rPr>
        <w:tab/>
      </w:r>
      <w:r>
        <w:rPr>
          <w:color w:val="auto"/>
          <w:highlight w:val="none"/>
        </w:rPr>
        <w:fldChar w:fldCharType="begin"/>
      </w:r>
      <w:r>
        <w:rPr>
          <w:color w:val="auto"/>
          <w:highlight w:val="none"/>
        </w:rPr>
        <w:instrText xml:space="preserve"> PAGEREF _Toc6088 \h </w:instrText>
      </w:r>
      <w:r>
        <w:rPr>
          <w:color w:val="auto"/>
          <w:highlight w:val="none"/>
        </w:rPr>
        <w:fldChar w:fldCharType="separate"/>
      </w:r>
      <w:r>
        <w:rPr>
          <w:color w:val="auto"/>
          <w:highlight w:val="none"/>
        </w:rPr>
        <w:t>74</w:t>
      </w:r>
      <w:r>
        <w:rPr>
          <w:color w:val="auto"/>
          <w:highlight w:val="none"/>
        </w:rPr>
        <w:fldChar w:fldCharType="end"/>
      </w:r>
      <w:r>
        <w:rPr>
          <w:color w:val="auto"/>
          <w:highlight w:val="none"/>
        </w:rPr>
        <w:fldChar w:fldCharType="end"/>
      </w:r>
    </w:p>
    <w:p w14:paraId="68D553B6">
      <w:pPr>
        <w:spacing w:line="480" w:lineRule="auto"/>
        <w:rPr>
          <w:rFonts w:ascii="仿宋" w:hAnsi="仿宋" w:eastAsia="仿宋" w:cs="仿宋"/>
          <w:color w:val="auto"/>
          <w:highlight w:val="none"/>
        </w:rPr>
      </w:pPr>
      <w:r>
        <w:rPr>
          <w:rFonts w:ascii="仿宋" w:hAnsi="仿宋" w:eastAsia="仿宋" w:cs="仿宋"/>
          <w:color w:val="auto"/>
          <w:highlight w:val="none"/>
        </w:rPr>
        <w:fldChar w:fldCharType="end"/>
      </w:r>
    </w:p>
    <w:p w14:paraId="554079DA">
      <w:pPr>
        <w:rPr>
          <w:rFonts w:ascii="仿宋" w:hAnsi="仿宋" w:eastAsia="仿宋" w:cs="仿宋"/>
          <w:color w:val="auto"/>
          <w:sz w:val="28"/>
          <w:szCs w:val="28"/>
          <w:highlight w:val="none"/>
        </w:rPr>
      </w:pPr>
      <w:sdt>
        <w:sdtPr>
          <w:rPr>
            <w:rFonts w:hint="eastAsia" w:ascii="仿宋" w:hAnsi="仿宋" w:eastAsia="仿宋" w:cs="仿宋"/>
            <w:color w:val="auto"/>
            <w:sz w:val="28"/>
            <w:szCs w:val="28"/>
            <w:highlight w:val="none"/>
            <w:lang w:val="zh-CN"/>
          </w:rPr>
          <w:id w:val="751326160"/>
          <w:showingPlcHdr/>
          <w:docPartObj>
            <w:docPartGallery w:val="Table of Contents"/>
            <w:docPartUnique/>
          </w:docPartObj>
        </w:sdtPr>
        <w:sdtEndPr>
          <w:rPr>
            <w:rFonts w:hint="eastAsia" w:ascii="仿宋" w:hAnsi="仿宋" w:eastAsia="仿宋" w:cs="仿宋"/>
            <w:b/>
            <w:bCs/>
            <w:color w:val="auto"/>
            <w:sz w:val="28"/>
            <w:szCs w:val="28"/>
            <w:highlight w:val="none"/>
            <w:lang w:val="zh-CN"/>
          </w:rPr>
        </w:sdtEndPr>
        <w:sdtContent/>
      </w:sdt>
    </w:p>
    <w:p w14:paraId="371BF220">
      <w:pPr>
        <w:spacing w:line="480" w:lineRule="auto"/>
        <w:jc w:val="center"/>
        <w:rPr>
          <w:rFonts w:ascii="仿宋" w:hAnsi="仿宋" w:eastAsia="仿宋" w:cs="仿宋"/>
          <w:color w:val="auto"/>
          <w:sz w:val="28"/>
          <w:szCs w:val="28"/>
          <w:highlight w:val="none"/>
        </w:rPr>
      </w:pPr>
    </w:p>
    <w:p w14:paraId="61C441CE">
      <w:pPr>
        <w:spacing w:line="48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cr/>
      </w:r>
    </w:p>
    <w:p w14:paraId="0AAD5936">
      <w:pPr>
        <w:spacing w:line="360" w:lineRule="auto"/>
        <w:ind w:firstLine="562" w:firstLineChars="201"/>
        <w:jc w:val="center"/>
        <w:rPr>
          <w:rFonts w:ascii="仿宋" w:hAnsi="仿宋" w:eastAsia="仿宋" w:cs="仿宋"/>
          <w:color w:val="auto"/>
          <w:kern w:val="0"/>
          <w:sz w:val="28"/>
          <w:szCs w:val="28"/>
          <w:highlight w:val="none"/>
        </w:rPr>
      </w:pPr>
    </w:p>
    <w:p w14:paraId="54254715">
      <w:pPr>
        <w:rPr>
          <w:rFonts w:ascii="仿宋" w:hAnsi="仿宋" w:eastAsia="仿宋" w:cs="仿宋"/>
          <w:color w:val="auto"/>
          <w:sz w:val="28"/>
          <w:szCs w:val="28"/>
          <w:highlight w:val="none"/>
        </w:rPr>
        <w:sectPr>
          <w:footerReference r:id="rId6" w:type="default"/>
          <w:pgSz w:w="11906" w:h="16838"/>
          <w:pgMar w:top="1440" w:right="1361" w:bottom="1440" w:left="1418" w:header="851" w:footer="992" w:gutter="0"/>
          <w:pgNumType w:start="1"/>
          <w:cols w:space="425" w:num="1"/>
          <w:docGrid w:type="linesAndChars" w:linePitch="312" w:charSpace="0"/>
        </w:sectPr>
      </w:pPr>
    </w:p>
    <w:p w14:paraId="187F8E59">
      <w:pPr>
        <w:pStyle w:val="4"/>
        <w:jc w:val="center"/>
        <w:rPr>
          <w:rFonts w:ascii="仿宋" w:hAnsi="仿宋" w:eastAsia="仿宋" w:cs="仿宋"/>
          <w:color w:val="auto"/>
          <w:highlight w:val="none"/>
        </w:rPr>
      </w:pPr>
      <w:bookmarkStart w:id="3" w:name="_Toc23694"/>
      <w:bookmarkStart w:id="4" w:name="_Toc66087240"/>
      <w:r>
        <w:rPr>
          <w:rFonts w:hint="eastAsia"/>
          <w:color w:val="auto"/>
          <w:highlight w:val="none"/>
        </w:rPr>
        <w:t>第一章招标公告</w:t>
      </w:r>
      <w:bookmarkEnd w:id="3"/>
    </w:p>
    <w:bookmarkEnd w:id="4"/>
    <w:p w14:paraId="07550EB7">
      <w:pPr>
        <w:spacing w:line="560" w:lineRule="exact"/>
        <w:jc w:val="center"/>
        <w:rPr>
          <w:rFonts w:ascii="仿宋" w:hAnsi="仿宋" w:eastAsia="仿宋" w:cs="仿宋"/>
          <w:b/>
          <w:color w:val="auto"/>
          <w:sz w:val="30"/>
          <w:szCs w:val="30"/>
          <w:highlight w:val="none"/>
        </w:rPr>
      </w:pPr>
      <w:bookmarkStart w:id="5" w:name="_Hlk58588649"/>
      <w:r>
        <w:rPr>
          <w:rFonts w:hint="eastAsia" w:ascii="仿宋" w:hAnsi="仿宋" w:eastAsia="仿宋" w:cs="仿宋"/>
          <w:b/>
          <w:color w:val="auto"/>
          <w:spacing w:val="-6"/>
          <w:sz w:val="30"/>
          <w:szCs w:val="30"/>
          <w:highlight w:val="none"/>
        </w:rPr>
        <w:t>威海电视观光塔文旅项目检测鉴定服务</w:t>
      </w:r>
      <w:r>
        <w:rPr>
          <w:rFonts w:hint="eastAsia" w:ascii="仿宋" w:hAnsi="仿宋" w:eastAsia="仿宋" w:cs="仿宋"/>
          <w:b/>
          <w:color w:val="auto"/>
          <w:sz w:val="30"/>
          <w:szCs w:val="30"/>
          <w:highlight w:val="none"/>
        </w:rPr>
        <w:t>公开招标公告</w:t>
      </w:r>
      <w:bookmarkEnd w:id="5"/>
    </w:p>
    <w:p w14:paraId="2D10A212">
      <w:pPr>
        <w:pStyle w:val="32"/>
        <w:jc w:val="center"/>
        <w:rPr>
          <w:rFonts w:ascii="仿宋" w:hAnsi="仿宋" w:eastAsia="仿宋"/>
          <w:b w:val="0"/>
          <w:color w:val="auto"/>
          <w:highlight w:val="none"/>
        </w:rPr>
      </w:pPr>
      <w:r>
        <w:rPr>
          <w:rFonts w:hint="eastAsia" w:ascii="仿宋" w:hAnsi="仿宋" w:eastAsia="仿宋"/>
          <w:b w:val="0"/>
          <w:color w:val="auto"/>
          <w:highlight w:val="none"/>
        </w:rPr>
        <w:t>招标编号：HSSGZC20260601</w:t>
      </w:r>
    </w:p>
    <w:p w14:paraId="3A69E841">
      <w:pPr>
        <w:spacing w:line="560" w:lineRule="exact"/>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一、招标条件</w:t>
      </w:r>
    </w:p>
    <w:p w14:paraId="0CD6789E">
      <w:pPr>
        <w:widowControl/>
        <w:kinsoku w:val="0"/>
        <w:wordWrap w:val="0"/>
        <w:adjustRightInd w:val="0"/>
        <w:spacing w:line="48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招标项目威海电视观光塔文旅项目检测鉴定服务，招标申请已经相关部门批准，招标人为威海市环翠区环晟商业经营管理有限公司，项目资金来源为自筹资金，出资比例为100%。项目已具备招标条件，现对该项目进行公开招标。</w:t>
      </w:r>
    </w:p>
    <w:p w14:paraId="203B436B">
      <w:pPr>
        <w:spacing w:line="560" w:lineRule="exact"/>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二、项目基本情况</w:t>
      </w:r>
    </w:p>
    <w:p w14:paraId="5C1E0248">
      <w:pPr>
        <w:widowControl/>
        <w:kinsoku w:val="0"/>
        <w:wordWrap w:val="0"/>
        <w:adjustRightInd w:val="0"/>
        <w:spacing w:line="48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1.项目名称：</w:t>
      </w:r>
      <w:bookmarkStart w:id="6" w:name="OLE_LINK1"/>
      <w:r>
        <w:rPr>
          <w:rFonts w:hint="eastAsia" w:ascii="仿宋" w:hAnsi="仿宋" w:eastAsia="仿宋" w:cs="仿宋"/>
          <w:color w:val="auto"/>
          <w:spacing w:val="8"/>
          <w:kern w:val="0"/>
          <w:sz w:val="28"/>
          <w:szCs w:val="28"/>
          <w:highlight w:val="none"/>
        </w:rPr>
        <w:t>威海电视观光塔文旅项目检测鉴定服务</w:t>
      </w:r>
    </w:p>
    <w:bookmarkEnd w:id="6"/>
    <w:p w14:paraId="698B2938">
      <w:pPr>
        <w:widowControl/>
        <w:wordWrap w:val="0"/>
        <w:adjustRightInd w:val="0"/>
        <w:spacing w:line="48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2.项目概况：</w:t>
      </w:r>
      <w:r>
        <w:rPr>
          <w:rFonts w:hint="eastAsia" w:ascii="仿宋" w:hAnsi="仿宋" w:eastAsia="仿宋" w:cs="仿宋"/>
          <w:color w:val="auto"/>
          <w:spacing w:val="8"/>
          <w:kern w:val="0"/>
          <w:sz w:val="28"/>
          <w:szCs w:val="28"/>
          <w:highlight w:val="none"/>
          <w:u w:val="single"/>
        </w:rPr>
        <w:t>本项目包括1座电视调频塔及2栋多层附房。电视调频塔总高约122.9m，钢结构，建筑面积1296㎡。2栋附房均为2层砖混结构，建筑面积分别约为238㎡、540㎡。</w:t>
      </w:r>
    </w:p>
    <w:p w14:paraId="3B8F9487">
      <w:pPr>
        <w:widowControl/>
        <w:kinsoku w:val="0"/>
        <w:wordWrap w:val="0"/>
        <w:adjustRightInd w:val="0"/>
        <w:spacing w:line="48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3.招标范围：</w:t>
      </w:r>
      <w:r>
        <w:rPr>
          <w:rFonts w:hint="eastAsia" w:ascii="仿宋" w:hAnsi="仿宋" w:eastAsia="仿宋" w:cs="仿宋"/>
          <w:bCs/>
          <w:color w:val="auto"/>
          <w:kern w:val="0"/>
          <w:sz w:val="28"/>
          <w:szCs w:val="28"/>
          <w:highlight w:val="none"/>
          <w:u w:val="single"/>
        </w:rPr>
        <w:t>包含对威海电视观光塔整体工程进行检测鉴定工作。负责对建筑的地基基础、上部承重结构、节点连接、防腐涂层、围护结构等进行全面的安全性检测与鉴定，并对改造可行性进行分析，能为后续改造设计提供依据，满足项目当地图纸审查机构的要求。</w:t>
      </w:r>
    </w:p>
    <w:p w14:paraId="61919D96">
      <w:pPr>
        <w:widowControl/>
        <w:kinsoku w:val="0"/>
        <w:wordWrap w:val="0"/>
        <w:adjustRightInd w:val="0"/>
        <w:spacing w:line="48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4.最高限价：人民币310000.00元。</w:t>
      </w:r>
    </w:p>
    <w:p w14:paraId="5166FF58">
      <w:pPr>
        <w:spacing w:line="560" w:lineRule="exact"/>
        <w:ind w:firstLine="592" w:firstLineChars="200"/>
        <w:rPr>
          <w:rFonts w:ascii="仿宋" w:hAnsi="仿宋" w:eastAsia="仿宋" w:cs="仿宋"/>
          <w:color w:val="auto"/>
          <w:spacing w:val="8"/>
          <w:kern w:val="0"/>
          <w:sz w:val="28"/>
          <w:szCs w:val="28"/>
          <w:highlight w:val="none"/>
        </w:rPr>
      </w:pPr>
      <w:bookmarkStart w:id="7" w:name="OLE_LINK2"/>
      <w:r>
        <w:rPr>
          <w:rFonts w:hint="eastAsia" w:ascii="仿宋" w:hAnsi="仿宋" w:eastAsia="仿宋" w:cs="仿宋"/>
          <w:color w:val="auto"/>
          <w:spacing w:val="8"/>
          <w:kern w:val="0"/>
          <w:sz w:val="28"/>
          <w:szCs w:val="28"/>
          <w:highlight w:val="none"/>
        </w:rPr>
        <w:t>5.</w:t>
      </w:r>
      <w:bookmarkEnd w:id="7"/>
      <w:r>
        <w:rPr>
          <w:rFonts w:hint="eastAsia" w:ascii="仿宋" w:hAnsi="仿宋" w:eastAsia="仿宋" w:cs="仿宋"/>
          <w:color w:val="auto"/>
          <w:spacing w:val="8"/>
          <w:kern w:val="0"/>
          <w:sz w:val="28"/>
          <w:szCs w:val="28"/>
          <w:highlight w:val="none"/>
        </w:rPr>
        <w:t>服务期限：</w:t>
      </w:r>
      <w:r>
        <w:rPr>
          <w:rFonts w:hint="eastAsia" w:ascii="仿宋" w:hAnsi="仿宋" w:eastAsia="仿宋" w:cs="仿宋"/>
          <w:bCs/>
          <w:color w:val="auto"/>
          <w:spacing w:val="8"/>
          <w:kern w:val="0"/>
          <w:sz w:val="28"/>
          <w:szCs w:val="28"/>
          <w:highlight w:val="none"/>
        </w:rPr>
        <w:t>根据采购人确认的方案及工期要求，在合同签订后30日内完成检测，直至竣工。</w:t>
      </w:r>
    </w:p>
    <w:p w14:paraId="01600AC1">
      <w:pPr>
        <w:spacing w:line="56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6.质量标准：达到国家验收规范合格标准</w:t>
      </w:r>
    </w:p>
    <w:p w14:paraId="425E94A4">
      <w:pPr>
        <w:spacing w:line="560" w:lineRule="exact"/>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三、投标人的资格要求</w:t>
      </w:r>
    </w:p>
    <w:p w14:paraId="3921D568">
      <w:pPr>
        <w:widowControl/>
        <w:kinsoku w:val="0"/>
        <w:wordWrap w:val="0"/>
        <w:adjustRightInd w:val="0"/>
        <w:spacing w:line="48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1.投标人具有独立承担民事责任的能力；</w:t>
      </w:r>
    </w:p>
    <w:p w14:paraId="7CCFAB93">
      <w:pPr>
        <w:spacing w:line="460" w:lineRule="exact"/>
        <w:ind w:firstLine="565" w:firstLineChars="191"/>
        <w:rPr>
          <w:rFonts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2.具有建设行政主管部门颁发的《建设工程质量检测机构资质证书》综合资质或专项资质（检测范围需包含：主体结构及装饰装修检测专项、钢结构检测专项）；</w:t>
      </w:r>
    </w:p>
    <w:p w14:paraId="7333B8F0">
      <w:pPr>
        <w:spacing w:line="460" w:lineRule="exact"/>
        <w:ind w:firstLine="565" w:firstLineChars="191"/>
        <w:rPr>
          <w:rFonts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3.</w:t>
      </w:r>
      <w:r>
        <w:rPr>
          <w:rFonts w:hint="eastAsia" w:ascii="仿宋" w:hAnsi="仿宋" w:eastAsia="仿宋" w:cs="宋体"/>
          <w:color w:val="auto"/>
          <w:spacing w:val="8"/>
          <w:sz w:val="28"/>
          <w:szCs w:val="28"/>
          <w:highlight w:val="none"/>
        </w:rPr>
        <w:t>具有省级(含)以上市场监督管理部门颁发的《检验检测机构资质认定证书》</w:t>
      </w:r>
      <w:r>
        <w:rPr>
          <w:rFonts w:hint="eastAsia" w:ascii="仿宋" w:hAnsi="仿宋" w:eastAsia="仿宋" w:cs="宋体"/>
          <w:color w:val="auto"/>
          <w:spacing w:val="8"/>
          <w:kern w:val="0"/>
          <w:sz w:val="28"/>
          <w:szCs w:val="28"/>
          <w:highlight w:val="none"/>
        </w:rPr>
        <w:t>；</w:t>
      </w:r>
    </w:p>
    <w:p w14:paraId="3A7DDE4D">
      <w:pPr>
        <w:widowControl/>
        <w:kinsoku w:val="0"/>
        <w:wordWrap w:val="0"/>
        <w:adjustRightInd w:val="0"/>
        <w:spacing w:line="480" w:lineRule="exact"/>
        <w:ind w:firstLine="592" w:firstLineChars="200"/>
        <w:jc w:val="left"/>
        <w:rPr>
          <w:rFonts w:ascii="仿宋" w:hAnsi="仿宋" w:eastAsia="仿宋" w:cs="仿宋"/>
          <w:color w:val="auto"/>
          <w:spacing w:val="8"/>
          <w:kern w:val="0"/>
          <w:sz w:val="28"/>
          <w:szCs w:val="28"/>
          <w:highlight w:val="none"/>
        </w:rPr>
      </w:pPr>
      <w:r>
        <w:rPr>
          <w:rFonts w:ascii="仿宋" w:hAnsi="仿宋" w:eastAsia="仿宋" w:cs="仿宋"/>
          <w:color w:val="auto"/>
          <w:spacing w:val="8"/>
          <w:kern w:val="0"/>
          <w:sz w:val="28"/>
          <w:szCs w:val="28"/>
          <w:highlight w:val="none"/>
        </w:rPr>
        <w:t>4</w:t>
      </w:r>
      <w:r>
        <w:rPr>
          <w:rFonts w:hint="eastAsia" w:ascii="仿宋" w:hAnsi="仿宋" w:eastAsia="仿宋" w:cs="仿宋"/>
          <w:color w:val="auto"/>
          <w:spacing w:val="8"/>
          <w:kern w:val="0"/>
          <w:sz w:val="28"/>
          <w:szCs w:val="28"/>
          <w:highlight w:val="none"/>
        </w:rPr>
        <w:t>.投标人具有良好的商业信誉和健全的财务会计制度；</w:t>
      </w:r>
    </w:p>
    <w:p w14:paraId="787275CC">
      <w:pPr>
        <w:widowControl/>
        <w:kinsoku w:val="0"/>
        <w:wordWrap w:val="0"/>
        <w:adjustRightInd w:val="0"/>
        <w:spacing w:line="480" w:lineRule="exact"/>
        <w:ind w:firstLine="592" w:firstLineChars="200"/>
        <w:jc w:val="left"/>
        <w:rPr>
          <w:rFonts w:ascii="仿宋" w:hAnsi="仿宋" w:eastAsia="仿宋" w:cs="仿宋"/>
          <w:color w:val="auto"/>
          <w:spacing w:val="8"/>
          <w:kern w:val="0"/>
          <w:sz w:val="28"/>
          <w:szCs w:val="28"/>
          <w:highlight w:val="none"/>
        </w:rPr>
      </w:pPr>
      <w:r>
        <w:rPr>
          <w:rFonts w:ascii="仿宋" w:hAnsi="仿宋" w:eastAsia="仿宋" w:cs="仿宋"/>
          <w:color w:val="auto"/>
          <w:spacing w:val="8"/>
          <w:kern w:val="0"/>
          <w:sz w:val="28"/>
          <w:szCs w:val="28"/>
          <w:highlight w:val="none"/>
        </w:rPr>
        <w:t>5</w:t>
      </w:r>
      <w:r>
        <w:rPr>
          <w:rFonts w:hint="eastAsia" w:ascii="仿宋" w:hAnsi="仿宋" w:eastAsia="仿宋" w:cs="仿宋"/>
          <w:color w:val="auto"/>
          <w:spacing w:val="8"/>
          <w:kern w:val="0"/>
          <w:sz w:val="28"/>
          <w:szCs w:val="28"/>
          <w:highlight w:val="none"/>
        </w:rPr>
        <w:t>.投标人具有履行合同所必需的设备和专业技术能力；</w:t>
      </w:r>
    </w:p>
    <w:p w14:paraId="0AFD4213">
      <w:pPr>
        <w:widowControl/>
        <w:kinsoku w:val="0"/>
        <w:wordWrap w:val="0"/>
        <w:adjustRightInd w:val="0"/>
        <w:spacing w:line="480" w:lineRule="exact"/>
        <w:ind w:firstLine="592" w:firstLineChars="200"/>
        <w:jc w:val="left"/>
        <w:rPr>
          <w:rFonts w:ascii="仿宋" w:hAnsi="仿宋" w:eastAsia="仿宋" w:cs="仿宋"/>
          <w:color w:val="auto"/>
          <w:spacing w:val="8"/>
          <w:kern w:val="0"/>
          <w:sz w:val="28"/>
          <w:szCs w:val="28"/>
          <w:highlight w:val="none"/>
        </w:rPr>
      </w:pPr>
      <w:r>
        <w:rPr>
          <w:rFonts w:ascii="仿宋" w:hAnsi="仿宋" w:eastAsia="仿宋" w:cs="仿宋"/>
          <w:color w:val="auto"/>
          <w:spacing w:val="8"/>
          <w:kern w:val="0"/>
          <w:sz w:val="28"/>
          <w:szCs w:val="28"/>
          <w:highlight w:val="none"/>
        </w:rPr>
        <w:t>6</w:t>
      </w:r>
      <w:r>
        <w:rPr>
          <w:rFonts w:hint="eastAsia" w:ascii="仿宋" w:hAnsi="仿宋" w:eastAsia="仿宋" w:cs="仿宋"/>
          <w:color w:val="auto"/>
          <w:spacing w:val="8"/>
          <w:kern w:val="0"/>
          <w:sz w:val="28"/>
          <w:szCs w:val="28"/>
          <w:highlight w:val="none"/>
        </w:rPr>
        <w:t>.投标人具有依法缴纳税收和社会保障资金的良好记录；</w:t>
      </w:r>
    </w:p>
    <w:p w14:paraId="7A2A788D">
      <w:pPr>
        <w:widowControl/>
        <w:kinsoku w:val="0"/>
        <w:wordWrap w:val="0"/>
        <w:adjustRightInd w:val="0"/>
        <w:spacing w:line="480" w:lineRule="exact"/>
        <w:ind w:firstLine="592" w:firstLineChars="200"/>
        <w:jc w:val="left"/>
        <w:rPr>
          <w:rFonts w:ascii="仿宋" w:hAnsi="仿宋" w:eastAsia="仿宋" w:cs="仿宋"/>
          <w:color w:val="auto"/>
          <w:spacing w:val="8"/>
          <w:kern w:val="0"/>
          <w:sz w:val="28"/>
          <w:szCs w:val="28"/>
          <w:highlight w:val="none"/>
        </w:rPr>
      </w:pPr>
      <w:r>
        <w:rPr>
          <w:rFonts w:ascii="仿宋" w:hAnsi="仿宋" w:eastAsia="仿宋" w:cs="仿宋"/>
          <w:color w:val="auto"/>
          <w:spacing w:val="8"/>
          <w:kern w:val="0"/>
          <w:sz w:val="28"/>
          <w:szCs w:val="28"/>
          <w:highlight w:val="none"/>
        </w:rPr>
        <w:t>7</w:t>
      </w:r>
      <w:r>
        <w:rPr>
          <w:rFonts w:hint="eastAsia" w:ascii="仿宋" w:hAnsi="仿宋" w:eastAsia="仿宋" w:cs="仿宋"/>
          <w:color w:val="auto"/>
          <w:spacing w:val="8"/>
          <w:kern w:val="0"/>
          <w:sz w:val="28"/>
          <w:szCs w:val="28"/>
          <w:highlight w:val="none"/>
        </w:rPr>
        <w:t>.投标人参加本次招标活动前三年内，在经营活动中没有重大违法记录；</w:t>
      </w:r>
    </w:p>
    <w:p w14:paraId="528C9911">
      <w:pPr>
        <w:widowControl/>
        <w:kinsoku w:val="0"/>
        <w:wordWrap w:val="0"/>
        <w:adjustRightInd w:val="0"/>
        <w:spacing w:line="480" w:lineRule="exact"/>
        <w:ind w:firstLine="592" w:firstLineChars="200"/>
        <w:jc w:val="left"/>
        <w:rPr>
          <w:rFonts w:ascii="仿宋" w:hAnsi="仿宋" w:eastAsia="仿宋" w:cs="仿宋"/>
          <w:color w:val="auto"/>
          <w:spacing w:val="8"/>
          <w:kern w:val="0"/>
          <w:sz w:val="28"/>
          <w:szCs w:val="28"/>
          <w:highlight w:val="none"/>
        </w:rPr>
      </w:pPr>
      <w:r>
        <w:rPr>
          <w:rFonts w:ascii="仿宋" w:hAnsi="仿宋" w:eastAsia="仿宋" w:cs="仿宋"/>
          <w:color w:val="auto"/>
          <w:spacing w:val="8"/>
          <w:kern w:val="0"/>
          <w:sz w:val="28"/>
          <w:szCs w:val="28"/>
          <w:highlight w:val="none"/>
        </w:rPr>
        <w:t>8</w:t>
      </w:r>
      <w:r>
        <w:rPr>
          <w:rFonts w:hint="eastAsia" w:ascii="仿宋" w:hAnsi="仿宋" w:eastAsia="仿宋" w:cs="仿宋"/>
          <w:color w:val="auto"/>
          <w:spacing w:val="8"/>
          <w:kern w:val="0"/>
          <w:sz w:val="28"/>
          <w:szCs w:val="28"/>
          <w:highlight w:val="none"/>
        </w:rPr>
        <w:t>.投标人、法定代表人、委托代理人及项目负责人未被最高人民法院列入失信被执行人；</w:t>
      </w:r>
    </w:p>
    <w:p w14:paraId="74C42241">
      <w:pPr>
        <w:widowControl/>
        <w:kinsoku w:val="0"/>
        <w:wordWrap w:val="0"/>
        <w:adjustRightInd w:val="0"/>
        <w:spacing w:line="480" w:lineRule="exact"/>
        <w:ind w:firstLine="592" w:firstLineChars="200"/>
        <w:jc w:val="left"/>
        <w:rPr>
          <w:rFonts w:ascii="仿宋" w:hAnsi="仿宋" w:eastAsia="仿宋" w:cs="仿宋"/>
          <w:color w:val="auto"/>
          <w:spacing w:val="8"/>
          <w:kern w:val="0"/>
          <w:sz w:val="28"/>
          <w:szCs w:val="28"/>
          <w:highlight w:val="none"/>
        </w:rPr>
      </w:pPr>
      <w:r>
        <w:rPr>
          <w:rFonts w:ascii="仿宋" w:hAnsi="仿宋" w:eastAsia="仿宋" w:cs="仿宋"/>
          <w:color w:val="auto"/>
          <w:spacing w:val="8"/>
          <w:kern w:val="0"/>
          <w:sz w:val="28"/>
          <w:szCs w:val="28"/>
          <w:highlight w:val="none"/>
        </w:rPr>
        <w:t>9</w:t>
      </w:r>
      <w:r>
        <w:rPr>
          <w:rFonts w:hint="eastAsia" w:ascii="仿宋" w:hAnsi="仿宋" w:eastAsia="仿宋" w:cs="仿宋"/>
          <w:color w:val="auto"/>
          <w:spacing w:val="8"/>
          <w:kern w:val="0"/>
          <w:sz w:val="28"/>
          <w:szCs w:val="28"/>
          <w:highlight w:val="none"/>
        </w:rPr>
        <w:t>.投标人近一年在“信用中国”或“信用中国（山东）”无严重失信记录；</w:t>
      </w:r>
    </w:p>
    <w:p w14:paraId="0B8C41FE">
      <w:pPr>
        <w:widowControl/>
        <w:kinsoku w:val="0"/>
        <w:wordWrap w:val="0"/>
        <w:adjustRightInd w:val="0"/>
        <w:spacing w:line="480" w:lineRule="exact"/>
        <w:ind w:firstLine="592" w:firstLineChars="200"/>
        <w:jc w:val="left"/>
        <w:rPr>
          <w:rFonts w:ascii="仿宋" w:hAnsi="仿宋" w:eastAsia="仿宋" w:cs="仿宋"/>
          <w:color w:val="auto"/>
          <w:spacing w:val="8"/>
          <w:kern w:val="0"/>
          <w:sz w:val="28"/>
          <w:szCs w:val="28"/>
          <w:highlight w:val="none"/>
        </w:rPr>
      </w:pPr>
      <w:r>
        <w:rPr>
          <w:rFonts w:ascii="仿宋" w:hAnsi="仿宋" w:eastAsia="仿宋" w:cs="仿宋"/>
          <w:color w:val="auto"/>
          <w:spacing w:val="8"/>
          <w:kern w:val="0"/>
          <w:sz w:val="28"/>
          <w:szCs w:val="28"/>
          <w:highlight w:val="none"/>
        </w:rPr>
        <w:t>10</w:t>
      </w:r>
      <w:r>
        <w:rPr>
          <w:rFonts w:hint="eastAsia" w:ascii="仿宋" w:hAnsi="仿宋" w:eastAsia="仿宋" w:cs="仿宋"/>
          <w:color w:val="auto"/>
          <w:spacing w:val="8"/>
          <w:kern w:val="0"/>
          <w:sz w:val="28"/>
          <w:szCs w:val="28"/>
          <w:highlight w:val="none"/>
        </w:rPr>
        <w:t>.法律、行政法规及招标文件规定的其他要求；</w:t>
      </w:r>
    </w:p>
    <w:p w14:paraId="6825EF0F">
      <w:pPr>
        <w:widowControl/>
        <w:kinsoku w:val="0"/>
        <w:wordWrap w:val="0"/>
        <w:adjustRightInd w:val="0"/>
        <w:spacing w:line="48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rPr>
        <w:t>.本项目不接受联合体投标。</w:t>
      </w:r>
    </w:p>
    <w:p w14:paraId="049F47A0">
      <w:pPr>
        <w:widowControl/>
        <w:shd w:val="clear" w:color="auto" w:fill="FFFFFF"/>
        <w:spacing w:line="560" w:lineRule="exact"/>
        <w:rPr>
          <w:rFonts w:ascii="仿宋" w:hAnsi="仿宋" w:eastAsia="仿宋" w:cs="仿宋"/>
          <w:color w:val="auto"/>
          <w:kern w:val="0"/>
          <w:sz w:val="28"/>
          <w:szCs w:val="28"/>
          <w:highlight w:val="none"/>
        </w:rPr>
      </w:pPr>
      <w:r>
        <w:rPr>
          <w:rFonts w:hint="eastAsia" w:ascii="仿宋" w:hAnsi="仿宋" w:eastAsia="仿宋" w:cs="仿宋"/>
          <w:b/>
          <w:bCs/>
          <w:color w:val="auto"/>
          <w:spacing w:val="8"/>
          <w:kern w:val="0"/>
          <w:sz w:val="28"/>
          <w:szCs w:val="28"/>
          <w:highlight w:val="none"/>
        </w:rPr>
        <w:t>四、获</w:t>
      </w:r>
      <w:r>
        <w:rPr>
          <w:rFonts w:hint="eastAsia" w:ascii="仿宋" w:hAnsi="仿宋" w:eastAsia="仿宋" w:cs="仿宋"/>
          <w:b/>
          <w:bCs/>
          <w:color w:val="auto"/>
          <w:kern w:val="0"/>
          <w:sz w:val="28"/>
          <w:szCs w:val="28"/>
          <w:highlight w:val="none"/>
        </w:rPr>
        <w:t>取招标文件时间及地点</w:t>
      </w:r>
    </w:p>
    <w:p w14:paraId="09268B97">
      <w:pPr>
        <w:widowControl/>
        <w:kinsoku w:val="0"/>
        <w:wordWrap w:val="0"/>
        <w:adjustRightInd w:val="0"/>
        <w:spacing w:line="48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1.获取招标文件时间：202</w:t>
      </w:r>
      <w:r>
        <w:rPr>
          <w:rFonts w:ascii="仿宋" w:hAnsi="仿宋" w:eastAsia="仿宋" w:cs="仿宋"/>
          <w:color w:val="auto"/>
          <w:spacing w:val="8"/>
          <w:kern w:val="0"/>
          <w:sz w:val="28"/>
          <w:szCs w:val="28"/>
          <w:highlight w:val="none"/>
        </w:rPr>
        <w:t>6</w:t>
      </w:r>
      <w:r>
        <w:rPr>
          <w:rFonts w:hint="eastAsia" w:ascii="仿宋" w:hAnsi="仿宋" w:eastAsia="仿宋" w:cs="仿宋"/>
          <w:color w:val="auto"/>
          <w:spacing w:val="8"/>
          <w:kern w:val="0"/>
          <w:sz w:val="28"/>
          <w:szCs w:val="28"/>
          <w:highlight w:val="none"/>
        </w:rPr>
        <w:t>年06月</w:t>
      </w:r>
      <w:r>
        <w:rPr>
          <w:rFonts w:hint="eastAsia" w:ascii="仿宋" w:hAnsi="仿宋" w:eastAsia="仿宋" w:cs="仿宋"/>
          <w:color w:val="auto"/>
          <w:spacing w:val="8"/>
          <w:kern w:val="0"/>
          <w:sz w:val="28"/>
          <w:szCs w:val="28"/>
          <w:highlight w:val="none"/>
          <w:lang w:val="en-US" w:eastAsia="zh-CN"/>
        </w:rPr>
        <w:t>18</w:t>
      </w:r>
      <w:r>
        <w:rPr>
          <w:rFonts w:hint="eastAsia" w:ascii="仿宋" w:hAnsi="仿宋" w:eastAsia="仿宋" w:cs="仿宋"/>
          <w:color w:val="auto"/>
          <w:spacing w:val="8"/>
          <w:kern w:val="0"/>
          <w:sz w:val="28"/>
          <w:szCs w:val="28"/>
          <w:highlight w:val="none"/>
        </w:rPr>
        <w:t>日17时</w:t>
      </w:r>
      <w:r>
        <w:rPr>
          <w:rFonts w:ascii="仿宋" w:hAnsi="仿宋" w:eastAsia="仿宋" w:cs="仿宋"/>
          <w:color w:val="auto"/>
          <w:spacing w:val="8"/>
          <w:kern w:val="0"/>
          <w:sz w:val="28"/>
          <w:szCs w:val="28"/>
          <w:highlight w:val="none"/>
        </w:rPr>
        <w:t>30</w:t>
      </w:r>
      <w:r>
        <w:rPr>
          <w:rFonts w:hint="eastAsia" w:ascii="仿宋" w:hAnsi="仿宋" w:eastAsia="仿宋" w:cs="仿宋"/>
          <w:color w:val="auto"/>
          <w:spacing w:val="8"/>
          <w:kern w:val="0"/>
          <w:sz w:val="28"/>
          <w:szCs w:val="28"/>
          <w:highlight w:val="none"/>
        </w:rPr>
        <w:t>分至20</w:t>
      </w:r>
      <w:r>
        <w:rPr>
          <w:rFonts w:ascii="仿宋" w:hAnsi="仿宋" w:eastAsia="仿宋" w:cs="仿宋"/>
          <w:color w:val="auto"/>
          <w:spacing w:val="8"/>
          <w:kern w:val="0"/>
          <w:sz w:val="28"/>
          <w:szCs w:val="28"/>
          <w:highlight w:val="none"/>
        </w:rPr>
        <w:t>26</w:t>
      </w:r>
      <w:r>
        <w:rPr>
          <w:rFonts w:hint="eastAsia" w:ascii="仿宋" w:hAnsi="仿宋" w:eastAsia="仿宋" w:cs="仿宋"/>
          <w:color w:val="auto"/>
          <w:spacing w:val="8"/>
          <w:kern w:val="0"/>
          <w:sz w:val="28"/>
          <w:szCs w:val="28"/>
          <w:highlight w:val="none"/>
        </w:rPr>
        <w:t>年06月</w:t>
      </w:r>
      <w:r>
        <w:rPr>
          <w:rFonts w:hint="eastAsia" w:ascii="仿宋" w:hAnsi="仿宋" w:eastAsia="仿宋" w:cs="仿宋"/>
          <w:color w:val="auto"/>
          <w:spacing w:val="8"/>
          <w:kern w:val="0"/>
          <w:sz w:val="28"/>
          <w:szCs w:val="28"/>
          <w:highlight w:val="none"/>
          <w:lang w:val="en-US" w:eastAsia="zh-CN"/>
        </w:rPr>
        <w:t>26</w:t>
      </w:r>
      <w:bookmarkStart w:id="78" w:name="_GoBack"/>
      <w:bookmarkEnd w:id="78"/>
      <w:r>
        <w:rPr>
          <w:rFonts w:hint="eastAsia" w:ascii="仿宋" w:hAnsi="仿宋" w:eastAsia="仿宋" w:cs="仿宋"/>
          <w:color w:val="auto"/>
          <w:spacing w:val="8"/>
          <w:kern w:val="0"/>
          <w:sz w:val="28"/>
          <w:szCs w:val="28"/>
          <w:highlight w:val="none"/>
        </w:rPr>
        <w:t>日17时30分（北京时间）。</w:t>
      </w:r>
    </w:p>
    <w:p w14:paraId="2DAD45B1">
      <w:pPr>
        <w:wordWrap w:val="0"/>
        <w:spacing w:line="56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获取地址：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报价单位将无法提交电子投标（响应）文件。交易服务一网通办系统技术支持电话：4009980000（受理问题：系统登录、CA锁绑定、平台切换），一网通办技术支持QQ群：1143439694；CA锁办理咨询电话：0631-5172975；国企采购技术支持电话：17863029936，国企采购技术支持QQ群（报价单位）：1046971257。</w:t>
      </w:r>
    </w:p>
    <w:p w14:paraId="3E45D0CD">
      <w:pPr>
        <w:spacing w:line="56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3.不接受报价单位到现场参加开标活动；报价单位请提前熟悉交易系统（国企采购报价单位操作手册网址：</w:t>
      </w:r>
    </w:p>
    <w:p w14:paraId="1A4DB82A">
      <w:pPr>
        <w:spacing w:line="560" w:lineRule="exac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https://ggzyjy.weihai.cn/bszn/005005/20260109/eb4ba418-4b35-4f05-aa69-44fd7d8a7ffb.html），通过交易系统线上参加开标活动，不熟悉系统操作产生的风险由报价单位承担。</w:t>
      </w:r>
    </w:p>
    <w:p w14:paraId="7298C556">
      <w:pPr>
        <w:spacing w:line="560" w:lineRule="exact"/>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五、投标文件的提交</w:t>
      </w:r>
    </w:p>
    <w:p w14:paraId="6DFED25E">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1.提交投标文件时间：202</w:t>
      </w:r>
      <w:r>
        <w:rPr>
          <w:rFonts w:ascii="仿宋" w:hAnsi="仿宋" w:eastAsia="仿宋" w:cs="仿宋"/>
          <w:color w:val="auto"/>
          <w:spacing w:val="8"/>
          <w:kern w:val="0"/>
          <w:sz w:val="28"/>
          <w:szCs w:val="28"/>
          <w:highlight w:val="none"/>
        </w:rPr>
        <w:t>6</w:t>
      </w:r>
      <w:r>
        <w:rPr>
          <w:rFonts w:hint="eastAsia" w:ascii="仿宋" w:hAnsi="仿宋" w:eastAsia="仿宋" w:cs="仿宋"/>
          <w:color w:val="auto"/>
          <w:spacing w:val="8"/>
          <w:kern w:val="0"/>
          <w:sz w:val="28"/>
          <w:szCs w:val="28"/>
          <w:highlight w:val="none"/>
        </w:rPr>
        <w:t>年06月</w:t>
      </w:r>
      <w:r>
        <w:rPr>
          <w:rFonts w:hint="eastAsia" w:ascii="仿宋" w:hAnsi="仿宋" w:eastAsia="仿宋" w:cs="仿宋"/>
          <w:color w:val="auto"/>
          <w:spacing w:val="8"/>
          <w:kern w:val="0"/>
          <w:sz w:val="28"/>
          <w:szCs w:val="28"/>
          <w:highlight w:val="none"/>
          <w:lang w:val="en-US" w:eastAsia="zh-CN"/>
        </w:rPr>
        <w:t>18</w:t>
      </w:r>
      <w:r>
        <w:rPr>
          <w:rFonts w:hint="eastAsia" w:ascii="仿宋" w:hAnsi="仿宋" w:eastAsia="仿宋" w:cs="仿宋"/>
          <w:color w:val="auto"/>
          <w:spacing w:val="8"/>
          <w:kern w:val="0"/>
          <w:sz w:val="28"/>
          <w:szCs w:val="28"/>
          <w:highlight w:val="none"/>
        </w:rPr>
        <w:t>日18时30分至202</w:t>
      </w:r>
      <w:r>
        <w:rPr>
          <w:rFonts w:ascii="仿宋" w:hAnsi="仿宋" w:eastAsia="仿宋" w:cs="仿宋"/>
          <w:color w:val="auto"/>
          <w:spacing w:val="8"/>
          <w:kern w:val="0"/>
          <w:sz w:val="28"/>
          <w:szCs w:val="28"/>
          <w:highlight w:val="none"/>
        </w:rPr>
        <w:t>6</w:t>
      </w:r>
      <w:r>
        <w:rPr>
          <w:rFonts w:hint="eastAsia" w:ascii="仿宋" w:hAnsi="仿宋" w:eastAsia="仿宋" w:cs="仿宋"/>
          <w:color w:val="auto"/>
          <w:spacing w:val="8"/>
          <w:kern w:val="0"/>
          <w:sz w:val="28"/>
          <w:szCs w:val="28"/>
          <w:highlight w:val="none"/>
        </w:rPr>
        <w:t>年</w:t>
      </w:r>
      <w:r>
        <w:rPr>
          <w:rFonts w:hint="eastAsia" w:ascii="仿宋" w:hAnsi="仿宋" w:eastAsia="仿宋" w:cs="仿宋"/>
          <w:color w:val="auto"/>
          <w:spacing w:val="8"/>
          <w:kern w:val="0"/>
          <w:sz w:val="28"/>
          <w:szCs w:val="28"/>
          <w:highlight w:val="none"/>
          <w:lang w:val="en-US" w:eastAsia="zh-CN"/>
        </w:rPr>
        <w:t>07</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02</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09</w:t>
      </w:r>
      <w:r>
        <w:rPr>
          <w:rFonts w:hint="eastAsia" w:ascii="仿宋" w:hAnsi="仿宋" w:eastAsia="仿宋" w:cs="仿宋"/>
          <w:color w:val="auto"/>
          <w:spacing w:val="8"/>
          <w:kern w:val="0"/>
          <w:sz w:val="28"/>
          <w:szCs w:val="28"/>
          <w:highlight w:val="none"/>
        </w:rPr>
        <w:t>时00分</w:t>
      </w:r>
    </w:p>
    <w:p w14:paraId="68A9CCA8">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2.提交方式：登录“威海市公共资源交易网”首页右侧“交易服务一网通办系统-（新版）一网通办系统”进行“平台切换”点击“国企采购”进入国企阳光采购平台进行提交。</w:t>
      </w:r>
    </w:p>
    <w:p w14:paraId="2A4AE60F">
      <w:pPr>
        <w:spacing w:line="560" w:lineRule="exact"/>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六、开标时间及地点</w:t>
      </w:r>
    </w:p>
    <w:p w14:paraId="796C8DBE">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r>
        <w:rPr>
          <w:rFonts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rPr>
        <w:t>.时间：202</w:t>
      </w:r>
      <w:r>
        <w:rPr>
          <w:rFonts w:ascii="仿宋" w:hAnsi="仿宋" w:eastAsia="仿宋" w:cs="仿宋"/>
          <w:color w:val="auto"/>
          <w:spacing w:val="8"/>
          <w:kern w:val="0"/>
          <w:sz w:val="28"/>
          <w:szCs w:val="28"/>
          <w:highlight w:val="none"/>
        </w:rPr>
        <w:t>6</w:t>
      </w:r>
      <w:r>
        <w:rPr>
          <w:rFonts w:hint="eastAsia" w:ascii="仿宋" w:hAnsi="仿宋" w:eastAsia="仿宋" w:cs="仿宋"/>
          <w:color w:val="auto"/>
          <w:spacing w:val="8"/>
          <w:kern w:val="0"/>
          <w:sz w:val="28"/>
          <w:szCs w:val="28"/>
          <w:highlight w:val="none"/>
        </w:rPr>
        <w:t>年0</w:t>
      </w: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月</w:t>
      </w:r>
      <w:r>
        <w:rPr>
          <w:rFonts w:hint="eastAsia" w:ascii="仿宋" w:hAnsi="仿宋" w:eastAsia="仿宋" w:cs="仿宋"/>
          <w:color w:val="auto"/>
          <w:spacing w:val="8"/>
          <w:kern w:val="0"/>
          <w:sz w:val="28"/>
          <w:szCs w:val="28"/>
          <w:highlight w:val="none"/>
          <w:lang w:val="en-US" w:eastAsia="zh-CN"/>
        </w:rPr>
        <w:t>02</w:t>
      </w:r>
      <w:r>
        <w:rPr>
          <w:rFonts w:hint="eastAsia" w:ascii="仿宋" w:hAnsi="仿宋" w:eastAsia="仿宋" w:cs="仿宋"/>
          <w:color w:val="auto"/>
          <w:spacing w:val="8"/>
          <w:kern w:val="0"/>
          <w:sz w:val="28"/>
          <w:szCs w:val="28"/>
          <w:highlight w:val="none"/>
        </w:rPr>
        <w:t>日</w:t>
      </w:r>
      <w:r>
        <w:rPr>
          <w:rFonts w:hint="eastAsia" w:ascii="仿宋" w:hAnsi="仿宋" w:eastAsia="仿宋" w:cs="仿宋"/>
          <w:color w:val="auto"/>
          <w:spacing w:val="8"/>
          <w:kern w:val="0"/>
          <w:sz w:val="28"/>
          <w:szCs w:val="28"/>
          <w:highlight w:val="none"/>
          <w:lang w:val="en-US" w:eastAsia="zh-CN"/>
        </w:rPr>
        <w:t>09</w:t>
      </w:r>
      <w:r>
        <w:rPr>
          <w:rFonts w:hint="eastAsia" w:ascii="仿宋" w:hAnsi="仿宋" w:eastAsia="仿宋" w:cs="仿宋"/>
          <w:color w:val="auto"/>
          <w:spacing w:val="8"/>
          <w:kern w:val="0"/>
          <w:sz w:val="28"/>
          <w:szCs w:val="28"/>
          <w:highlight w:val="none"/>
        </w:rPr>
        <w:t>时00分（北京时间）</w:t>
      </w:r>
    </w:p>
    <w:p w14:paraId="6B66684A">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r>
        <w:rPr>
          <w:rFonts w:ascii="仿宋" w:hAnsi="仿宋" w:eastAsia="仿宋" w:cs="仿宋"/>
          <w:color w:val="auto"/>
          <w:spacing w:val="8"/>
          <w:kern w:val="0"/>
          <w:sz w:val="28"/>
          <w:szCs w:val="28"/>
          <w:highlight w:val="none"/>
        </w:rPr>
        <w:t>2</w:t>
      </w:r>
      <w:r>
        <w:rPr>
          <w:rFonts w:hint="eastAsia" w:ascii="仿宋" w:hAnsi="仿宋" w:eastAsia="仿宋" w:cs="仿宋"/>
          <w:color w:val="auto"/>
          <w:spacing w:val="8"/>
          <w:kern w:val="0"/>
          <w:sz w:val="28"/>
          <w:szCs w:val="28"/>
          <w:highlight w:val="none"/>
        </w:rPr>
        <w:t>.地点：威海市公共资源交易中心交易</w:t>
      </w:r>
      <w:r>
        <w:rPr>
          <w:rFonts w:hint="eastAsia" w:ascii="仿宋" w:hAnsi="仿宋" w:eastAsia="仿宋" w:cs="仿宋"/>
          <w:color w:val="auto"/>
          <w:spacing w:val="8"/>
          <w:kern w:val="0"/>
          <w:sz w:val="28"/>
          <w:szCs w:val="28"/>
          <w:highlight w:val="none"/>
          <w:lang w:val="en-US" w:eastAsia="zh-CN"/>
        </w:rPr>
        <w:t>十</w:t>
      </w:r>
      <w:r>
        <w:rPr>
          <w:rFonts w:hint="eastAsia" w:ascii="仿宋" w:hAnsi="仿宋" w:eastAsia="仿宋" w:cs="仿宋"/>
          <w:color w:val="auto"/>
          <w:spacing w:val="8"/>
          <w:kern w:val="0"/>
          <w:sz w:val="28"/>
          <w:szCs w:val="28"/>
          <w:highlight w:val="none"/>
        </w:rPr>
        <w:t>厅（威海市环翠区塔山中路317号）</w:t>
      </w:r>
    </w:p>
    <w:p w14:paraId="185DBA6C">
      <w:pPr>
        <w:widowControl/>
        <w:adjustRightInd w:val="0"/>
        <w:spacing w:line="520" w:lineRule="exact"/>
        <w:jc w:val="left"/>
        <w:rPr>
          <w:rFonts w:ascii="仿宋" w:hAnsi="仿宋" w:eastAsia="仿宋" w:cs="仿宋"/>
          <w:b/>
          <w:color w:val="auto"/>
          <w:spacing w:val="8"/>
          <w:kern w:val="0"/>
          <w:sz w:val="28"/>
          <w:szCs w:val="28"/>
          <w:highlight w:val="none"/>
        </w:rPr>
      </w:pPr>
      <w:r>
        <w:rPr>
          <w:rFonts w:hint="eastAsia" w:ascii="仿宋" w:hAnsi="仿宋" w:eastAsia="仿宋" w:cs="仿宋"/>
          <w:b/>
          <w:bCs/>
          <w:color w:val="auto"/>
          <w:kern w:val="0"/>
          <w:sz w:val="28"/>
          <w:szCs w:val="28"/>
          <w:highlight w:val="none"/>
        </w:rPr>
        <w:t>七、</w:t>
      </w:r>
      <w:r>
        <w:rPr>
          <w:rFonts w:hint="eastAsia" w:ascii="仿宋" w:hAnsi="仿宋" w:eastAsia="仿宋" w:cs="仿宋"/>
          <w:b/>
          <w:color w:val="auto"/>
          <w:spacing w:val="8"/>
          <w:kern w:val="0"/>
          <w:sz w:val="28"/>
          <w:szCs w:val="28"/>
          <w:highlight w:val="none"/>
        </w:rPr>
        <w:t>发布公告的媒介</w:t>
      </w:r>
    </w:p>
    <w:p w14:paraId="19D98BE1">
      <w:pPr>
        <w:widowControl/>
        <w:wordWrap w:val="0"/>
        <w:adjustRightInd w:val="0"/>
        <w:spacing w:line="520" w:lineRule="exact"/>
        <w:ind w:firstLine="592" w:firstLineChars="20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本次公告在中国招标投标公共服务平台（www.cebpubservice.com）、威海市公共资源交易网（http://ggzyjy.weihai.cn/）上发布。</w:t>
      </w:r>
    </w:p>
    <w:p w14:paraId="58AF5E88">
      <w:pPr>
        <w:widowControl/>
        <w:adjustRightInd w:val="0"/>
        <w:spacing w:line="520" w:lineRule="exact"/>
        <w:jc w:val="left"/>
        <w:rPr>
          <w:rFonts w:ascii="仿宋" w:hAnsi="仿宋" w:eastAsia="仿宋" w:cs="仿宋"/>
          <w:b/>
          <w:color w:val="auto"/>
          <w:spacing w:val="8"/>
          <w:kern w:val="0"/>
          <w:sz w:val="28"/>
          <w:szCs w:val="28"/>
          <w:highlight w:val="none"/>
        </w:rPr>
      </w:pPr>
      <w:r>
        <w:rPr>
          <w:rFonts w:hint="eastAsia" w:ascii="仿宋" w:hAnsi="仿宋" w:eastAsia="仿宋" w:cs="仿宋"/>
          <w:b/>
          <w:color w:val="auto"/>
          <w:spacing w:val="8"/>
          <w:kern w:val="0"/>
          <w:sz w:val="28"/>
          <w:szCs w:val="28"/>
          <w:highlight w:val="none"/>
        </w:rPr>
        <w:t>八、其它补充事宜</w:t>
      </w:r>
    </w:p>
    <w:p w14:paraId="4F6C4AAB">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1.本项目实行全流程电子化，提交投标文件截止时间前，随时关注威海市公共资源交易网（变更公告栏）内变更提醒。</w:t>
      </w:r>
    </w:p>
    <w:p w14:paraId="69A908F6">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投标人自行准备电脑，提前在个人电脑上进行测试确保音频、视频功能、CA签章功能可正常使用。投标人无须到现场参加开标活动；投标人提前熟悉交易系统（国企采购报价单位操作手册网址：https://ggzyjy.weihai.cn/bszn/005005/20260109/eb4ba418-4b35-4f05-aa69-44fd7d8a7ffb.html），通过交易系统线上参加开标活动，不熟悉系统操作产生的风险由投标人承担。</w:t>
      </w:r>
    </w:p>
    <w:p w14:paraId="3B4ECE0C">
      <w:pPr>
        <w:widowControl/>
        <w:shd w:val="clear" w:color="auto" w:fill="FFFFFF"/>
        <w:spacing w:line="560" w:lineRule="exact"/>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九、联系方式</w:t>
      </w:r>
    </w:p>
    <w:p w14:paraId="7585D40C">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1.招标人信息</w:t>
      </w:r>
    </w:p>
    <w:p w14:paraId="2FA42264">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名称：威海市环翠区环晟商业经营管理有限公司</w:t>
      </w:r>
    </w:p>
    <w:p w14:paraId="7100A4D2">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地址：威海市环翠区竹岛东窑东街11号</w:t>
      </w:r>
    </w:p>
    <w:p w14:paraId="0C24EAA6">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联系人：徐海燕</w:t>
      </w:r>
    </w:p>
    <w:p w14:paraId="6A4559FB">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联系方式：</w:t>
      </w:r>
      <w:r>
        <w:rPr>
          <w:rFonts w:ascii="仿宋" w:hAnsi="仿宋" w:eastAsia="仿宋" w:cs="仿宋"/>
          <w:color w:val="auto"/>
          <w:spacing w:val="8"/>
          <w:kern w:val="0"/>
          <w:sz w:val="28"/>
          <w:szCs w:val="28"/>
          <w:highlight w:val="none"/>
        </w:rPr>
        <w:t>0631-</w:t>
      </w:r>
      <w:r>
        <w:rPr>
          <w:rFonts w:hint="eastAsia" w:ascii="仿宋" w:hAnsi="仿宋" w:eastAsia="仿宋" w:cs="仿宋"/>
          <w:color w:val="auto"/>
          <w:spacing w:val="8"/>
          <w:kern w:val="0"/>
          <w:sz w:val="28"/>
          <w:szCs w:val="28"/>
          <w:highlight w:val="none"/>
        </w:rPr>
        <w:t>5121559</w:t>
      </w:r>
    </w:p>
    <w:p w14:paraId="79E6740C">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2.招标代理机构信息</w:t>
      </w:r>
    </w:p>
    <w:p w14:paraId="3D19E9FC">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名称：山东达信招标代理有限公司</w:t>
      </w:r>
    </w:p>
    <w:p w14:paraId="3DA21446">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地址：威海火炬高技术产业开发区田和街道世昌大道-307-1号6楼</w:t>
      </w:r>
    </w:p>
    <w:p w14:paraId="70BC9A76">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联系方式：0631-5234516</w:t>
      </w:r>
    </w:p>
    <w:p w14:paraId="4D0AB7E0">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联系人：丁岩庆、陈颖</w:t>
      </w:r>
    </w:p>
    <w:p w14:paraId="21898F82">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电子邮箱：Whzbgs5234516@163.com</w:t>
      </w:r>
    </w:p>
    <w:p w14:paraId="4EF35268">
      <w:pPr>
        <w:widowControl/>
        <w:shd w:val="clear" w:color="auto" w:fill="FFFFFF"/>
        <w:spacing w:line="480" w:lineRule="exact"/>
        <w:ind w:firstLine="592" w:firstLineChars="200"/>
        <w:rPr>
          <w:rFonts w:ascii="仿宋" w:hAnsi="仿宋" w:eastAsia="仿宋" w:cs="仿宋"/>
          <w:color w:val="auto"/>
          <w:spacing w:val="8"/>
          <w:kern w:val="0"/>
          <w:sz w:val="28"/>
          <w:szCs w:val="28"/>
          <w:highlight w:val="none"/>
        </w:rPr>
      </w:pPr>
    </w:p>
    <w:p w14:paraId="0866017E">
      <w:pPr>
        <w:rPr>
          <w:rFonts w:ascii="仿宋" w:hAnsi="仿宋" w:eastAsia="仿宋" w:cs="仿宋"/>
          <w:color w:val="auto"/>
          <w:highlight w:val="none"/>
        </w:rPr>
      </w:pPr>
    </w:p>
    <w:p w14:paraId="305446A0">
      <w:pPr>
        <w:spacing w:line="560" w:lineRule="exact"/>
        <w:jc w:val="right"/>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发布人：山东达信招标代理有限公司</w:t>
      </w:r>
    </w:p>
    <w:p w14:paraId="4700A280">
      <w:pPr>
        <w:widowControl/>
        <w:wordWrap w:val="0"/>
        <w:adjustRightInd w:val="0"/>
        <w:spacing w:line="360" w:lineRule="auto"/>
        <w:ind w:left="-240"/>
        <w:jc w:val="right"/>
        <w:rPr>
          <w:rFonts w:ascii="仿宋" w:hAnsi="仿宋" w:eastAsia="仿宋" w:cs="仿宋"/>
          <w:color w:val="auto"/>
          <w:sz w:val="24"/>
          <w:szCs w:val="21"/>
          <w:highlight w:val="none"/>
        </w:rPr>
        <w:sectPr>
          <w:pgSz w:w="11906" w:h="16838"/>
          <w:pgMar w:top="1440" w:right="1448" w:bottom="1440" w:left="1418" w:header="851" w:footer="992" w:gutter="0"/>
          <w:cols w:space="720" w:num="1"/>
          <w:docGrid w:type="linesAndChars" w:linePitch="312" w:charSpace="0"/>
        </w:sectPr>
      </w:pPr>
      <w:r>
        <w:rPr>
          <w:rFonts w:hint="eastAsia" w:ascii="仿宋" w:hAnsi="仿宋" w:eastAsia="仿宋" w:cs="仿宋"/>
          <w:color w:val="auto"/>
          <w:kern w:val="0"/>
          <w:sz w:val="28"/>
          <w:szCs w:val="28"/>
          <w:highlight w:val="none"/>
        </w:rPr>
        <w:t>发布时间：202</w:t>
      </w:r>
      <w:r>
        <w:rPr>
          <w:rFonts w:ascii="仿宋" w:hAnsi="仿宋" w:eastAsia="仿宋" w:cs="仿宋"/>
          <w:color w:val="auto"/>
          <w:kern w:val="0"/>
          <w:sz w:val="28"/>
          <w:szCs w:val="28"/>
          <w:highlight w:val="none"/>
        </w:rPr>
        <w:t>6</w:t>
      </w:r>
      <w:r>
        <w:rPr>
          <w:rFonts w:hint="eastAsia" w:ascii="仿宋" w:hAnsi="仿宋" w:eastAsia="仿宋" w:cs="仿宋"/>
          <w:color w:val="auto"/>
          <w:kern w:val="0"/>
          <w:sz w:val="28"/>
          <w:szCs w:val="28"/>
          <w:highlight w:val="none"/>
        </w:rPr>
        <w:t>年06月</w:t>
      </w:r>
      <w:r>
        <w:rPr>
          <w:rFonts w:hint="eastAsia" w:ascii="仿宋" w:hAnsi="仿宋" w:eastAsia="仿宋" w:cs="仿宋"/>
          <w:color w:val="auto"/>
          <w:kern w:val="0"/>
          <w:sz w:val="28"/>
          <w:szCs w:val="28"/>
          <w:highlight w:val="none"/>
          <w:lang w:val="en-US" w:eastAsia="zh-CN"/>
        </w:rPr>
        <w:t>18</w:t>
      </w:r>
      <w:r>
        <w:rPr>
          <w:rFonts w:hint="eastAsia" w:ascii="仿宋" w:hAnsi="仿宋" w:eastAsia="仿宋" w:cs="仿宋"/>
          <w:color w:val="auto"/>
          <w:kern w:val="0"/>
          <w:sz w:val="28"/>
          <w:szCs w:val="28"/>
          <w:highlight w:val="none"/>
        </w:rPr>
        <w:t>日</w:t>
      </w:r>
    </w:p>
    <w:p w14:paraId="39DF9460">
      <w:pPr>
        <w:pStyle w:val="4"/>
        <w:jc w:val="center"/>
        <w:rPr>
          <w:color w:val="auto"/>
          <w:highlight w:val="none"/>
        </w:rPr>
      </w:pPr>
      <w:bookmarkStart w:id="8" w:name="_Toc66087241"/>
      <w:bookmarkStart w:id="9" w:name="_Toc21832"/>
      <w:r>
        <w:rPr>
          <w:rFonts w:hint="eastAsia"/>
          <w:color w:val="auto"/>
          <w:highlight w:val="none"/>
        </w:rPr>
        <w:t>第二章投标人须知</w:t>
      </w:r>
      <w:bookmarkEnd w:id="8"/>
      <w:bookmarkEnd w:id="9"/>
    </w:p>
    <w:p w14:paraId="29368890">
      <w:pPr>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投标须知前附表</w:t>
      </w:r>
    </w:p>
    <w:p w14:paraId="379537CF">
      <w:pPr>
        <w:pStyle w:val="14"/>
        <w:spacing w:line="480" w:lineRule="exact"/>
        <w:ind w:left="-617" w:leftChars="-294" w:right="-531" w:rightChars="-253" w:firstLine="560" w:firstLineChars="200"/>
        <w:rPr>
          <w:rFonts w:ascii="仿宋" w:hAnsi="仿宋" w:eastAsia="仿宋" w:cs="仿宋"/>
          <w:color w:val="auto"/>
          <w:highlight w:val="none"/>
        </w:rPr>
      </w:pPr>
      <w:r>
        <w:rPr>
          <w:rFonts w:hint="eastAsia" w:ascii="仿宋" w:hAnsi="仿宋" w:eastAsia="仿宋" w:cs="仿宋"/>
          <w:color w:val="auto"/>
          <w:sz w:val="28"/>
          <w:szCs w:val="28"/>
          <w:highlight w:val="none"/>
        </w:rPr>
        <w:t>本表是本采购项目的具体资料，是对投标（响应）须知的汇总和补充，如有矛盾，应以本资料表为准。</w:t>
      </w:r>
    </w:p>
    <w:tbl>
      <w:tblPr>
        <w:tblStyle w:val="49"/>
        <w:tblW w:w="1032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00"/>
        <w:gridCol w:w="2254"/>
        <w:gridCol w:w="7267"/>
      </w:tblGrid>
      <w:tr w14:paraId="3DB597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3F3AD79">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254" w:type="dxa"/>
            <w:tcBorders>
              <w:top w:val="single" w:color="auto" w:sz="4" w:space="0"/>
              <w:left w:val="single" w:color="auto" w:sz="4" w:space="0"/>
              <w:bottom w:val="single" w:color="auto" w:sz="4" w:space="0"/>
              <w:right w:val="single" w:color="auto" w:sz="4" w:space="0"/>
            </w:tcBorders>
            <w:vAlign w:val="center"/>
          </w:tcPr>
          <w:p w14:paraId="5E94162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w:t>
            </w:r>
          </w:p>
        </w:tc>
        <w:tc>
          <w:tcPr>
            <w:tcW w:w="7267" w:type="dxa"/>
            <w:tcBorders>
              <w:top w:val="single" w:color="auto" w:sz="4" w:space="0"/>
              <w:left w:val="single" w:color="auto" w:sz="4" w:space="0"/>
              <w:bottom w:val="single" w:color="auto" w:sz="4" w:space="0"/>
            </w:tcBorders>
            <w:vAlign w:val="center"/>
          </w:tcPr>
          <w:p w14:paraId="7F443140">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内容</w:t>
            </w:r>
          </w:p>
        </w:tc>
      </w:tr>
      <w:tr w14:paraId="2ECD20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2705490">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p>
        </w:tc>
        <w:tc>
          <w:tcPr>
            <w:tcW w:w="2254" w:type="dxa"/>
            <w:tcBorders>
              <w:top w:val="single" w:color="auto" w:sz="4" w:space="0"/>
              <w:left w:val="single" w:color="auto" w:sz="4" w:space="0"/>
              <w:bottom w:val="single" w:color="auto" w:sz="4" w:space="0"/>
              <w:right w:val="single" w:color="auto" w:sz="4" w:space="0"/>
            </w:tcBorders>
            <w:vAlign w:val="center"/>
          </w:tcPr>
          <w:p w14:paraId="05E58DE3">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267" w:type="dxa"/>
            <w:tcBorders>
              <w:top w:val="single" w:color="auto" w:sz="4" w:space="0"/>
              <w:left w:val="single" w:color="auto" w:sz="4" w:space="0"/>
              <w:bottom w:val="single" w:color="auto" w:sz="4" w:space="0"/>
            </w:tcBorders>
            <w:vAlign w:val="center"/>
          </w:tcPr>
          <w:p w14:paraId="30F95672">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威海电视观光塔文旅项目检测鉴定服务</w:t>
            </w:r>
          </w:p>
        </w:tc>
      </w:tr>
      <w:tr w14:paraId="7B0133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6DCB1C9">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p>
        </w:tc>
        <w:tc>
          <w:tcPr>
            <w:tcW w:w="2254" w:type="dxa"/>
            <w:tcBorders>
              <w:top w:val="single" w:color="auto" w:sz="4" w:space="0"/>
              <w:left w:val="single" w:color="auto" w:sz="4" w:space="0"/>
              <w:bottom w:val="single" w:color="auto" w:sz="4" w:space="0"/>
              <w:right w:val="single" w:color="auto" w:sz="4" w:space="0"/>
            </w:tcBorders>
            <w:vAlign w:val="center"/>
          </w:tcPr>
          <w:p w14:paraId="5B840DF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p>
        </w:tc>
        <w:tc>
          <w:tcPr>
            <w:tcW w:w="7267" w:type="dxa"/>
            <w:tcBorders>
              <w:top w:val="single" w:color="auto" w:sz="4" w:space="0"/>
              <w:left w:val="single" w:color="auto" w:sz="4" w:space="0"/>
              <w:bottom w:val="single" w:color="auto" w:sz="4" w:space="0"/>
            </w:tcBorders>
            <w:vAlign w:val="center"/>
          </w:tcPr>
          <w:p w14:paraId="778A4EFC">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HSSGZC20260601</w:t>
            </w:r>
          </w:p>
        </w:tc>
      </w:tr>
      <w:tr w14:paraId="3183CB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ADF3250">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3</w:t>
            </w:r>
          </w:p>
        </w:tc>
        <w:tc>
          <w:tcPr>
            <w:tcW w:w="2254" w:type="dxa"/>
            <w:tcBorders>
              <w:top w:val="single" w:color="auto" w:sz="4" w:space="0"/>
              <w:left w:val="single" w:color="auto" w:sz="4" w:space="0"/>
              <w:bottom w:val="single" w:color="auto" w:sz="4" w:space="0"/>
              <w:right w:val="single" w:color="auto" w:sz="4" w:space="0"/>
            </w:tcBorders>
            <w:vAlign w:val="center"/>
          </w:tcPr>
          <w:p w14:paraId="5DC412D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7267" w:type="dxa"/>
            <w:tcBorders>
              <w:top w:val="single" w:color="auto" w:sz="4" w:space="0"/>
              <w:left w:val="single" w:color="auto" w:sz="4" w:space="0"/>
              <w:bottom w:val="single" w:color="auto" w:sz="4" w:space="0"/>
            </w:tcBorders>
            <w:vAlign w:val="center"/>
          </w:tcPr>
          <w:p w14:paraId="22BF9944">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r>
              <w:rPr>
                <w:rFonts w:hint="eastAsia" w:ascii="仿宋" w:hAnsi="仿宋" w:eastAsia="仿宋" w:cs="仿宋"/>
                <w:color w:val="auto"/>
                <w:spacing w:val="8"/>
                <w:kern w:val="0"/>
                <w:sz w:val="28"/>
                <w:szCs w:val="28"/>
                <w:highlight w:val="none"/>
              </w:rPr>
              <w:t>威海市环翠区环晟商业经营管理有限公司</w:t>
            </w:r>
          </w:p>
          <w:p w14:paraId="3467733D">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地址：威海市环翠区竹岛东窑东街11号</w:t>
            </w:r>
          </w:p>
          <w:p w14:paraId="286B2B38">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联系人：徐海燕</w:t>
            </w:r>
          </w:p>
          <w:p w14:paraId="02A2D8AD">
            <w:pPr>
              <w:widowControl/>
              <w:adjustRightInd w:val="0"/>
              <w:snapToGrid w:val="0"/>
              <w:spacing w:line="460" w:lineRule="exact"/>
              <w:jc w:val="left"/>
              <w:rPr>
                <w:rFonts w:ascii="仿宋" w:hAnsi="仿宋" w:eastAsia="仿宋" w:cs="仿宋"/>
                <w:bCs/>
                <w:color w:val="auto"/>
                <w:kern w:val="0"/>
                <w:sz w:val="28"/>
                <w:szCs w:val="28"/>
                <w:highlight w:val="none"/>
              </w:rPr>
            </w:pPr>
            <w:r>
              <w:rPr>
                <w:rFonts w:hint="eastAsia" w:ascii="仿宋" w:hAnsi="仿宋" w:eastAsia="仿宋" w:cs="仿宋"/>
                <w:color w:val="auto"/>
                <w:sz w:val="28"/>
                <w:szCs w:val="28"/>
                <w:highlight w:val="none"/>
              </w:rPr>
              <w:t>联系方式：</w:t>
            </w:r>
            <w:r>
              <w:rPr>
                <w:rFonts w:ascii="仿宋" w:hAnsi="仿宋" w:eastAsia="仿宋" w:cs="仿宋"/>
                <w:color w:val="auto"/>
                <w:spacing w:val="8"/>
                <w:kern w:val="0"/>
                <w:sz w:val="28"/>
                <w:szCs w:val="28"/>
                <w:highlight w:val="none"/>
              </w:rPr>
              <w:t>0631-</w:t>
            </w:r>
            <w:r>
              <w:rPr>
                <w:rFonts w:hint="eastAsia" w:ascii="仿宋" w:hAnsi="仿宋" w:eastAsia="仿宋" w:cs="仿宋"/>
                <w:color w:val="auto"/>
                <w:spacing w:val="8"/>
                <w:kern w:val="0"/>
                <w:sz w:val="28"/>
                <w:szCs w:val="28"/>
                <w:highlight w:val="none"/>
              </w:rPr>
              <w:t>5121559</w:t>
            </w:r>
          </w:p>
        </w:tc>
      </w:tr>
      <w:tr w14:paraId="26494A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C008E52">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4</w:t>
            </w:r>
          </w:p>
        </w:tc>
        <w:tc>
          <w:tcPr>
            <w:tcW w:w="2254" w:type="dxa"/>
            <w:tcBorders>
              <w:top w:val="single" w:color="auto" w:sz="4" w:space="0"/>
              <w:left w:val="single" w:color="auto" w:sz="4" w:space="0"/>
              <w:bottom w:val="single" w:color="auto" w:sz="4" w:space="0"/>
              <w:right w:val="single" w:color="auto" w:sz="4" w:space="0"/>
            </w:tcBorders>
            <w:vAlign w:val="center"/>
          </w:tcPr>
          <w:p w14:paraId="19038F62">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w:t>
            </w:r>
          </w:p>
        </w:tc>
        <w:tc>
          <w:tcPr>
            <w:tcW w:w="7267" w:type="dxa"/>
            <w:tcBorders>
              <w:top w:val="single" w:color="auto" w:sz="4" w:space="0"/>
              <w:left w:val="single" w:color="auto" w:sz="4" w:space="0"/>
              <w:bottom w:val="single" w:color="auto" w:sz="4" w:space="0"/>
            </w:tcBorders>
            <w:vAlign w:val="center"/>
          </w:tcPr>
          <w:p w14:paraId="0B882FE0">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机构名称：山东达信招标代理有限公司</w:t>
            </w:r>
          </w:p>
          <w:p w14:paraId="22679D8E">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单位地址：</w:t>
            </w:r>
            <w:r>
              <w:rPr>
                <w:rFonts w:hint="eastAsia" w:ascii="仿宋" w:hAnsi="仿宋" w:eastAsia="仿宋" w:cs="仿宋"/>
                <w:bCs/>
                <w:color w:val="auto"/>
                <w:kern w:val="0"/>
                <w:sz w:val="28"/>
                <w:szCs w:val="28"/>
                <w:highlight w:val="none"/>
              </w:rPr>
              <w:t>威海火炬高技术产业开发区田和街道世昌大道-307-1号6楼</w:t>
            </w:r>
          </w:p>
          <w:p w14:paraId="761A679A">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联系人：丁岩庆、陈颖</w:t>
            </w:r>
          </w:p>
          <w:p w14:paraId="03B08BC3">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联系电话：0631-5234516</w:t>
            </w:r>
          </w:p>
        </w:tc>
      </w:tr>
      <w:tr w14:paraId="4AE56E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2EFD5E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254" w:type="dxa"/>
            <w:tcBorders>
              <w:top w:val="single" w:color="auto" w:sz="4" w:space="0"/>
              <w:left w:val="single" w:color="auto" w:sz="4" w:space="0"/>
              <w:bottom w:val="single" w:color="auto" w:sz="4" w:space="0"/>
              <w:right w:val="single" w:color="auto" w:sz="4" w:space="0"/>
            </w:tcBorders>
            <w:vAlign w:val="center"/>
          </w:tcPr>
          <w:p w14:paraId="2D58A094">
            <w:pPr>
              <w:snapToGrid w:val="0"/>
              <w:spacing w:line="500" w:lineRule="exact"/>
              <w:jc w:val="center"/>
              <w:rPr>
                <w:rFonts w:ascii="仿宋" w:hAnsi="仿宋" w:eastAsia="仿宋"/>
                <w:color w:val="auto"/>
                <w:sz w:val="28"/>
                <w:szCs w:val="28"/>
                <w:highlight w:val="none"/>
              </w:rPr>
            </w:pPr>
            <w:r>
              <w:rPr>
                <w:rFonts w:hint="eastAsia" w:ascii="仿宋" w:hAnsi="仿宋" w:eastAsia="仿宋"/>
                <w:color w:val="auto"/>
                <w:sz w:val="28"/>
                <w:szCs w:val="28"/>
                <w:highlight w:val="none"/>
              </w:rPr>
              <w:t>项目详细情况</w:t>
            </w:r>
          </w:p>
        </w:tc>
        <w:tc>
          <w:tcPr>
            <w:tcW w:w="7267" w:type="dxa"/>
            <w:tcBorders>
              <w:top w:val="single" w:color="auto" w:sz="4" w:space="0"/>
              <w:left w:val="single" w:color="auto" w:sz="4" w:space="0"/>
              <w:bottom w:val="single" w:color="auto" w:sz="4" w:space="0"/>
            </w:tcBorders>
            <w:vAlign w:val="center"/>
          </w:tcPr>
          <w:p w14:paraId="78081A1B">
            <w:pPr>
              <w:widowControl/>
              <w:kinsoku w:val="0"/>
              <w:wordWrap w:val="0"/>
              <w:adjustRightInd w:val="0"/>
              <w:spacing w:line="500" w:lineRule="exact"/>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1.项目名称：威海电视观光塔文旅项目检测鉴定服务</w:t>
            </w:r>
          </w:p>
          <w:p w14:paraId="302603DB">
            <w:pPr>
              <w:widowControl/>
              <w:kinsoku w:val="0"/>
              <w:wordWrap w:val="0"/>
              <w:adjustRightInd w:val="0"/>
              <w:spacing w:line="500" w:lineRule="exact"/>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2.项目概况：包括1座电视调频塔及2栋多层附房。电视调频塔总高约122.9m，钢结构，建筑面积1296㎡。2栋附房均为2层砖混结构，建筑面积分别约为238㎡、540㎡。</w:t>
            </w:r>
          </w:p>
          <w:p w14:paraId="66327DA4">
            <w:pPr>
              <w:widowControl/>
              <w:kinsoku w:val="0"/>
              <w:wordWrap w:val="0"/>
              <w:adjustRightInd w:val="0"/>
              <w:spacing w:line="500" w:lineRule="exact"/>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项目范围：项目包含对威海电视观光塔整体工程进行检测鉴定工作。负责对建筑的地基基础、上部承重结构、节点连接、防腐涂层、围护结构等进行全面的安全性检测与鉴定，并对改造可行性进行分析，能为后续改造设计提供依据，满足项目当地图纸审查机构的要求。</w:t>
            </w:r>
          </w:p>
          <w:p w14:paraId="495AB29F">
            <w:pPr>
              <w:widowControl/>
              <w:kinsoku w:val="0"/>
              <w:wordWrap w:val="0"/>
              <w:adjustRightInd w:val="0"/>
              <w:spacing w:line="500" w:lineRule="exact"/>
              <w:jc w:val="left"/>
              <w:rPr>
                <w:rFonts w:ascii="仿宋" w:hAnsi="仿宋" w:eastAsia="仿宋" w:cs="仿宋"/>
                <w:color w:val="auto"/>
                <w:spacing w:val="8"/>
                <w:kern w:val="0"/>
                <w:sz w:val="28"/>
                <w:szCs w:val="28"/>
                <w:highlight w:val="none"/>
              </w:rPr>
            </w:pPr>
            <w:r>
              <w:rPr>
                <w:rFonts w:ascii="仿宋" w:hAnsi="仿宋" w:eastAsia="仿宋" w:cs="仿宋"/>
                <w:color w:val="auto"/>
                <w:spacing w:val="8"/>
                <w:kern w:val="0"/>
                <w:sz w:val="28"/>
                <w:szCs w:val="28"/>
                <w:highlight w:val="none"/>
              </w:rPr>
              <w:t>4</w:t>
            </w:r>
            <w:r>
              <w:rPr>
                <w:rFonts w:hint="eastAsia" w:ascii="仿宋" w:hAnsi="仿宋" w:eastAsia="仿宋" w:cs="仿宋"/>
                <w:color w:val="auto"/>
                <w:spacing w:val="8"/>
                <w:kern w:val="0"/>
                <w:sz w:val="28"/>
                <w:szCs w:val="28"/>
                <w:highlight w:val="none"/>
              </w:rPr>
              <w:t>.服务期限：</w:t>
            </w:r>
            <w:bookmarkStart w:id="10" w:name="OLE_LINK12"/>
            <w:bookmarkStart w:id="11" w:name="OLE_LINK11"/>
            <w:r>
              <w:rPr>
                <w:rFonts w:hint="eastAsia" w:ascii="仿宋" w:hAnsi="仿宋" w:eastAsia="仿宋" w:cs="仿宋"/>
                <w:bCs/>
                <w:color w:val="auto"/>
                <w:spacing w:val="8"/>
                <w:kern w:val="0"/>
                <w:sz w:val="28"/>
                <w:szCs w:val="28"/>
                <w:highlight w:val="none"/>
              </w:rPr>
              <w:t>根据采购人确认的方案及工期要求，在合同签订后30日内完成检测，直至竣工</w:t>
            </w:r>
            <w:bookmarkEnd w:id="10"/>
            <w:bookmarkEnd w:id="11"/>
            <w:r>
              <w:rPr>
                <w:rFonts w:hint="eastAsia" w:ascii="仿宋" w:hAnsi="仿宋" w:eastAsia="仿宋" w:cs="仿宋"/>
                <w:bCs/>
                <w:color w:val="auto"/>
                <w:spacing w:val="8"/>
                <w:kern w:val="0"/>
                <w:sz w:val="28"/>
                <w:szCs w:val="28"/>
                <w:highlight w:val="none"/>
              </w:rPr>
              <w:t>。</w:t>
            </w:r>
          </w:p>
          <w:p w14:paraId="41654563">
            <w:pPr>
              <w:widowControl/>
              <w:kinsoku w:val="0"/>
              <w:adjustRightInd w:val="0"/>
              <w:spacing w:line="500" w:lineRule="exact"/>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5.质量标准：达到国家验收规范合格标准</w:t>
            </w:r>
          </w:p>
        </w:tc>
      </w:tr>
      <w:tr w14:paraId="336EB5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5CEBA16">
            <w:pPr>
              <w:spacing w:line="460" w:lineRule="exact"/>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6</w:t>
            </w:r>
          </w:p>
        </w:tc>
        <w:tc>
          <w:tcPr>
            <w:tcW w:w="2254" w:type="dxa"/>
            <w:tcBorders>
              <w:top w:val="single" w:color="auto" w:sz="4" w:space="0"/>
              <w:left w:val="single" w:color="auto" w:sz="4" w:space="0"/>
              <w:bottom w:val="single" w:color="auto" w:sz="4" w:space="0"/>
              <w:right w:val="single" w:color="auto" w:sz="4" w:space="0"/>
            </w:tcBorders>
            <w:vAlign w:val="center"/>
          </w:tcPr>
          <w:p w14:paraId="7AB67DD5">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资金来源及比例</w:t>
            </w:r>
          </w:p>
        </w:tc>
        <w:tc>
          <w:tcPr>
            <w:tcW w:w="7267" w:type="dxa"/>
            <w:tcBorders>
              <w:top w:val="single" w:color="auto" w:sz="4" w:space="0"/>
              <w:left w:val="single" w:color="auto" w:sz="4" w:space="0"/>
              <w:bottom w:val="single" w:color="auto" w:sz="4" w:space="0"/>
            </w:tcBorders>
            <w:vAlign w:val="center"/>
          </w:tcPr>
          <w:p w14:paraId="664CB20D">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自筹资金，100%</w:t>
            </w:r>
          </w:p>
        </w:tc>
      </w:tr>
      <w:tr w14:paraId="57594F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C1F800B">
            <w:pPr>
              <w:spacing w:line="460" w:lineRule="exact"/>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7</w:t>
            </w:r>
          </w:p>
        </w:tc>
        <w:tc>
          <w:tcPr>
            <w:tcW w:w="2254" w:type="dxa"/>
            <w:tcBorders>
              <w:top w:val="single" w:color="auto" w:sz="4" w:space="0"/>
              <w:left w:val="single" w:color="auto" w:sz="4" w:space="0"/>
              <w:bottom w:val="single" w:color="auto" w:sz="4" w:space="0"/>
              <w:right w:val="single" w:color="auto" w:sz="4" w:space="0"/>
            </w:tcBorders>
            <w:vAlign w:val="center"/>
          </w:tcPr>
          <w:p w14:paraId="1B190749">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资金落实情况</w:t>
            </w:r>
          </w:p>
        </w:tc>
        <w:tc>
          <w:tcPr>
            <w:tcW w:w="7267" w:type="dxa"/>
            <w:tcBorders>
              <w:top w:val="single" w:color="auto" w:sz="4" w:space="0"/>
              <w:left w:val="single" w:color="auto" w:sz="4" w:space="0"/>
              <w:bottom w:val="single" w:color="auto" w:sz="4" w:space="0"/>
            </w:tcBorders>
            <w:vAlign w:val="center"/>
          </w:tcPr>
          <w:p w14:paraId="41E4BF00">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7F160B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0E89B28">
            <w:pPr>
              <w:spacing w:line="460" w:lineRule="exact"/>
              <w:jc w:val="center"/>
              <w:rPr>
                <w:rFonts w:ascii="仿宋" w:hAnsi="仿宋" w:eastAsia="仿宋" w:cs="仿宋"/>
                <w:color w:val="auto"/>
                <w:sz w:val="28"/>
                <w:szCs w:val="28"/>
                <w:highlight w:val="none"/>
              </w:rPr>
            </w:pPr>
            <w:r>
              <w:rPr>
                <w:rFonts w:ascii="仿宋" w:hAnsi="仿宋" w:eastAsia="仿宋" w:cs="仿宋"/>
                <w:color w:val="auto"/>
                <w:sz w:val="28"/>
                <w:szCs w:val="28"/>
                <w:highlight w:val="none"/>
              </w:rPr>
              <w:t>8</w:t>
            </w:r>
          </w:p>
        </w:tc>
        <w:tc>
          <w:tcPr>
            <w:tcW w:w="2254" w:type="dxa"/>
            <w:tcBorders>
              <w:top w:val="single" w:color="auto" w:sz="4" w:space="0"/>
              <w:left w:val="single" w:color="auto" w:sz="4" w:space="0"/>
              <w:bottom w:val="single" w:color="auto" w:sz="4" w:space="0"/>
              <w:right w:val="single" w:color="auto" w:sz="4" w:space="0"/>
            </w:tcBorders>
            <w:vAlign w:val="center"/>
          </w:tcPr>
          <w:p w14:paraId="106614D4">
            <w:pPr>
              <w:spacing w:line="52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招标控制价</w:t>
            </w:r>
          </w:p>
        </w:tc>
        <w:tc>
          <w:tcPr>
            <w:tcW w:w="7267" w:type="dxa"/>
            <w:tcBorders>
              <w:top w:val="single" w:color="auto" w:sz="4" w:space="0"/>
              <w:left w:val="single" w:color="auto" w:sz="4" w:space="0"/>
              <w:bottom w:val="single" w:color="auto" w:sz="4" w:space="0"/>
            </w:tcBorders>
            <w:vAlign w:val="center"/>
          </w:tcPr>
          <w:p w14:paraId="7FE60612">
            <w:pPr>
              <w:spacing w:line="520" w:lineRule="exact"/>
              <w:jc w:val="left"/>
              <w:rPr>
                <w:rFonts w:ascii="仿宋" w:hAnsi="仿宋" w:eastAsia="仿宋" w:cs="仿宋"/>
                <w:color w:val="auto"/>
                <w:sz w:val="28"/>
                <w:szCs w:val="28"/>
                <w:highlight w:val="none"/>
              </w:rPr>
            </w:pPr>
            <w:r>
              <w:rPr>
                <w:rFonts w:hint="eastAsia" w:ascii="仿宋" w:hAnsi="仿宋" w:eastAsia="仿宋"/>
                <w:color w:val="auto"/>
                <w:sz w:val="28"/>
                <w:szCs w:val="28"/>
                <w:highlight w:val="none"/>
              </w:rPr>
              <w:t>本项目招标控制价：人民币</w:t>
            </w:r>
            <w:r>
              <w:rPr>
                <w:rFonts w:hint="eastAsia" w:ascii="仿宋" w:hAnsi="仿宋" w:eastAsia="仿宋" w:cs="仿宋"/>
                <w:b/>
                <w:color w:val="auto"/>
                <w:kern w:val="0"/>
                <w:sz w:val="28"/>
                <w:szCs w:val="28"/>
                <w:highlight w:val="none"/>
                <w:u w:val="single"/>
              </w:rPr>
              <w:t>310000.00元</w:t>
            </w:r>
            <w:r>
              <w:rPr>
                <w:rFonts w:hint="eastAsia" w:ascii="仿宋" w:hAnsi="仿宋" w:eastAsia="仿宋" w:cs="仿宋"/>
                <w:color w:val="auto"/>
                <w:sz w:val="28"/>
                <w:szCs w:val="28"/>
                <w:highlight w:val="none"/>
              </w:rPr>
              <w:t>，投标报价超过招标控制价的，否决其投标。</w:t>
            </w:r>
          </w:p>
        </w:tc>
      </w:tr>
      <w:tr w14:paraId="69FF1E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4A5223F">
            <w:pPr>
              <w:widowControl/>
              <w:adjustRightInd w:val="0"/>
              <w:spacing w:line="460" w:lineRule="exact"/>
              <w:jc w:val="center"/>
              <w:rPr>
                <w:rFonts w:ascii="仿宋" w:hAnsi="仿宋" w:eastAsia="仿宋" w:cs="仿宋"/>
                <w:color w:val="auto"/>
                <w:sz w:val="28"/>
                <w:szCs w:val="28"/>
                <w:highlight w:val="none"/>
              </w:rPr>
            </w:pPr>
            <w:r>
              <w:rPr>
                <w:rFonts w:ascii="仿宋" w:hAnsi="仿宋" w:eastAsia="仿宋" w:cs="仿宋"/>
                <w:bCs/>
                <w:color w:val="auto"/>
                <w:kern w:val="0"/>
                <w:sz w:val="28"/>
                <w:szCs w:val="28"/>
                <w:highlight w:val="none"/>
              </w:rPr>
              <w:t>9</w:t>
            </w:r>
          </w:p>
        </w:tc>
        <w:tc>
          <w:tcPr>
            <w:tcW w:w="2254" w:type="dxa"/>
            <w:tcBorders>
              <w:top w:val="single" w:color="auto" w:sz="4" w:space="0"/>
              <w:left w:val="single" w:color="auto" w:sz="4" w:space="0"/>
              <w:bottom w:val="single" w:color="auto" w:sz="4" w:space="0"/>
              <w:right w:val="single" w:color="auto" w:sz="4" w:space="0"/>
            </w:tcBorders>
            <w:vAlign w:val="center"/>
          </w:tcPr>
          <w:p w14:paraId="5B03FAE1">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1734D619">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7267" w:type="dxa"/>
            <w:tcBorders>
              <w:top w:val="single" w:color="auto" w:sz="4" w:space="0"/>
              <w:left w:val="single" w:color="auto" w:sz="4" w:space="0"/>
              <w:bottom w:val="single" w:color="auto" w:sz="4" w:space="0"/>
            </w:tcBorders>
            <w:vAlign w:val="center"/>
          </w:tcPr>
          <w:p w14:paraId="66B047C0">
            <w:pPr>
              <w:wordWrap w:val="0"/>
              <w:snapToGrid w:val="0"/>
              <w:spacing w:line="500" w:lineRule="exact"/>
              <w:ind w:right="-105" w:rightChars="-50"/>
              <w:jc w:val="left"/>
              <w:rPr>
                <w:rFonts w:ascii="仿宋" w:hAnsi="仿宋" w:eastAsia="仿宋"/>
                <w:color w:val="auto"/>
                <w:sz w:val="28"/>
                <w:szCs w:val="28"/>
                <w:highlight w:val="none"/>
              </w:rPr>
            </w:pPr>
            <w:r>
              <w:rPr>
                <w:rFonts w:hint="eastAsia" w:ascii="仿宋" w:hAnsi="仿宋" w:eastAsia="仿宋"/>
                <w:color w:val="auto"/>
                <w:sz w:val="28"/>
                <w:szCs w:val="28"/>
                <w:highlight w:val="none"/>
              </w:rPr>
              <w:t>1.登录威海市公共资源交易网（http://ggzyjy.weihai.cn/）首页右侧“交易服务一网通办系统-（新版）一网通办系统”进行“平台切换”点击“国企采购”进入“国有企业阳光采购服务平台”，如跳转国企阳光采购平台时，提示用户不存在，可拨打技术支持电话（17863029936）解决。</w:t>
            </w:r>
          </w:p>
          <w:p w14:paraId="1EC0FDFA">
            <w:pPr>
              <w:wordWrap w:val="0"/>
              <w:snapToGrid w:val="0"/>
              <w:spacing w:line="500" w:lineRule="exact"/>
              <w:ind w:right="-105" w:rightChars="-50"/>
              <w:jc w:val="left"/>
              <w:rPr>
                <w:rFonts w:ascii="仿宋" w:hAnsi="仿宋" w:eastAsia="仿宋"/>
                <w:color w:val="auto"/>
                <w:sz w:val="28"/>
                <w:szCs w:val="28"/>
                <w:highlight w:val="none"/>
              </w:rPr>
            </w:pPr>
            <w:r>
              <w:rPr>
                <w:rFonts w:hint="eastAsia" w:ascii="仿宋" w:hAnsi="仿宋" w:eastAsia="仿宋"/>
                <w:color w:val="auto"/>
                <w:sz w:val="28"/>
                <w:szCs w:val="28"/>
                <w:highlight w:val="none"/>
              </w:rPr>
              <w:t>2.</w:t>
            </w:r>
            <w:r>
              <w:rPr>
                <w:rFonts w:hint="eastAsia" w:ascii="仿宋" w:hAnsi="仿宋" w:eastAsia="仿宋"/>
                <w:b/>
                <w:color w:val="auto"/>
                <w:sz w:val="28"/>
                <w:szCs w:val="28"/>
                <w:highlight w:val="none"/>
              </w:rPr>
              <w:t>本项目必须网上提交投标文件</w:t>
            </w:r>
            <w:r>
              <w:rPr>
                <w:rFonts w:hint="eastAsia" w:ascii="仿宋" w:hAnsi="仿宋" w:eastAsia="仿宋"/>
                <w:color w:val="auto"/>
                <w:sz w:val="28"/>
                <w:szCs w:val="28"/>
                <w:highlight w:val="none"/>
              </w:rPr>
              <w:t>，参与本项目投标人应利用办理好的CA锁登录威海市国有企业阳光采购电子化服务平台进行招标文件的获取、文件下载和网上提交投标文件，且安全证书（CA锁）在有效期内。</w:t>
            </w:r>
          </w:p>
          <w:p w14:paraId="23F266A7">
            <w:pPr>
              <w:kinsoku w:val="0"/>
              <w:wordWrap w:val="0"/>
              <w:topLinePunct/>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3.电子投标文件的制作及提交等有关操作见本文件及威海市公共资源交易网）办事指南栏目-国企采购专区-《新版威海市国有企业阳光采购服务平台操作演示视频（供应商）》，网址: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 ；平台QQ服务群：1046971257。</w:t>
            </w:r>
          </w:p>
          <w:p w14:paraId="4F07E20E">
            <w:pPr>
              <w:wordWrap w:val="0"/>
              <w:snapToGrid w:val="0"/>
              <w:spacing w:line="500" w:lineRule="exact"/>
              <w:ind w:right="-105" w:rightChars="-50"/>
              <w:jc w:val="left"/>
              <w:rPr>
                <w:rFonts w:ascii="仿宋" w:hAnsi="仿宋" w:eastAsia="仿宋"/>
                <w:color w:val="auto"/>
                <w:sz w:val="28"/>
                <w:szCs w:val="28"/>
                <w:highlight w:val="none"/>
              </w:rPr>
            </w:pPr>
            <w:r>
              <w:rPr>
                <w:rFonts w:hint="eastAsia" w:ascii="仿宋" w:hAnsi="仿宋" w:eastAsia="仿宋"/>
                <w:color w:val="auto"/>
                <w:sz w:val="28"/>
                <w:szCs w:val="28"/>
                <w:highlight w:val="none"/>
              </w:rPr>
              <w:t>4.网上提交投标文件时，登录交易平台的电脑须满足环境要求（详见新版威海市国有企业阳光采购服务平台供应商用户手册https://ggzyjy.weihai.cn/bszn/005005/20260109/eb4ba418-4b35-4f05-aa69-44fd7d8a7ffb.html）。</w:t>
            </w:r>
          </w:p>
          <w:p w14:paraId="6F686288">
            <w:pPr>
              <w:snapToGrid w:val="0"/>
              <w:spacing w:line="500" w:lineRule="exact"/>
              <w:ind w:right="-105" w:rightChars="-50"/>
              <w:jc w:val="left"/>
              <w:rPr>
                <w:rFonts w:ascii="仿宋" w:hAnsi="仿宋" w:eastAsia="仿宋"/>
                <w:color w:val="auto"/>
                <w:sz w:val="28"/>
                <w:szCs w:val="28"/>
                <w:highlight w:val="none"/>
              </w:rPr>
            </w:pPr>
            <w:r>
              <w:rPr>
                <w:rFonts w:hint="eastAsia" w:ascii="仿宋" w:hAnsi="仿宋" w:eastAsia="仿宋"/>
                <w:color w:val="auto"/>
                <w:sz w:val="28"/>
                <w:szCs w:val="28"/>
                <w:highlight w:val="none"/>
              </w:rPr>
              <w:t>5.投标人提交的电子投标文件应参照本招标文件《第五章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31FC655E">
            <w:pPr>
              <w:snapToGrid w:val="0"/>
              <w:spacing w:line="500" w:lineRule="exact"/>
              <w:ind w:right="-105" w:rightChars="-50"/>
              <w:jc w:val="left"/>
              <w:rPr>
                <w:rFonts w:ascii="仿宋" w:hAnsi="仿宋" w:eastAsia="仿宋"/>
                <w:color w:val="auto"/>
                <w:sz w:val="28"/>
                <w:szCs w:val="28"/>
                <w:highlight w:val="none"/>
              </w:rPr>
            </w:pPr>
            <w:r>
              <w:rPr>
                <w:rFonts w:hint="eastAsia" w:ascii="仿宋" w:hAnsi="仿宋" w:eastAsia="仿宋"/>
                <w:color w:val="auto"/>
                <w:sz w:val="28"/>
                <w:szCs w:val="28"/>
                <w:highlight w:val="none"/>
              </w:rPr>
              <w:t>6.电子投标文件必需有电子签章方为合法的投标文件，未对电子投标文件进行电子签章的，将作为无效</w:t>
            </w:r>
            <w:r>
              <w:rPr>
                <w:rFonts w:hint="eastAsia" w:ascii="仿宋" w:hAnsi="仿宋" w:eastAsia="仿宋" w:cs="宋体"/>
                <w:color w:val="auto"/>
                <w:sz w:val="28"/>
                <w:szCs w:val="28"/>
                <w:highlight w:val="none"/>
              </w:rPr>
              <w:t>投标</w:t>
            </w:r>
            <w:r>
              <w:rPr>
                <w:rFonts w:hint="eastAsia" w:ascii="仿宋" w:hAnsi="仿宋" w:eastAsia="仿宋"/>
                <w:color w:val="auto"/>
                <w:sz w:val="28"/>
                <w:szCs w:val="28"/>
                <w:highlight w:val="none"/>
              </w:rPr>
              <w:t>处理。</w:t>
            </w:r>
          </w:p>
          <w:p w14:paraId="5C60DCBA">
            <w:pPr>
              <w:snapToGrid w:val="0"/>
              <w:spacing w:line="500" w:lineRule="exact"/>
              <w:ind w:right="-105" w:rightChars="-50"/>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7.投标人投标文件中的相关扫描件应保证清晰度，无法辨认的评审时受到影响的，由投标人承担相应责任。</w:t>
            </w:r>
          </w:p>
          <w:p w14:paraId="63BB7B01">
            <w:pPr>
              <w:snapToGrid w:val="0"/>
              <w:spacing w:line="500" w:lineRule="exact"/>
              <w:jc w:val="left"/>
              <w:rPr>
                <w:rFonts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8.投标人应充分考虑到网上提交投标文件会发生的故障和风险。对发生的任何故障和风险造成投标人报价内容不一致或利益受损或投标失败的，招标人及招标代理机构不承担任何责任。</w:t>
            </w:r>
          </w:p>
          <w:p w14:paraId="0C528798">
            <w:pPr>
              <w:snapToGrid w:val="0"/>
              <w:spacing w:line="500" w:lineRule="exact"/>
              <w:ind w:right="-105" w:rightChars="-50"/>
              <w:jc w:val="left"/>
              <w:rPr>
                <w:color w:val="auto"/>
                <w:highlight w:val="none"/>
              </w:rPr>
            </w:pPr>
            <w:r>
              <w:rPr>
                <w:rFonts w:hint="eastAsia" w:ascii="仿宋" w:hAnsi="仿宋" w:eastAsia="仿宋" w:cs="仿宋"/>
                <w:color w:val="auto"/>
                <w:spacing w:val="8"/>
                <w:kern w:val="0"/>
                <w:sz w:val="28"/>
                <w:szCs w:val="28"/>
                <w:highlight w:val="none"/>
              </w:rPr>
              <w:t>9．投标人应充分考虑到网上递交投标文件会发生的故障和风险。对发生的任何故障和风险造成投标人报价内容不一致或利益受损或投标失败的，招标人及招标代理机构不承担任何责任。</w:t>
            </w:r>
          </w:p>
        </w:tc>
      </w:tr>
      <w:tr w14:paraId="238ECA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FC14CBB">
            <w:pPr>
              <w:widowControl/>
              <w:adjustRightInd w:val="0"/>
              <w:spacing w:line="460" w:lineRule="exact"/>
              <w:jc w:val="center"/>
              <w:rPr>
                <w:rFonts w:ascii="仿宋" w:hAnsi="仿宋" w:eastAsia="仿宋" w:cs="仿宋"/>
                <w:bCs/>
                <w:color w:val="auto"/>
                <w:kern w:val="0"/>
                <w:sz w:val="28"/>
                <w:szCs w:val="28"/>
                <w:highlight w:val="none"/>
              </w:rPr>
            </w:pPr>
            <w:r>
              <w:rPr>
                <w:rFonts w:ascii="仿宋" w:hAnsi="仿宋" w:eastAsia="仿宋" w:cs="仿宋"/>
                <w:bCs/>
                <w:color w:val="auto"/>
                <w:kern w:val="0"/>
                <w:sz w:val="28"/>
                <w:szCs w:val="28"/>
                <w:highlight w:val="none"/>
              </w:rPr>
              <w:t>10</w:t>
            </w:r>
          </w:p>
        </w:tc>
        <w:tc>
          <w:tcPr>
            <w:tcW w:w="2254" w:type="dxa"/>
            <w:tcBorders>
              <w:top w:val="single" w:color="auto" w:sz="4" w:space="0"/>
              <w:left w:val="single" w:color="auto" w:sz="4" w:space="0"/>
              <w:bottom w:val="single" w:color="auto" w:sz="4" w:space="0"/>
              <w:right w:val="single" w:color="auto" w:sz="4" w:space="0"/>
            </w:tcBorders>
            <w:vAlign w:val="center"/>
          </w:tcPr>
          <w:p w14:paraId="414BAF9A">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w:t>
            </w:r>
          </w:p>
          <w:p w14:paraId="197C7FB9">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文件原件</w:t>
            </w:r>
          </w:p>
        </w:tc>
        <w:tc>
          <w:tcPr>
            <w:tcW w:w="7267" w:type="dxa"/>
            <w:tcBorders>
              <w:top w:val="single" w:color="auto" w:sz="4" w:space="0"/>
              <w:left w:val="single" w:color="auto" w:sz="4" w:space="0"/>
              <w:bottom w:val="single" w:color="auto" w:sz="4" w:space="0"/>
            </w:tcBorders>
            <w:vAlign w:val="center"/>
          </w:tcPr>
          <w:p w14:paraId="4080981A">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tc>
      </w:tr>
      <w:tr w14:paraId="17C88C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9DE4DEF">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r>
              <w:rPr>
                <w:rFonts w:ascii="仿宋" w:hAnsi="仿宋" w:eastAsia="仿宋" w:cs="仿宋"/>
                <w:bCs/>
                <w:color w:val="auto"/>
                <w:kern w:val="0"/>
                <w:sz w:val="28"/>
                <w:szCs w:val="28"/>
                <w:highlight w:val="none"/>
              </w:rPr>
              <w:t>1</w:t>
            </w:r>
          </w:p>
        </w:tc>
        <w:tc>
          <w:tcPr>
            <w:tcW w:w="2254" w:type="dxa"/>
            <w:tcBorders>
              <w:top w:val="single" w:color="auto" w:sz="4" w:space="0"/>
              <w:left w:val="single" w:color="auto" w:sz="4" w:space="0"/>
              <w:bottom w:val="single" w:color="auto" w:sz="4" w:space="0"/>
              <w:right w:val="single" w:color="auto" w:sz="4" w:space="0"/>
            </w:tcBorders>
            <w:vAlign w:val="center"/>
          </w:tcPr>
          <w:p w14:paraId="61531BA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投标文件份数及密封要求</w:t>
            </w:r>
          </w:p>
        </w:tc>
        <w:tc>
          <w:tcPr>
            <w:tcW w:w="7267" w:type="dxa"/>
            <w:tcBorders>
              <w:top w:val="single" w:color="auto" w:sz="4" w:space="0"/>
              <w:left w:val="single" w:color="auto" w:sz="4" w:space="0"/>
              <w:bottom w:val="single" w:color="auto" w:sz="4" w:space="0"/>
            </w:tcBorders>
            <w:vAlign w:val="center"/>
          </w:tcPr>
          <w:p w14:paraId="093FB817">
            <w:pPr>
              <w:spacing w:line="460" w:lineRule="exact"/>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网上按时提交电子投标文件1份</w:t>
            </w:r>
          </w:p>
        </w:tc>
      </w:tr>
      <w:tr w14:paraId="39542C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bottom"/>
          </w:tcPr>
          <w:p w14:paraId="7B0CCF25">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r>
              <w:rPr>
                <w:rFonts w:ascii="仿宋" w:hAnsi="仿宋" w:eastAsia="仿宋" w:cs="仿宋"/>
                <w:bCs/>
                <w:color w:val="auto"/>
                <w:kern w:val="0"/>
                <w:sz w:val="28"/>
                <w:szCs w:val="28"/>
                <w:highlight w:val="none"/>
              </w:rPr>
              <w:t>2</w:t>
            </w:r>
          </w:p>
        </w:tc>
        <w:tc>
          <w:tcPr>
            <w:tcW w:w="2254" w:type="dxa"/>
            <w:tcBorders>
              <w:top w:val="single" w:color="auto" w:sz="4" w:space="0"/>
              <w:left w:val="single" w:color="auto" w:sz="4" w:space="0"/>
              <w:bottom w:val="single" w:color="auto" w:sz="4" w:space="0"/>
              <w:right w:val="single" w:color="auto" w:sz="4" w:space="0"/>
            </w:tcBorders>
            <w:vAlign w:val="center"/>
          </w:tcPr>
          <w:p w14:paraId="16DE7CF4">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7267" w:type="dxa"/>
            <w:tcBorders>
              <w:top w:val="single" w:color="auto" w:sz="4" w:space="0"/>
              <w:left w:val="single" w:color="auto" w:sz="4" w:space="0"/>
              <w:bottom w:val="single" w:color="auto" w:sz="4" w:space="0"/>
            </w:tcBorders>
            <w:vAlign w:val="center"/>
          </w:tcPr>
          <w:p w14:paraId="685A6322">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285A50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119118E">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r>
              <w:rPr>
                <w:rFonts w:ascii="仿宋" w:hAnsi="仿宋" w:eastAsia="仿宋" w:cs="仿宋"/>
                <w:bCs/>
                <w:color w:val="auto"/>
                <w:kern w:val="0"/>
                <w:sz w:val="28"/>
                <w:szCs w:val="28"/>
                <w:highlight w:val="none"/>
              </w:rPr>
              <w:t>3</w:t>
            </w:r>
          </w:p>
        </w:tc>
        <w:tc>
          <w:tcPr>
            <w:tcW w:w="2254" w:type="dxa"/>
            <w:tcBorders>
              <w:top w:val="single" w:color="auto" w:sz="4" w:space="0"/>
              <w:left w:val="single" w:color="auto" w:sz="4" w:space="0"/>
              <w:bottom w:val="single" w:color="auto" w:sz="4" w:space="0"/>
              <w:right w:val="single" w:color="auto" w:sz="4" w:space="0"/>
            </w:tcBorders>
            <w:vAlign w:val="bottom"/>
          </w:tcPr>
          <w:p w14:paraId="3C13EC8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7267" w:type="dxa"/>
            <w:tcBorders>
              <w:top w:val="single" w:color="auto" w:sz="4" w:space="0"/>
              <w:left w:val="single" w:color="auto" w:sz="4" w:space="0"/>
              <w:bottom w:val="single" w:color="auto" w:sz="4" w:space="0"/>
            </w:tcBorders>
            <w:vAlign w:val="bottom"/>
          </w:tcPr>
          <w:p w14:paraId="66E45940">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不组织</w:t>
            </w:r>
          </w:p>
        </w:tc>
      </w:tr>
      <w:tr w14:paraId="3338480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06768ED">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r>
              <w:rPr>
                <w:rFonts w:ascii="仿宋" w:hAnsi="仿宋" w:eastAsia="仿宋" w:cs="仿宋"/>
                <w:bCs/>
                <w:color w:val="auto"/>
                <w:kern w:val="0"/>
                <w:sz w:val="28"/>
                <w:szCs w:val="28"/>
                <w:highlight w:val="none"/>
              </w:rPr>
              <w:t>4</w:t>
            </w:r>
          </w:p>
        </w:tc>
        <w:tc>
          <w:tcPr>
            <w:tcW w:w="2254" w:type="dxa"/>
            <w:tcBorders>
              <w:top w:val="single" w:color="auto" w:sz="4" w:space="0"/>
              <w:left w:val="single" w:color="auto" w:sz="4" w:space="0"/>
              <w:bottom w:val="single" w:color="auto" w:sz="4" w:space="0"/>
              <w:right w:val="single" w:color="auto" w:sz="4" w:space="0"/>
            </w:tcBorders>
            <w:vAlign w:val="center"/>
          </w:tcPr>
          <w:p w14:paraId="4B04208A">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现场演示</w:t>
            </w:r>
          </w:p>
        </w:tc>
        <w:tc>
          <w:tcPr>
            <w:tcW w:w="7267" w:type="dxa"/>
            <w:tcBorders>
              <w:top w:val="single" w:color="auto" w:sz="4" w:space="0"/>
              <w:left w:val="single" w:color="auto" w:sz="4" w:space="0"/>
              <w:bottom w:val="single" w:color="auto" w:sz="4" w:space="0"/>
            </w:tcBorders>
            <w:vAlign w:val="center"/>
          </w:tcPr>
          <w:p w14:paraId="1A4B2ECC">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477F5B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754BEA6">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r>
              <w:rPr>
                <w:rFonts w:ascii="仿宋" w:hAnsi="仿宋" w:eastAsia="仿宋" w:cs="仿宋"/>
                <w:bCs/>
                <w:color w:val="auto"/>
                <w:kern w:val="0"/>
                <w:sz w:val="28"/>
                <w:szCs w:val="28"/>
                <w:highlight w:val="none"/>
              </w:rPr>
              <w:t>5</w:t>
            </w:r>
          </w:p>
        </w:tc>
        <w:tc>
          <w:tcPr>
            <w:tcW w:w="2254" w:type="dxa"/>
            <w:tcBorders>
              <w:top w:val="single" w:color="auto" w:sz="4" w:space="0"/>
              <w:left w:val="single" w:color="auto" w:sz="4" w:space="0"/>
              <w:bottom w:val="single" w:color="auto" w:sz="4" w:space="0"/>
              <w:right w:val="single" w:color="auto" w:sz="4" w:space="0"/>
            </w:tcBorders>
            <w:vAlign w:val="center"/>
          </w:tcPr>
          <w:p w14:paraId="7D77755F">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7267" w:type="dxa"/>
            <w:tcBorders>
              <w:top w:val="single" w:color="auto" w:sz="4" w:space="0"/>
              <w:left w:val="single" w:color="auto" w:sz="4" w:space="0"/>
              <w:bottom w:val="single" w:color="auto" w:sz="4" w:space="0"/>
            </w:tcBorders>
            <w:vAlign w:val="center"/>
          </w:tcPr>
          <w:p w14:paraId="0176B637">
            <w:pPr>
              <w:spacing w:line="460" w:lineRule="exact"/>
              <w:rPr>
                <w:rFonts w:ascii="仿宋" w:hAnsi="仿宋" w:eastAsia="仿宋" w:cs="仿宋"/>
                <w:color w:val="auto"/>
                <w:sz w:val="28"/>
                <w:szCs w:val="28"/>
                <w:highlight w:val="none"/>
              </w:rPr>
            </w:pPr>
            <w:bookmarkStart w:id="12" w:name="OLE_LINK10"/>
            <w:bookmarkStart w:id="13" w:name="OLE_LINK9"/>
            <w:r>
              <w:rPr>
                <w:rFonts w:hint="eastAsia" w:ascii="仿宋" w:hAnsi="仿宋" w:eastAsia="仿宋" w:cs="仿宋"/>
                <w:color w:val="auto"/>
                <w:sz w:val="28"/>
                <w:szCs w:val="28"/>
                <w:highlight w:val="none"/>
              </w:rPr>
              <w:t>开标之日起90天</w:t>
            </w:r>
            <w:bookmarkEnd w:id="12"/>
            <w:bookmarkEnd w:id="13"/>
          </w:p>
        </w:tc>
      </w:tr>
      <w:tr w14:paraId="21B598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920E948">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r>
              <w:rPr>
                <w:rFonts w:ascii="仿宋" w:hAnsi="仿宋" w:eastAsia="仿宋" w:cs="仿宋"/>
                <w:bCs/>
                <w:color w:val="auto"/>
                <w:kern w:val="0"/>
                <w:sz w:val="28"/>
                <w:szCs w:val="28"/>
                <w:highlight w:val="none"/>
              </w:rPr>
              <w:t>6</w:t>
            </w:r>
          </w:p>
        </w:tc>
        <w:tc>
          <w:tcPr>
            <w:tcW w:w="2254" w:type="dxa"/>
            <w:tcBorders>
              <w:top w:val="single" w:color="auto" w:sz="4" w:space="0"/>
              <w:left w:val="single" w:color="auto" w:sz="4" w:space="0"/>
              <w:bottom w:val="single" w:color="auto" w:sz="4" w:space="0"/>
              <w:right w:val="single" w:color="auto" w:sz="4" w:space="0"/>
            </w:tcBorders>
            <w:vAlign w:val="center"/>
          </w:tcPr>
          <w:p w14:paraId="44E59DE7">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投标文件递交时间及地点</w:t>
            </w:r>
          </w:p>
        </w:tc>
        <w:tc>
          <w:tcPr>
            <w:tcW w:w="7267" w:type="dxa"/>
            <w:tcBorders>
              <w:top w:val="single" w:color="auto" w:sz="4" w:space="0"/>
              <w:left w:val="single" w:color="auto" w:sz="4" w:space="0"/>
              <w:bottom w:val="single" w:color="auto" w:sz="4" w:space="0"/>
            </w:tcBorders>
            <w:vAlign w:val="center"/>
          </w:tcPr>
          <w:p w14:paraId="4417DDE4">
            <w:pPr>
              <w:numPr>
                <w:ilvl w:val="0"/>
                <w:numId w:val="4"/>
              </w:numPr>
              <w:wordWrap w:val="0"/>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电子投标文件提交时间：详见招标公告</w:t>
            </w:r>
          </w:p>
          <w:p w14:paraId="7996F390">
            <w:pPr>
              <w:wordWrap w:val="0"/>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_GB2312" w:hAnsi="宋体" w:eastAsia="仿宋_GB2312"/>
                <w:color w:val="auto"/>
                <w:sz w:val="28"/>
                <w:szCs w:val="28"/>
                <w:highlight w:val="none"/>
              </w:rPr>
              <w:t>以国企阳光采购平台具体显示时间为准</w:t>
            </w:r>
            <w:r>
              <w:rPr>
                <w:rFonts w:hint="eastAsia" w:ascii="仿宋" w:hAnsi="仿宋" w:eastAsia="仿宋" w:cs="仿宋"/>
                <w:color w:val="auto"/>
                <w:sz w:val="28"/>
                <w:szCs w:val="28"/>
                <w:highlight w:val="none"/>
              </w:rPr>
              <w:t>）递交网址：登录“威海市公共资源交易网”首页右侧“交易服务一网通办系统-（新版）一网通办系统”进行“平台切换”点击“国企采购”进入国企阳光采购平台进行递交。</w:t>
            </w:r>
          </w:p>
          <w:p w14:paraId="3501F408">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纸质投标文件递交：基于档案整理的要求，请各投标单位将带水印码的纸质投标文件胶装成册于开标后三日内（一式两份）递交至招标代理公司（或以邮寄的方式进行递交），接收人：丁岩庆，联系电话：0631-5234516，地址：山东达信招标代理有限公司（威海火炬高技术产业开发区田和街道世昌大道-307-1号6楼）。</w:t>
            </w:r>
          </w:p>
        </w:tc>
      </w:tr>
      <w:tr w14:paraId="5E4C8F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E19EDD0">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r>
              <w:rPr>
                <w:rFonts w:ascii="仿宋" w:hAnsi="仿宋" w:eastAsia="仿宋" w:cs="仿宋"/>
                <w:bCs/>
                <w:color w:val="auto"/>
                <w:kern w:val="0"/>
                <w:sz w:val="28"/>
                <w:szCs w:val="28"/>
                <w:highlight w:val="none"/>
              </w:rPr>
              <w:t>7</w:t>
            </w:r>
          </w:p>
        </w:tc>
        <w:tc>
          <w:tcPr>
            <w:tcW w:w="2254" w:type="dxa"/>
            <w:tcBorders>
              <w:top w:val="single" w:color="auto" w:sz="4" w:space="0"/>
              <w:left w:val="single" w:color="auto" w:sz="4" w:space="0"/>
              <w:bottom w:val="single" w:color="auto" w:sz="4" w:space="0"/>
              <w:right w:val="single" w:color="auto" w:sz="4" w:space="0"/>
            </w:tcBorders>
            <w:vAlign w:val="center"/>
          </w:tcPr>
          <w:p w14:paraId="362E013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7267" w:type="dxa"/>
            <w:tcBorders>
              <w:top w:val="single" w:color="auto" w:sz="4" w:space="0"/>
              <w:left w:val="single" w:color="auto" w:sz="4" w:space="0"/>
              <w:bottom w:val="single" w:color="auto" w:sz="4" w:space="0"/>
            </w:tcBorders>
            <w:vAlign w:val="center"/>
          </w:tcPr>
          <w:p w14:paraId="6D6AC83E">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详见招标公告</w:t>
            </w:r>
          </w:p>
        </w:tc>
      </w:tr>
      <w:tr w14:paraId="6312A7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A5186BD">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r>
              <w:rPr>
                <w:rFonts w:ascii="仿宋" w:hAnsi="仿宋" w:eastAsia="仿宋" w:cs="仿宋"/>
                <w:bCs/>
                <w:color w:val="auto"/>
                <w:kern w:val="0"/>
                <w:sz w:val="28"/>
                <w:szCs w:val="28"/>
                <w:highlight w:val="none"/>
              </w:rPr>
              <w:t>8</w:t>
            </w:r>
          </w:p>
        </w:tc>
        <w:tc>
          <w:tcPr>
            <w:tcW w:w="2254" w:type="dxa"/>
            <w:tcBorders>
              <w:top w:val="single" w:color="auto" w:sz="4" w:space="0"/>
              <w:left w:val="single" w:color="auto" w:sz="4" w:space="0"/>
              <w:bottom w:val="single" w:color="auto" w:sz="4" w:space="0"/>
              <w:right w:val="single" w:color="auto" w:sz="4" w:space="0"/>
            </w:tcBorders>
            <w:vAlign w:val="center"/>
          </w:tcPr>
          <w:p w14:paraId="156ED861">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7267" w:type="dxa"/>
            <w:tcBorders>
              <w:top w:val="single" w:color="auto" w:sz="4" w:space="0"/>
              <w:left w:val="single" w:color="auto" w:sz="4" w:space="0"/>
              <w:bottom w:val="single" w:color="auto" w:sz="4" w:space="0"/>
            </w:tcBorders>
            <w:vAlign w:val="center"/>
          </w:tcPr>
          <w:p w14:paraId="1D0F4066">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详见招标公告</w:t>
            </w:r>
          </w:p>
        </w:tc>
      </w:tr>
      <w:tr w14:paraId="1145CF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5BAEFEE2">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1</w:t>
            </w:r>
            <w:r>
              <w:rPr>
                <w:rFonts w:ascii="仿宋" w:hAnsi="仿宋" w:eastAsia="仿宋" w:cs="仿宋"/>
                <w:bCs/>
                <w:color w:val="auto"/>
                <w:kern w:val="0"/>
                <w:sz w:val="28"/>
                <w:szCs w:val="28"/>
                <w:highlight w:val="none"/>
              </w:rPr>
              <w:t>9</w:t>
            </w:r>
          </w:p>
        </w:tc>
        <w:tc>
          <w:tcPr>
            <w:tcW w:w="2254" w:type="dxa"/>
            <w:tcBorders>
              <w:top w:val="single" w:color="auto" w:sz="4" w:space="0"/>
              <w:left w:val="single" w:color="auto" w:sz="4" w:space="0"/>
              <w:bottom w:val="single" w:color="auto" w:sz="4" w:space="0"/>
              <w:right w:val="single" w:color="auto" w:sz="4" w:space="0"/>
            </w:tcBorders>
            <w:vAlign w:val="center"/>
          </w:tcPr>
          <w:p w14:paraId="04BBCE64">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7267" w:type="dxa"/>
            <w:tcBorders>
              <w:top w:val="single" w:color="auto" w:sz="4" w:space="0"/>
              <w:left w:val="single" w:color="auto" w:sz="4" w:space="0"/>
              <w:bottom w:val="single" w:color="auto" w:sz="4" w:space="0"/>
            </w:tcBorders>
            <w:vAlign w:val="center"/>
          </w:tcPr>
          <w:p w14:paraId="54C725AD">
            <w:pPr>
              <w:spacing w:line="460" w:lineRule="exact"/>
              <w:rPr>
                <w:rFonts w:ascii="仿宋" w:hAnsi="仿宋" w:eastAsia="仿宋" w:cs="仿宋"/>
                <w:color w:val="auto"/>
                <w:sz w:val="28"/>
                <w:szCs w:val="28"/>
                <w:highlight w:val="none"/>
              </w:rPr>
            </w:pPr>
            <w:r>
              <w:rPr>
                <w:rFonts w:hint="eastAsia" w:ascii="仿宋" w:hAnsi="仿宋" w:eastAsia="仿宋" w:cs="仿宋"/>
                <w:color w:val="auto"/>
                <w:spacing w:val="8"/>
                <w:kern w:val="0"/>
                <w:sz w:val="28"/>
                <w:szCs w:val="28"/>
                <w:highlight w:val="none"/>
              </w:rPr>
              <w:t>本项目实行全流程电子化，实行远程解密，投标人无需到现场，并保持通讯畅通，</w:t>
            </w:r>
            <w:r>
              <w:rPr>
                <w:rFonts w:hint="eastAsia" w:ascii="仿宋" w:hAnsi="仿宋" w:eastAsia="仿宋" w:cs="仿宋"/>
                <w:b/>
                <w:bCs/>
                <w:color w:val="auto"/>
                <w:spacing w:val="8"/>
                <w:kern w:val="0"/>
                <w:sz w:val="28"/>
                <w:szCs w:val="28"/>
                <w:highlight w:val="none"/>
              </w:rPr>
              <w:t>提前在个人电脑上进</w:t>
            </w:r>
            <w:r>
              <w:rPr>
                <w:rFonts w:hint="eastAsia" w:ascii="仿宋" w:hAnsi="仿宋" w:eastAsia="仿宋" w:cs="仿宋"/>
                <w:b/>
                <w:color w:val="auto"/>
                <w:spacing w:val="8"/>
                <w:kern w:val="0"/>
                <w:sz w:val="28"/>
                <w:szCs w:val="28"/>
                <w:highlight w:val="none"/>
              </w:rPr>
              <w:t>行测试确保音频、视频功能可正常使用</w:t>
            </w:r>
            <w:r>
              <w:rPr>
                <w:rFonts w:hint="eastAsia" w:ascii="仿宋" w:hAnsi="仿宋" w:eastAsia="仿宋" w:cs="仿宋"/>
                <w:color w:val="auto"/>
                <w:spacing w:val="8"/>
                <w:kern w:val="0"/>
                <w:sz w:val="28"/>
                <w:szCs w:val="28"/>
                <w:highlight w:val="none"/>
              </w:rPr>
              <w:t>，</w:t>
            </w:r>
            <w:r>
              <w:rPr>
                <w:rFonts w:hint="eastAsia" w:ascii="仿宋" w:hAnsi="仿宋" w:eastAsia="仿宋" w:cs="仿宋"/>
                <w:b/>
                <w:bCs/>
                <w:color w:val="auto"/>
                <w:sz w:val="28"/>
                <w:szCs w:val="28"/>
                <w:highlight w:val="none"/>
              </w:rPr>
              <w:t>开评标期间需实时关注交易系统相关通知，且被授权人的联络方式应保持畅通。</w:t>
            </w:r>
            <w:r>
              <w:rPr>
                <w:rFonts w:hint="eastAsia" w:ascii="仿宋" w:hAnsi="仿宋" w:eastAsia="仿宋" w:cs="仿宋"/>
                <w:color w:val="auto"/>
                <w:spacing w:val="8"/>
                <w:kern w:val="0"/>
                <w:sz w:val="28"/>
                <w:szCs w:val="28"/>
                <w:highlight w:val="none"/>
              </w:rPr>
              <w:t>因通讯不畅造成的一切后果由投标人自行承担。</w:t>
            </w:r>
          </w:p>
        </w:tc>
      </w:tr>
      <w:tr w14:paraId="308E35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0DFDE664">
            <w:pPr>
              <w:widowControl/>
              <w:adjustRightInd w:val="0"/>
              <w:spacing w:line="460" w:lineRule="exact"/>
              <w:jc w:val="center"/>
              <w:rPr>
                <w:rFonts w:ascii="仿宋" w:hAnsi="仿宋" w:eastAsia="仿宋" w:cs="仿宋"/>
                <w:bCs/>
                <w:color w:val="auto"/>
                <w:kern w:val="0"/>
                <w:sz w:val="28"/>
                <w:szCs w:val="28"/>
                <w:highlight w:val="none"/>
              </w:rPr>
            </w:pPr>
            <w:r>
              <w:rPr>
                <w:rFonts w:ascii="仿宋" w:hAnsi="仿宋" w:eastAsia="仿宋" w:cs="仿宋"/>
                <w:bCs/>
                <w:color w:val="auto"/>
                <w:kern w:val="0"/>
                <w:sz w:val="28"/>
                <w:szCs w:val="28"/>
                <w:highlight w:val="none"/>
              </w:rPr>
              <w:t>20</w:t>
            </w:r>
          </w:p>
        </w:tc>
        <w:tc>
          <w:tcPr>
            <w:tcW w:w="2254" w:type="dxa"/>
            <w:tcBorders>
              <w:top w:val="single" w:color="auto" w:sz="4" w:space="0"/>
              <w:left w:val="single" w:color="auto" w:sz="4" w:space="0"/>
              <w:bottom w:val="single" w:color="auto" w:sz="4" w:space="0"/>
              <w:right w:val="single" w:color="auto" w:sz="4" w:space="0"/>
            </w:tcBorders>
            <w:vAlign w:val="center"/>
          </w:tcPr>
          <w:p w14:paraId="676C6AD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7267" w:type="dxa"/>
            <w:tcBorders>
              <w:top w:val="single" w:color="auto" w:sz="4" w:space="0"/>
              <w:left w:val="single" w:color="auto" w:sz="4" w:space="0"/>
              <w:bottom w:val="single" w:color="auto" w:sz="4" w:space="0"/>
            </w:tcBorders>
            <w:vAlign w:val="center"/>
          </w:tcPr>
          <w:p w14:paraId="65F2D8A8">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签到时间：解密结束前完成</w:t>
            </w:r>
          </w:p>
          <w:p w14:paraId="0B0D546B">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解密时间：开始解密后15分钟内完成，投标人随时关注交易系统，及时刷新页面，在规定时间内完成解密，未能按时完成解密的，将会被视为无效投标（响应）。</w:t>
            </w:r>
          </w:p>
          <w:p w14:paraId="79E7C206">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报价确认时间：发送开标一览表后5分钟内完成。</w:t>
            </w:r>
          </w:p>
        </w:tc>
      </w:tr>
      <w:tr w14:paraId="733D76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1475845">
            <w:pPr>
              <w:snapToGri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r>
              <w:rPr>
                <w:rFonts w:ascii="仿宋" w:hAnsi="仿宋" w:eastAsia="仿宋" w:cs="仿宋"/>
                <w:bCs/>
                <w:color w:val="auto"/>
                <w:kern w:val="0"/>
                <w:sz w:val="28"/>
                <w:szCs w:val="28"/>
                <w:highlight w:val="none"/>
              </w:rPr>
              <w:t>1</w:t>
            </w:r>
          </w:p>
        </w:tc>
        <w:tc>
          <w:tcPr>
            <w:tcW w:w="2254" w:type="dxa"/>
            <w:tcBorders>
              <w:top w:val="single" w:color="auto" w:sz="4" w:space="0"/>
              <w:left w:val="single" w:color="auto" w:sz="4" w:space="0"/>
              <w:bottom w:val="single" w:color="auto" w:sz="4" w:space="0"/>
              <w:right w:val="single" w:color="auto" w:sz="4" w:space="0"/>
            </w:tcBorders>
            <w:vAlign w:val="center"/>
          </w:tcPr>
          <w:p w14:paraId="4A2DA598">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7267" w:type="dxa"/>
            <w:tcBorders>
              <w:top w:val="single" w:color="auto" w:sz="4" w:space="0"/>
              <w:left w:val="single" w:color="auto" w:sz="4" w:space="0"/>
              <w:bottom w:val="single" w:color="auto" w:sz="4" w:space="0"/>
            </w:tcBorders>
            <w:vAlign w:val="center"/>
          </w:tcPr>
          <w:p w14:paraId="00364AAF">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441CEC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6FF4D29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r>
              <w:rPr>
                <w:rFonts w:ascii="仿宋" w:hAnsi="仿宋" w:eastAsia="仿宋" w:cs="仿宋"/>
                <w:bCs/>
                <w:color w:val="auto"/>
                <w:kern w:val="0"/>
                <w:sz w:val="28"/>
                <w:szCs w:val="28"/>
                <w:highlight w:val="none"/>
              </w:rPr>
              <w:t>2</w:t>
            </w:r>
          </w:p>
        </w:tc>
        <w:tc>
          <w:tcPr>
            <w:tcW w:w="2254" w:type="dxa"/>
            <w:tcBorders>
              <w:top w:val="single" w:color="auto" w:sz="4" w:space="0"/>
              <w:left w:val="single" w:color="auto" w:sz="4" w:space="0"/>
              <w:bottom w:val="single" w:color="auto" w:sz="4" w:space="0"/>
              <w:right w:val="single" w:color="auto" w:sz="4" w:space="0"/>
            </w:tcBorders>
            <w:vAlign w:val="center"/>
          </w:tcPr>
          <w:p w14:paraId="35706D22">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评标办法</w:t>
            </w:r>
          </w:p>
        </w:tc>
        <w:tc>
          <w:tcPr>
            <w:tcW w:w="7267" w:type="dxa"/>
            <w:tcBorders>
              <w:top w:val="single" w:color="auto" w:sz="4" w:space="0"/>
              <w:left w:val="single" w:color="auto" w:sz="4" w:space="0"/>
              <w:bottom w:val="single" w:color="auto" w:sz="4" w:space="0"/>
            </w:tcBorders>
            <w:vAlign w:val="center"/>
          </w:tcPr>
          <w:p w14:paraId="0F36971B">
            <w:pPr>
              <w:snapToGrid w:val="0"/>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2A73835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73B3276">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r>
              <w:rPr>
                <w:rFonts w:ascii="仿宋" w:hAnsi="仿宋" w:eastAsia="仿宋" w:cs="仿宋"/>
                <w:bCs/>
                <w:color w:val="auto"/>
                <w:kern w:val="0"/>
                <w:sz w:val="28"/>
                <w:szCs w:val="28"/>
                <w:highlight w:val="none"/>
              </w:rPr>
              <w:t>3</w:t>
            </w:r>
          </w:p>
        </w:tc>
        <w:tc>
          <w:tcPr>
            <w:tcW w:w="2254" w:type="dxa"/>
            <w:tcBorders>
              <w:top w:val="single" w:color="auto" w:sz="4" w:space="0"/>
              <w:left w:val="single" w:color="auto" w:sz="4" w:space="0"/>
              <w:bottom w:val="single" w:color="auto" w:sz="4" w:space="0"/>
              <w:right w:val="single" w:color="auto" w:sz="4" w:space="0"/>
            </w:tcBorders>
            <w:vAlign w:val="center"/>
          </w:tcPr>
          <w:p w14:paraId="442AB18C">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联合体投标</w:t>
            </w:r>
          </w:p>
        </w:tc>
        <w:tc>
          <w:tcPr>
            <w:tcW w:w="7267" w:type="dxa"/>
            <w:tcBorders>
              <w:top w:val="single" w:color="auto" w:sz="4" w:space="0"/>
              <w:left w:val="single" w:color="auto" w:sz="4" w:space="0"/>
              <w:bottom w:val="single" w:color="auto" w:sz="4" w:space="0"/>
            </w:tcBorders>
            <w:vAlign w:val="center"/>
          </w:tcPr>
          <w:p w14:paraId="604F2967">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542648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AF4489D">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r>
              <w:rPr>
                <w:rFonts w:ascii="仿宋" w:hAnsi="仿宋" w:eastAsia="仿宋" w:cs="仿宋"/>
                <w:bCs/>
                <w:color w:val="auto"/>
                <w:kern w:val="0"/>
                <w:sz w:val="28"/>
                <w:szCs w:val="28"/>
                <w:highlight w:val="none"/>
              </w:rPr>
              <w:t>4</w:t>
            </w:r>
          </w:p>
        </w:tc>
        <w:tc>
          <w:tcPr>
            <w:tcW w:w="2254" w:type="dxa"/>
            <w:tcBorders>
              <w:top w:val="single" w:color="auto" w:sz="4" w:space="0"/>
              <w:left w:val="single" w:color="auto" w:sz="4" w:space="0"/>
              <w:bottom w:val="single" w:color="auto" w:sz="4" w:space="0"/>
              <w:right w:val="single" w:color="auto" w:sz="4" w:space="0"/>
            </w:tcBorders>
            <w:vAlign w:val="center"/>
          </w:tcPr>
          <w:p w14:paraId="6B647D15">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分（转）包</w:t>
            </w:r>
          </w:p>
        </w:tc>
        <w:tc>
          <w:tcPr>
            <w:tcW w:w="7267" w:type="dxa"/>
            <w:tcBorders>
              <w:top w:val="single" w:color="auto" w:sz="4" w:space="0"/>
              <w:left w:val="single" w:color="auto" w:sz="4" w:space="0"/>
              <w:bottom w:val="single" w:color="auto" w:sz="4" w:space="0"/>
            </w:tcBorders>
            <w:vAlign w:val="center"/>
          </w:tcPr>
          <w:p w14:paraId="5EF52C68">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23BECF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16C00CDD">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r>
              <w:rPr>
                <w:rFonts w:ascii="仿宋" w:hAnsi="仿宋" w:eastAsia="仿宋" w:cs="仿宋"/>
                <w:bCs/>
                <w:color w:val="auto"/>
                <w:kern w:val="0"/>
                <w:sz w:val="28"/>
                <w:szCs w:val="28"/>
                <w:highlight w:val="none"/>
              </w:rPr>
              <w:t>5</w:t>
            </w:r>
          </w:p>
        </w:tc>
        <w:tc>
          <w:tcPr>
            <w:tcW w:w="2254" w:type="dxa"/>
            <w:tcBorders>
              <w:top w:val="single" w:color="auto" w:sz="4" w:space="0"/>
              <w:left w:val="single" w:color="auto" w:sz="4" w:space="0"/>
              <w:bottom w:val="single" w:color="auto" w:sz="4" w:space="0"/>
              <w:right w:val="single" w:color="auto" w:sz="4" w:space="0"/>
            </w:tcBorders>
            <w:vAlign w:val="center"/>
          </w:tcPr>
          <w:p w14:paraId="3390227C">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7267" w:type="dxa"/>
            <w:tcBorders>
              <w:top w:val="single" w:color="auto" w:sz="4" w:space="0"/>
              <w:left w:val="single" w:color="auto" w:sz="4" w:space="0"/>
              <w:bottom w:val="single" w:color="auto" w:sz="4" w:space="0"/>
            </w:tcBorders>
            <w:vAlign w:val="center"/>
          </w:tcPr>
          <w:p w14:paraId="1DC0106E">
            <w:pPr>
              <w:snapToGrid w:val="0"/>
              <w:spacing w:line="360" w:lineRule="auto"/>
              <w:jc w:val="left"/>
              <w:rPr>
                <w:rFonts w:ascii="仿宋" w:hAnsi="仿宋" w:eastAsia="仿宋" w:cs="仿宋"/>
                <w:color w:val="auto"/>
                <w:sz w:val="28"/>
                <w:szCs w:val="28"/>
                <w:highlight w:val="none"/>
              </w:rPr>
            </w:pPr>
            <w:bookmarkStart w:id="14" w:name="_Hlk58068062"/>
            <w:r>
              <w:rPr>
                <w:rFonts w:hint="eastAsia" w:ascii="仿宋" w:hAnsi="仿宋" w:eastAsia="仿宋" w:cs="仿宋"/>
                <w:color w:val="auto"/>
                <w:sz w:val="28"/>
                <w:szCs w:val="28"/>
                <w:highlight w:val="none"/>
              </w:rPr>
              <w:t>1.本项目投标保证金：人民币</w:t>
            </w:r>
            <w:r>
              <w:rPr>
                <w:rFonts w:ascii="仿宋" w:hAnsi="仿宋" w:eastAsia="仿宋" w:cs="仿宋"/>
                <w:color w:val="auto"/>
                <w:sz w:val="28"/>
                <w:szCs w:val="28"/>
                <w:highlight w:val="none"/>
              </w:rPr>
              <w:t>3</w:t>
            </w:r>
            <w:r>
              <w:rPr>
                <w:rFonts w:hint="eastAsia" w:ascii="仿宋" w:hAnsi="仿宋" w:eastAsia="仿宋" w:cs="仿宋"/>
                <w:color w:val="auto"/>
                <w:sz w:val="28"/>
                <w:szCs w:val="28"/>
                <w:highlight w:val="none"/>
              </w:rPr>
              <w:t>000.00元。</w:t>
            </w:r>
          </w:p>
          <w:p w14:paraId="15568335">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2.交纳截止时间：电子投标文件提交截止时间前。</w:t>
            </w:r>
          </w:p>
          <w:p w14:paraId="4A23159E">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3.投标保证金的交纳单位必须与投标人名称一致，否则其投标无效。</w:t>
            </w:r>
          </w:p>
          <w:p w14:paraId="4E8E9446">
            <w:pPr>
              <w:snapToGrid w:val="0"/>
              <w:spacing w:line="360" w:lineRule="auto"/>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0244620A">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5.为确保投标工作有序进行，投标保证金应当在提交投标文件截止时间前（以到账时间为准）到达</w:t>
            </w:r>
            <w:r>
              <w:rPr>
                <w:rFonts w:hint="eastAsia" w:ascii="仿宋" w:hAnsi="仿宋" w:eastAsia="仿宋" w:cs="仿宋"/>
                <w:b/>
                <w:bCs/>
                <w:color w:val="auto"/>
                <w:sz w:val="28"/>
                <w:szCs w:val="28"/>
                <w:highlight w:val="none"/>
              </w:rPr>
              <w:t>威海公共资源交易服务有限公司</w:t>
            </w:r>
            <w:r>
              <w:rPr>
                <w:rFonts w:hint="eastAsia" w:ascii="仿宋" w:hAnsi="仿宋" w:eastAsia="仿宋" w:cs="仿宋"/>
                <w:color w:val="auto"/>
                <w:sz w:val="28"/>
                <w:szCs w:val="28"/>
                <w:highlight w:val="none"/>
              </w:rPr>
              <w:t>账户，以网银、电汇等方式一次性足额交纳保证金，不接受支付宝等第三方平台转账。禁止第三方代交。投标保证金交纳单位应与提交投标文件的投标人名称一致。</w:t>
            </w:r>
          </w:p>
          <w:p w14:paraId="260074C9">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为确保投标人投标保证金及时足额到账，请尽量提前交纳保证金，由于银行系统原因，请至少在提交投标文件截止时间前12小时将保证金汇出。如不按招标文件和系统使用指南操作，导致开标过程中威海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bookmarkEnd w:id="14"/>
          </w:p>
          <w:p w14:paraId="330C1B5D">
            <w:pPr>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7.退还保证金：</w:t>
            </w:r>
            <w:r>
              <w:rPr>
                <w:rFonts w:hint="eastAsia" w:ascii="仿宋" w:hAnsi="仿宋" w:eastAsia="仿宋" w:cs="仿宋"/>
                <w:color w:val="auto"/>
                <w:sz w:val="28"/>
                <w:szCs w:val="28"/>
                <w:highlight w:val="none"/>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31C70F6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9348B5C">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r>
              <w:rPr>
                <w:rFonts w:ascii="仿宋" w:hAnsi="仿宋" w:eastAsia="仿宋" w:cs="仿宋"/>
                <w:bCs/>
                <w:color w:val="auto"/>
                <w:kern w:val="0"/>
                <w:sz w:val="28"/>
                <w:szCs w:val="28"/>
                <w:highlight w:val="none"/>
              </w:rPr>
              <w:t>6</w:t>
            </w:r>
          </w:p>
        </w:tc>
        <w:tc>
          <w:tcPr>
            <w:tcW w:w="2254" w:type="dxa"/>
            <w:tcBorders>
              <w:top w:val="single" w:color="auto" w:sz="4" w:space="0"/>
              <w:left w:val="single" w:color="auto" w:sz="4" w:space="0"/>
              <w:bottom w:val="single" w:color="auto" w:sz="4" w:space="0"/>
              <w:right w:val="single" w:color="auto" w:sz="4" w:space="0"/>
            </w:tcBorders>
            <w:vAlign w:val="center"/>
          </w:tcPr>
          <w:p w14:paraId="27826CBE">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7267" w:type="dxa"/>
            <w:tcBorders>
              <w:top w:val="single" w:color="auto" w:sz="4" w:space="0"/>
              <w:left w:val="single" w:color="auto" w:sz="4" w:space="0"/>
              <w:bottom w:val="single" w:color="auto" w:sz="4" w:space="0"/>
            </w:tcBorders>
            <w:vAlign w:val="center"/>
          </w:tcPr>
          <w:p w14:paraId="08F28E09">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tc>
      </w:tr>
      <w:tr w14:paraId="1B56CD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8F5010B">
            <w:pPr>
              <w:snapToGrid w:val="0"/>
              <w:spacing w:line="360" w:lineRule="auto"/>
              <w:jc w:val="center"/>
              <w:rPr>
                <w:rFonts w:ascii="仿宋" w:hAnsi="仿宋" w:eastAsia="仿宋" w:cs="仿宋"/>
                <w:bCs/>
                <w:color w:val="auto"/>
                <w:kern w:val="0"/>
                <w:sz w:val="28"/>
                <w:szCs w:val="28"/>
                <w:highlight w:val="none"/>
              </w:rPr>
            </w:pPr>
            <w:r>
              <w:rPr>
                <w:rFonts w:hint="eastAsia" w:ascii="仿宋" w:hAnsi="仿宋" w:eastAsia="仿宋" w:cs="仿宋"/>
                <w:color w:val="auto"/>
                <w:sz w:val="28"/>
                <w:szCs w:val="28"/>
                <w:highlight w:val="none"/>
              </w:rPr>
              <w:t>2</w:t>
            </w:r>
            <w:r>
              <w:rPr>
                <w:rFonts w:ascii="仿宋" w:hAnsi="仿宋" w:eastAsia="仿宋" w:cs="仿宋"/>
                <w:color w:val="auto"/>
                <w:sz w:val="28"/>
                <w:szCs w:val="28"/>
                <w:highlight w:val="none"/>
              </w:rPr>
              <w:t>7</w:t>
            </w:r>
          </w:p>
        </w:tc>
        <w:tc>
          <w:tcPr>
            <w:tcW w:w="2254" w:type="dxa"/>
            <w:tcBorders>
              <w:top w:val="single" w:color="auto" w:sz="4" w:space="0"/>
              <w:left w:val="single" w:color="auto" w:sz="4" w:space="0"/>
              <w:bottom w:val="single" w:color="auto" w:sz="4" w:space="0"/>
              <w:right w:val="single" w:color="auto" w:sz="4" w:space="0"/>
            </w:tcBorders>
            <w:vAlign w:val="center"/>
          </w:tcPr>
          <w:p w14:paraId="762E097B">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r>
              <w:rPr>
                <w:rFonts w:hint="eastAsia" w:ascii="仿宋" w:hAnsi="仿宋" w:eastAsia="仿宋" w:cs="仿宋"/>
                <w:color w:val="auto"/>
                <w:sz w:val="28"/>
                <w:szCs w:val="28"/>
                <w:highlight w:val="none"/>
              </w:rPr>
              <w:tab/>
            </w:r>
          </w:p>
        </w:tc>
        <w:tc>
          <w:tcPr>
            <w:tcW w:w="7267" w:type="dxa"/>
            <w:tcBorders>
              <w:top w:val="single" w:color="auto" w:sz="4" w:space="0"/>
              <w:left w:val="single" w:color="auto" w:sz="4" w:space="0"/>
              <w:bottom w:val="single" w:color="auto" w:sz="4" w:space="0"/>
            </w:tcBorders>
            <w:vAlign w:val="center"/>
          </w:tcPr>
          <w:p w14:paraId="388D46BF">
            <w:pPr>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见合同范本</w:t>
            </w:r>
          </w:p>
        </w:tc>
      </w:tr>
      <w:tr w14:paraId="3798D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2FA7969F">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r>
              <w:rPr>
                <w:rFonts w:ascii="仿宋" w:hAnsi="仿宋" w:eastAsia="仿宋" w:cs="仿宋"/>
                <w:bCs/>
                <w:color w:val="auto"/>
                <w:kern w:val="0"/>
                <w:sz w:val="28"/>
                <w:szCs w:val="28"/>
                <w:highlight w:val="none"/>
              </w:rPr>
              <w:t>8</w:t>
            </w:r>
          </w:p>
        </w:tc>
        <w:tc>
          <w:tcPr>
            <w:tcW w:w="2254" w:type="dxa"/>
            <w:tcBorders>
              <w:top w:val="single" w:color="auto" w:sz="4" w:space="0"/>
              <w:left w:val="single" w:color="auto" w:sz="4" w:space="0"/>
              <w:bottom w:val="single" w:color="auto" w:sz="4" w:space="0"/>
              <w:right w:val="single" w:color="auto" w:sz="4" w:space="0"/>
            </w:tcBorders>
            <w:vAlign w:val="center"/>
          </w:tcPr>
          <w:p w14:paraId="0A2483FD">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7267" w:type="dxa"/>
            <w:tcBorders>
              <w:top w:val="single" w:color="auto" w:sz="4" w:space="0"/>
              <w:left w:val="single" w:color="auto" w:sz="4" w:space="0"/>
              <w:bottom w:val="single" w:color="auto" w:sz="4" w:space="0"/>
            </w:tcBorders>
            <w:vAlign w:val="center"/>
          </w:tcPr>
          <w:p w14:paraId="7EB391F6">
            <w:pPr>
              <w:spacing w:line="500" w:lineRule="exact"/>
              <w:rPr>
                <w:rFonts w:ascii="仿宋" w:hAnsi="仿宋" w:eastAsia="仿宋"/>
                <w:color w:val="auto"/>
                <w:sz w:val="28"/>
                <w:szCs w:val="28"/>
                <w:highlight w:val="none"/>
              </w:rPr>
            </w:pPr>
            <w:r>
              <w:rPr>
                <w:rFonts w:hint="eastAsia" w:ascii="仿宋" w:hAnsi="仿宋" w:eastAsia="仿宋"/>
                <w:color w:val="auto"/>
                <w:sz w:val="28"/>
                <w:szCs w:val="28"/>
                <w:highlight w:val="none"/>
              </w:rPr>
              <w:t>以中标人的中标金额为基数，参照原国家发展计划委员会【2002】1980号文件《招标代理服务收费管理暂行办法》及发改办价格[2003]857号文件《国家发展改革委办公厅关于招标代理服务费收取有关问题的通知》规定标准的80%收取</w:t>
            </w:r>
            <w:r>
              <w:rPr>
                <w:rFonts w:ascii="仿宋" w:hAnsi="仿宋" w:eastAsia="仿宋"/>
                <w:color w:val="auto"/>
                <w:sz w:val="28"/>
                <w:szCs w:val="28"/>
                <w:highlight w:val="none"/>
              </w:rPr>
              <w:t>，由中标单位在领取中标通知书的同时向招标代理机构支付</w:t>
            </w:r>
            <w:r>
              <w:rPr>
                <w:rFonts w:hint="eastAsia" w:ascii="仿宋" w:hAnsi="仿宋" w:eastAsia="仿宋"/>
                <w:color w:val="auto"/>
                <w:sz w:val="28"/>
                <w:szCs w:val="28"/>
                <w:highlight w:val="none"/>
              </w:rPr>
              <w:t>。</w:t>
            </w:r>
          </w:p>
        </w:tc>
      </w:tr>
      <w:tr w14:paraId="7611C7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73E2C51C">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2</w:t>
            </w:r>
            <w:r>
              <w:rPr>
                <w:rFonts w:ascii="仿宋" w:hAnsi="仿宋" w:eastAsia="仿宋" w:cs="仿宋"/>
                <w:bCs/>
                <w:color w:val="auto"/>
                <w:kern w:val="0"/>
                <w:sz w:val="28"/>
                <w:szCs w:val="28"/>
                <w:highlight w:val="none"/>
              </w:rPr>
              <w:t>9</w:t>
            </w:r>
          </w:p>
        </w:tc>
        <w:tc>
          <w:tcPr>
            <w:tcW w:w="2254" w:type="dxa"/>
            <w:tcBorders>
              <w:top w:val="single" w:color="auto" w:sz="4" w:space="0"/>
              <w:left w:val="single" w:color="auto" w:sz="4" w:space="0"/>
              <w:bottom w:val="single" w:color="auto" w:sz="4" w:space="0"/>
              <w:right w:val="single" w:color="auto" w:sz="4" w:space="0"/>
            </w:tcBorders>
            <w:vAlign w:val="center"/>
          </w:tcPr>
          <w:p w14:paraId="0BB17DC6">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专家评审费</w:t>
            </w:r>
          </w:p>
        </w:tc>
        <w:tc>
          <w:tcPr>
            <w:tcW w:w="7267" w:type="dxa"/>
            <w:tcBorders>
              <w:top w:val="single" w:color="auto" w:sz="4" w:space="0"/>
              <w:left w:val="single" w:color="auto" w:sz="4" w:space="0"/>
              <w:bottom w:val="single" w:color="auto" w:sz="4" w:space="0"/>
            </w:tcBorders>
            <w:vAlign w:val="center"/>
          </w:tcPr>
          <w:p w14:paraId="66E4E98A">
            <w:pPr>
              <w:widowControl/>
              <w:spacing w:line="460" w:lineRule="exact"/>
              <w:jc w:val="left"/>
              <w:rPr>
                <w:rFonts w:ascii="仿宋" w:hAnsi="仿宋" w:eastAsia="仿宋" w:cs="仿宋"/>
                <w:color w:val="auto"/>
                <w:sz w:val="28"/>
                <w:szCs w:val="28"/>
                <w:highlight w:val="none"/>
              </w:rPr>
            </w:pPr>
            <w:r>
              <w:rPr>
                <w:rFonts w:hint="eastAsia" w:ascii="仿宋" w:hAnsi="仿宋" w:eastAsia="仿宋"/>
                <w:color w:val="auto"/>
                <w:sz w:val="28"/>
                <w:szCs w:val="28"/>
                <w:highlight w:val="none"/>
              </w:rPr>
              <w:t>专家评审费由中标单位缴纳，按实收取。</w:t>
            </w:r>
          </w:p>
        </w:tc>
      </w:tr>
      <w:tr w14:paraId="3FDC6F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4C02D20E">
            <w:pPr>
              <w:widowControl/>
              <w:adjustRightInd w:val="0"/>
              <w:spacing w:line="460" w:lineRule="exact"/>
              <w:jc w:val="center"/>
              <w:rPr>
                <w:rFonts w:ascii="仿宋" w:hAnsi="仿宋" w:eastAsia="仿宋" w:cs="仿宋"/>
                <w:bCs/>
                <w:color w:val="auto"/>
                <w:kern w:val="0"/>
                <w:sz w:val="28"/>
                <w:szCs w:val="28"/>
                <w:highlight w:val="none"/>
              </w:rPr>
            </w:pPr>
            <w:r>
              <w:rPr>
                <w:rFonts w:ascii="仿宋" w:hAnsi="仿宋" w:eastAsia="仿宋" w:cs="仿宋"/>
                <w:bCs/>
                <w:color w:val="auto"/>
                <w:kern w:val="0"/>
                <w:sz w:val="28"/>
                <w:szCs w:val="28"/>
                <w:highlight w:val="none"/>
              </w:rPr>
              <w:t>30</w:t>
            </w:r>
          </w:p>
        </w:tc>
        <w:tc>
          <w:tcPr>
            <w:tcW w:w="2254" w:type="dxa"/>
            <w:tcBorders>
              <w:top w:val="single" w:color="auto" w:sz="4" w:space="0"/>
              <w:left w:val="single" w:color="auto" w:sz="4" w:space="0"/>
              <w:bottom w:val="single" w:color="auto" w:sz="4" w:space="0"/>
              <w:right w:val="single" w:color="auto" w:sz="4" w:space="0"/>
            </w:tcBorders>
            <w:vAlign w:val="center"/>
          </w:tcPr>
          <w:p w14:paraId="1EEC0470">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7267" w:type="dxa"/>
            <w:tcBorders>
              <w:top w:val="single" w:color="auto" w:sz="4" w:space="0"/>
              <w:left w:val="single" w:color="auto" w:sz="4" w:space="0"/>
              <w:bottom w:val="single" w:color="auto" w:sz="4" w:space="0"/>
            </w:tcBorders>
            <w:vAlign w:val="center"/>
          </w:tcPr>
          <w:p w14:paraId="68E72402">
            <w:pPr>
              <w:widowControl/>
              <w:spacing w:line="460" w:lineRule="exact"/>
              <w:jc w:val="left"/>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是</w:t>
            </w:r>
          </w:p>
        </w:tc>
      </w:tr>
      <w:tr w14:paraId="633C79E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00" w:type="dxa"/>
            <w:tcBorders>
              <w:top w:val="single" w:color="auto" w:sz="4" w:space="0"/>
              <w:bottom w:val="single" w:color="auto" w:sz="4" w:space="0"/>
              <w:right w:val="single" w:color="auto" w:sz="4" w:space="0"/>
            </w:tcBorders>
            <w:vAlign w:val="center"/>
          </w:tcPr>
          <w:p w14:paraId="3019F5D4">
            <w:pPr>
              <w:widowControl/>
              <w:adjustRightInd w:val="0"/>
              <w:spacing w:line="460" w:lineRule="exact"/>
              <w:jc w:val="center"/>
              <w:rPr>
                <w:rFonts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3</w:t>
            </w:r>
            <w:r>
              <w:rPr>
                <w:rFonts w:ascii="仿宋" w:hAnsi="仿宋" w:eastAsia="仿宋" w:cs="仿宋"/>
                <w:bCs/>
                <w:color w:val="auto"/>
                <w:kern w:val="0"/>
                <w:sz w:val="28"/>
                <w:szCs w:val="28"/>
                <w:highlight w:val="none"/>
              </w:rPr>
              <w:t>1</w:t>
            </w:r>
          </w:p>
        </w:tc>
        <w:tc>
          <w:tcPr>
            <w:tcW w:w="2254" w:type="dxa"/>
            <w:tcBorders>
              <w:top w:val="single" w:color="auto" w:sz="4" w:space="0"/>
              <w:left w:val="single" w:color="auto" w:sz="4" w:space="0"/>
              <w:bottom w:val="single" w:color="auto" w:sz="4" w:space="0"/>
              <w:right w:val="single" w:color="auto" w:sz="4" w:space="0"/>
            </w:tcBorders>
            <w:vAlign w:val="center"/>
          </w:tcPr>
          <w:p w14:paraId="648583EC">
            <w:pPr>
              <w:spacing w:line="46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7267" w:type="dxa"/>
            <w:tcBorders>
              <w:top w:val="single" w:color="auto" w:sz="4" w:space="0"/>
              <w:left w:val="single" w:color="auto" w:sz="4" w:space="0"/>
              <w:bottom w:val="single" w:color="auto" w:sz="4" w:space="0"/>
            </w:tcBorders>
            <w:vAlign w:val="center"/>
          </w:tcPr>
          <w:p w14:paraId="27F39BB2">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1.本项目按服务类以公开招标方式实施采购。</w:t>
            </w:r>
          </w:p>
          <w:p w14:paraId="03EEE68B">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2.如投标人在本次项目中弄虚作假成为中标人的，后期一经发现将取消其已中标资格，且今后不再录用，给招标人造成损失的，招标人有权索要赔偿。</w:t>
            </w:r>
          </w:p>
          <w:p w14:paraId="3D7A506E">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3.投标人在本次招标成功中标后，拒绝或不能按照招标人的要求完成任务等，招标人有权撤销其已中标资格，给招标人造成损失的，招标人有权索要赔偿。</w:t>
            </w:r>
          </w:p>
          <w:p w14:paraId="703F9197">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4.投标人不得对本项目进行分包或转包。如投标人在中标后出现上述情况，一经招标人发现立即取消其中标资格。</w:t>
            </w:r>
          </w:p>
          <w:p w14:paraId="10DBFF51">
            <w:pPr>
              <w:snapToGrid w:val="0"/>
              <w:spacing w:line="500" w:lineRule="exact"/>
              <w:jc w:val="left"/>
              <w:rPr>
                <w:rFonts w:ascii="仿宋" w:hAnsi="仿宋" w:eastAsia="仿宋"/>
                <w:color w:val="auto"/>
                <w:sz w:val="28"/>
                <w:szCs w:val="28"/>
                <w:highlight w:val="none"/>
              </w:rPr>
            </w:pPr>
            <w:r>
              <w:rPr>
                <w:rFonts w:ascii="仿宋" w:hAnsi="仿宋" w:eastAsia="仿宋"/>
                <w:color w:val="auto"/>
                <w:sz w:val="28"/>
                <w:szCs w:val="28"/>
                <w:highlight w:val="none"/>
              </w:rPr>
              <w:t>5</w:t>
            </w:r>
            <w:r>
              <w:rPr>
                <w:rFonts w:hint="eastAsia" w:ascii="仿宋" w:hAnsi="仿宋" w:eastAsia="仿宋"/>
                <w:color w:val="auto"/>
                <w:sz w:val="28"/>
                <w:szCs w:val="28"/>
                <w:highlight w:val="none"/>
              </w:rPr>
              <w:t>.信用信息报告查询路径：</w:t>
            </w:r>
          </w:p>
          <w:p w14:paraId="66D54501">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w:t>
            </w:r>
            <w:r>
              <w:rPr>
                <w:rFonts w:ascii="仿宋" w:hAnsi="仿宋" w:eastAsia="仿宋"/>
                <w:color w:val="auto"/>
                <w:sz w:val="28"/>
                <w:szCs w:val="28"/>
                <w:highlight w:val="none"/>
              </w:rPr>
              <w:t>1）信用中国：进入信用中国首页→右上方“信用信息”查询框内输入企业名称/统一社会信用代码等信息搜索→点击要查询的企业→下载信用信息报告。</w:t>
            </w:r>
          </w:p>
          <w:p w14:paraId="658712C5">
            <w:pPr>
              <w:snapToGrid w:val="0"/>
              <w:spacing w:line="500" w:lineRule="exact"/>
              <w:jc w:val="left"/>
              <w:rPr>
                <w:rFonts w:ascii="仿宋" w:hAnsi="仿宋" w:eastAsia="仿宋"/>
                <w:color w:val="auto"/>
                <w:sz w:val="28"/>
                <w:szCs w:val="28"/>
                <w:highlight w:val="none"/>
              </w:rPr>
            </w:pPr>
            <w:r>
              <w:rPr>
                <w:rFonts w:hint="eastAsia" w:ascii="仿宋" w:hAnsi="仿宋" w:eastAsia="仿宋"/>
                <w:color w:val="auto"/>
                <w:sz w:val="28"/>
                <w:szCs w:val="28"/>
                <w:highlight w:val="none"/>
              </w:rPr>
              <w:t>（</w:t>
            </w:r>
            <w:r>
              <w:rPr>
                <w:rFonts w:ascii="仿宋" w:hAnsi="仿宋" w:eastAsia="仿宋"/>
                <w:color w:val="auto"/>
                <w:sz w:val="28"/>
                <w:szCs w:val="28"/>
                <w:highlight w:val="none"/>
              </w:rPr>
              <w:t>2）信用中国（山东）：进入信用中国（山东）首页→上方“信用中国信息查询”查询框内输入企业名称/统一社会信用代码等信息查询→点击要查询的企业→下载信用信息报告。</w:t>
            </w:r>
          </w:p>
          <w:p w14:paraId="01DAC11A">
            <w:pPr>
              <w:spacing w:line="460" w:lineRule="exact"/>
              <w:jc w:val="left"/>
              <w:rPr>
                <w:rFonts w:ascii="仿宋" w:hAnsi="仿宋" w:eastAsia="仿宋" w:cs="仿宋"/>
                <w:color w:val="auto"/>
                <w:sz w:val="28"/>
                <w:szCs w:val="28"/>
                <w:highlight w:val="none"/>
              </w:rPr>
            </w:pPr>
            <w:r>
              <w:rPr>
                <w:rFonts w:hint="eastAsia" w:ascii="仿宋" w:hAnsi="仿宋" w:eastAsia="仿宋"/>
                <w:color w:val="auto"/>
                <w:sz w:val="28"/>
                <w:szCs w:val="28"/>
                <w:highlight w:val="none"/>
              </w:rPr>
              <w:t>注：若投标人所附信用信息报告与以上查询路径内容不一致的，以招标文件中查询路径内容为准。</w:t>
            </w:r>
          </w:p>
        </w:tc>
      </w:tr>
    </w:tbl>
    <w:p w14:paraId="2D23BBEF">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r>
        <w:rPr>
          <w:rFonts w:hint="eastAsia" w:ascii="仿宋" w:hAnsi="仿宋" w:eastAsia="仿宋" w:cs="仿宋"/>
          <w:color w:val="auto"/>
          <w:sz w:val="28"/>
          <w:szCs w:val="28"/>
          <w:highlight w:val="none"/>
        </w:rPr>
        <w:t>《实质性条款一览表》</w:t>
      </w:r>
    </w:p>
    <w:p w14:paraId="142320B5">
      <w:pPr>
        <w:snapToGrid w:val="0"/>
        <w:spacing w:line="480" w:lineRule="exact"/>
        <w:ind w:firstLine="561"/>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说明：本表系招标文件及修改性文件中涉及的所有实质性条款的汇总。不允许有任何负偏离，否则投标将被否决。</w:t>
      </w:r>
    </w:p>
    <w:tbl>
      <w:tblPr>
        <w:tblStyle w:val="49"/>
        <w:tblW w:w="95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498"/>
      </w:tblGrid>
      <w:tr w14:paraId="5CEB4D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5B48D7A8">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vAlign w:val="center"/>
          </w:tcPr>
          <w:p w14:paraId="620856D8">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498" w:type="dxa"/>
            <w:tcBorders>
              <w:top w:val="single" w:color="auto" w:sz="4" w:space="0"/>
              <w:left w:val="single" w:color="auto" w:sz="4" w:space="0"/>
              <w:bottom w:val="single" w:color="auto" w:sz="4" w:space="0"/>
            </w:tcBorders>
            <w:vAlign w:val="center"/>
          </w:tcPr>
          <w:p w14:paraId="34B19AA7">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内容</w:t>
            </w:r>
          </w:p>
        </w:tc>
      </w:tr>
      <w:tr w14:paraId="7C16939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5944E5A9">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vAlign w:val="center"/>
          </w:tcPr>
          <w:p w14:paraId="3ED608E2">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资格性核查</w:t>
            </w:r>
          </w:p>
        </w:tc>
        <w:tc>
          <w:tcPr>
            <w:tcW w:w="6498" w:type="dxa"/>
            <w:tcBorders>
              <w:top w:val="single" w:color="auto" w:sz="4" w:space="0"/>
              <w:left w:val="single" w:color="auto" w:sz="4" w:space="0"/>
              <w:bottom w:val="single" w:color="auto" w:sz="4" w:space="0"/>
            </w:tcBorders>
          </w:tcPr>
          <w:p w14:paraId="6BAFBAD3">
            <w:pPr>
              <w:widowControl/>
              <w:shd w:val="clear" w:color="auto" w:fill="FFFFFF"/>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1.有效的营业执照副本扫描件或其他能证明具有独立承担民事责任能力的材料扫描件；</w:t>
            </w:r>
          </w:p>
          <w:p w14:paraId="20308CBA">
            <w:pPr>
              <w:spacing w:line="460" w:lineRule="exact"/>
              <w:rPr>
                <w:rFonts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2.具有建设行政主管部门颁发的《建设工程质量检测机构资质证书》综合资质或专项资质（检测范围需包含：主体结构及装饰装修检测专项、钢结构检测专项）；</w:t>
            </w:r>
          </w:p>
          <w:p w14:paraId="10B91B7E">
            <w:pPr>
              <w:spacing w:line="460" w:lineRule="exact"/>
              <w:rPr>
                <w:rFonts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3.具有省级(含)以上市场监督管理部门颁发的《检验检测机构资质认定证书》；</w:t>
            </w:r>
          </w:p>
          <w:p w14:paraId="42B0B82D">
            <w:pPr>
              <w:widowControl/>
              <w:shd w:val="clear" w:color="auto" w:fill="FFFFFF"/>
              <w:spacing w:line="480" w:lineRule="exact"/>
              <w:rPr>
                <w:rFonts w:ascii="仿宋" w:hAnsi="仿宋" w:eastAsia="仿宋" w:cs="仿宋"/>
                <w:color w:val="auto"/>
                <w:sz w:val="28"/>
                <w:szCs w:val="28"/>
                <w:highlight w:val="none"/>
              </w:rPr>
            </w:pPr>
            <w:r>
              <w:rPr>
                <w:rFonts w:ascii="仿宋" w:hAnsi="仿宋" w:eastAsia="仿宋" w:cs="仿宋"/>
                <w:color w:val="auto"/>
                <w:sz w:val="28"/>
                <w:szCs w:val="28"/>
                <w:highlight w:val="none"/>
              </w:rPr>
              <w:t>4</w:t>
            </w:r>
            <w:r>
              <w:rPr>
                <w:rFonts w:hint="eastAsia" w:ascii="仿宋" w:hAnsi="仿宋" w:eastAsia="仿宋" w:cs="仿宋"/>
                <w:color w:val="auto"/>
                <w:sz w:val="28"/>
                <w:szCs w:val="28"/>
                <w:highlight w:val="none"/>
              </w:rPr>
              <w:t>.法定代表人（依法登记的负责人）身份证明、法定代表人授权委托书(格式见本文件第五章）；被授权人身份证扫描件；</w:t>
            </w:r>
          </w:p>
          <w:p w14:paraId="267D12A0">
            <w:pPr>
              <w:widowControl/>
              <w:shd w:val="clear" w:color="auto" w:fill="FFFFFF"/>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若投标人代表为企业法定代表人的，则只需提供企业法定代表人身份证明（按招标文件格式填写）及法定代表人身份证扫描件(加盖投标单位公章）；</w:t>
            </w:r>
          </w:p>
          <w:p w14:paraId="5844E632">
            <w:pPr>
              <w:widowControl/>
              <w:shd w:val="clear" w:color="auto" w:fill="FFFFFF"/>
              <w:spacing w:line="480" w:lineRule="exact"/>
              <w:rPr>
                <w:rFonts w:ascii="仿宋" w:hAnsi="仿宋" w:eastAsia="仿宋" w:cs="仿宋"/>
                <w:color w:val="auto"/>
                <w:sz w:val="28"/>
                <w:szCs w:val="28"/>
                <w:highlight w:val="none"/>
              </w:rPr>
            </w:pPr>
            <w:r>
              <w:rPr>
                <w:rFonts w:ascii="仿宋" w:hAnsi="仿宋" w:eastAsia="仿宋" w:cs="仿宋"/>
                <w:color w:val="auto"/>
                <w:sz w:val="28"/>
                <w:szCs w:val="28"/>
                <w:highlight w:val="none"/>
              </w:rPr>
              <w:t>5</w:t>
            </w:r>
            <w:r>
              <w:rPr>
                <w:rFonts w:hint="eastAsia" w:ascii="仿宋" w:hAnsi="仿宋" w:eastAsia="仿宋" w:cs="仿宋"/>
                <w:color w:val="auto"/>
                <w:sz w:val="28"/>
                <w:szCs w:val="28"/>
                <w:highlight w:val="none"/>
              </w:rPr>
              <w:t>.投标人参与投标的声明函；</w:t>
            </w:r>
          </w:p>
          <w:p w14:paraId="0A7DB099">
            <w:pPr>
              <w:widowControl/>
              <w:shd w:val="clear" w:color="auto" w:fill="FFFFFF"/>
              <w:spacing w:line="480" w:lineRule="exact"/>
              <w:rPr>
                <w:rFonts w:ascii="仿宋" w:hAnsi="仿宋" w:eastAsia="仿宋" w:cs="仿宋"/>
                <w:color w:val="auto"/>
                <w:sz w:val="28"/>
                <w:szCs w:val="28"/>
                <w:highlight w:val="none"/>
              </w:rPr>
            </w:pPr>
            <w:r>
              <w:rPr>
                <w:rFonts w:ascii="仿宋" w:hAnsi="仿宋" w:eastAsia="仿宋" w:cs="仿宋"/>
                <w:color w:val="auto"/>
                <w:sz w:val="28"/>
                <w:szCs w:val="28"/>
                <w:highlight w:val="none"/>
              </w:rPr>
              <w:t>6</w:t>
            </w:r>
            <w:r>
              <w:rPr>
                <w:rFonts w:hint="eastAsia" w:ascii="仿宋" w:hAnsi="仿宋" w:eastAsia="仿宋" w:cs="仿宋"/>
                <w:color w:val="auto"/>
                <w:sz w:val="28"/>
                <w:szCs w:val="28"/>
                <w:highlight w:val="none"/>
              </w:rPr>
              <w:t>.投标人信用承诺书；</w:t>
            </w:r>
          </w:p>
          <w:p w14:paraId="05BEF094">
            <w:pPr>
              <w:widowControl/>
              <w:shd w:val="clear" w:color="auto" w:fill="FFFFFF"/>
              <w:wordWrap w:val="0"/>
              <w:spacing w:line="480" w:lineRule="exact"/>
              <w:rPr>
                <w:rFonts w:ascii="仿宋" w:hAnsi="仿宋" w:eastAsia="仿宋" w:cs="仿宋"/>
                <w:color w:val="auto"/>
                <w:sz w:val="28"/>
                <w:szCs w:val="28"/>
                <w:highlight w:val="none"/>
              </w:rPr>
            </w:pPr>
            <w:r>
              <w:rPr>
                <w:rFonts w:ascii="仿宋" w:hAnsi="仿宋" w:eastAsia="仿宋" w:cs="仿宋"/>
                <w:color w:val="auto"/>
                <w:sz w:val="28"/>
                <w:szCs w:val="28"/>
                <w:highlight w:val="none"/>
              </w:rPr>
              <w:t>7</w:t>
            </w:r>
            <w:r>
              <w:rPr>
                <w:rFonts w:hint="eastAsia" w:ascii="仿宋" w:hAnsi="仿宋" w:eastAsia="仿宋" w:cs="仿宋"/>
                <w:color w:val="auto"/>
                <w:sz w:val="28"/>
                <w:szCs w:val="28"/>
                <w:highlight w:val="none"/>
              </w:rPr>
              <w:t>.投标人、法定代表人、委托代理人及项目负责人未被最高人民法院（查询网址为：</w:t>
            </w:r>
            <w:r>
              <w:rPr>
                <w:rFonts w:ascii="仿宋" w:hAnsi="仿宋" w:eastAsia="仿宋" w:cs="仿宋"/>
                <w:color w:val="auto"/>
                <w:sz w:val="28"/>
                <w:szCs w:val="28"/>
                <w:highlight w:val="none"/>
              </w:rPr>
              <w:t>https://zxgk.court.gov.cn/shixin/</w:t>
            </w:r>
            <w:r>
              <w:rPr>
                <w:rFonts w:hint="eastAsia" w:ascii="仿宋" w:hAnsi="仿宋" w:eastAsia="仿宋" w:cs="仿宋"/>
                <w:color w:val="auto"/>
                <w:sz w:val="28"/>
                <w:szCs w:val="28"/>
                <w:highlight w:val="none"/>
              </w:rPr>
              <w:t>）列入失信被执行人查询截图。投标文件附通过网站查询信息记录，包含投标人、法定代表人、委托代理人及项目负责人失信被执行人情况网页截图（省份为全部）；</w:t>
            </w:r>
          </w:p>
          <w:p w14:paraId="77C3A94A">
            <w:pPr>
              <w:widowControl/>
              <w:shd w:val="clear" w:color="auto" w:fill="FFFFFF"/>
              <w:wordWrap w:val="0"/>
              <w:spacing w:line="480" w:lineRule="exact"/>
              <w:rPr>
                <w:rFonts w:ascii="仿宋" w:hAnsi="仿宋" w:eastAsia="仿宋" w:cs="仿宋"/>
                <w:color w:val="auto"/>
                <w:sz w:val="28"/>
                <w:szCs w:val="28"/>
                <w:highlight w:val="none"/>
              </w:rPr>
            </w:pPr>
            <w:r>
              <w:rPr>
                <w:rFonts w:ascii="仿宋" w:hAnsi="仿宋" w:eastAsia="仿宋" w:cs="仿宋"/>
                <w:color w:val="auto"/>
                <w:sz w:val="28"/>
                <w:szCs w:val="28"/>
                <w:highlight w:val="none"/>
              </w:rPr>
              <w:t>8</w:t>
            </w:r>
            <w:r>
              <w:rPr>
                <w:rFonts w:hint="eastAsia" w:ascii="仿宋" w:hAnsi="仿宋" w:eastAsia="仿宋" w:cs="仿宋"/>
                <w:color w:val="auto"/>
                <w:sz w:val="28"/>
                <w:szCs w:val="28"/>
                <w:highlight w:val="none"/>
              </w:rPr>
              <w:t>.投标人近一年在“信用中国”或“信用中国（山东）”无严重失信记录。附信用中国（www.creditchina.gov.cn）或信用中国（山东）（credit.shandong.gov.cn）查询的信用报告；</w:t>
            </w:r>
          </w:p>
          <w:p w14:paraId="48734368">
            <w:pPr>
              <w:widowControl/>
              <w:shd w:val="clear" w:color="auto" w:fill="FFFFFF"/>
              <w:spacing w:line="480" w:lineRule="exact"/>
              <w:rPr>
                <w:rFonts w:ascii="仿宋" w:hAnsi="仿宋" w:eastAsia="仿宋" w:cs="仿宋"/>
                <w:color w:val="auto"/>
                <w:sz w:val="28"/>
                <w:szCs w:val="28"/>
                <w:highlight w:val="none"/>
              </w:rPr>
            </w:pPr>
            <w:r>
              <w:rPr>
                <w:rFonts w:ascii="仿宋" w:hAnsi="仿宋" w:eastAsia="仿宋" w:cs="仿宋"/>
                <w:color w:val="auto"/>
                <w:sz w:val="28"/>
                <w:szCs w:val="28"/>
                <w:highlight w:val="none"/>
              </w:rPr>
              <w:t>9</w:t>
            </w:r>
            <w:r>
              <w:rPr>
                <w:rFonts w:hint="eastAsia" w:ascii="仿宋" w:hAnsi="仿宋" w:eastAsia="仿宋" w:cs="仿宋"/>
                <w:color w:val="auto"/>
                <w:sz w:val="28"/>
                <w:szCs w:val="28"/>
                <w:highlight w:val="none"/>
              </w:rPr>
              <w:t>.财务状况报告等相关材料；</w:t>
            </w:r>
          </w:p>
          <w:p w14:paraId="6DB91B45">
            <w:pPr>
              <w:widowControl/>
              <w:shd w:val="clear" w:color="auto" w:fill="FFFFFF"/>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A.投标人自行编制的近一年度（2025年）公司财务报表或由中介机构出具的近一年度（2025年）财务审计报告书扫描件；投标人成立不满一年的，提供自行编制的自公司成立以来的财务报表；</w:t>
            </w:r>
          </w:p>
          <w:p w14:paraId="15A88A41">
            <w:pPr>
              <w:widowControl/>
              <w:shd w:val="clear" w:color="auto" w:fill="FFFFFF"/>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B.银行出具的有效期内的资信证明扫描件。</w:t>
            </w:r>
          </w:p>
          <w:p w14:paraId="7A584669">
            <w:pPr>
              <w:widowControl/>
              <w:shd w:val="clear" w:color="auto" w:fill="FFFFFF"/>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注：A、B两项提供任意一项均可。</w:t>
            </w:r>
          </w:p>
          <w:p w14:paraId="7179A0B7">
            <w:pPr>
              <w:widowControl/>
              <w:shd w:val="clear" w:color="auto" w:fill="FFFFFF"/>
              <w:spacing w:line="480" w:lineRule="exact"/>
              <w:rPr>
                <w:rFonts w:ascii="仿宋" w:hAnsi="仿宋" w:eastAsia="仿宋" w:cs="仿宋"/>
                <w:color w:val="auto"/>
                <w:sz w:val="28"/>
                <w:szCs w:val="28"/>
                <w:highlight w:val="none"/>
              </w:rPr>
            </w:pPr>
            <w:r>
              <w:rPr>
                <w:rFonts w:ascii="仿宋" w:hAnsi="仿宋" w:eastAsia="仿宋" w:cs="仿宋"/>
                <w:color w:val="auto"/>
                <w:sz w:val="28"/>
                <w:szCs w:val="28"/>
                <w:highlight w:val="none"/>
              </w:rPr>
              <w:t>10</w:t>
            </w:r>
            <w:r>
              <w:rPr>
                <w:rFonts w:hint="eastAsia" w:ascii="仿宋" w:hAnsi="仿宋" w:eastAsia="仿宋" w:cs="仿宋"/>
                <w:color w:val="auto"/>
                <w:sz w:val="28"/>
                <w:szCs w:val="28"/>
                <w:highlight w:val="none"/>
              </w:rPr>
              <w:t>.投标保证金证明材料。</w:t>
            </w:r>
          </w:p>
        </w:tc>
      </w:tr>
      <w:tr w14:paraId="76106F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34ABA78C">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vAlign w:val="center"/>
          </w:tcPr>
          <w:p w14:paraId="3B39F664">
            <w:pPr>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符合性检查</w:t>
            </w:r>
          </w:p>
        </w:tc>
        <w:tc>
          <w:tcPr>
            <w:tcW w:w="6498" w:type="dxa"/>
            <w:tcBorders>
              <w:top w:val="single" w:color="auto" w:sz="4" w:space="0"/>
              <w:left w:val="single" w:color="auto" w:sz="4" w:space="0"/>
              <w:bottom w:val="single" w:color="auto" w:sz="4" w:space="0"/>
            </w:tcBorders>
            <w:vAlign w:val="center"/>
          </w:tcPr>
          <w:p w14:paraId="0CA62564">
            <w:pPr>
              <w:widowControl/>
              <w:shd w:val="clear" w:color="auto" w:fill="FFFFFF"/>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1.投标文件按规定签署及盖章的；</w:t>
            </w:r>
          </w:p>
          <w:p w14:paraId="65C1FDCA">
            <w:pPr>
              <w:widowControl/>
              <w:shd w:val="clear" w:color="auto" w:fill="FFFFFF"/>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2.投标总报价未超出最高限价的；</w:t>
            </w:r>
          </w:p>
          <w:p w14:paraId="1FF02433">
            <w:pPr>
              <w:widowControl/>
              <w:shd w:val="clear" w:color="auto" w:fill="FFFFFF"/>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3.投标有效期、服务期、质量标准满足招标文件要求；</w:t>
            </w:r>
          </w:p>
          <w:p w14:paraId="6F590604">
            <w:pPr>
              <w:widowControl/>
              <w:shd w:val="clear" w:color="auto" w:fill="FFFFFF"/>
              <w:spacing w:line="480" w:lineRule="exact"/>
              <w:rPr>
                <w:rFonts w:ascii="仿宋" w:hAnsi="仿宋" w:eastAsia="仿宋" w:cs="仿宋"/>
                <w:color w:val="auto"/>
                <w:sz w:val="28"/>
                <w:szCs w:val="28"/>
                <w:highlight w:val="none"/>
              </w:rPr>
            </w:pPr>
            <w:r>
              <w:rPr>
                <w:rFonts w:hint="eastAsia" w:ascii="仿宋" w:hAnsi="仿宋" w:eastAsia="仿宋"/>
                <w:color w:val="auto"/>
                <w:sz w:val="28"/>
                <w:szCs w:val="28"/>
                <w:highlight w:val="none"/>
              </w:rPr>
              <w:t>4</w:t>
            </w:r>
            <w:r>
              <w:rPr>
                <w:rFonts w:ascii="仿宋" w:hAnsi="仿宋" w:eastAsia="仿宋"/>
                <w:color w:val="auto"/>
                <w:sz w:val="28"/>
                <w:szCs w:val="28"/>
                <w:highlight w:val="none"/>
              </w:rPr>
              <w:t>.</w:t>
            </w:r>
            <w:bookmarkStart w:id="15" w:name="OLE_LINK5"/>
            <w:bookmarkStart w:id="16" w:name="OLE_LINK6"/>
            <w:r>
              <w:rPr>
                <w:rFonts w:hint="eastAsia" w:ascii="仿宋" w:hAnsi="仿宋" w:eastAsia="仿宋" w:cs="仿宋"/>
                <w:color w:val="auto"/>
                <w:sz w:val="28"/>
                <w:szCs w:val="28"/>
                <w:highlight w:val="none"/>
              </w:rPr>
              <w:t>不存在招标文件规定的关于投标人串通投标的情形及其他投标无效的情形</w:t>
            </w:r>
            <w:bookmarkEnd w:id="15"/>
            <w:bookmarkEnd w:id="16"/>
            <w:r>
              <w:rPr>
                <w:rFonts w:hint="eastAsia" w:ascii="仿宋" w:hAnsi="仿宋" w:eastAsia="仿宋" w:cs="仿宋"/>
                <w:color w:val="auto"/>
                <w:sz w:val="28"/>
                <w:szCs w:val="28"/>
                <w:highlight w:val="none"/>
              </w:rPr>
              <w:t>。</w:t>
            </w:r>
          </w:p>
        </w:tc>
      </w:tr>
    </w:tbl>
    <w:p w14:paraId="1CF4CE30">
      <w:pPr>
        <w:spacing w:line="560" w:lineRule="exact"/>
        <w:ind w:firstLine="562" w:firstLineChars="201"/>
        <w:rPr>
          <w:rFonts w:ascii="仿宋" w:hAnsi="仿宋" w:eastAsia="仿宋" w:cs="仿宋"/>
          <w:b/>
          <w:color w:val="auto"/>
          <w:sz w:val="28"/>
          <w:szCs w:val="28"/>
          <w:highlight w:val="none"/>
        </w:rPr>
      </w:pPr>
    </w:p>
    <w:p w14:paraId="6170C191">
      <w:pPr>
        <w:widowControl/>
        <w:jc w:val="left"/>
        <w:rPr>
          <w:rFonts w:ascii="仿宋" w:hAnsi="仿宋" w:eastAsia="仿宋" w:cs="仿宋"/>
          <w:b/>
          <w:color w:val="auto"/>
          <w:sz w:val="28"/>
          <w:szCs w:val="28"/>
          <w:highlight w:val="none"/>
        </w:rPr>
      </w:pPr>
      <w:r>
        <w:rPr>
          <w:rFonts w:ascii="仿宋" w:hAnsi="仿宋" w:eastAsia="仿宋" w:cs="仿宋"/>
          <w:b/>
          <w:color w:val="auto"/>
          <w:sz w:val="28"/>
          <w:szCs w:val="28"/>
          <w:highlight w:val="none"/>
        </w:rPr>
        <w:br w:type="page"/>
      </w:r>
    </w:p>
    <w:p w14:paraId="46781F6C">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一、说明</w:t>
      </w:r>
    </w:p>
    <w:p w14:paraId="18C5C7F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山东省省属企业阳光采购监督暂行办法》等法律法规，参照《国有企业采购操作规范》《国有企业采购管理规范》，结合《威海火炬高技术产业开发区区属国有企业阳光采购监督管理暂行办法》及国家和山东省有关法律、法规、规章制度编制。参加本项目投标人应接受本招标文件关于电子招投标各项规定。</w:t>
      </w:r>
    </w:p>
    <w:p w14:paraId="50D617B4">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1.适用范围</w:t>
      </w:r>
    </w:p>
    <w:p w14:paraId="638C743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 本招标文件仅适用于本次招标公告中所涉及的项目和内容。</w:t>
      </w:r>
    </w:p>
    <w:p w14:paraId="6152982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 本招标文件的解释权为山东达信招标代理有限公司，（以下简称“招标代理机构”）以书面解释为准。</w:t>
      </w:r>
    </w:p>
    <w:p w14:paraId="5A71825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 招标文件未做须知明示，而又有相关法律、法规规定的，从其规定。</w:t>
      </w:r>
    </w:p>
    <w:p w14:paraId="22CE7FA6">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2FD2F63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2.1投标人应承担所有与准备和参加投标有关的费用。不论投标结果如何，招标代理机构和招标人均无义务和责任承担这些费用。</w:t>
      </w:r>
    </w:p>
    <w:p w14:paraId="5663B82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 本项目若涉及采购货物，则合格的货物及相应服务应满足以下要求：</w:t>
      </w:r>
    </w:p>
    <w:p w14:paraId="1F8DA23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 必须是全新、未使用过的原装合格正品（包括零部件），如安装或配置了软件的，须为正版软件。</w:t>
      </w:r>
    </w:p>
    <w:p w14:paraId="58EF9B2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2.2.2 国产的货物及其有关服务必须符合中华人民共和国的设计和制造生产标准或行业标准。招标公告有其他要求的，亦应符合其要求。</w:t>
      </w:r>
    </w:p>
    <w:p w14:paraId="1E815A6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C86E0C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3274FA0">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投标人应通过威海市公共资源交易网首页右侧“交易服务一网通办系统”进行平台切换点击“国企采购”进入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获取招标文件的投标人不足3家的，本项目直接废标。</w:t>
      </w:r>
    </w:p>
    <w:p w14:paraId="4D9E4D5C">
      <w:pPr>
        <w:spacing w:line="480" w:lineRule="exact"/>
        <w:ind w:firstLine="562" w:firstLineChars="201"/>
        <w:rPr>
          <w:rFonts w:ascii="仿宋" w:hAnsi="仿宋" w:eastAsia="仿宋" w:cs="仿宋"/>
          <w:color w:val="auto"/>
          <w:highlight w:val="none"/>
        </w:rPr>
      </w:pPr>
      <w:r>
        <w:rPr>
          <w:rFonts w:hint="eastAsia" w:ascii="仿宋" w:hAnsi="仿宋" w:eastAsia="仿宋" w:cs="仿宋"/>
          <w:color w:val="auto"/>
          <w:sz w:val="28"/>
          <w:szCs w:val="28"/>
          <w:highlight w:val="none"/>
        </w:rPr>
        <w:t>2.4招标人或招标代理机构均无义务向投标人解释其中标或未中标的原因，且不予退还其投标文件。</w:t>
      </w:r>
    </w:p>
    <w:p w14:paraId="544AEF2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二、招标文件</w:t>
      </w:r>
    </w:p>
    <w:p w14:paraId="0F8968D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3.招标文件的构成</w:t>
      </w:r>
    </w:p>
    <w:p w14:paraId="5CBCC5B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由各包段文本文件（word格式）和各包段的数据文件（excel格式）构成，采用压缩包电子版文件格式提供。</w:t>
      </w:r>
    </w:p>
    <w:p w14:paraId="1F9EB5D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 文本文件（word格式）由下列文件组成：</w:t>
      </w:r>
    </w:p>
    <w:p w14:paraId="0D31B46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34AFFF3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27291D3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（3）采购内容与要求</w:t>
      </w:r>
    </w:p>
    <w:p w14:paraId="46825A0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（4）评标原则、程序与方法</w:t>
      </w:r>
    </w:p>
    <w:p w14:paraId="5F27E2A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（5）投标文件格式</w:t>
      </w:r>
    </w:p>
    <w:p w14:paraId="4A7566D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（6）采购合同（范本）</w:t>
      </w:r>
    </w:p>
    <w:p w14:paraId="41510B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（7）在采购过程中由招标人或招标代理机构发出的修正和补充文件等（如有）</w:t>
      </w:r>
    </w:p>
    <w:p w14:paraId="24F7090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3.2 数据文件（excel格式）由下列文件组成：</w:t>
      </w:r>
    </w:p>
    <w:p w14:paraId="44CA9FC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819C12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328B62D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4066828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1095D90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2ADFDE9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p w14:paraId="5DA78E7C">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1FFF723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4.1投标人在收到招标文件后，对招标文件若有任何疑问或要求澄清招标文件的，应在投标截止时间10日前通过国有企业阳光采购电子化服务平台提出，必要时招标代理机构将协助招标人组织所有获取采购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19322D5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4.2投标人在规定的时间内未对招标文件澄清或提出疑问的，招标代理机构将视其为接受招标文件的所有条款，对招标文件没有异议，此后也不再受理对招标文件的相关质疑。</w:t>
      </w:r>
    </w:p>
    <w:p w14:paraId="0527DAF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624682E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5.l 在投标截止时间10日以前，无论出于何种原因，招标代理机构或招标人可主动或在解答投标人提出的疑问时对招标文件进行修改。</w:t>
      </w:r>
    </w:p>
    <w:p w14:paraId="7604808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5.2 修改后的内容是招标文件的组成部分，招标人、招标代理机构将会通过“原发布媒介”，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6F85BAE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招标人或招标代理机构将在投标截止时间10日前，通过原网站发布公告的形式（电子交易系统内发送更正提醒通知）通知所有获取招标文件的潜在投标人（采购文件变更的，投标人必须从电子交易系统中重新下载采购文件，并在新下载文件的基础上编制投标文件）；不足10日的，招标人或者招标代理机构将顺延提交投标文件的截止时间。</w:t>
      </w:r>
    </w:p>
    <w:p w14:paraId="423BB37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p>
    <w:p w14:paraId="0095B499">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6.投标文件编制要求</w:t>
      </w:r>
    </w:p>
    <w:p w14:paraId="5F84A32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6.1投标人编写的文件和往来信件应以简体中文书写。如果投标文件或与投标有关的其它文件、信件及来往函电以其它语言书写的，投标人应将其译成中文，如未翻译该文件为无效文件。</w:t>
      </w:r>
    </w:p>
    <w:p w14:paraId="0114F65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49371E7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7CB1DF2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6.4投标人应按招标文件中提供的投标文件格式（详见第五部分投标（响应）文件格式）按包段编写投标文件，并使用A4规格编制。投标文件应编写目录，具有结构清晰的文档结构图（打开word视图中的“文档结构图”后能看到详细章节），页码连续。</w:t>
      </w:r>
    </w:p>
    <w:p w14:paraId="368C082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6.5投标人按照采购文件要求所提供的各种证明文件必须真实且合法有效,经扫描后粘贴到投标文件的相关页上，确保清晰度可辨认，评审时由于无法辨认所产生的后果，由投标人自行承担。</w:t>
      </w:r>
    </w:p>
    <w:p w14:paraId="78E2C831">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49E58A7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6.7为了保证系统整体效率，系统对所投递的电子文件有大小的限制，因此，投标人应尽可能降低本文件的大小，小尺寸投标文件将使递交更快捷、减少差错发生几率，避免投标截止时间前未能完整上传文件。</w:t>
      </w:r>
    </w:p>
    <w:p w14:paraId="61922E2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6.8投标文件具有法律效力，投标人与招标代理机构或招标人任何人的口头协议不影响投标文件的任何条款和内容。</w:t>
      </w:r>
    </w:p>
    <w:p w14:paraId="36F88CE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6.9招标人或招标代理机构均无义务向投标人解释其中标或未中标的原因，且无论投标人是否中标，投标人所递交的投标文件均不予退还，不提供副本拷贝。</w:t>
      </w:r>
    </w:p>
    <w:p w14:paraId="661A9B81">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7.数据文件编制要求</w:t>
      </w:r>
    </w:p>
    <w:p w14:paraId="0234FE6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color w:val="auto"/>
          <w:sz w:val="28"/>
          <w:szCs w:val="28"/>
          <w:highlight w:val="none"/>
        </w:rPr>
        <w:t>文件另存到其他文件</w:t>
      </w:r>
      <w:r>
        <w:rPr>
          <w:rFonts w:hint="eastAsia" w:ascii="仿宋" w:hAnsi="仿宋" w:eastAsia="仿宋" w:cs="仿宋"/>
          <w:color w:val="auto"/>
          <w:sz w:val="28"/>
          <w:szCs w:val="28"/>
          <w:highlight w:val="none"/>
        </w:rPr>
        <w:t>等违规性操作，都会破坏本文件中的数字指纹，导致系统无法接收该文件使其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14:paraId="56E796F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color w:val="auto"/>
          <w:sz w:val="28"/>
          <w:szCs w:val="28"/>
          <w:highlight w:val="none"/>
        </w:rPr>
        <w:t>投标失败</w:t>
      </w:r>
      <w:r>
        <w:rPr>
          <w:rFonts w:hint="eastAsia" w:ascii="仿宋" w:hAnsi="仿宋" w:eastAsia="仿宋" w:cs="仿宋"/>
          <w:color w:val="auto"/>
          <w:sz w:val="28"/>
          <w:szCs w:val="28"/>
          <w:highlight w:val="none"/>
        </w:rPr>
        <w:t>。</w:t>
      </w:r>
    </w:p>
    <w:p w14:paraId="53CBED3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7.3投标人在对数据文件电子签章前，应按照上述2项的要求进行认真检查、确认。因投标人自身原因所导致其投标失败的，须自行承担相关责任。</w:t>
      </w:r>
    </w:p>
    <w:p w14:paraId="474477F1">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8.文件构成</w:t>
      </w:r>
    </w:p>
    <w:p w14:paraId="4E8392A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77148B2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8.1投标人编制的投标文件（pdf格式）（第一册）应包括但不少于下列内容：</w:t>
      </w:r>
    </w:p>
    <w:p w14:paraId="0623E48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（1）投标文件封面（格式见本文件第五章）</w:t>
      </w:r>
    </w:p>
    <w:p w14:paraId="336BD24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2F61EF2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（3）投标承诺函（格式见本文件第五章）</w:t>
      </w:r>
    </w:p>
    <w:p w14:paraId="633B210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（4）开标一览表（格式见本文件第五章）</w:t>
      </w:r>
    </w:p>
    <w:p w14:paraId="2BDC890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（5）报价明细表（格式见本文件第五章）</w:t>
      </w:r>
    </w:p>
    <w:p w14:paraId="3A52DDD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（6）投标人资格证明文件（注：下述证书如已过有效期，需附证书延续页或其他证明材料）</w:t>
      </w:r>
    </w:p>
    <w:p w14:paraId="0DAE9CE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①投标人有效的营业执照副本扫描件；</w:t>
      </w:r>
    </w:p>
    <w:p w14:paraId="3490B917">
      <w:pPr>
        <w:spacing w:line="460" w:lineRule="exact"/>
        <w:ind w:firstLine="560" w:firstLineChars="200"/>
        <w:rPr>
          <w:rFonts w:ascii="仿宋" w:hAnsi="仿宋" w:eastAsia="仿宋" w:cs="宋体"/>
          <w:color w:val="auto"/>
          <w:spacing w:val="8"/>
          <w:kern w:val="0"/>
          <w:sz w:val="28"/>
          <w:szCs w:val="28"/>
          <w:highlight w:val="none"/>
        </w:rPr>
      </w:pPr>
      <w:r>
        <w:rPr>
          <w:rFonts w:hint="eastAsia" w:ascii="仿宋" w:hAnsi="仿宋" w:eastAsia="仿宋" w:cs="仿宋"/>
          <w:color w:val="auto"/>
          <w:sz w:val="28"/>
          <w:szCs w:val="28"/>
          <w:highlight w:val="none"/>
        </w:rPr>
        <w:t>②</w:t>
      </w:r>
      <w:r>
        <w:rPr>
          <w:rFonts w:hint="eastAsia" w:ascii="仿宋" w:hAnsi="仿宋" w:eastAsia="仿宋" w:cs="宋体"/>
          <w:color w:val="auto"/>
          <w:spacing w:val="8"/>
          <w:kern w:val="0"/>
          <w:sz w:val="28"/>
          <w:szCs w:val="28"/>
          <w:highlight w:val="none"/>
        </w:rPr>
        <w:t>具有建设行政主管部门颁发的《建设工程质量检测机构资质证书》综合资质或专项资质（检测范围需包含：主体结构及装饰装修检测专项、钢结构检测专项）；</w:t>
      </w:r>
    </w:p>
    <w:p w14:paraId="7BB5AF83">
      <w:pPr>
        <w:spacing w:line="460" w:lineRule="exact"/>
        <w:ind w:firstLine="592" w:firstLineChars="200"/>
        <w:rPr>
          <w:rFonts w:ascii="仿宋" w:hAnsi="仿宋" w:eastAsia="仿宋" w:cs="宋体"/>
          <w:color w:val="auto"/>
          <w:spacing w:val="8"/>
          <w:kern w:val="0"/>
          <w:sz w:val="28"/>
          <w:szCs w:val="28"/>
          <w:highlight w:val="none"/>
        </w:rPr>
      </w:pPr>
      <w:r>
        <w:rPr>
          <w:rFonts w:hint="eastAsia" w:ascii="仿宋" w:hAnsi="仿宋" w:eastAsia="仿宋" w:cs="宋体"/>
          <w:color w:val="auto"/>
          <w:spacing w:val="8"/>
          <w:kern w:val="0"/>
          <w:sz w:val="28"/>
          <w:szCs w:val="28"/>
          <w:highlight w:val="none"/>
        </w:rPr>
        <w:t>具有省级(含)以上市场监督管理部门颁发的《检验检测机构资质认定证书》；</w:t>
      </w:r>
    </w:p>
    <w:p w14:paraId="23D14BB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③法定代表人身份证明、法定代表人授权委托书；被授权人身份证扫描件；（格式见本文件第五章）</w:t>
      </w:r>
    </w:p>
    <w:p w14:paraId="4C9BB56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若投标人代表为企业法定代表人，则只需提供企业法定代表人身份证明及法定代表人身份证扫描件(加盖投标人公章)</w:t>
      </w:r>
    </w:p>
    <w:p w14:paraId="2D6CD8F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④投标人参与投标的声明函；</w:t>
      </w:r>
    </w:p>
    <w:p w14:paraId="1CE998B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⑤投标人、法定代表人、委托代理人及项目负责人未被最高人民法院（查询网址为：</w:t>
      </w:r>
      <w:r>
        <w:rPr>
          <w:rFonts w:ascii="仿宋" w:hAnsi="仿宋" w:eastAsia="仿宋" w:cs="仿宋"/>
          <w:color w:val="auto"/>
          <w:sz w:val="28"/>
          <w:szCs w:val="28"/>
          <w:highlight w:val="none"/>
        </w:rPr>
        <w:t>https://zxgk.court.gov.cn/shixin/</w:t>
      </w:r>
      <w:r>
        <w:rPr>
          <w:rFonts w:hint="eastAsia" w:ascii="仿宋" w:hAnsi="仿宋" w:eastAsia="仿宋" w:cs="仿宋"/>
          <w:color w:val="auto"/>
          <w:sz w:val="28"/>
          <w:szCs w:val="28"/>
          <w:highlight w:val="none"/>
        </w:rPr>
        <w:t>）列入失信被执行人查询截图。投标文件附通过网站查询信息记录，包含投标人、法定代表人、委托代理人及项目负责人失信被执行人情况网页截图（省份为全部）；</w:t>
      </w:r>
    </w:p>
    <w:p w14:paraId="3A1D3244">
      <w:pPr>
        <w:wordWrap w:val="0"/>
        <w:spacing w:line="480" w:lineRule="exact"/>
        <w:ind w:firstLine="562" w:firstLineChars="201"/>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⑥投标人近一年在“信用中国”或“信用中国（山东）”无严重失信记录。附信用中国（www.creditchina.gov.cn）或信用中国（山东）（credit.shandong.gov.cn）查询的信用报告；</w:t>
      </w:r>
    </w:p>
    <w:p w14:paraId="5179890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⑦投标人信用承诺书；</w:t>
      </w:r>
    </w:p>
    <w:p w14:paraId="06569CB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⑧财务状况报告等相关材料；</w:t>
      </w:r>
    </w:p>
    <w:p w14:paraId="31965B7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A. 投标人自行编制的近一年度（2025年）公司财务报表或由中介机构出具的近一年度（2025年）财务审计报告书扫描件；投标人成立不满一年的，提供自行编制的自公司成立以来的财务报表；</w:t>
      </w:r>
    </w:p>
    <w:p w14:paraId="59A4748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B.银行出具的有效期内的资信证明扫描件。</w:t>
      </w:r>
    </w:p>
    <w:p w14:paraId="7FE5BF7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注：A、B两项提供任意一项均可。</w:t>
      </w:r>
    </w:p>
    <w:p w14:paraId="58BDC8F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⑨保证金证明材料；</w:t>
      </w:r>
    </w:p>
    <w:p w14:paraId="660205D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⑩投标人认为需要提供的资质资格证明文件。</w:t>
      </w:r>
    </w:p>
    <w:p w14:paraId="729FE5CD">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以上所有资质资格证明文件均需加盖投标人签章。</w:t>
      </w:r>
    </w:p>
    <w:p w14:paraId="788B4E8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（7）投标人基本情况（格式见本文件第五章）</w:t>
      </w:r>
    </w:p>
    <w:p w14:paraId="0E1C79E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（8）拟派团队成员情况一览表（格式见本文件第五章）</w:t>
      </w:r>
    </w:p>
    <w:p w14:paraId="3C67652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（9）近年类似项目业绩（格式见本文件第五部分）</w:t>
      </w:r>
    </w:p>
    <w:p w14:paraId="3BCC124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（10）技术部分，包括但不限于以下内容：</w:t>
      </w:r>
    </w:p>
    <w:p w14:paraId="4F601C7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①实施方案；</w:t>
      </w:r>
    </w:p>
    <w:p w14:paraId="0BC6B7E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（11）响应偏离表（格式见本文件第五章）；</w:t>
      </w:r>
    </w:p>
    <w:p w14:paraId="3259C0B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（12）要求招标人提供的配合；</w:t>
      </w:r>
    </w:p>
    <w:p w14:paraId="089C9D8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8.2数据文件（PDF格式）（第二册）</w:t>
      </w:r>
    </w:p>
    <w:p w14:paraId="33DE071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。数据文件（PDF格式）包含下列内容：</w:t>
      </w:r>
    </w:p>
    <w:p w14:paraId="41A8CE8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7E9C0A7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239F114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10031AC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2F47C71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36CBE070">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267533B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9.1投标人所提供的服务均以人民币报价，精确到小数点后两位。</w:t>
      </w:r>
    </w:p>
    <w:p w14:paraId="0F41A86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9.2投标人应按照“第三章采购项目说明”的服务内容、责任范围以及合同条款进行报价。并按数据文件中“投标报价表（含明细）”规定的格式报出分项价格和总价。</w:t>
      </w:r>
    </w:p>
    <w:p w14:paraId="22D9B72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9.3投标人应按数据文件“投标报价表（含明细）”要求的统一格式填写，并加盖电子公章。</w:t>
      </w:r>
    </w:p>
    <w:p w14:paraId="5C6335B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2150866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1FF10C15">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单位在投标报价时，应根据企业自身实力结合市场信息，充分考虑市场竞争因素和市场风险进行自主报价。充分考虑本项目合同实施期间可能发生的一切费用，并承担由此而带来的风险。凡投标人在报价中未列明但又为本次采购所必备的费用，招标人将一律视为已包括在其报价中，在合同执行中将不予考虑。</w:t>
      </w:r>
    </w:p>
    <w:p w14:paraId="78EC1F0A">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（3）投标人应对本次招标的全部内容进行报价，缺项报价投标无效。如因投标人自身的原因报价失误而造成的损失，由投标人自行承担。</w:t>
      </w:r>
    </w:p>
    <w:p w14:paraId="57B7607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（4）投标人须严格按照报价明细表说明进行填写，报价明细表中“*”是必填项，任何必填项为空时都可能导致本次投标无效。</w:t>
      </w:r>
    </w:p>
    <w:p w14:paraId="61983A7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（5）《投标报价表（含明细）》中合价将由单价*数量自动计算，无需手工录入。</w:t>
      </w:r>
    </w:p>
    <w:p w14:paraId="7AAADB0C">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（6）《投标报价表（含明细）》中“报价产品的型号”，型号填写的一般规则为：品牌+产品型号。</w:t>
      </w:r>
    </w:p>
    <w:p w14:paraId="2D916C90">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6BDC46E0">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（1）有底色标识的单元格须填写，有“*”的列是必输项，任何必输项为空都可能导致您的本次投标（响应）无效；</w:t>
      </w:r>
    </w:p>
    <w:p w14:paraId="4F9C8838">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（2）如想拷贝数据到某个待填写单元格，应采用选择性粘贴(只粘贴文本)，否则单元格填写无效或被锁死；</w:t>
      </w:r>
    </w:p>
    <w:p w14:paraId="6BA0FB14">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（3）当招标需求列的内容显示不完整时，请点击编辑栏进行查看；</w:t>
      </w:r>
    </w:p>
    <w:p w14:paraId="2E725067">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服务)的招标需求的逐一说明，如实填写。“响应需求”中需详细列明所报产品（服务）的明细；若与投标（响应）文件中提供的产品检测报告（如有）、生产厂家出具的产品彩页等证明材料的实质性响应情况不一致，按</w:t>
      </w:r>
      <w:r>
        <w:rPr>
          <w:rFonts w:hint="eastAsia" w:ascii="仿宋" w:hAnsi="仿宋" w:eastAsia="仿宋" w:cs="仿宋"/>
          <w:b/>
          <w:color w:val="auto"/>
          <w:sz w:val="28"/>
          <w:szCs w:val="28"/>
          <w:highlight w:val="none"/>
        </w:rPr>
        <w:t>无效投标（响应）处理</w:t>
      </w:r>
      <w:r>
        <w:rPr>
          <w:rFonts w:hint="eastAsia" w:ascii="仿宋" w:hAnsi="仿宋" w:eastAsia="仿宋" w:cs="仿宋"/>
          <w:color w:val="auto"/>
          <w:sz w:val="28"/>
          <w:szCs w:val="28"/>
          <w:highlight w:val="none"/>
        </w:rPr>
        <w:t>。</w:t>
      </w:r>
    </w:p>
    <w:p w14:paraId="3CD621D1">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1C305FAA">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color w:val="auto"/>
          <w:sz w:val="28"/>
          <w:szCs w:val="28"/>
          <w:highlight w:val="none"/>
        </w:rPr>
        <w:t>无效投标</w:t>
      </w:r>
      <w:r>
        <w:rPr>
          <w:rFonts w:hint="eastAsia" w:ascii="仿宋" w:hAnsi="仿宋" w:eastAsia="仿宋" w:cs="仿宋"/>
          <w:color w:val="auto"/>
          <w:sz w:val="28"/>
          <w:szCs w:val="28"/>
          <w:highlight w:val="none"/>
        </w:rPr>
        <w:t>；</w:t>
      </w:r>
    </w:p>
    <w:p w14:paraId="0CDBA21B">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9.6投标人的报价在合同执行过程中是固定不变的，不得以任何理由改变。所有价格折扣、优惠条件必须在投标（报价）一览表中注明，否则评审时不予认可。</w:t>
      </w:r>
    </w:p>
    <w:p w14:paraId="3EE3272D">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161767B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两个以上的自然人、法人或者其他组织可以组成一个联合体，以一个投标人的身份共同参加投标。</w:t>
      </w:r>
    </w:p>
    <w:p w14:paraId="7D7D12B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10.1以联合体形式进行投标的，应当提交联合协议，载明联合体各方承担的工作和义务。联合体各方应当共同与招标人签订采购合同，就采购合同约定的事项对招标人承担连带责任。</w:t>
      </w:r>
    </w:p>
    <w:p w14:paraId="48F1986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741E84C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山东达信招标代理有限公司。</w:t>
      </w:r>
    </w:p>
    <w:p w14:paraId="6E7276A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10.4以联合体形式参加采购活动的，联合体各方不得再单独参加或者与其他投标人另外组成联合体参加同一合同项下的采购活动。</w:t>
      </w:r>
    </w:p>
    <w:p w14:paraId="670FAF0B">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本项目是否接受联合体投标详见《投标须知前附表》。</w:t>
      </w:r>
    </w:p>
    <w:p w14:paraId="14832FBB">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32C379C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本项目不允许分包</w:t>
      </w:r>
    </w:p>
    <w:p w14:paraId="58C7546B">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133BF8D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4D68738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12.2投标人及其人员经过招标人的允许，可以踏勘目的进入招标单位的项目现场。若本项目招标文件要求投标人于统一时间地点踏勘现场的，投标人应当按时前往。</w:t>
      </w:r>
    </w:p>
    <w:p w14:paraId="6DB3317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12.3除招标人的原因外，投标人自行负责在踏勘现场中所发生的人员伤亡和财产损失。</w:t>
      </w:r>
    </w:p>
    <w:p w14:paraId="2B53A01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3F48B432">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本项目是否组织现场踏勘详见《投标须知前附表》</w:t>
      </w:r>
    </w:p>
    <w:p w14:paraId="6977897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0AADE54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13.1从开标之日起，投标有效期为90天。投标有效期短于90天的，其投标为无效投标（响应）。</w:t>
      </w:r>
    </w:p>
    <w:p w14:paraId="692A04C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13.2特殊情况下，在投标有效期满之前，招标代理机构可以要求投标人延长投标有效期，投标人可以书面形式拒绝或接受上述要求。同意延长投标有效期的投标人不得修改投标文件的实质性内容。</w:t>
      </w:r>
    </w:p>
    <w:p w14:paraId="4211B59E">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3946AC7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14.1本项目投标保证金要求：详见投标须知前附表。</w:t>
      </w:r>
    </w:p>
    <w:p w14:paraId="0C45E61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14.2退还保证金：目前系统采用自动退还保证金操作，分为未中标人退还和中标人退还。代理公司向中标人发送中标通知书后，系统自动退还未中标人保证金；招标人和中标人签署完合同后，系统自动退还中标人保证金。非由中标人原因未能签订合同的，应在招标人作出处理结果之日起五个工作日内退还中标人的保证金。招标项目流标的，应在确定流标之日起五个工作日内退还所有投标人的保证金。</w:t>
      </w:r>
    </w:p>
    <w:p w14:paraId="2C0E14A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14.3有下列情况之一的，投标保证金不予返还。</w:t>
      </w:r>
    </w:p>
    <w:p w14:paraId="5F1B205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（1）投标人提供不真实资格、资质证明文件的；</w:t>
      </w:r>
    </w:p>
    <w:p w14:paraId="4BC74E7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（2）在投标有效期内撤回报价的；</w:t>
      </w:r>
    </w:p>
    <w:p w14:paraId="3928EA0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（3）除因不可抗力或招标文件认可的情形以外，中标人不与招标人签订合同的；</w:t>
      </w:r>
    </w:p>
    <w:p w14:paraId="667BA45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（4）投标人与招标人、其他投标人或者招标代理机构恶意串通的；</w:t>
      </w:r>
    </w:p>
    <w:p w14:paraId="7BC8DF3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（5）评审委员会认定的其他事项。</w:t>
      </w:r>
    </w:p>
    <w:p w14:paraId="38E17FA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对以提供虚假材料或恶意串通或采取不正当竞争手段谋取中标的投标人，一经发现将依法取消其投标人资格，投标保证金不予返还，列入平台黑名单。</w:t>
      </w:r>
    </w:p>
    <w:p w14:paraId="7622EB9F">
      <w:pPr>
        <w:pStyle w:val="2"/>
        <w:ind w:firstLine="560" w:firstLineChars="200"/>
        <w:rPr>
          <w:color w:val="auto"/>
          <w:highlight w:val="none"/>
        </w:rPr>
      </w:pPr>
      <w:r>
        <w:rPr>
          <w:rFonts w:hint="eastAsia" w:cs="仿宋"/>
          <w:b/>
          <w:color w:val="auto"/>
          <w:sz w:val="28"/>
          <w:szCs w:val="28"/>
          <w:highlight w:val="none"/>
        </w:rPr>
        <w:t>本项目投标保证金相关要求见《投标须知前附表》。</w:t>
      </w:r>
    </w:p>
    <w:p w14:paraId="56D041D5">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15.履约保证金的交纳与返还</w:t>
      </w:r>
    </w:p>
    <w:p w14:paraId="5340736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本项目不收取履约保证金。</w:t>
      </w:r>
    </w:p>
    <w:p w14:paraId="796DB92C">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2E21DCD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16.1投标文件（pdf格式）（第一册）1份</w:t>
      </w:r>
    </w:p>
    <w:p w14:paraId="34D1F75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16.1.1投标人应使用带电子签章功能的CA锁对投标文件须盖章或签名的部位加盖电子印章（单位电子公章、法定代表人电子人名章），电子印章与实物印章具有同等法律效力。</w:t>
      </w:r>
    </w:p>
    <w:p w14:paraId="30A2DD5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16.1.2投标人应首先编制word格式投标文件，最后通过威海市国有企业阳光采购电子化服务平台的文件签章菜单的标书签章功能转换为pdf格式（或者其他pdf转换工具），之后通过签章功能在pdf文件上逐页加盖电子印章并保存到本地计算机，加盖了电子印章的pdf文件即为最终的投标文件，否则为无效投标。</w:t>
      </w:r>
    </w:p>
    <w:p w14:paraId="09E41FB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16.1.3文件中要求法定代表人签字或签章的须加盖法定代表人电子人名章。</w:t>
      </w:r>
    </w:p>
    <w:p w14:paraId="700F344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16.1.4须被授权人签字的，被授权人又无电子章，在word编制时可将被授权人手写签字扫描后的图片粘贴到投标文件中对应位置，并加盖单位电子公章。</w:t>
      </w:r>
    </w:p>
    <w:p w14:paraId="43E2ECB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16.1.5可使用系统的批量盖章功能快速签章。但须逐页浏览检查并注意印章重叠及完整性。</w:t>
      </w:r>
    </w:p>
    <w:p w14:paraId="3C8DEE80">
      <w:pPr>
        <w:spacing w:line="56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16.1.6采用扫描粘贴投标人公章或扫描法定代表人人名章而不加盖单位电子公章的为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0BB0329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16.2数据文件（PDF格式）（第二册）1份</w:t>
      </w:r>
    </w:p>
    <w:p w14:paraId="7A1B12E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16.2.1投标人应先填写数据文件（EXCEL格式），填写完成后在国企阳光采购平台中上传该数据文件（EXCEL格式），系统将自行转换为PDF格式，再加盖投标人电子印章，加盖了电子印章的pdf文件即为最终的数据文件。</w:t>
      </w:r>
    </w:p>
    <w:p w14:paraId="16F07E1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16.2.2文件中要求法定代表人签字或签章的须加盖法定代表人电子人名章。</w:t>
      </w:r>
    </w:p>
    <w:p w14:paraId="7B67586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16.2.3采用扫描粘贴投标人公章或法定代表人人名章的为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2FEB09EC">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四、投标文件的递交</w:t>
      </w:r>
    </w:p>
    <w:p w14:paraId="44421570">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1C06EE82">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0919838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14:paraId="2584B3A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4EC6B58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无需提供资质证明文件原件。</w:t>
      </w:r>
    </w:p>
    <w:p w14:paraId="4E426BB1">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17.3文件递交</w:t>
      </w:r>
    </w:p>
    <w:p w14:paraId="2D648DD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Pr>
          <w:rFonts w:hint="eastAsia" w:ascii="仿宋" w:hAnsi="仿宋" w:eastAsia="仿宋" w:cs="仿宋"/>
          <w:b/>
          <w:color w:val="auto"/>
          <w:sz w:val="28"/>
          <w:szCs w:val="28"/>
          <w:highlight w:val="none"/>
        </w:rPr>
        <w:t>其投标将会被判定为无效。</w:t>
      </w:r>
    </w:p>
    <w:p w14:paraId="3BF6768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17.3.2投标人须牢记投标加密密码，该密码将用于开标时解密其电子投标文件，如忘记密码或输入错误密码超过5次，其递交的电子投标文件将无法解密，导致无法提取数据和供他人阅读文件，致使其投标失败。</w:t>
      </w:r>
    </w:p>
    <w:p w14:paraId="108AE77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17.3.3除投标须知前附表另有规定外，招标代理机构拒绝接收纸质投标文件。</w:t>
      </w:r>
    </w:p>
    <w:p w14:paraId="63A0412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17.3.4投标人应将网上递交的已盖章未加密的数据文件和投标文件谨慎保存备份，以便启动应急开标程序时备案使用。</w:t>
      </w:r>
    </w:p>
    <w:p w14:paraId="5D9EA55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55DF314D">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本次招标的投标截止期见《投标须知前附表》。</w:t>
      </w:r>
    </w:p>
    <w:p w14:paraId="3E15FE4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4CDB364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威海市国有企业阳光采购电子化服务平台无法接收投标截止期后递交的电子投标文件。</w:t>
      </w:r>
    </w:p>
    <w:p w14:paraId="06AC832B">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20.现场演示/样品递交</w:t>
      </w:r>
    </w:p>
    <w:p w14:paraId="36FE1786">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20.1招标人可以要求投标人对其提供的信息化、自动化等相关类别服务进行演示。</w:t>
      </w:r>
    </w:p>
    <w:p w14:paraId="3511B5A7">
      <w:pPr>
        <w:snapToGrid w:val="0"/>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20.2若服务项目涉及货物时，招标人可以要求投标人提供样品，样品作为投标文件的一部分。未中标投标人提供的样品将于评审结束后退还。中标人的样品由招标人保留，作为验收的依据。</w:t>
      </w:r>
    </w:p>
    <w:p w14:paraId="10812EB9">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是否要求投标人提供演示/提交样品，详见招标文件《投标须知前附表》的有关规定。</w:t>
      </w:r>
    </w:p>
    <w:p w14:paraId="39C74196">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24FDB69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21.1投标人必须在规定的投标截止期之前将修改的投标文件和数据文件上传到威海市国有企业阳光采购电子化服务平台,在投标截止期之后，投标人不得对其投标文件做任何修改。</w:t>
      </w:r>
    </w:p>
    <w:p w14:paraId="6AE846E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21.2投标人在递交投标文件后，可以在投标截止期之前撤回其投标。</w:t>
      </w:r>
    </w:p>
    <w:p w14:paraId="30AC006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21.3开标后不允许对投标文件做实质性修改和补充，不得撤回投标文件。</w:t>
      </w:r>
    </w:p>
    <w:p w14:paraId="6466C3E8">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五、开标与评审</w:t>
      </w:r>
    </w:p>
    <w:p w14:paraId="18569DAC">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18B404B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22.1投标截止时间结束后，投标人不足3家的不得开标。</w:t>
      </w:r>
    </w:p>
    <w:p w14:paraId="0E0AC35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22.2招标代理机构在招标公告规定的时间和地点组织开标。投标人需提前准备已配置好环境的电脑，在规定的时间进行远程开标的各项操作。</w:t>
      </w:r>
    </w:p>
    <w:p w14:paraId="1E4A269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22.3远程开标的投标人代表应在签到表格相应位置上加盖CA锁中的</w:t>
      </w:r>
      <w:r>
        <w:rPr>
          <w:rFonts w:hint="eastAsia" w:ascii="仿宋" w:hAnsi="仿宋" w:eastAsia="仿宋" w:cs="仿宋"/>
          <w:b/>
          <w:bCs/>
          <w:color w:val="auto"/>
          <w:sz w:val="28"/>
          <w:szCs w:val="28"/>
          <w:highlight w:val="none"/>
        </w:rPr>
        <w:t>法定代表人电子人名章</w:t>
      </w:r>
      <w:r>
        <w:rPr>
          <w:rFonts w:hint="eastAsia" w:ascii="仿宋" w:hAnsi="仿宋" w:eastAsia="仿宋" w:cs="仿宋"/>
          <w:color w:val="auto"/>
          <w:sz w:val="28"/>
          <w:szCs w:val="28"/>
          <w:highlight w:val="none"/>
        </w:rPr>
        <w:t>以证明其出席，在解密结束前未完成签到的将会被</w:t>
      </w:r>
      <w:r>
        <w:rPr>
          <w:rFonts w:hint="eastAsia" w:ascii="仿宋" w:hAnsi="仿宋" w:eastAsia="仿宋" w:cs="仿宋"/>
          <w:b/>
          <w:color w:val="auto"/>
          <w:sz w:val="28"/>
          <w:szCs w:val="28"/>
          <w:highlight w:val="none"/>
        </w:rPr>
        <w:t>视作</w:t>
      </w:r>
      <w:r>
        <w:rPr>
          <w:rFonts w:hint="eastAsia" w:ascii="仿宋" w:hAnsi="仿宋" w:eastAsia="仿宋" w:cs="仿宋"/>
          <w:color w:val="auto"/>
          <w:sz w:val="28"/>
          <w:szCs w:val="28"/>
          <w:highlight w:val="none"/>
        </w:rPr>
        <w:t>认同开标结果。</w:t>
      </w:r>
    </w:p>
    <w:p w14:paraId="3823BA2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22.4投标须知前附表规定了文件解密时间，投标人输入密码错误（5次输入机会）、未能按时完成解密、其《数据文件》填写、盖章不规范等导致系统无法解析的，将会被视为</w:t>
      </w:r>
      <w:r>
        <w:rPr>
          <w:rFonts w:hint="eastAsia" w:ascii="仿宋" w:hAnsi="仿宋" w:eastAsia="仿宋" w:cs="仿宋"/>
          <w:b/>
          <w:color w:val="auto"/>
          <w:sz w:val="28"/>
          <w:szCs w:val="28"/>
          <w:highlight w:val="none"/>
        </w:rPr>
        <w:t>无效投标（响应）</w:t>
      </w:r>
      <w:r>
        <w:rPr>
          <w:rFonts w:hint="eastAsia" w:ascii="仿宋" w:hAnsi="仿宋" w:eastAsia="仿宋" w:cs="仿宋"/>
          <w:color w:val="auto"/>
          <w:sz w:val="28"/>
          <w:szCs w:val="28"/>
          <w:highlight w:val="none"/>
        </w:rPr>
        <w:t>。</w:t>
      </w:r>
    </w:p>
    <w:p w14:paraId="69DD82D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22.5开标过程应当由招标人或招标代理机构负责记录，最终形成开标一览表并由各投标人代表和相关工作人员签字或盖章确认。</w:t>
      </w:r>
    </w:p>
    <w:p w14:paraId="539DFF8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5D65F5E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22.7录音、录像：威海市公共资源交易中心负责从递交投标文件开始到定标结束全过程的录音、录像工作，确保声音清楚、图像清晰、内容无遗漏。</w:t>
      </w:r>
    </w:p>
    <w:p w14:paraId="62F6831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22.8评审过程中，如遇特殊情况，服从公共资源交易中心场地调配，并遵守相关规章制度。</w:t>
      </w:r>
    </w:p>
    <w:p w14:paraId="5B12476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22.9对投标文件报价出现前后不一致的，按以下规定修正：</w:t>
      </w:r>
    </w:p>
    <w:p w14:paraId="4F1C099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（1）“投标（报价）一览表”的报价与“报价明细表”的报价不一致的，以“投标（报价）一览表”的报价为准；</w:t>
      </w:r>
    </w:p>
    <w:p w14:paraId="461450C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（2）大写金额和小写金额不一致的，以大写金额为准；</w:t>
      </w:r>
    </w:p>
    <w:p w14:paraId="4C0F01D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（3）单价金额小数点或者百分比有明显错位的，以投标（报价）一览表的总价为准，并修改单价。</w:t>
      </w:r>
    </w:p>
    <w:p w14:paraId="54F2551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（4）总价金额与按单价汇总金额不一致的，以单价金额计算结果为准。</w:t>
      </w:r>
    </w:p>
    <w:p w14:paraId="6D1BCD8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（5）同时出现两种以上不一致的，按照前款规定的顺序修正。修正后的报价经投标人确认后产生约束力，投标人不确认的，其投标无效。</w:t>
      </w:r>
    </w:p>
    <w:p w14:paraId="20142D1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3745B05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22.10.1签到：在投标须知前附表规定的时间完成签到。</w:t>
      </w:r>
    </w:p>
    <w:p w14:paraId="767763E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22.10.2开标：工作人员在投标须知前附表规定的开标时间启动开标。</w:t>
      </w:r>
    </w:p>
    <w:p w14:paraId="1E47C3D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22.10.3解密：开标后工作人员启动开始解密指令，投标人开始输入解密密码，解密时间到后工作人员启动停止解密指令。</w:t>
      </w:r>
    </w:p>
    <w:p w14:paraId="356C262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6578A1D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4E13066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电子开标过程中如出现下列情况，导致系统无法正常运行，或者无法保证开标过程的公平、公正和信息安全时，经与行政监督部门沟通后可启动应急开标程序。</w:t>
      </w:r>
    </w:p>
    <w:p w14:paraId="0091401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（1）系统服务器发生故障，无法访问或无法使用系统；</w:t>
      </w:r>
    </w:p>
    <w:p w14:paraId="08570BE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（2）系统的软件或数据库出现错误，不能进行正常操作；</w:t>
      </w:r>
    </w:p>
    <w:p w14:paraId="6137012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（3）系统发现有安全漏洞，有潜在的泄密危险；</w:t>
      </w:r>
    </w:p>
    <w:p w14:paraId="3EE02B5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（4）病毒发作或受到外来病毒的攻击；</w:t>
      </w:r>
    </w:p>
    <w:p w14:paraId="43E077D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7915430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189C332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41FD1F7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（2）对已在系统中开标的应停止，等待系统恢复正常后再组织进行开标。</w:t>
      </w:r>
    </w:p>
    <w:p w14:paraId="50896195">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Pr>
          <w:rFonts w:hint="eastAsia" w:ascii="仿宋" w:hAnsi="仿宋" w:eastAsia="仿宋" w:cs="仿宋"/>
          <w:b/>
          <w:color w:val="auto"/>
          <w:sz w:val="28"/>
          <w:szCs w:val="28"/>
          <w:highlight w:val="none"/>
        </w:rPr>
        <w:t>无效投标（响应）处理。</w:t>
      </w:r>
    </w:p>
    <w:p w14:paraId="5C1438E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w:t>
      </w:r>
      <w:r>
        <w:rPr>
          <w:rFonts w:hint="eastAsia" w:ascii="仿宋" w:hAnsi="仿宋" w:eastAsia="仿宋" w:cs="仿宋"/>
          <w:b/>
          <w:color w:val="auto"/>
          <w:sz w:val="28"/>
          <w:szCs w:val="28"/>
          <w:highlight w:val="none"/>
        </w:rPr>
        <w:t>无效投标（响应）处理</w:t>
      </w:r>
      <w:r>
        <w:rPr>
          <w:rFonts w:hint="eastAsia" w:ascii="仿宋" w:hAnsi="仿宋" w:eastAsia="仿宋" w:cs="仿宋"/>
          <w:color w:val="auto"/>
          <w:sz w:val="28"/>
          <w:szCs w:val="28"/>
          <w:highlight w:val="none"/>
        </w:rPr>
        <w:t>。</w:t>
      </w:r>
    </w:p>
    <w:p w14:paraId="26F312F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22.12应急开标电子邮件递交规定</w:t>
      </w:r>
    </w:p>
    <w:p w14:paraId="17303C2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接收电子邮箱：Whzbgs5234516@163.com</w:t>
      </w:r>
    </w:p>
    <w:p w14:paraId="3B0B1ED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递交时间：以电子邮件或电话通知的时间为准；</w:t>
      </w:r>
    </w:p>
    <w:p w14:paraId="0F3B842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3E78AB2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邮件主题：项目编号、投标人名称；</w:t>
      </w:r>
    </w:p>
    <w:p w14:paraId="562676D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14:paraId="44DD0F2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22.13启动电子邮件开标流程</w:t>
      </w:r>
    </w:p>
    <w:p w14:paraId="55D76EF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1C21C13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投标人收到通知后在规定时间内通过电子邮件递交投标文件（在非应急开标期间招标代理机构不接受、不处理任何通过电子邮件提交的投标文件）；</w:t>
      </w:r>
    </w:p>
    <w:p w14:paraId="4727E9E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递交截止时间到，工作人员开始下载投标文件，将投标报价形成开标报告并邮件回复各投标人；</w:t>
      </w:r>
    </w:p>
    <w:p w14:paraId="7B78FF4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投标人确认报价并邮件回复，不及时回复的视为对开标报告的内容无异议。</w:t>
      </w:r>
    </w:p>
    <w:p w14:paraId="6F9DF39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23.评标委员会的组成和评标方法</w:t>
      </w:r>
    </w:p>
    <w:p w14:paraId="55876A7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23.1招标代理机构负责组织评标工作，具体评审事务由依法组建的评标委员会负责，评标委员会成员由招标人代表和评审专家5人以上的单数组成，其中专家人数不得少于评标委员会成员总数的2/3，评标委员会的专家依法从阳光国企采购主管部门组建的专家库中随机抽取产生。情况特殊的，通过随机方式难以确定合适的评审专家的项目，经主管部门同意，招标人可以自行选定评审专家。</w:t>
      </w:r>
    </w:p>
    <w:p w14:paraId="4B108FE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23.2招标人员及相关人员与投标人有利害关系的应当回避。曾参与招标文件征询意见或论证的专家，不得再作为评标专家参加评标。招标人不得以专家身份参与本项目的评标。招标人和招标代理机构工作人员离职或退休不满三年的，不能作为专家参加评标工作。</w:t>
      </w:r>
    </w:p>
    <w:p w14:paraId="042AEA2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23.3评标委员会成员职责：</w:t>
      </w:r>
    </w:p>
    <w:p w14:paraId="48975D0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（1）评标前，评标委员会成员应当主动确认与投标人及其制造商是否有利害关系。如有利害关系应当主动回避，如无利害关系，应当在含有相关内容的《无利害关系声明》上签字；</w:t>
      </w:r>
    </w:p>
    <w:p w14:paraId="5BA8FA0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（2）按照招标文件中确定的评标办法，对投标文件的内容进行评审，并对评审结果承担责任；</w:t>
      </w:r>
    </w:p>
    <w:p w14:paraId="5CE9AFE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（3）对评标过程和结果，以及投标人的商业秘密进行保密；</w:t>
      </w:r>
    </w:p>
    <w:p w14:paraId="6BCE47F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6E6B43E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（5）配合招标代理机构答复投标人质疑；</w:t>
      </w:r>
    </w:p>
    <w:p w14:paraId="1CF0583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（6）配合主管部门处理投标人投诉；</w:t>
      </w:r>
    </w:p>
    <w:p w14:paraId="54F3137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（7）向主管部门反映评标工作中的问题，提出意见和建议。</w:t>
      </w:r>
    </w:p>
    <w:p w14:paraId="2B490FE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23.4评标委员会集体职责：</w:t>
      </w:r>
    </w:p>
    <w:p w14:paraId="05D6D45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6A3FF61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（2）配合招标人和招标代理机构答复投标人的质疑；</w:t>
      </w:r>
    </w:p>
    <w:p w14:paraId="59A0F17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（3）配合主管部门做好投诉处理工作；</w:t>
      </w:r>
    </w:p>
    <w:p w14:paraId="7647698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（4）必要时，向投标人解释评标结果；</w:t>
      </w:r>
    </w:p>
    <w:p w14:paraId="6EA14CD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（5）向主管部门或者有关部门报告非法干预评标工作的行为。</w:t>
      </w:r>
    </w:p>
    <w:p w14:paraId="5A55F61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23.5招标代理机构或招标人的职责：</w:t>
      </w:r>
    </w:p>
    <w:p w14:paraId="0CD698B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（1）核对评审专家身份和招标人委托授权，对评审专家在采购活动中的职责履行情况予以记录，并及时将有关违法违规行为向主管部门报告；</w:t>
      </w:r>
    </w:p>
    <w:p w14:paraId="3A091D3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688B18F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（3）公布投标人名单，告知评审专家应当回避的情形；</w:t>
      </w:r>
    </w:p>
    <w:p w14:paraId="015F260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（4）组织评标委员会推选评标组长，招标人代表不得担任组长；</w:t>
      </w:r>
    </w:p>
    <w:p w14:paraId="1594530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（5）在评标期间采取必要的通讯管理措施，保证评标活动不受外界干扰；</w:t>
      </w:r>
    </w:p>
    <w:p w14:paraId="3D80D3E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（6）根据评标委员会的要求介绍阳光国企采购相关政策法规、招标文件；</w:t>
      </w:r>
    </w:p>
    <w:p w14:paraId="4E36B5E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（7）维护评标秩序，监督评标委员会依照招标文件规定的评标程序、方法和标准进行独立评审，及时制止和纠正招标人代表、评审专家的倾向性言论或者违法违规行为；</w:t>
      </w:r>
    </w:p>
    <w:p w14:paraId="4B81F87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14:paraId="7875F71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评审工作完成后，按照规定向评审专家支付劳务报酬和异地评审差旅费，不得向评审专家以外的其他人员支付评审劳务报酬；专家劳务报酬标准参照山东省财政厅《关于印发&lt;山东省政府采购评审劳务报酬标准&gt;的通知》（鲁财采〔2017〕28号）规定执行。</w:t>
      </w:r>
    </w:p>
    <w:p w14:paraId="1C3FE1B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（10）处理与评标有关的其他事项。</w:t>
      </w:r>
    </w:p>
    <w:p w14:paraId="359517C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招标人可以在评标前说明项目背景和采购需求，说明内容不得含有歧视性、倾向性意见，不得超出招标文件所述范围。</w:t>
      </w:r>
    </w:p>
    <w:p w14:paraId="6EA08D2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23.6评标委员会采用集中办公、封闭方式进行评审。评标前，招标代理机构工作人员向评标委员会成员宣布评标纪律和工作规则。评标委员会成员签署《无利害关系声明表》，并遵照执行。</w:t>
      </w:r>
    </w:p>
    <w:p w14:paraId="3054BA6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23.7评标委员会成员对与自己有利害关系的评标项目应当主动提出回避。在招标采购活动中，招标人员及相关人员与投标人有以下利害关系之一的，应当回避：</w:t>
      </w:r>
    </w:p>
    <w:p w14:paraId="1701DA8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（1）参加招标采购活动前3年内与投标人存在劳动关系；</w:t>
      </w:r>
    </w:p>
    <w:p w14:paraId="3A4645D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（2）参加招标采购活动前3年内担任投标人的董事、监事；</w:t>
      </w:r>
    </w:p>
    <w:p w14:paraId="4278D02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（3）参加招标采购活动前3年内是投标人的控股股东或者实际控制人；</w:t>
      </w:r>
    </w:p>
    <w:p w14:paraId="7F37892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（4）与投标人的法定代表人或者负责人有服务、直系血亲、三代以内旁系血亲或者近姻亲关系；</w:t>
      </w:r>
    </w:p>
    <w:p w14:paraId="37C1F34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（5）与投标人有其他可能影响招标采购活动公平、公正进行的关系。</w:t>
      </w:r>
    </w:p>
    <w:p w14:paraId="09CAA359">
      <w:pPr>
        <w:spacing w:line="480" w:lineRule="exact"/>
        <w:ind w:firstLine="562" w:firstLineChars="201"/>
        <w:rPr>
          <w:color w:val="auto"/>
          <w:highlight w:val="none"/>
        </w:rPr>
      </w:pPr>
      <w:r>
        <w:rPr>
          <w:rFonts w:hint="eastAsia" w:ascii="仿宋" w:hAnsi="仿宋" w:eastAsia="仿宋" w:cs="仿宋"/>
          <w:color w:val="auto"/>
          <w:sz w:val="28"/>
          <w:szCs w:val="28"/>
          <w:highlight w:val="none"/>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40AC178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23.8评标委员会将按照招标文件确定的评标原则和方法进行评标。招标人对投标人进行资格性审查，评标委员会对投标文件的评审内容分为符合性审查、商务评议、技术评议和价格评议。</w:t>
      </w:r>
    </w:p>
    <w:p w14:paraId="17848AA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23.9评标委员会独立履行下列职责：</w:t>
      </w:r>
    </w:p>
    <w:p w14:paraId="3FDEB25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29E2377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2811125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0AF9A15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（4）确定中标候选人名单，以及根据招标人委托直接确定中标人；</w:t>
      </w:r>
    </w:p>
    <w:p w14:paraId="796B0EE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（5）向招标人、招标代理机构或者有关部门报告评标中发现的违法行为。</w:t>
      </w:r>
    </w:p>
    <w:p w14:paraId="2A9E36D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23.10 评标中因评标委员会成员缺席、回避或者健康等特殊原因导致评标委员会组成不符合本办法规定的，招标代理机构应当依法补足后继续评标。被更换的评标委员会成员所作出的评标意见无效。</w:t>
      </w:r>
    </w:p>
    <w:p w14:paraId="4AFA9CF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无法及时补足评标委员会成员的，招标代理机构应当停止评标活动，封存所有投标文件和开标、评标资料，依法重新组建评标委员会进行评标。原评标委员会作出的评标意见无效。</w:t>
      </w:r>
    </w:p>
    <w:p w14:paraId="324283E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招标代理机构应当将变更、重新组建评标委员会的情况予以记录，并随采购文件一并存档。</w:t>
      </w:r>
    </w:p>
    <w:p w14:paraId="19244725">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4805317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24.1资格性审查。在采购项目开标结束后,评标委员会对投标人的资格进行审查。合格投标人不足3家的，不得评标。在资格性检查时,如有下列情况之一的，经招标人认定，视为非实质性响应，为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3226A26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（1）与招标人存在利害关系且可能影响采购活动的公正性；</w:t>
      </w:r>
    </w:p>
    <w:p w14:paraId="23AEFAD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（2）与本招标项目的其他投标人为同一个单位负责人；</w:t>
      </w:r>
    </w:p>
    <w:p w14:paraId="0C7BD9C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（3）与本招标项目的其他投标人存在控股、管理关系；</w:t>
      </w:r>
    </w:p>
    <w:p w14:paraId="583EA50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（4）为本招标项目提供过设计、编制技术规范和其他文件的咨询服务；</w:t>
      </w:r>
    </w:p>
    <w:p w14:paraId="0E33B40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（5）为本项目的相关监理人，或者与本项目的相关监理人存在隶属关系或者其他利害关系；</w:t>
      </w:r>
    </w:p>
    <w:p w14:paraId="794A710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（6）为本招标项目的代建人；</w:t>
      </w:r>
    </w:p>
    <w:p w14:paraId="5F94756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（7）为本招标项目的招标代理机构；</w:t>
      </w:r>
    </w:p>
    <w:p w14:paraId="2C44EC2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（8）与本招标项目的监理人或代建人或招标代理机构同为一个法定代表人；</w:t>
      </w:r>
    </w:p>
    <w:p w14:paraId="07FCC0D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（9）与本招标项目的监理人或代建人或招标代理机构存在控股或参股关系；</w:t>
      </w:r>
    </w:p>
    <w:p w14:paraId="03D8958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（10）被依法暂停或者取消投标资格；</w:t>
      </w:r>
    </w:p>
    <w:p w14:paraId="22A3B0F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（11）被责令停产停业、暂扣或者吊销许可证、暂扣或者吊销执照；</w:t>
      </w:r>
    </w:p>
    <w:p w14:paraId="4C6D753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（12）进入清算程序，或被宣告破产，或其他丧失履约能力的情形；</w:t>
      </w:r>
    </w:p>
    <w:p w14:paraId="53A2F77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（13）法律法规规定的其他情形。</w:t>
      </w:r>
    </w:p>
    <w:p w14:paraId="59EA701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（14）投标人资格证明文件不满足招标文件要求和过期失效的。</w:t>
      </w:r>
    </w:p>
    <w:p w14:paraId="7F71F88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24.2符合性审查。</w:t>
      </w:r>
    </w:p>
    <w:p w14:paraId="1B8BB58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24.2.1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w:t>
      </w:r>
      <w:r>
        <w:rPr>
          <w:rFonts w:hint="eastAsia" w:ascii="仿宋" w:hAnsi="仿宋" w:eastAsia="仿宋" w:cs="仿宋"/>
          <w:b/>
          <w:bCs/>
          <w:color w:val="auto"/>
          <w:sz w:val="28"/>
          <w:szCs w:val="28"/>
          <w:highlight w:val="none"/>
        </w:rPr>
        <w:t>无效投标（响应）</w:t>
      </w:r>
      <w:r>
        <w:rPr>
          <w:rFonts w:hint="eastAsia" w:ascii="仿宋" w:hAnsi="仿宋" w:eastAsia="仿宋" w:cs="仿宋"/>
          <w:color w:val="auto"/>
          <w:sz w:val="28"/>
          <w:szCs w:val="28"/>
          <w:highlight w:val="none"/>
        </w:rPr>
        <w:t>：</w:t>
      </w:r>
    </w:p>
    <w:p w14:paraId="7F6BE20E">
      <w:pPr>
        <w:spacing w:line="48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具体内容详见《投标须知》-《实质性条款一览表》中符合性审查条件。</w:t>
      </w:r>
    </w:p>
    <w:p w14:paraId="47CA642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24.2.2投标人有下列情形之一的，视为投标人串通投标，其投标无效：</w:t>
      </w:r>
    </w:p>
    <w:p w14:paraId="242A6D4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7CFDFEF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（2）不同投标人使用同一个投标单位或者同一个自然人的IP地址、设备下载招标文件或者制作、上传投标文件的；</w:t>
      </w:r>
    </w:p>
    <w:p w14:paraId="5A999EC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（3）不同投标人委托同一单位或者个人办理投标事宜；</w:t>
      </w:r>
    </w:p>
    <w:p w14:paraId="27765AA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10DBB67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083DCC8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688B979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（7）不同投标人的投标文件相互混装；</w:t>
      </w:r>
    </w:p>
    <w:p w14:paraId="6CE0176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（8）不同投标人的投标保证金从同一单位或者个人的账户转出；</w:t>
      </w:r>
    </w:p>
    <w:p w14:paraId="4C3733B2">
      <w:pPr>
        <w:pStyle w:val="2"/>
        <w:ind w:firstLine="560" w:firstLineChars="200"/>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（9）不同投标人制作的电子投标文件经系统审查存在cpu编码、硬盘编码及MAC地址三项编码均相同的。</w:t>
      </w:r>
    </w:p>
    <w:p w14:paraId="70C5766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24.3投标截止后投标人不足3家或者通过资格审查或符合性审查的投标人不足3家的，除采购任务取消情形外，按照以下方式处理：</w:t>
      </w:r>
    </w:p>
    <w:p w14:paraId="49935A7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（1）招标文件存在不合理条款或者招标程序不符合规定的，招标人、招标代理机构改正后依法重新招标；</w:t>
      </w:r>
    </w:p>
    <w:p w14:paraId="06E377A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（2）招标文件没有不合理条款、招标程序符合规定，需要采用其他招标方式招标的，招标人应当依法报主管部门批准。</w:t>
      </w:r>
    </w:p>
    <w:p w14:paraId="44522851">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25.投标文件的澄清</w:t>
      </w:r>
    </w:p>
    <w:p w14:paraId="76A1A69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621990C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14:paraId="05BABE31">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26.投标文件的评价</w:t>
      </w:r>
    </w:p>
    <w:p w14:paraId="39D615A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26.1评审采用百分制。评标委员会各成员分别独立对实质上响应投标文件的投标人进行逐项评价打分，对评标委员会各成员每一因素的打分汇总后的得分为投标人的得分，汇总得分保留两位小数。</w:t>
      </w:r>
    </w:p>
    <w:p w14:paraId="740418D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5F6400A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26.3评标采用综合评分法的，价格分值由评审系统根据投标人上传的《投标（报价）一览表》中的投标报价，依据规定公式自动计算，其结果由评标委员会所有成员签字确认。</w:t>
      </w:r>
    </w:p>
    <w:p w14:paraId="0670C18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招标代理机构工作人员负责复核、统计评标委员会成员的评审情况，发现评审意见有失公正时，提请该评标委员会成员修改评审意见，并形成书面意见备查。</w:t>
      </w:r>
    </w:p>
    <w:p w14:paraId="041CDCB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26.4评审时除考虑投标人的报价之外，还将考虑以下因素：</w:t>
      </w:r>
    </w:p>
    <w:p w14:paraId="37D0484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（1）投标文件的响应状况（包括是否按照招标文件要求制作）；</w:t>
      </w:r>
    </w:p>
    <w:p w14:paraId="26154C5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（2）招标文件规定的其它评审因素。</w:t>
      </w:r>
    </w:p>
    <w:p w14:paraId="5770C7E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14:paraId="1174E40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26.6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采购活动。</w:t>
      </w:r>
    </w:p>
    <w:p w14:paraId="39B7846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3105BF1A">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27.废标条款</w:t>
      </w:r>
    </w:p>
    <w:p w14:paraId="56CB767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在招标采购中，出现下列情形之一的，应予废标：</w:t>
      </w:r>
    </w:p>
    <w:p w14:paraId="0E4B27A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（1）符合专业条件的投标人或者对招标文件作实质响应的投标人不足3家的；</w:t>
      </w:r>
    </w:p>
    <w:p w14:paraId="7E3A86E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（2）出现影响采购公正的违法、违规行为的；</w:t>
      </w:r>
    </w:p>
    <w:p w14:paraId="3DDF6F2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（3）因重大变故，招标人采购任务取消的。</w:t>
      </w:r>
    </w:p>
    <w:p w14:paraId="14A01A7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六、定标</w:t>
      </w:r>
    </w:p>
    <w:p w14:paraId="72B8321F">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28.定标</w:t>
      </w:r>
    </w:p>
    <w:p w14:paraId="2530315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对投标文件进行评审。评标结束后，对投标人的评审名次进行排序，确定中标候选人排序，根据全体评标成员签字的原始评标记录和评标结果编写评标报告。</w:t>
      </w:r>
    </w:p>
    <w:p w14:paraId="000C9CA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28.2评委会所有成员应当在评标报告上签字确认，评标报告的主要内容包括：</w:t>
      </w:r>
    </w:p>
    <w:p w14:paraId="07661FD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（1）招标公告刊登的媒体名称、开标日期和地点；</w:t>
      </w:r>
    </w:p>
    <w:p w14:paraId="7992B62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1225528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159A11D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（4）开标记录和评标情况及说明，包括投标无效投标人名单及原因；</w:t>
      </w:r>
    </w:p>
    <w:p w14:paraId="2C87C70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（5）评标结果，确定的中标候选人名单或者经招标人委托直接确定的中标人；</w:t>
      </w:r>
    </w:p>
    <w:p w14:paraId="478F6B0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（6）其他需要说明的情况，包括评标过程中投标人根据评标委员会要求进行澄清、说明或者补正，评标委员会成员的更换等。</w:t>
      </w:r>
    </w:p>
    <w:p w14:paraId="1290BE5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28.3由评标委员会直接确定预中标候选人的，招标代理机构自评标结束之日起2个工作日内在指定媒体上公布评标结果；需要招标人确认的，招标代理机构自评标结束之日起2个工作日内，将评标报告送交招标人。招标人应当自收到评标报告之日起3个工作日内在评标报告确定的中标候选人名单中确定预中标人。</w:t>
      </w:r>
    </w:p>
    <w:p w14:paraId="1EF028E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28.4评标结果汇总完成后，除下列情形外，任何人不得修改评标结果：</w:t>
      </w:r>
    </w:p>
    <w:p w14:paraId="54E460D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（1）分值汇总计算错误的；</w:t>
      </w:r>
    </w:p>
    <w:p w14:paraId="2191509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（2）分项评分超出评分标准范围的；</w:t>
      </w:r>
    </w:p>
    <w:p w14:paraId="33782652">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（3）评标委员会成员对客观评审因素评分不一致的；</w:t>
      </w:r>
    </w:p>
    <w:p w14:paraId="34606A5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（4）经评标委员会认定评分畸高、畸低的。</w:t>
      </w:r>
    </w:p>
    <w:p w14:paraId="346B1A0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28.5评标报告签署前，经复核发现存在以上情形之一的，评标委员会应当当场修改评标结果，并在评标报告中记载；评标报告签署后，招标人或招标代理机构发现存在以上情形之一的，应当组织原评标委员会进行重新评审，重新评审改变结果的，书面报告本级主管部门。投标人对本条上述情形提出质疑的，招标人或者招标代理机构可以组织原评标委员会进行重新评审，重新评审改变评标结果的，应当书面报告主管部门。</w:t>
      </w:r>
    </w:p>
    <w:p w14:paraId="5EB1337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28.6中标人在规定的期限内无正当理由拒绝签订合同，招标人可以按照评审报告推荐的中标候选人名单排序，确定下一候选人为中标人，也可以重新开展招标活动。</w:t>
      </w:r>
    </w:p>
    <w:p w14:paraId="247B1D4D">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七、公告</w:t>
      </w:r>
    </w:p>
    <w:p w14:paraId="55557B2C">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29.公告</w:t>
      </w:r>
    </w:p>
    <w:p w14:paraId="6639A52A">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29.1招标代理机构自中标人确定之日起2个工作日内，在原招标公告发布媒介上发布中标结果。中标公告期限为1个工作日。中标公告应当包括下列内容：</w:t>
      </w:r>
    </w:p>
    <w:p w14:paraId="69435E3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（1）招标人、招标代理机构的名称、地址和联系方式；</w:t>
      </w:r>
    </w:p>
    <w:p w14:paraId="5C550DC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（2）项目名称和项目编号；</w:t>
      </w:r>
    </w:p>
    <w:p w14:paraId="29C5C301">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（3）中标人名称和中标金额；</w:t>
      </w:r>
    </w:p>
    <w:p w14:paraId="7AC3BA5C">
      <w:pPr>
        <w:pStyle w:val="2"/>
        <w:ind w:firstLine="560" w:firstLineChars="200"/>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（4）评审专家名单。</w:t>
      </w:r>
    </w:p>
    <w:p w14:paraId="4FF93A2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29.2中标公告结束且无尚未处理的异议后，招标人和招标代理机构联合向中标人发出中标通知书。</w:t>
      </w:r>
    </w:p>
    <w:p w14:paraId="56828F9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八、质疑</w:t>
      </w:r>
    </w:p>
    <w:p w14:paraId="62564647">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30.质疑</w:t>
      </w:r>
    </w:p>
    <w:p w14:paraId="1978E48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30.1投标人对采购活动事项有疑问的，可以向招标人和招标代理机构提出询问，招标人或招标代理机构应当在7日内做出答复，但答复的内容不得涉及商业秘密。投标人提出的询问或者质疑超出招标人对招标代理机构委托授权范围的，招标代理机构应当告知其向招标人提出。</w:t>
      </w:r>
    </w:p>
    <w:p w14:paraId="6E16F7C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30.2投标人认为招标文件使自己的权益受到损害的，应当在招标文件获取截止前2日内向招标代理机构提供书面质疑，招标人或招标代理机构按规定予以答复。</w:t>
      </w:r>
    </w:p>
    <w:p w14:paraId="4046D1A3">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30.3投标人对开评标过程提出质疑的，应当在开标期间提出。</w:t>
      </w:r>
    </w:p>
    <w:p w14:paraId="4CDB3AE6">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30.4投标人对评标结果有异议的，应当在中标候选人公示期间提出；</w:t>
      </w:r>
    </w:p>
    <w:p w14:paraId="1D03A62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30.5投标人对定标结果有异议的，应当在中标人公示期间提出质疑，招标人或招标代理机构应当在收到投标人的质疑后7日内作出答复，但答复的内容不得涉及商业秘密。</w:t>
      </w:r>
    </w:p>
    <w:p w14:paraId="35F7558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30.6招标人或者招标代理机构收到投标人的书面质疑后，应当签收回执。</w:t>
      </w:r>
    </w:p>
    <w:p w14:paraId="6BA2A0C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30.7招标人或者招标代理机构应当自签收回执之日起7日内对质疑事项依法予以处理并作出答复，书面通知提出质疑的投标人和相关的其他投标人。质疑事项成立的，应当中止采购活动并予以纠正。</w:t>
      </w:r>
    </w:p>
    <w:p w14:paraId="7919CFA8">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30.8投标人在法定质疑期内一次性提出针对同一采购程序环节的质疑。</w:t>
      </w:r>
    </w:p>
    <w:p w14:paraId="6517DB9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30.9质疑采用实名制，为了使提出的质疑事项在规定时间内得到有效答复、处理，提交的质疑函应当包括以下内容，且质疑人应当是参与所质疑项目采购活动的投标人。</w:t>
      </w:r>
    </w:p>
    <w:p w14:paraId="272A92FD">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（1）投标人的姓名或名称、地址（邮箱）、邮编、联系人及联系电话；</w:t>
      </w:r>
    </w:p>
    <w:p w14:paraId="7F998F7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（2）质疑项目的名称、编号；</w:t>
      </w:r>
    </w:p>
    <w:p w14:paraId="5D0CE910">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（3）具体、明确的质疑事项和与质疑事项相关的请求；</w:t>
      </w:r>
    </w:p>
    <w:p w14:paraId="225D819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（4）事实依据；</w:t>
      </w:r>
    </w:p>
    <w:p w14:paraId="34000577">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（5）必要的法律依据；</w:t>
      </w:r>
    </w:p>
    <w:p w14:paraId="50CDD1A5">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（6）提出质疑的日期。</w:t>
      </w:r>
    </w:p>
    <w:p w14:paraId="18D133BF">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30.10投标人为自然人的，应当由本人签字；投标人为法人或者其他组织的，应当由法定代表人、主要负责人，或者其被授权人签字或者盖章，并加盖公章。</w:t>
      </w:r>
    </w:p>
    <w:p w14:paraId="3227E449">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30.11有下列情况之一的质疑不予受理：</w:t>
      </w:r>
    </w:p>
    <w:p w14:paraId="7723D2A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（1）无质疑函件或质疑函件缺少投标人法人印章、投标人法定代表人签字、有效授权书和联系方式之一的质疑；</w:t>
      </w:r>
    </w:p>
    <w:p w14:paraId="41C3624B">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（2）质疑函件无实质性内容或佐证文件资料，主观臆断及推理得出结论的质疑；</w:t>
      </w:r>
    </w:p>
    <w:p w14:paraId="26C85114">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（3）相应证明材料不真实或来源不合法的质疑；</w:t>
      </w:r>
    </w:p>
    <w:p w14:paraId="52EA7D9C">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（4）未按规定时间或超过公示期提出的质疑；</w:t>
      </w:r>
    </w:p>
    <w:p w14:paraId="2DFA6D8E">
      <w:pPr>
        <w:spacing w:line="48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30.12对捏造事实，提供虚假材料或者以非法手段取得证明材料进行恶意质疑的，一经查实，将上报主管部门列入黑名单，并给以相应处罚。</w:t>
      </w:r>
    </w:p>
    <w:p w14:paraId="3BA29B23">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九、签订合同</w:t>
      </w:r>
    </w:p>
    <w:p w14:paraId="221F5DC0">
      <w:pPr>
        <w:spacing w:line="560" w:lineRule="exact"/>
        <w:ind w:firstLine="562" w:firstLineChars="201"/>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31.合同的签订</w:t>
      </w:r>
    </w:p>
    <w:p w14:paraId="7E68D293">
      <w:pPr>
        <w:spacing w:line="4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31.1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14:paraId="176805B1">
      <w:pPr>
        <w:spacing w:line="4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31.2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14:paraId="1F71CA90">
      <w:pPr>
        <w:spacing w:line="4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31.3中标人在规定时间内无正当理由拒绝与招标人签订合同的，有效投标人符合法定数量的，招标人可以按照评审报告推荐的中标候选人名单排序，确定下一候选人为中标人，也可以重新开展招标活动。</w:t>
      </w:r>
    </w:p>
    <w:p w14:paraId="57ACD8F2">
      <w:pPr>
        <w:spacing w:line="440" w:lineRule="exact"/>
        <w:ind w:firstLine="562" w:firstLineChars="201"/>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31.4采购合同的履行、违约责任和解决争议的方法适用《中华人民共和国民法典》。</w:t>
      </w:r>
    </w:p>
    <w:p w14:paraId="402BC560">
      <w:pPr>
        <w:rPr>
          <w:rFonts w:ascii="仿宋" w:hAnsi="仿宋" w:eastAsia="仿宋" w:cs="仿宋"/>
          <w:color w:val="auto"/>
          <w:sz w:val="28"/>
          <w:szCs w:val="28"/>
          <w:highlight w:val="none"/>
        </w:rPr>
        <w:sectPr>
          <w:headerReference r:id="rId7" w:type="default"/>
          <w:footerReference r:id="rId8" w:type="default"/>
          <w:pgSz w:w="11906" w:h="16838"/>
          <w:pgMar w:top="1440" w:right="1361" w:bottom="1440" w:left="1418" w:header="851" w:footer="992" w:gutter="0"/>
          <w:cols w:space="425" w:num="1"/>
          <w:docGrid w:type="linesAndChars" w:linePitch="312" w:charSpace="0"/>
        </w:sectPr>
      </w:pPr>
    </w:p>
    <w:p w14:paraId="6517BDDF">
      <w:pPr>
        <w:pStyle w:val="4"/>
        <w:jc w:val="center"/>
        <w:rPr>
          <w:color w:val="auto"/>
          <w:highlight w:val="none"/>
        </w:rPr>
      </w:pPr>
      <w:bookmarkStart w:id="17" w:name="_Toc66087242"/>
      <w:bookmarkStart w:id="18" w:name="_Toc9023"/>
      <w:r>
        <w:rPr>
          <w:rFonts w:hint="eastAsia"/>
          <w:color w:val="auto"/>
          <w:highlight w:val="none"/>
        </w:rPr>
        <w:t>第三章</w:t>
      </w:r>
      <w:bookmarkEnd w:id="17"/>
      <w:bookmarkStart w:id="19" w:name="_Hlk9675253"/>
      <w:r>
        <w:rPr>
          <w:rFonts w:hint="eastAsia"/>
          <w:color w:val="auto"/>
          <w:highlight w:val="none"/>
        </w:rPr>
        <w:t>采购项目说明</w:t>
      </w:r>
      <w:bookmarkEnd w:id="18"/>
    </w:p>
    <w:bookmarkEnd w:id="19"/>
    <w:p w14:paraId="1046533A">
      <w:pPr>
        <w:autoSpaceDE w:val="0"/>
        <w:autoSpaceDN w:val="0"/>
        <w:ind w:firstLine="560" w:firstLineChars="200"/>
        <w:rPr>
          <w:rFonts w:ascii="仿宋_GB2312" w:eastAsia="仿宋_GB2312"/>
          <w:bCs/>
          <w:color w:val="auto"/>
          <w:sz w:val="28"/>
          <w:szCs w:val="28"/>
          <w:highlight w:val="none"/>
        </w:rPr>
      </w:pPr>
      <w:bookmarkStart w:id="20" w:name="_Hlk525988930"/>
      <w:bookmarkStart w:id="21" w:name="_Toc66087244"/>
      <w:r>
        <w:rPr>
          <w:rFonts w:hint="eastAsia" w:ascii="仿宋_GB2312" w:eastAsia="仿宋_GB2312"/>
          <w:bCs/>
          <w:color w:val="auto"/>
          <w:sz w:val="28"/>
          <w:szCs w:val="28"/>
          <w:highlight w:val="none"/>
        </w:rPr>
        <w:t>一、项目名称：</w:t>
      </w:r>
    </w:p>
    <w:p w14:paraId="541E07DE">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威海电视观光塔文旅项目检测鉴定服务</w:t>
      </w:r>
    </w:p>
    <w:p w14:paraId="6D66EFCD">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二、项目概况</w:t>
      </w:r>
    </w:p>
    <w:p w14:paraId="7BA59F97">
      <w:pPr>
        <w:autoSpaceDE w:val="0"/>
        <w:autoSpaceDN w:val="0"/>
        <w:ind w:firstLine="560" w:firstLineChars="200"/>
        <w:rPr>
          <w:color w:val="auto"/>
          <w:highlight w:val="none"/>
        </w:rPr>
      </w:pPr>
      <w:r>
        <w:rPr>
          <w:rFonts w:hint="eastAsia" w:ascii="仿宋_GB2312" w:eastAsia="仿宋_GB2312"/>
          <w:color w:val="auto"/>
          <w:sz w:val="28"/>
          <w:szCs w:val="28"/>
          <w:highlight w:val="none"/>
        </w:rPr>
        <w:t>本项目包括1座电视调频塔及2栋多层附房。电视调频塔总高约122.9m，钢结构，建筑面积1296</w:t>
      </w:r>
      <w:r>
        <w:rPr>
          <w:rFonts w:hint="eastAsia" w:ascii="Segoe UI Symbol" w:hAnsi="Segoe UI Symbol" w:eastAsia="Segoe UI Symbol" w:cs="Segoe UI Symbol"/>
          <w:color w:val="auto"/>
          <w:sz w:val="28"/>
          <w:szCs w:val="28"/>
          <w:highlight w:val="none"/>
        </w:rPr>
        <w:t>㎡</w:t>
      </w:r>
      <w:r>
        <w:rPr>
          <w:rFonts w:hint="eastAsia" w:ascii="仿宋_GB2312" w:hAnsi="仿宋_GB2312" w:eastAsia="仿宋_GB2312" w:cs="仿宋_GB2312"/>
          <w:color w:val="auto"/>
          <w:sz w:val="28"/>
          <w:szCs w:val="28"/>
          <w:highlight w:val="none"/>
        </w:rPr>
        <w:t>。</w:t>
      </w:r>
      <w:r>
        <w:rPr>
          <w:rFonts w:hint="eastAsia" w:ascii="仿宋_GB2312" w:eastAsia="仿宋_GB2312"/>
          <w:color w:val="auto"/>
          <w:sz w:val="28"/>
          <w:szCs w:val="28"/>
          <w:highlight w:val="none"/>
        </w:rPr>
        <w:t>2栋附房均为2层砖混结构，建筑面积分别约为238</w:t>
      </w:r>
      <w:r>
        <w:rPr>
          <w:rFonts w:hint="eastAsia" w:ascii="Segoe UI Symbol" w:hAnsi="Segoe UI Symbol" w:eastAsia="Segoe UI Symbol" w:cs="Segoe UI Symbol"/>
          <w:color w:val="auto"/>
          <w:sz w:val="28"/>
          <w:szCs w:val="28"/>
          <w:highlight w:val="none"/>
        </w:rPr>
        <w:t>㎡</w:t>
      </w:r>
      <w:r>
        <w:rPr>
          <w:rFonts w:hint="eastAsia" w:ascii="仿宋_GB2312" w:hAnsi="仿宋_GB2312" w:eastAsia="仿宋_GB2312" w:cs="仿宋_GB2312"/>
          <w:color w:val="auto"/>
          <w:sz w:val="28"/>
          <w:szCs w:val="28"/>
          <w:highlight w:val="none"/>
        </w:rPr>
        <w:t>、</w:t>
      </w:r>
      <w:r>
        <w:rPr>
          <w:rFonts w:hint="eastAsia" w:ascii="仿宋_GB2312" w:eastAsia="仿宋_GB2312"/>
          <w:color w:val="auto"/>
          <w:sz w:val="28"/>
          <w:szCs w:val="28"/>
          <w:highlight w:val="none"/>
        </w:rPr>
        <w:t>540</w:t>
      </w:r>
      <w:r>
        <w:rPr>
          <w:rFonts w:hint="eastAsia" w:ascii="Segoe UI Symbol" w:hAnsi="Segoe UI Symbol" w:eastAsia="Segoe UI Symbol" w:cs="Segoe UI Symbol"/>
          <w:color w:val="auto"/>
          <w:sz w:val="28"/>
          <w:szCs w:val="28"/>
          <w:highlight w:val="none"/>
        </w:rPr>
        <w:t>㎡</w:t>
      </w:r>
      <w:r>
        <w:rPr>
          <w:rFonts w:hint="eastAsia" w:ascii="仿宋_GB2312" w:hAnsi="仿宋_GB2312" w:eastAsia="仿宋_GB2312" w:cs="仿宋_GB2312"/>
          <w:color w:val="auto"/>
          <w:sz w:val="28"/>
          <w:szCs w:val="28"/>
          <w:highlight w:val="none"/>
        </w:rPr>
        <w:t>。</w:t>
      </w:r>
    </w:p>
    <w:p w14:paraId="3ABE757D">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三、检测鉴定范围</w:t>
      </w:r>
    </w:p>
    <w:p w14:paraId="73E5499F">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本项目包含对威海电视观光塔整体工程进行检测鉴定工作。负责对建筑的地基基础、上部承重结构、节点连接、防腐涂层、围护结构等进行全面的安全性检测与鉴定，并对改造可行性进行分析，能为后续改造设计提供依据，满足项目当地图纸审查机构的要求。</w:t>
      </w:r>
    </w:p>
    <w:p w14:paraId="093E2BA8">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四、检测鉴定标准</w:t>
      </w:r>
    </w:p>
    <w:p w14:paraId="468BA03F">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(1)《既有建筑鉴定与加固通用规范》GB55021-2021；</w:t>
      </w:r>
    </w:p>
    <w:p w14:paraId="039D40FD">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(2)《建筑结构可靠度设计统一标准》GB50068-2018；</w:t>
      </w:r>
    </w:p>
    <w:p w14:paraId="154419DC">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(3)《建筑抗震鉴定标准》GB50023-2009；</w:t>
      </w:r>
    </w:p>
    <w:p w14:paraId="7F619B31">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(4)《构筑物抗震设计规范》GB50191-2012;</w:t>
      </w:r>
    </w:p>
    <w:p w14:paraId="6F48EC37">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(5)《混凝土结构设计标准(2024年版)》GB/T50010-2010;</w:t>
      </w:r>
    </w:p>
    <w:p w14:paraId="0CFF2F79">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(6)《建筑工程抗震设防分类标准》GB50223-2008;</w:t>
      </w:r>
    </w:p>
    <w:p w14:paraId="166C1778">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(7)《建筑结构检测技术标准》GB/T50344-2019;</w:t>
      </w:r>
    </w:p>
    <w:p w14:paraId="1DA8D2A6">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(8)《混凝土结构现场检测技术标准》GB/T50784-2013;</w:t>
      </w:r>
    </w:p>
    <w:p w14:paraId="2FE89815">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(9)《回弹法检测混凝土抗压强度技术规程》JGJ/T23-2011;</w:t>
      </w:r>
    </w:p>
    <w:p w14:paraId="7D741936">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(10)《混凝土中钢筋检测技术标准》JGJ/T152-2019;</w:t>
      </w:r>
    </w:p>
    <w:p w14:paraId="27354FF8">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(11)《混凝土结构工程施工质量验收规范》GB50204-2015;</w:t>
      </w:r>
    </w:p>
    <w:p w14:paraId="154AE59B">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(12)《钢结构工程施工质量验收标准》GB/T50621-2010；</w:t>
      </w:r>
    </w:p>
    <w:p w14:paraId="53AFA393">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(13)《钢结构现场检测技术标准》GB/T50621-2010;</w:t>
      </w:r>
    </w:p>
    <w:p w14:paraId="78ECDA52">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(14)《建筑结构检测技术标准》GB/T50344-2019;</w:t>
      </w:r>
    </w:p>
    <w:p w14:paraId="7DBBDDEF">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(15)《里氏硬度法现场检测建筑钢材抗拉强度技术规程》DB37T5046-2015;</w:t>
      </w:r>
    </w:p>
    <w:p w14:paraId="53FF5BA5">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(16)《广播电视微波通信铁塔及桅杆工程质量验收标准》(GY/T5077-2025)</w:t>
      </w:r>
    </w:p>
    <w:p w14:paraId="49216E24">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五、检测鉴定工作内容</w:t>
      </w:r>
    </w:p>
    <w:p w14:paraId="7F675BA0">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1.初步调查</w:t>
      </w:r>
    </w:p>
    <w:p w14:paraId="692CFF65">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查阅该项目现有技术资料，了解其使用情况、环境条件、改造历史等情况。</w:t>
      </w:r>
    </w:p>
    <w:p w14:paraId="788BE1EA">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2.结构平面图检测</w:t>
      </w:r>
    </w:p>
    <w:p w14:paraId="0D6939CC">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该项目原始施工图缺失，需要对主体结构、地基基础结构进行检测，绘制结构平面图。</w:t>
      </w:r>
    </w:p>
    <w:p w14:paraId="17BECE77">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3.地基基础检查</w:t>
      </w:r>
    </w:p>
    <w:p w14:paraId="616239E1">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(1)检查地基基础有无不均匀沉降引起的倾斜、变形。</w:t>
      </w:r>
    </w:p>
    <w:p w14:paraId="47FCE3C0">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(2)检查建筑周围地面有无开裂、下沉等异常现象。</w:t>
      </w:r>
    </w:p>
    <w:p w14:paraId="4849CBA1">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4.上部承重结构检测</w:t>
      </w:r>
    </w:p>
    <w:p w14:paraId="242143B0">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(1)钢构件变形检测:检测钢梁、钢柱的挠度、垂直度、侧向位移等。</w:t>
      </w:r>
    </w:p>
    <w:p w14:paraId="7B2F7076">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(2)钢构件材料强度检测:采用硬度法、超声波法等方法检测钢材性能。</w:t>
      </w:r>
    </w:p>
    <w:p w14:paraId="520EF152">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(3)承重结构构件缺陷及损伤检测:对构件是否存在裂缝、变形、屈曲、锈蚀等进行检测并对缺陷及损伤程度进行检测</w:t>
      </w:r>
    </w:p>
    <w:p w14:paraId="2988E2D4">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该项目原始施工图缺失，需要对主体结构、地基基础结构进行检测，绘制结构平面图。</w:t>
      </w:r>
    </w:p>
    <w:p w14:paraId="21731339">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5.节点连接检测</w:t>
      </w:r>
    </w:p>
    <w:p w14:paraId="4760EDB4">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(1)焊缝质量检测:采用超声法、磁粉法等方法对焊缝质量进行检测。</w:t>
      </w:r>
    </w:p>
    <w:p w14:paraId="6DFD4270">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(2)螺栓连接检测:检查螺栓有无松动、缺失、断裂情况，检查法兰现状。</w:t>
      </w:r>
    </w:p>
    <w:p w14:paraId="56380882">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(3)节点构造检查:梁柱连接、支座形式、加劲板等细部尺寸与做法。</w:t>
      </w:r>
    </w:p>
    <w:p w14:paraId="1681C19F">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6.防护涂层检测</w:t>
      </w:r>
    </w:p>
    <w:p w14:paraId="15D775B7">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(1)防腐涂层厚度检测:采用涂层测厚仪检测钢构件防腐涂层厚度及附着。</w:t>
      </w:r>
    </w:p>
    <w:p w14:paraId="1CD06966">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(2)防火涂层厚度检测:检测防火涂层厚度是否满足设计要求。</w:t>
      </w:r>
    </w:p>
    <w:p w14:paraId="3A96F9D1">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7.使用荷载调查</w:t>
      </w:r>
    </w:p>
    <w:p w14:paraId="49E904EC">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(1)调查建筑各区域使用功能及实际荷载情况。</w:t>
      </w:r>
    </w:p>
    <w:p w14:paraId="24BDB74F">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(2)核实是否存在超载使用、荷载移位等情况。</w:t>
      </w:r>
    </w:p>
    <w:p w14:paraId="40850B49">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(3)调查历史改造、加层、开洞、拆除等对结构的影响。</w:t>
      </w:r>
    </w:p>
    <w:p w14:paraId="6908626C">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8.结构承载力复核验算</w:t>
      </w:r>
    </w:p>
    <w:p w14:paraId="41BF9A5E">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根据检测结果、补测图纸及后续改造图，依据相关规范、规程要求，进行结</w:t>
      </w:r>
    </w:p>
    <w:p w14:paraId="23B53466">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构计算分析及承载力复核验算。</w:t>
      </w:r>
    </w:p>
    <w:p w14:paraId="450F4D07">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9.改造可行性鉴定</w:t>
      </w:r>
    </w:p>
    <w:p w14:paraId="67E4C759">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依据国家及行业现行标准对建筑物结构安全性、抗震性能及改造可行性进行</w:t>
      </w:r>
    </w:p>
    <w:p w14:paraId="7D1F12B3">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鉴定，给出鉴定意见及处理建议。</w:t>
      </w:r>
    </w:p>
    <w:p w14:paraId="0F7FC579">
      <w:pPr>
        <w:autoSpaceDE w:val="0"/>
        <w:autoSpaceDN w:val="0"/>
        <w:ind w:firstLine="560" w:firstLineChars="200"/>
        <w:rPr>
          <w:rFonts w:ascii="仿宋_GB2312" w:eastAsia="仿宋_GB2312"/>
          <w:b/>
          <w:color w:val="auto"/>
          <w:sz w:val="28"/>
          <w:szCs w:val="28"/>
          <w:highlight w:val="none"/>
        </w:rPr>
      </w:pPr>
      <w:r>
        <w:rPr>
          <w:rFonts w:hint="eastAsia" w:ascii="仿宋_GB2312" w:eastAsia="仿宋_GB2312"/>
          <w:b/>
          <w:color w:val="auto"/>
          <w:sz w:val="28"/>
          <w:szCs w:val="28"/>
          <w:highlight w:val="none"/>
        </w:rPr>
        <w:t>六、服务要求：</w:t>
      </w:r>
    </w:p>
    <w:p w14:paraId="75D3BF68">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根据委托方确认的方案及工期要求，在合同签订后30日内完成检测，直至竣工。</w:t>
      </w:r>
    </w:p>
    <w:p w14:paraId="57EEA23E">
      <w:pPr>
        <w:autoSpaceDE w:val="0"/>
        <w:autoSpaceDN w:val="0"/>
        <w:ind w:firstLine="560" w:firstLineChars="200"/>
        <w:rPr>
          <w:rFonts w:ascii="仿宋_GB2312" w:eastAsia="仿宋_GB2312"/>
          <w:b/>
          <w:color w:val="auto"/>
          <w:sz w:val="28"/>
          <w:szCs w:val="28"/>
          <w:highlight w:val="none"/>
        </w:rPr>
      </w:pPr>
      <w:r>
        <w:rPr>
          <w:rFonts w:hint="eastAsia" w:ascii="仿宋_GB2312" w:eastAsia="仿宋_GB2312"/>
          <w:b/>
          <w:color w:val="auto"/>
          <w:sz w:val="28"/>
          <w:szCs w:val="28"/>
          <w:highlight w:val="none"/>
        </w:rPr>
        <w:t>七、检测设备要求：</w:t>
      </w:r>
    </w:p>
    <w:p w14:paraId="39030AD2">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所有检测设备须符合国家现行相关标准要求，经计量检定合格，在检定有效期内使用，设备性能稳定，精度满足检测要求。</w:t>
      </w:r>
    </w:p>
    <w:p w14:paraId="3D9298CD">
      <w:pPr>
        <w:autoSpaceDE w:val="0"/>
        <w:autoSpaceDN w:val="0"/>
        <w:ind w:firstLine="560" w:firstLineChars="200"/>
        <w:rPr>
          <w:rFonts w:ascii="仿宋_GB2312" w:eastAsia="仿宋_GB2312"/>
          <w:b/>
          <w:color w:val="auto"/>
          <w:sz w:val="28"/>
          <w:szCs w:val="28"/>
          <w:highlight w:val="none"/>
        </w:rPr>
      </w:pPr>
      <w:r>
        <w:rPr>
          <w:rFonts w:hint="eastAsia" w:ascii="仿宋_GB2312" w:eastAsia="仿宋_GB2312"/>
          <w:b/>
          <w:color w:val="auto"/>
          <w:sz w:val="28"/>
          <w:szCs w:val="28"/>
          <w:highlight w:val="none"/>
        </w:rPr>
        <w:t>八、检测报告要求：</w:t>
      </w:r>
    </w:p>
    <w:p w14:paraId="4D73950A">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检测报告须内容完整、数据真实、准确、清晰，结论明确，符合国家及行业现行检测报告编制规范要求；须包含项目概况、检测依据、检测内容、检测方法、检测数据、检测结果、检测结论、检测人员、审核人员、批准人员签字，检测单位公章，检测日期等内容；对检测中发现的问题、隐患，须在检测报告中明确说明，并提出针对性的整改建议；检测报告须具备法律效力，可作为工程验收、安全评估的依据。</w:t>
      </w:r>
    </w:p>
    <w:p w14:paraId="30FB72B2">
      <w:pPr>
        <w:autoSpaceDE w:val="0"/>
        <w:autoSpaceDN w:val="0"/>
        <w:ind w:firstLine="560" w:firstLineChars="200"/>
        <w:rPr>
          <w:rFonts w:ascii="仿宋_GB2312" w:eastAsia="仿宋_GB2312"/>
          <w:b/>
          <w:color w:val="auto"/>
          <w:sz w:val="28"/>
          <w:szCs w:val="28"/>
          <w:highlight w:val="none"/>
        </w:rPr>
      </w:pPr>
      <w:r>
        <w:rPr>
          <w:rFonts w:hint="eastAsia" w:ascii="仿宋_GB2312" w:eastAsia="仿宋_GB2312"/>
          <w:b/>
          <w:color w:val="auto"/>
          <w:sz w:val="28"/>
          <w:szCs w:val="28"/>
          <w:highlight w:val="none"/>
        </w:rPr>
        <w:t>九、服务时效要求：</w:t>
      </w:r>
    </w:p>
    <w:p w14:paraId="54028E18">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根据委托方项目进度要求，在约定时限内完成全部检测工作，出具完整的检测报告；对检测中发现的重大安全隐患，须第一时间告知委托方，及时出具专项检测报告。</w:t>
      </w:r>
    </w:p>
    <w:p w14:paraId="7DA57665">
      <w:pPr>
        <w:autoSpaceDE w:val="0"/>
        <w:autoSpaceDN w:val="0"/>
        <w:ind w:firstLine="560" w:firstLineChars="200"/>
        <w:rPr>
          <w:rFonts w:ascii="仿宋_GB2312" w:eastAsia="仿宋_GB2312"/>
          <w:b/>
          <w:color w:val="auto"/>
          <w:sz w:val="28"/>
          <w:szCs w:val="28"/>
          <w:highlight w:val="none"/>
        </w:rPr>
      </w:pPr>
      <w:r>
        <w:rPr>
          <w:rFonts w:hint="eastAsia" w:ascii="仿宋_GB2312" w:eastAsia="仿宋_GB2312"/>
          <w:b/>
          <w:color w:val="auto"/>
          <w:sz w:val="28"/>
          <w:szCs w:val="28"/>
          <w:highlight w:val="none"/>
        </w:rPr>
        <w:t>十、其他要求：</w:t>
      </w:r>
    </w:p>
    <w:p w14:paraId="7670EA4C">
      <w:pPr>
        <w:autoSpaceDE w:val="0"/>
        <w:autoSpaceDN w:val="0"/>
        <w:ind w:firstLine="560" w:firstLineChars="200"/>
        <w:rPr>
          <w:rFonts w:ascii="仿宋_GB2312" w:eastAsia="仿宋_GB2312"/>
          <w:color w:val="auto"/>
          <w:sz w:val="28"/>
          <w:szCs w:val="28"/>
          <w:highlight w:val="none"/>
        </w:rPr>
      </w:pPr>
      <w:r>
        <w:rPr>
          <w:rFonts w:hint="eastAsia" w:ascii="仿宋_GB2312" w:eastAsia="仿宋_GB2312"/>
          <w:color w:val="auto"/>
          <w:sz w:val="28"/>
          <w:szCs w:val="28"/>
          <w:highlight w:val="none"/>
        </w:rPr>
        <w:t>须对检测数据的真实性、准确性、完整性负责，对检测报告的合规性、有效性负责；如因检测数据虚假、错误导致委托方经济损失、安全事故，须承担全部赔偿责任；服务过程中须严格遵守保密制度，不得泄露委托方项目相关商业秘密、检测数据。</w:t>
      </w:r>
    </w:p>
    <w:p w14:paraId="13EF71BB">
      <w:pPr>
        <w:autoSpaceDE w:val="0"/>
        <w:autoSpaceDN w:val="0"/>
        <w:ind w:firstLine="560" w:firstLineChars="200"/>
        <w:rPr>
          <w:rFonts w:ascii="仿宋_GB2312" w:eastAsia="仿宋_GB2312"/>
          <w:b/>
          <w:color w:val="auto"/>
          <w:sz w:val="28"/>
          <w:szCs w:val="28"/>
          <w:highlight w:val="none"/>
        </w:rPr>
      </w:pPr>
      <w:r>
        <w:rPr>
          <w:rFonts w:hint="eastAsia" w:ascii="仿宋_GB2312" w:eastAsia="仿宋_GB2312"/>
          <w:b/>
          <w:color w:val="auto"/>
          <w:sz w:val="28"/>
          <w:szCs w:val="28"/>
          <w:highlight w:val="none"/>
        </w:rPr>
        <w:t>十一、付款方式：</w:t>
      </w:r>
    </w:p>
    <w:p w14:paraId="07D810B4">
      <w:pPr>
        <w:autoSpaceDE w:val="0"/>
        <w:autoSpaceDN w:val="0"/>
        <w:ind w:firstLine="560" w:firstLineChars="200"/>
        <w:rPr>
          <w:rFonts w:ascii="仿宋_GB2312" w:eastAsia="仿宋_GB2312"/>
          <w:bCs/>
          <w:color w:val="auto"/>
          <w:sz w:val="28"/>
          <w:szCs w:val="28"/>
          <w:highlight w:val="none"/>
        </w:rPr>
      </w:pPr>
      <w:r>
        <w:rPr>
          <w:rFonts w:hint="eastAsia" w:ascii="仿宋_GB2312" w:eastAsia="仿宋_GB2312"/>
          <w:color w:val="auto"/>
          <w:sz w:val="28"/>
          <w:szCs w:val="28"/>
          <w:highlight w:val="none"/>
        </w:rPr>
        <w:t>签订服务合同后甲方支付30%预付款，全部服务完成并经甲方验收合格后支付合同总价的50%，经甲方委托的造价咨询机构审定并出具正式报告后支付合同总价的10%，余款10%留作质保金，检测鉴定项目所属工程整体竣工验收合格后无息付清。</w:t>
      </w:r>
    </w:p>
    <w:p w14:paraId="0527344A">
      <w:pPr>
        <w:rPr>
          <w:rFonts w:ascii="宋体" w:hAnsi="宋体"/>
          <w:color w:val="auto"/>
          <w:sz w:val="24"/>
          <w:highlight w:val="none"/>
        </w:rPr>
      </w:pPr>
    </w:p>
    <w:p w14:paraId="5C006C4F">
      <w:pPr>
        <w:rPr>
          <w:rFonts w:ascii="宋体" w:hAnsi="宋体"/>
          <w:color w:val="auto"/>
          <w:sz w:val="24"/>
          <w:highlight w:val="none"/>
        </w:rPr>
      </w:pPr>
    </w:p>
    <w:bookmarkEnd w:id="20"/>
    <w:p w14:paraId="44A76376">
      <w:pPr>
        <w:spacing w:line="480" w:lineRule="exact"/>
        <w:rPr>
          <w:rFonts w:ascii="仿宋" w:hAnsi="仿宋" w:eastAsia="仿宋" w:cs="仿宋"/>
          <w:color w:val="auto"/>
          <w:sz w:val="28"/>
          <w:szCs w:val="28"/>
          <w:highlight w:val="none"/>
        </w:rPr>
      </w:pPr>
    </w:p>
    <w:p w14:paraId="7791034F">
      <w:pPr>
        <w:rPr>
          <w:rFonts w:ascii="仿宋" w:hAnsi="仿宋" w:eastAsia="仿宋" w:cs="仿宋"/>
          <w:b/>
          <w:bCs/>
          <w:color w:val="auto"/>
          <w:sz w:val="44"/>
          <w:szCs w:val="44"/>
          <w:highlight w:val="none"/>
        </w:rPr>
      </w:pPr>
      <w:r>
        <w:rPr>
          <w:rFonts w:hint="eastAsia" w:ascii="仿宋" w:hAnsi="仿宋" w:eastAsia="仿宋" w:cs="仿宋"/>
          <w:b/>
          <w:bCs/>
          <w:color w:val="auto"/>
          <w:sz w:val="44"/>
          <w:szCs w:val="44"/>
          <w:highlight w:val="none"/>
        </w:rPr>
        <w:br w:type="page"/>
      </w:r>
    </w:p>
    <w:p w14:paraId="1BBFBB1F">
      <w:pPr>
        <w:pStyle w:val="4"/>
        <w:jc w:val="center"/>
        <w:rPr>
          <w:color w:val="auto"/>
          <w:highlight w:val="none"/>
        </w:rPr>
      </w:pPr>
      <w:bookmarkStart w:id="22" w:name="_Toc26519"/>
      <w:r>
        <w:rPr>
          <w:rFonts w:hint="eastAsia"/>
          <w:color w:val="auto"/>
          <w:highlight w:val="none"/>
        </w:rPr>
        <w:t>第四章评标原则、程序与方法</w:t>
      </w:r>
      <w:bookmarkEnd w:id="21"/>
      <w:bookmarkEnd w:id="22"/>
    </w:p>
    <w:p w14:paraId="5F5E5535">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一、评标原则</w:t>
      </w:r>
    </w:p>
    <w:p w14:paraId="5C702AD5">
      <w:pPr>
        <w:tabs>
          <w:tab w:val="left" w:pos="540"/>
        </w:tabs>
        <w:spacing w:line="520" w:lineRule="exact"/>
        <w:ind w:firstLine="411" w:firstLineChars="147"/>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“公平、公正、科学、择优”为本次评标的基本原则，评标委员会将按照这一原则的要求，公正、平等地对待各投标人，同时，在评标时恪守以下原则：</w:t>
      </w:r>
    </w:p>
    <w:p w14:paraId="12D9A879">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1.</w:t>
      </w:r>
      <w:r>
        <w:rPr>
          <w:rFonts w:hint="eastAsia" w:ascii="仿宋" w:hAnsi="仿宋" w:eastAsia="仿宋" w:cs="仿宋"/>
          <w:color w:val="auto"/>
          <w:sz w:val="28"/>
          <w:szCs w:val="28"/>
          <w:highlight w:val="none"/>
        </w:rPr>
        <w:t>客观性原则：评标委员会将严格按照招标文件的要求，对投标人的投标文件进行认真评审，评标委员会对投标文件的评审仅依据投标文件本身，而不依靠投标文件以外的任何因素。</w:t>
      </w:r>
    </w:p>
    <w:p w14:paraId="07B2DEEC">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2.</w:t>
      </w:r>
      <w:r>
        <w:rPr>
          <w:rFonts w:hint="eastAsia" w:ascii="仿宋" w:hAnsi="仿宋" w:eastAsia="仿宋" w:cs="仿宋"/>
          <w:color w:val="auto"/>
          <w:sz w:val="28"/>
          <w:szCs w:val="28"/>
          <w:highlight w:val="none"/>
        </w:rPr>
        <w:t>统一性原则：评标委员会将按照统一的评标原则和评标方法，采用统一标准进行评标。</w:t>
      </w:r>
    </w:p>
    <w:p w14:paraId="193EF415">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3.</w:t>
      </w:r>
      <w:r>
        <w:rPr>
          <w:rFonts w:hint="eastAsia" w:ascii="仿宋" w:hAnsi="仿宋" w:eastAsia="仿宋" w:cs="仿宋"/>
          <w:color w:val="auto"/>
          <w:sz w:val="28"/>
          <w:szCs w:val="28"/>
          <w:highlight w:val="none"/>
        </w:rPr>
        <w:t>独立性原则：评标工作在评标委员会内部独立进行，不受外界任何因素的干扰和影响。</w:t>
      </w:r>
    </w:p>
    <w:p w14:paraId="556CA73A">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4.</w:t>
      </w:r>
      <w:r>
        <w:rPr>
          <w:rFonts w:hint="eastAsia" w:ascii="仿宋" w:hAnsi="仿宋" w:eastAsia="仿宋" w:cs="仿宋"/>
          <w:color w:val="auto"/>
          <w:sz w:val="28"/>
          <w:szCs w:val="28"/>
          <w:highlight w:val="none"/>
        </w:rPr>
        <w:t>保密性原则：评标委员会及熟知情况的有关工作人员必须对每位评委的评标意见和投标人的商业秘密严格保密，不得外泄。</w:t>
      </w:r>
    </w:p>
    <w:p w14:paraId="19AD734A">
      <w:pPr>
        <w:tabs>
          <w:tab w:val="left" w:pos="540"/>
        </w:tabs>
        <w:spacing w:line="520" w:lineRule="exact"/>
        <w:ind w:firstLine="523" w:firstLineChars="187"/>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5.</w:t>
      </w:r>
      <w:r>
        <w:rPr>
          <w:rFonts w:hint="eastAsia" w:ascii="仿宋" w:hAnsi="仿宋" w:eastAsia="仿宋" w:cs="仿宋"/>
          <w:color w:val="auto"/>
          <w:sz w:val="28"/>
          <w:szCs w:val="28"/>
          <w:highlight w:val="none"/>
        </w:rPr>
        <w:t>综合性原则：评标委员会将综合分析、评审投标人的各项指标，而不以单项指标的优劣评定出中标人。</w:t>
      </w:r>
    </w:p>
    <w:p w14:paraId="5044BE8E">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二、评标程序</w:t>
      </w:r>
    </w:p>
    <w:p w14:paraId="213F5CAF">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1.评标委员会将按照招标文件的规定对投标文件进行资格性和符合性审查，以确定投标文件的有效性。</w:t>
      </w:r>
    </w:p>
    <w:p w14:paraId="509FFA3C">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2.出现下列情形之一的，视为对招标文件未做出实质性响应，按照无效投标处理。</w:t>
      </w:r>
    </w:p>
    <w:p w14:paraId="21AAEC5D">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详见《投标须知前附表》-《实质性条款一览表》中检查条款。</w:t>
      </w:r>
    </w:p>
    <w:p w14:paraId="49C45F03">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3.属于无效投标的，投标人不能通过修正或撤消投标文件中不符合之处而成为实质性响应的投标，招标代理机构将通知投标人，并说明无效投标理由；属于有效投标文件的，将进行下一轮次的询标和澄清。</w:t>
      </w:r>
    </w:p>
    <w:p w14:paraId="4A6840A8">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4.询标和澄清</w:t>
      </w:r>
    </w:p>
    <w:p w14:paraId="01F66534">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14:paraId="37CF2A00">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(2)投标人依据评审要求进行澄清、说明或者补正的内容构成投标文件的组成部分。</w:t>
      </w:r>
    </w:p>
    <w:p w14:paraId="4BAA12E7">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5.比较与评价</w:t>
      </w:r>
    </w:p>
    <w:p w14:paraId="0F88CC9B">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方面得分高的排前。</w:t>
      </w:r>
    </w:p>
    <w:p w14:paraId="4BE42FE1">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6.出现下列情况之一的，均予以废标</w:t>
      </w:r>
    </w:p>
    <w:p w14:paraId="36DB94A7">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(1)合格的投标人或参加投标的企业不足三家的；</w:t>
      </w:r>
    </w:p>
    <w:p w14:paraId="3728D2F5">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(2)出现影响采购公正的违法、违规行为的；</w:t>
      </w:r>
    </w:p>
    <w:p w14:paraId="009FE940">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(3)投标人的报价均超过了预算上限价格，采购人不能支付的；</w:t>
      </w:r>
    </w:p>
    <w:p w14:paraId="30342E87">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(4)因重大变故，采购任务取消的。</w:t>
      </w:r>
    </w:p>
    <w:p w14:paraId="33EDC299">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三.评标方法</w:t>
      </w:r>
    </w:p>
    <w:p w14:paraId="4135B37A">
      <w:pPr>
        <w:tabs>
          <w:tab w:val="left" w:pos="540"/>
          <w:tab w:val="left" w:pos="72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(1)评标方法：综合评分法，即投标人的投标文件满足招标文件全部实质性要求，且按评审因素的量化指标评审得分最高的投标人为中标候选人的评审方法。</w:t>
      </w:r>
    </w:p>
    <w:p w14:paraId="7E34AA34">
      <w:pPr>
        <w:tabs>
          <w:tab w:val="left" w:pos="540"/>
        </w:tabs>
        <w:spacing w:line="5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(2)评标细则：</w:t>
      </w:r>
    </w:p>
    <w:tbl>
      <w:tblPr>
        <w:tblStyle w:val="49"/>
        <w:tblW w:w="986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719"/>
        <w:gridCol w:w="673"/>
        <w:gridCol w:w="825"/>
        <w:gridCol w:w="5856"/>
        <w:gridCol w:w="851"/>
        <w:gridCol w:w="942"/>
      </w:tblGrid>
      <w:tr w14:paraId="799672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886" w:hRule="atLeast"/>
          <w:jc w:val="center"/>
        </w:trPr>
        <w:tc>
          <w:tcPr>
            <w:tcW w:w="719" w:type="dxa"/>
            <w:shd w:val="clear" w:color="auto" w:fill="D9D9D9"/>
            <w:noWrap/>
            <w:vAlign w:val="center"/>
          </w:tcPr>
          <w:p w14:paraId="114B00C4">
            <w:pPr>
              <w:pStyle w:val="14"/>
              <w:ind w:firstLine="0"/>
              <w:jc w:val="center"/>
              <w:rPr>
                <w:rFonts w:ascii="仿宋" w:hAnsi="仿宋" w:eastAsia="仿宋" w:cs="仿宋"/>
                <w:b/>
                <w:color w:val="auto"/>
                <w:sz w:val="22"/>
                <w:szCs w:val="28"/>
                <w:highlight w:val="none"/>
              </w:rPr>
            </w:pPr>
            <w:bookmarkStart w:id="23" w:name="_Toc66087245"/>
            <w:r>
              <w:rPr>
                <w:rFonts w:hint="eastAsia" w:ascii="仿宋" w:hAnsi="仿宋" w:eastAsia="仿宋" w:cs="仿宋"/>
                <w:b/>
                <w:color w:val="auto"/>
                <w:sz w:val="22"/>
                <w:szCs w:val="28"/>
                <w:highlight w:val="none"/>
              </w:rPr>
              <w:t>编号</w:t>
            </w:r>
          </w:p>
        </w:tc>
        <w:tc>
          <w:tcPr>
            <w:tcW w:w="673" w:type="dxa"/>
            <w:shd w:val="clear" w:color="auto" w:fill="D9D9D9"/>
            <w:noWrap/>
            <w:vAlign w:val="center"/>
          </w:tcPr>
          <w:p w14:paraId="0278A0A3">
            <w:pPr>
              <w:pStyle w:val="14"/>
              <w:ind w:firstLine="0"/>
              <w:jc w:val="center"/>
              <w:rPr>
                <w:rFonts w:ascii="仿宋" w:hAnsi="仿宋" w:eastAsia="仿宋" w:cs="仿宋"/>
                <w:b/>
                <w:color w:val="auto"/>
                <w:sz w:val="22"/>
                <w:szCs w:val="28"/>
                <w:highlight w:val="none"/>
              </w:rPr>
            </w:pPr>
            <w:r>
              <w:rPr>
                <w:rFonts w:hint="eastAsia" w:ascii="仿宋" w:hAnsi="仿宋" w:eastAsia="仿宋" w:cs="仿宋"/>
                <w:b/>
                <w:color w:val="auto"/>
                <w:sz w:val="22"/>
                <w:szCs w:val="28"/>
                <w:highlight w:val="none"/>
              </w:rPr>
              <w:t>类型</w:t>
            </w:r>
          </w:p>
        </w:tc>
        <w:tc>
          <w:tcPr>
            <w:tcW w:w="825" w:type="dxa"/>
            <w:shd w:val="clear" w:color="auto" w:fill="D9D9D9"/>
            <w:noWrap/>
            <w:vAlign w:val="center"/>
          </w:tcPr>
          <w:p w14:paraId="26250B45">
            <w:pPr>
              <w:pStyle w:val="14"/>
              <w:spacing w:line="400" w:lineRule="exact"/>
              <w:ind w:firstLine="0"/>
              <w:jc w:val="center"/>
              <w:rPr>
                <w:rFonts w:ascii="仿宋" w:hAnsi="仿宋" w:eastAsia="仿宋" w:cs="仿宋"/>
                <w:b/>
                <w:color w:val="auto"/>
                <w:sz w:val="22"/>
                <w:szCs w:val="28"/>
                <w:highlight w:val="none"/>
              </w:rPr>
            </w:pPr>
            <w:r>
              <w:rPr>
                <w:rFonts w:hint="eastAsia" w:ascii="仿宋" w:hAnsi="仿宋" w:eastAsia="仿宋" w:cs="仿宋"/>
                <w:b/>
                <w:color w:val="auto"/>
                <w:sz w:val="22"/>
                <w:szCs w:val="28"/>
                <w:highlight w:val="none"/>
              </w:rPr>
              <w:t>评分</w:t>
            </w:r>
          </w:p>
          <w:p w14:paraId="70899C4E">
            <w:pPr>
              <w:pStyle w:val="14"/>
              <w:spacing w:line="400" w:lineRule="exact"/>
              <w:ind w:firstLine="0"/>
              <w:jc w:val="center"/>
              <w:rPr>
                <w:rFonts w:ascii="仿宋" w:hAnsi="仿宋" w:eastAsia="仿宋" w:cs="仿宋"/>
                <w:b/>
                <w:color w:val="auto"/>
                <w:sz w:val="22"/>
                <w:szCs w:val="28"/>
                <w:highlight w:val="none"/>
              </w:rPr>
            </w:pPr>
            <w:r>
              <w:rPr>
                <w:rFonts w:hint="eastAsia" w:ascii="仿宋" w:hAnsi="仿宋" w:eastAsia="仿宋" w:cs="仿宋"/>
                <w:b/>
                <w:color w:val="auto"/>
                <w:sz w:val="22"/>
                <w:szCs w:val="28"/>
                <w:highlight w:val="none"/>
              </w:rPr>
              <w:t>标题</w:t>
            </w:r>
          </w:p>
        </w:tc>
        <w:tc>
          <w:tcPr>
            <w:tcW w:w="5856" w:type="dxa"/>
            <w:shd w:val="clear" w:color="auto" w:fill="D9D9D9"/>
            <w:noWrap/>
            <w:vAlign w:val="center"/>
          </w:tcPr>
          <w:p w14:paraId="242E0610">
            <w:pPr>
              <w:pStyle w:val="14"/>
              <w:ind w:firstLine="0"/>
              <w:jc w:val="center"/>
              <w:rPr>
                <w:rFonts w:ascii="仿宋" w:hAnsi="仿宋" w:eastAsia="仿宋" w:cs="仿宋"/>
                <w:b/>
                <w:color w:val="auto"/>
                <w:sz w:val="22"/>
                <w:szCs w:val="28"/>
                <w:highlight w:val="none"/>
              </w:rPr>
            </w:pPr>
            <w:r>
              <w:rPr>
                <w:rFonts w:hint="eastAsia" w:ascii="仿宋" w:hAnsi="仿宋" w:eastAsia="仿宋" w:cs="仿宋"/>
                <w:b/>
                <w:color w:val="auto"/>
                <w:sz w:val="22"/>
                <w:szCs w:val="28"/>
                <w:highlight w:val="none"/>
              </w:rPr>
              <w:t>评分标准</w:t>
            </w:r>
          </w:p>
        </w:tc>
        <w:tc>
          <w:tcPr>
            <w:tcW w:w="851" w:type="dxa"/>
            <w:shd w:val="clear" w:color="auto" w:fill="D9D9D9"/>
            <w:noWrap/>
            <w:vAlign w:val="center"/>
          </w:tcPr>
          <w:p w14:paraId="31C2A581">
            <w:pPr>
              <w:pStyle w:val="14"/>
              <w:ind w:firstLine="0"/>
              <w:jc w:val="center"/>
              <w:rPr>
                <w:rFonts w:ascii="仿宋" w:hAnsi="仿宋" w:eastAsia="仿宋" w:cs="仿宋"/>
                <w:b/>
                <w:color w:val="auto"/>
                <w:sz w:val="22"/>
                <w:szCs w:val="28"/>
                <w:highlight w:val="none"/>
              </w:rPr>
            </w:pPr>
            <w:r>
              <w:rPr>
                <w:rFonts w:hint="eastAsia" w:ascii="仿宋" w:hAnsi="仿宋" w:eastAsia="仿宋" w:cs="仿宋"/>
                <w:b/>
                <w:color w:val="auto"/>
                <w:sz w:val="22"/>
                <w:szCs w:val="28"/>
                <w:highlight w:val="none"/>
              </w:rPr>
              <w:t>性质</w:t>
            </w:r>
          </w:p>
        </w:tc>
        <w:tc>
          <w:tcPr>
            <w:tcW w:w="942" w:type="dxa"/>
            <w:shd w:val="clear" w:color="auto" w:fill="D9D9D9"/>
            <w:noWrap/>
            <w:vAlign w:val="center"/>
          </w:tcPr>
          <w:p w14:paraId="243C3F8C">
            <w:pPr>
              <w:pStyle w:val="14"/>
              <w:ind w:firstLine="0"/>
              <w:jc w:val="center"/>
              <w:rPr>
                <w:rFonts w:ascii="仿宋" w:hAnsi="仿宋" w:eastAsia="仿宋" w:cs="仿宋"/>
                <w:b/>
                <w:color w:val="auto"/>
                <w:sz w:val="22"/>
                <w:szCs w:val="28"/>
                <w:highlight w:val="none"/>
              </w:rPr>
            </w:pPr>
            <w:r>
              <w:rPr>
                <w:rFonts w:hint="eastAsia" w:ascii="仿宋" w:hAnsi="仿宋" w:eastAsia="仿宋" w:cs="仿宋"/>
                <w:b/>
                <w:color w:val="auto"/>
                <w:sz w:val="22"/>
                <w:szCs w:val="28"/>
                <w:highlight w:val="none"/>
              </w:rPr>
              <w:t>分数</w:t>
            </w:r>
          </w:p>
        </w:tc>
      </w:tr>
      <w:tr w14:paraId="4C825D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0" w:hRule="atLeast"/>
          <w:jc w:val="center"/>
        </w:trPr>
        <w:tc>
          <w:tcPr>
            <w:tcW w:w="719" w:type="dxa"/>
            <w:noWrap/>
            <w:vAlign w:val="center"/>
          </w:tcPr>
          <w:p w14:paraId="73E9A489">
            <w:pPr>
              <w:pStyle w:val="14"/>
              <w:ind w:firstLine="0"/>
              <w:jc w:val="center"/>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1.01</w:t>
            </w:r>
          </w:p>
        </w:tc>
        <w:tc>
          <w:tcPr>
            <w:tcW w:w="673" w:type="dxa"/>
            <w:noWrap/>
            <w:vAlign w:val="center"/>
          </w:tcPr>
          <w:p w14:paraId="298CEF60">
            <w:pPr>
              <w:pStyle w:val="14"/>
              <w:ind w:firstLine="0"/>
              <w:jc w:val="center"/>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价格</w:t>
            </w:r>
          </w:p>
        </w:tc>
        <w:tc>
          <w:tcPr>
            <w:tcW w:w="825" w:type="dxa"/>
            <w:noWrap/>
            <w:vAlign w:val="center"/>
          </w:tcPr>
          <w:p w14:paraId="12C47569">
            <w:pPr>
              <w:pStyle w:val="14"/>
              <w:ind w:firstLine="0"/>
              <w:jc w:val="center"/>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报价</w:t>
            </w:r>
          </w:p>
        </w:tc>
        <w:tc>
          <w:tcPr>
            <w:tcW w:w="5856" w:type="dxa"/>
            <w:noWrap/>
            <w:vAlign w:val="center"/>
          </w:tcPr>
          <w:p w14:paraId="40C6D087">
            <w:pPr>
              <w:pStyle w:val="14"/>
              <w:spacing w:line="460" w:lineRule="exact"/>
              <w:ind w:firstLine="0"/>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投标报价等于评标基准价得10分，投标报价每高于评标基准价1%扣0.2分，投标报价每低于评标基准价1%扣0.1分，最低计至0分（得分精确到小数点后2位，分数2计算过程中，比例不足部分按直线插入法计算）。</w:t>
            </w:r>
          </w:p>
          <w:p w14:paraId="63113FD4">
            <w:pPr>
              <w:pStyle w:val="14"/>
              <w:spacing w:line="460" w:lineRule="exact"/>
              <w:ind w:firstLine="0"/>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评标基准价计算方法：</w:t>
            </w:r>
          </w:p>
          <w:p w14:paraId="466A6282">
            <w:pPr>
              <w:pStyle w:val="14"/>
              <w:spacing w:line="460" w:lineRule="exact"/>
              <w:ind w:firstLine="0"/>
              <w:rPr>
                <w:rFonts w:ascii="仿宋" w:hAnsi="仿宋" w:eastAsia="仿宋" w:cs="仿宋"/>
                <w:color w:val="auto"/>
                <w:sz w:val="22"/>
                <w:szCs w:val="28"/>
                <w:highlight w:val="none"/>
              </w:rPr>
            </w:pPr>
            <w:r>
              <w:rPr>
                <w:rFonts w:hint="eastAsia" w:ascii="仿宋" w:hAnsi="仿宋" w:eastAsia="仿宋" w:cs="仿宋"/>
                <w:color w:val="auto"/>
                <w:sz w:val="22"/>
                <w:szCs w:val="28"/>
                <w:highlight w:val="none"/>
                <w:lang w:val="zh-CN"/>
              </w:rPr>
              <w:t>当n（有效投标人个数，以下相同）≤5时，评标基准价=所有有效投标报价的算术平均值；</w:t>
            </w:r>
          </w:p>
          <w:p w14:paraId="2172AEAA">
            <w:pPr>
              <w:pStyle w:val="14"/>
              <w:spacing w:line="460" w:lineRule="exact"/>
              <w:ind w:firstLine="0"/>
              <w:rPr>
                <w:rFonts w:ascii="仿宋" w:hAnsi="仿宋" w:eastAsia="仿宋" w:cs="仿宋"/>
                <w:color w:val="auto"/>
                <w:sz w:val="22"/>
                <w:szCs w:val="28"/>
                <w:highlight w:val="none"/>
              </w:rPr>
            </w:pPr>
            <w:r>
              <w:rPr>
                <w:rFonts w:hint="eastAsia" w:ascii="仿宋" w:hAnsi="仿宋" w:eastAsia="仿宋" w:cs="仿宋"/>
                <w:color w:val="auto"/>
                <w:sz w:val="22"/>
                <w:szCs w:val="28"/>
                <w:highlight w:val="none"/>
                <w:lang w:val="zh-CN"/>
              </w:rPr>
              <w:t>当5＜n≤9时</w:t>
            </w:r>
            <w:r>
              <w:rPr>
                <w:rFonts w:hint="eastAsia" w:ascii="仿宋" w:hAnsi="仿宋" w:eastAsia="仿宋" w:cs="仿宋"/>
                <w:color w:val="auto"/>
                <w:sz w:val="22"/>
                <w:szCs w:val="28"/>
                <w:highlight w:val="none"/>
              </w:rPr>
              <w:t>，</w:t>
            </w:r>
            <w:r>
              <w:rPr>
                <w:rFonts w:hint="eastAsia" w:ascii="仿宋" w:hAnsi="仿宋" w:eastAsia="仿宋" w:cs="仿宋"/>
                <w:color w:val="auto"/>
                <w:sz w:val="22"/>
                <w:szCs w:val="28"/>
                <w:highlight w:val="none"/>
                <w:lang w:val="zh-CN"/>
              </w:rPr>
              <w:t>评标基准价=所有有效投标报价中去掉1个最高价、1个最低价后的算术平均值</w:t>
            </w:r>
            <w:r>
              <w:rPr>
                <w:rFonts w:hint="eastAsia" w:ascii="仿宋" w:hAnsi="仿宋" w:eastAsia="仿宋" w:cs="仿宋"/>
                <w:color w:val="auto"/>
                <w:sz w:val="22"/>
                <w:szCs w:val="28"/>
                <w:highlight w:val="none"/>
              </w:rPr>
              <w:t>。</w:t>
            </w:r>
          </w:p>
          <w:p w14:paraId="61062DB6">
            <w:pPr>
              <w:pStyle w:val="14"/>
              <w:spacing w:line="460" w:lineRule="exact"/>
              <w:ind w:firstLine="0"/>
              <w:rPr>
                <w:rFonts w:ascii="仿宋" w:hAnsi="仿宋" w:eastAsia="仿宋" w:cs="仿宋"/>
                <w:color w:val="auto"/>
                <w:sz w:val="22"/>
                <w:szCs w:val="28"/>
                <w:highlight w:val="none"/>
              </w:rPr>
            </w:pPr>
            <w:r>
              <w:rPr>
                <w:rFonts w:hint="eastAsia" w:ascii="仿宋" w:hAnsi="仿宋" w:eastAsia="仿宋" w:cs="仿宋"/>
                <w:color w:val="auto"/>
                <w:sz w:val="22"/>
                <w:szCs w:val="28"/>
                <w:highlight w:val="none"/>
                <w:lang w:val="zh-CN"/>
              </w:rPr>
              <w:t>当n≥10时，评标基准价=所有有效投标报价中去掉2个最高价、2个最低价后的算术平均值。</w:t>
            </w:r>
          </w:p>
        </w:tc>
        <w:tc>
          <w:tcPr>
            <w:tcW w:w="851" w:type="dxa"/>
            <w:noWrap/>
            <w:vAlign w:val="center"/>
          </w:tcPr>
          <w:p w14:paraId="659CF10D">
            <w:pPr>
              <w:pStyle w:val="14"/>
              <w:ind w:firstLine="0"/>
              <w:jc w:val="center"/>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价格分</w:t>
            </w:r>
          </w:p>
        </w:tc>
        <w:tc>
          <w:tcPr>
            <w:tcW w:w="942" w:type="dxa"/>
            <w:noWrap/>
            <w:vAlign w:val="center"/>
          </w:tcPr>
          <w:p w14:paraId="1D0DBE73">
            <w:pPr>
              <w:pStyle w:val="14"/>
              <w:ind w:firstLine="0"/>
              <w:jc w:val="center"/>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10.00</w:t>
            </w:r>
          </w:p>
        </w:tc>
      </w:tr>
      <w:tr w14:paraId="0BA962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0" w:hRule="atLeast"/>
          <w:jc w:val="center"/>
        </w:trPr>
        <w:tc>
          <w:tcPr>
            <w:tcW w:w="719" w:type="dxa"/>
            <w:tcBorders>
              <w:top w:val="single" w:color="auto" w:sz="4" w:space="0"/>
            </w:tcBorders>
            <w:noWrap/>
            <w:vAlign w:val="center"/>
          </w:tcPr>
          <w:p w14:paraId="769ADE93">
            <w:pPr>
              <w:pStyle w:val="14"/>
              <w:ind w:firstLine="0"/>
              <w:jc w:val="center"/>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1.02</w:t>
            </w:r>
          </w:p>
        </w:tc>
        <w:tc>
          <w:tcPr>
            <w:tcW w:w="673" w:type="dxa"/>
            <w:tcBorders>
              <w:top w:val="single" w:color="auto" w:sz="4" w:space="0"/>
            </w:tcBorders>
            <w:noWrap/>
            <w:vAlign w:val="center"/>
          </w:tcPr>
          <w:p w14:paraId="2E340224">
            <w:pPr>
              <w:jc w:val="center"/>
              <w:rPr>
                <w:rFonts w:ascii="仿宋" w:hAnsi="仿宋" w:eastAsia="仿宋" w:cs="仿宋"/>
                <w:bCs/>
                <w:color w:val="auto"/>
                <w:sz w:val="22"/>
                <w:szCs w:val="28"/>
                <w:highlight w:val="none"/>
              </w:rPr>
            </w:pPr>
            <w:r>
              <w:rPr>
                <w:rFonts w:hint="eastAsia" w:ascii="仿宋" w:hAnsi="仿宋" w:eastAsia="仿宋" w:cs="仿宋"/>
                <w:bCs/>
                <w:color w:val="auto"/>
                <w:sz w:val="22"/>
                <w:szCs w:val="28"/>
                <w:highlight w:val="none"/>
              </w:rPr>
              <w:t>商务</w:t>
            </w:r>
          </w:p>
        </w:tc>
        <w:tc>
          <w:tcPr>
            <w:tcW w:w="825" w:type="dxa"/>
            <w:noWrap/>
            <w:vAlign w:val="center"/>
          </w:tcPr>
          <w:p w14:paraId="027C4AE6">
            <w:pPr>
              <w:jc w:val="center"/>
              <w:rPr>
                <w:rFonts w:ascii="仿宋" w:hAnsi="仿宋" w:eastAsia="仿宋" w:cs="仿宋"/>
                <w:bCs/>
                <w:color w:val="auto"/>
                <w:sz w:val="22"/>
                <w:szCs w:val="28"/>
                <w:highlight w:val="none"/>
              </w:rPr>
            </w:pPr>
            <w:r>
              <w:rPr>
                <w:rFonts w:hint="eastAsia" w:ascii="仿宋" w:hAnsi="仿宋" w:eastAsia="仿宋" w:cs="仿宋"/>
                <w:bCs/>
                <w:color w:val="auto"/>
                <w:sz w:val="22"/>
                <w:szCs w:val="28"/>
                <w:highlight w:val="none"/>
              </w:rPr>
              <w:t>类似项目业绩</w:t>
            </w:r>
          </w:p>
        </w:tc>
        <w:tc>
          <w:tcPr>
            <w:tcW w:w="5856" w:type="dxa"/>
            <w:noWrap/>
            <w:vAlign w:val="center"/>
          </w:tcPr>
          <w:p w14:paraId="5FFEF98F">
            <w:pPr>
              <w:pStyle w:val="14"/>
              <w:spacing w:line="460" w:lineRule="exact"/>
              <w:ind w:firstLine="0"/>
              <w:rPr>
                <w:rFonts w:ascii="仿宋" w:hAnsi="仿宋" w:eastAsia="仿宋" w:cs="仿宋"/>
                <w:color w:val="auto"/>
                <w:sz w:val="22"/>
                <w:szCs w:val="28"/>
                <w:highlight w:val="none"/>
                <w:lang w:val="zh-CN"/>
              </w:rPr>
            </w:pPr>
            <w:r>
              <w:rPr>
                <w:rFonts w:hint="eastAsia" w:ascii="仿宋" w:hAnsi="仿宋" w:eastAsia="仿宋" w:cs="仿宋"/>
                <w:color w:val="auto"/>
                <w:sz w:val="22"/>
                <w:szCs w:val="28"/>
                <w:highlight w:val="none"/>
                <w:lang w:val="zh-CN"/>
              </w:rPr>
              <w:t>投标人自202</w:t>
            </w:r>
            <w:r>
              <w:rPr>
                <w:rFonts w:ascii="仿宋" w:hAnsi="仿宋" w:eastAsia="仿宋" w:cs="仿宋"/>
                <w:color w:val="auto"/>
                <w:sz w:val="22"/>
                <w:szCs w:val="28"/>
                <w:highlight w:val="none"/>
                <w:lang w:val="zh-CN"/>
              </w:rPr>
              <w:t>3</w:t>
            </w:r>
            <w:r>
              <w:rPr>
                <w:rFonts w:hint="eastAsia" w:ascii="仿宋" w:hAnsi="仿宋" w:eastAsia="仿宋" w:cs="仿宋"/>
                <w:color w:val="auto"/>
                <w:sz w:val="22"/>
                <w:szCs w:val="28"/>
                <w:highlight w:val="none"/>
                <w:lang w:val="zh-CN"/>
              </w:rPr>
              <w:t>年1月1日以来完成的类似服务业绩，每有一个得1分，最高得5分。</w:t>
            </w:r>
          </w:p>
          <w:p w14:paraId="2673EAEA">
            <w:pPr>
              <w:pStyle w:val="14"/>
              <w:spacing w:line="460" w:lineRule="exact"/>
              <w:ind w:firstLine="0"/>
              <w:rPr>
                <w:rFonts w:ascii="仿宋" w:hAnsi="仿宋" w:eastAsia="仿宋" w:cs="仿宋"/>
                <w:color w:val="auto"/>
                <w:sz w:val="22"/>
                <w:szCs w:val="28"/>
                <w:highlight w:val="none"/>
                <w:lang w:val="zh-CN"/>
              </w:rPr>
            </w:pPr>
            <w:r>
              <w:rPr>
                <w:rFonts w:hint="eastAsia" w:ascii="仿宋" w:hAnsi="仿宋" w:eastAsia="仿宋" w:cs="仿宋"/>
                <w:color w:val="auto"/>
                <w:sz w:val="22"/>
                <w:szCs w:val="28"/>
                <w:highlight w:val="none"/>
                <w:lang w:val="zh-CN"/>
              </w:rPr>
              <w:t>注：同类或类似业绩是指：同时包含</w:t>
            </w:r>
            <w:r>
              <w:rPr>
                <w:rFonts w:hint="eastAsia" w:ascii="仿宋" w:hAnsi="仿宋" w:eastAsia="仿宋" w:cs="仿宋"/>
                <w:b/>
                <w:color w:val="auto"/>
                <w:sz w:val="22"/>
                <w:szCs w:val="28"/>
                <w:highlight w:val="none"/>
                <w:lang w:val="zh-CN"/>
              </w:rPr>
              <w:t>检测和鉴定服务</w:t>
            </w:r>
            <w:r>
              <w:rPr>
                <w:rFonts w:hint="eastAsia" w:ascii="仿宋" w:hAnsi="仿宋" w:eastAsia="仿宋" w:cs="仿宋"/>
                <w:color w:val="auto"/>
                <w:sz w:val="22"/>
                <w:szCs w:val="28"/>
                <w:highlight w:val="none"/>
                <w:lang w:val="zh-CN"/>
              </w:rPr>
              <w:t>。</w:t>
            </w:r>
          </w:p>
          <w:p w14:paraId="753D5033">
            <w:pPr>
              <w:pStyle w:val="14"/>
              <w:spacing w:line="460" w:lineRule="exact"/>
              <w:ind w:firstLine="0"/>
              <w:rPr>
                <w:rFonts w:ascii="仿宋" w:hAnsi="仿宋" w:eastAsia="仿宋" w:cs="仿宋"/>
                <w:color w:val="auto"/>
                <w:sz w:val="22"/>
                <w:szCs w:val="28"/>
                <w:highlight w:val="none"/>
                <w:lang w:val="zh-CN"/>
              </w:rPr>
            </w:pPr>
            <w:r>
              <w:rPr>
                <w:rFonts w:hint="eastAsia" w:ascii="仿宋" w:hAnsi="仿宋" w:eastAsia="仿宋" w:cs="仿宋"/>
                <w:color w:val="auto"/>
                <w:sz w:val="22"/>
                <w:szCs w:val="28"/>
                <w:highlight w:val="none"/>
                <w:lang w:val="zh-CN"/>
              </w:rPr>
              <w:t>注：投标文件中应附合同主要条款页的扫描件否则该项不得分。时间以合同签订时间为准。业绩名称如不能体现类似业绩，应附服务明细表。投标人未如实提供业绩，自行承担相应后果。</w:t>
            </w:r>
          </w:p>
        </w:tc>
        <w:tc>
          <w:tcPr>
            <w:tcW w:w="851" w:type="dxa"/>
            <w:noWrap/>
            <w:vAlign w:val="center"/>
          </w:tcPr>
          <w:p w14:paraId="7D12B709">
            <w:pPr>
              <w:jc w:val="center"/>
              <w:rPr>
                <w:rFonts w:ascii="仿宋" w:hAnsi="仿宋" w:eastAsia="仿宋" w:cs="仿宋"/>
                <w:bCs/>
                <w:color w:val="auto"/>
                <w:sz w:val="22"/>
                <w:szCs w:val="28"/>
                <w:highlight w:val="none"/>
              </w:rPr>
            </w:pPr>
            <w:r>
              <w:rPr>
                <w:rFonts w:hint="eastAsia" w:ascii="仿宋" w:hAnsi="仿宋" w:eastAsia="仿宋" w:cs="仿宋"/>
                <w:bCs/>
                <w:color w:val="auto"/>
                <w:sz w:val="22"/>
                <w:szCs w:val="28"/>
                <w:highlight w:val="none"/>
              </w:rPr>
              <w:t>客观分</w:t>
            </w:r>
          </w:p>
        </w:tc>
        <w:tc>
          <w:tcPr>
            <w:tcW w:w="942" w:type="dxa"/>
            <w:noWrap/>
            <w:vAlign w:val="center"/>
          </w:tcPr>
          <w:p w14:paraId="7DEFE131">
            <w:pPr>
              <w:jc w:val="center"/>
              <w:rPr>
                <w:rFonts w:ascii="仿宋" w:hAnsi="仿宋" w:eastAsia="仿宋" w:cs="仿宋"/>
                <w:bCs/>
                <w:color w:val="auto"/>
                <w:sz w:val="22"/>
                <w:szCs w:val="28"/>
                <w:highlight w:val="none"/>
              </w:rPr>
            </w:pPr>
            <w:r>
              <w:rPr>
                <w:rFonts w:hint="eastAsia" w:ascii="仿宋" w:hAnsi="仿宋" w:eastAsia="仿宋" w:cs="仿宋"/>
                <w:bCs/>
                <w:color w:val="auto"/>
                <w:sz w:val="22"/>
                <w:szCs w:val="28"/>
                <w:highlight w:val="none"/>
              </w:rPr>
              <w:t>5.00</w:t>
            </w:r>
          </w:p>
        </w:tc>
      </w:tr>
      <w:tr w14:paraId="033668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0" w:hRule="atLeast"/>
          <w:jc w:val="center"/>
        </w:trPr>
        <w:tc>
          <w:tcPr>
            <w:tcW w:w="719" w:type="dxa"/>
            <w:tcBorders>
              <w:top w:val="single" w:color="auto" w:sz="4" w:space="0"/>
            </w:tcBorders>
            <w:noWrap/>
            <w:vAlign w:val="center"/>
          </w:tcPr>
          <w:p w14:paraId="60AD81B1">
            <w:pPr>
              <w:pStyle w:val="41"/>
              <w:widowControl w:val="0"/>
              <w:spacing w:before="0" w:after="0" w:line="440" w:lineRule="exact"/>
              <w:jc w:val="center"/>
              <w:rPr>
                <w:rFonts w:ascii="仿宋" w:hAnsi="仿宋" w:eastAsia="仿宋" w:cs="仿宋"/>
                <w:color w:val="auto"/>
                <w:sz w:val="22"/>
                <w:szCs w:val="28"/>
                <w:highlight w:val="none"/>
              </w:rPr>
            </w:pPr>
            <w:r>
              <w:rPr>
                <w:rFonts w:hint="eastAsia" w:ascii="仿宋" w:hAnsi="仿宋" w:eastAsia="仿宋" w:cs="仿宋_GB2312"/>
                <w:color w:val="auto"/>
                <w:kern w:val="2"/>
                <w:sz w:val="22"/>
                <w:szCs w:val="28"/>
                <w:highlight w:val="none"/>
              </w:rPr>
              <w:t>1.03</w:t>
            </w:r>
          </w:p>
        </w:tc>
        <w:tc>
          <w:tcPr>
            <w:tcW w:w="673" w:type="dxa"/>
            <w:tcBorders>
              <w:top w:val="single" w:color="auto" w:sz="4" w:space="0"/>
            </w:tcBorders>
            <w:noWrap/>
            <w:vAlign w:val="center"/>
          </w:tcPr>
          <w:p w14:paraId="00041C1D">
            <w:pPr>
              <w:pStyle w:val="41"/>
              <w:widowControl w:val="0"/>
              <w:spacing w:before="0" w:after="0" w:line="440" w:lineRule="exact"/>
              <w:jc w:val="both"/>
              <w:rPr>
                <w:rFonts w:ascii="仿宋" w:hAnsi="仿宋" w:eastAsia="仿宋" w:cs="仿宋"/>
                <w:bCs/>
                <w:color w:val="auto"/>
                <w:sz w:val="22"/>
                <w:szCs w:val="28"/>
                <w:highlight w:val="none"/>
              </w:rPr>
            </w:pPr>
            <w:r>
              <w:rPr>
                <w:rFonts w:hint="eastAsia" w:ascii="仿宋" w:hAnsi="仿宋" w:eastAsia="仿宋" w:cs="仿宋_GB2312"/>
                <w:color w:val="auto"/>
                <w:kern w:val="2"/>
                <w:sz w:val="22"/>
                <w:szCs w:val="28"/>
                <w:highlight w:val="none"/>
              </w:rPr>
              <w:t>商务</w:t>
            </w:r>
          </w:p>
        </w:tc>
        <w:tc>
          <w:tcPr>
            <w:tcW w:w="825" w:type="dxa"/>
            <w:noWrap/>
            <w:vAlign w:val="center"/>
          </w:tcPr>
          <w:p w14:paraId="1DCD7C8B">
            <w:pPr>
              <w:pStyle w:val="41"/>
              <w:spacing w:before="0" w:after="0" w:line="440" w:lineRule="exact"/>
              <w:jc w:val="center"/>
              <w:rPr>
                <w:rFonts w:ascii="仿宋" w:hAnsi="仿宋" w:eastAsia="仿宋" w:cs="仿宋"/>
                <w:color w:val="auto"/>
                <w:sz w:val="22"/>
                <w:szCs w:val="28"/>
                <w:highlight w:val="none"/>
              </w:rPr>
            </w:pPr>
            <w:r>
              <w:rPr>
                <w:rFonts w:hint="eastAsia" w:ascii="仿宋" w:hAnsi="仿宋" w:eastAsia="仿宋" w:cs="仿宋_GB2312"/>
                <w:color w:val="auto"/>
                <w:kern w:val="2"/>
                <w:sz w:val="22"/>
                <w:szCs w:val="28"/>
                <w:highlight w:val="none"/>
              </w:rPr>
              <w:t>拟派团队人员配备</w:t>
            </w:r>
          </w:p>
        </w:tc>
        <w:tc>
          <w:tcPr>
            <w:tcW w:w="5856" w:type="dxa"/>
            <w:noWrap/>
            <w:vAlign w:val="center"/>
          </w:tcPr>
          <w:p w14:paraId="29FDABF1">
            <w:pPr>
              <w:spacing w:line="460" w:lineRule="exact"/>
              <w:jc w:val="left"/>
              <w:rPr>
                <w:rFonts w:ascii="仿宋" w:hAnsi="仿宋" w:eastAsia="仿宋" w:cs="仿宋"/>
                <w:color w:val="auto"/>
                <w:sz w:val="22"/>
                <w:szCs w:val="28"/>
                <w:highlight w:val="none"/>
                <w:lang w:val="zh-CN"/>
              </w:rPr>
            </w:pPr>
            <w:r>
              <w:rPr>
                <w:rFonts w:hint="eastAsia" w:ascii="仿宋" w:hAnsi="仿宋" w:eastAsia="仿宋" w:cs="仿宋"/>
                <w:color w:val="auto"/>
                <w:sz w:val="22"/>
                <w:szCs w:val="28"/>
                <w:highlight w:val="none"/>
                <w:lang w:val="zh-CN"/>
              </w:rPr>
              <w:t>1.拟派团队人员至少配备：项目负责人1名，技术负责人1名，检测工程师6名，项目班子人员应具备中级及以上技术职称，上述人员配备齐全且分工明确，不得兼任，得</w:t>
            </w:r>
            <w:r>
              <w:rPr>
                <w:rFonts w:ascii="仿宋" w:hAnsi="仿宋" w:eastAsia="仿宋" w:cs="仿宋"/>
                <w:color w:val="auto"/>
                <w:sz w:val="22"/>
                <w:szCs w:val="28"/>
                <w:highlight w:val="none"/>
                <w:lang w:val="zh-CN"/>
              </w:rPr>
              <w:t>7</w:t>
            </w:r>
            <w:r>
              <w:rPr>
                <w:rFonts w:hint="eastAsia" w:ascii="仿宋" w:hAnsi="仿宋" w:eastAsia="仿宋" w:cs="仿宋"/>
                <w:color w:val="auto"/>
                <w:sz w:val="22"/>
                <w:szCs w:val="28"/>
                <w:highlight w:val="none"/>
                <w:lang w:val="zh-CN"/>
              </w:rPr>
              <w:t>分，否则不得分。</w:t>
            </w:r>
          </w:p>
          <w:p w14:paraId="489A8A9B">
            <w:pPr>
              <w:spacing w:line="460" w:lineRule="exact"/>
              <w:jc w:val="left"/>
              <w:rPr>
                <w:rFonts w:ascii="仿宋" w:hAnsi="仿宋" w:eastAsia="仿宋" w:cs="仿宋"/>
                <w:color w:val="auto"/>
                <w:sz w:val="22"/>
                <w:szCs w:val="28"/>
                <w:highlight w:val="none"/>
                <w:lang w:val="zh-CN"/>
              </w:rPr>
            </w:pPr>
            <w:r>
              <w:rPr>
                <w:rFonts w:hint="eastAsia" w:ascii="仿宋" w:hAnsi="仿宋" w:eastAsia="仿宋" w:cs="仿宋"/>
                <w:color w:val="auto"/>
                <w:sz w:val="22"/>
                <w:szCs w:val="28"/>
                <w:highlight w:val="none"/>
                <w:lang w:val="zh-CN"/>
              </w:rPr>
              <w:t>2.项目负责人具有注册岩土工程师注册证书或注册结构工程师注册证书得2分；具有工程系列高级及以上技术职称得2分，本项最高得4分。</w:t>
            </w:r>
          </w:p>
          <w:p w14:paraId="25032128">
            <w:pPr>
              <w:spacing w:line="460" w:lineRule="exact"/>
              <w:jc w:val="left"/>
              <w:rPr>
                <w:rFonts w:ascii="仿宋" w:hAnsi="仿宋" w:eastAsia="仿宋" w:cs="仿宋"/>
                <w:color w:val="auto"/>
                <w:sz w:val="22"/>
                <w:szCs w:val="28"/>
                <w:highlight w:val="none"/>
                <w:lang w:val="zh-CN"/>
              </w:rPr>
            </w:pPr>
            <w:r>
              <w:rPr>
                <w:rFonts w:hint="eastAsia" w:ascii="仿宋" w:hAnsi="仿宋" w:eastAsia="仿宋" w:cs="仿宋"/>
                <w:color w:val="auto"/>
                <w:sz w:val="22"/>
                <w:szCs w:val="28"/>
                <w:highlight w:val="none"/>
                <w:lang w:val="zh-CN"/>
              </w:rPr>
              <w:t>3.技术负责人具有工程系列高级及以上技术职称，得2分。</w:t>
            </w:r>
          </w:p>
          <w:p w14:paraId="45B40418">
            <w:pPr>
              <w:pStyle w:val="2"/>
              <w:rPr>
                <w:rFonts w:ascii="仿宋" w:hAnsi="仿宋" w:eastAsia="仿宋" w:cs="仿宋"/>
                <w:color w:val="auto"/>
                <w:kern w:val="2"/>
                <w:sz w:val="22"/>
                <w:szCs w:val="28"/>
                <w:highlight w:val="none"/>
                <w:lang w:val="zh-CN"/>
              </w:rPr>
            </w:pPr>
            <w:r>
              <w:rPr>
                <w:rFonts w:hint="eastAsia" w:ascii="仿宋" w:hAnsi="仿宋" w:eastAsia="仿宋" w:cs="仿宋"/>
                <w:color w:val="auto"/>
                <w:kern w:val="2"/>
                <w:sz w:val="22"/>
                <w:szCs w:val="28"/>
                <w:highlight w:val="none"/>
                <w:lang w:val="zh-CN"/>
              </w:rPr>
              <w:t>4. 拟投入本项目的团队成员具有超声探伤检测3级证书（UT3）得1分；具有磁粉探伤检测3级证书（MT3），得1分，本项最高得2分。</w:t>
            </w:r>
          </w:p>
          <w:p w14:paraId="6FE3E0BF">
            <w:pPr>
              <w:spacing w:line="460" w:lineRule="exact"/>
              <w:jc w:val="left"/>
              <w:rPr>
                <w:rFonts w:ascii="仿宋" w:hAnsi="仿宋" w:eastAsia="仿宋" w:cs="仿宋"/>
                <w:color w:val="auto"/>
                <w:sz w:val="22"/>
                <w:szCs w:val="28"/>
                <w:highlight w:val="none"/>
                <w:lang w:val="zh-CN"/>
              </w:rPr>
            </w:pPr>
            <w:r>
              <w:rPr>
                <w:rFonts w:hint="eastAsia" w:ascii="仿宋" w:hAnsi="仿宋" w:eastAsia="仿宋" w:cs="仿宋"/>
                <w:color w:val="auto"/>
                <w:sz w:val="22"/>
                <w:szCs w:val="28"/>
                <w:highlight w:val="none"/>
                <w:lang w:val="zh-CN"/>
              </w:rPr>
              <w:t>注：投标文件中需附人员相关证书扫描件及近一个月（2026年04月或05月）在本单位的社保缴纳证明（若为退休人员可提供退休及返聘证明材料），否则不得分。</w:t>
            </w:r>
          </w:p>
        </w:tc>
        <w:tc>
          <w:tcPr>
            <w:tcW w:w="851" w:type="dxa"/>
            <w:noWrap/>
            <w:vAlign w:val="center"/>
          </w:tcPr>
          <w:p w14:paraId="5EA64BEA">
            <w:pPr>
              <w:pStyle w:val="41"/>
              <w:spacing w:before="0" w:after="0" w:line="440" w:lineRule="exact"/>
              <w:jc w:val="center"/>
              <w:rPr>
                <w:rFonts w:ascii="仿宋" w:hAnsi="仿宋" w:eastAsia="仿宋" w:cs="仿宋"/>
                <w:bCs/>
                <w:color w:val="auto"/>
                <w:sz w:val="22"/>
                <w:szCs w:val="28"/>
                <w:highlight w:val="none"/>
              </w:rPr>
            </w:pPr>
            <w:r>
              <w:rPr>
                <w:rFonts w:hint="eastAsia" w:ascii="仿宋" w:hAnsi="仿宋" w:eastAsia="仿宋" w:cs="仿宋"/>
                <w:bCs/>
                <w:color w:val="auto"/>
                <w:sz w:val="22"/>
                <w:szCs w:val="28"/>
                <w:highlight w:val="none"/>
              </w:rPr>
              <w:t>客观分</w:t>
            </w:r>
          </w:p>
        </w:tc>
        <w:tc>
          <w:tcPr>
            <w:tcW w:w="942" w:type="dxa"/>
            <w:noWrap/>
            <w:vAlign w:val="center"/>
          </w:tcPr>
          <w:p w14:paraId="3D065ECC">
            <w:pPr>
              <w:pStyle w:val="41"/>
              <w:spacing w:before="0" w:after="0" w:line="440" w:lineRule="exact"/>
              <w:jc w:val="center"/>
              <w:rPr>
                <w:rFonts w:ascii="仿宋" w:hAnsi="仿宋" w:eastAsia="仿宋" w:cs="仿宋"/>
                <w:color w:val="auto"/>
                <w:sz w:val="22"/>
                <w:szCs w:val="28"/>
                <w:highlight w:val="none"/>
              </w:rPr>
            </w:pPr>
            <w:r>
              <w:rPr>
                <w:rFonts w:hint="eastAsia" w:ascii="仿宋" w:hAnsi="仿宋" w:eastAsia="仿宋" w:cs="方正楷体简体"/>
                <w:color w:val="auto"/>
                <w:kern w:val="2"/>
                <w:sz w:val="22"/>
                <w:szCs w:val="28"/>
                <w:highlight w:val="none"/>
              </w:rPr>
              <w:t>15.00</w:t>
            </w:r>
          </w:p>
        </w:tc>
      </w:tr>
      <w:tr w14:paraId="5D41B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450" w:hRule="atLeast"/>
          <w:jc w:val="center"/>
        </w:trPr>
        <w:tc>
          <w:tcPr>
            <w:tcW w:w="719" w:type="dxa"/>
            <w:tcBorders>
              <w:top w:val="single" w:color="auto" w:sz="4" w:space="0"/>
              <w:bottom w:val="single" w:color="auto" w:sz="4" w:space="0"/>
            </w:tcBorders>
            <w:noWrap/>
            <w:vAlign w:val="center"/>
          </w:tcPr>
          <w:p w14:paraId="778B617A">
            <w:pPr>
              <w:pStyle w:val="14"/>
              <w:ind w:firstLine="0"/>
              <w:jc w:val="center"/>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1.04</w:t>
            </w:r>
          </w:p>
        </w:tc>
        <w:tc>
          <w:tcPr>
            <w:tcW w:w="673" w:type="dxa"/>
            <w:tcBorders>
              <w:top w:val="single" w:color="auto" w:sz="4" w:space="0"/>
              <w:bottom w:val="single" w:color="auto" w:sz="4" w:space="0"/>
            </w:tcBorders>
            <w:noWrap/>
            <w:vAlign w:val="center"/>
          </w:tcPr>
          <w:p w14:paraId="6A1F08E3">
            <w:pPr>
              <w:jc w:val="center"/>
              <w:rPr>
                <w:rFonts w:ascii="仿宋" w:hAnsi="仿宋" w:eastAsia="仿宋" w:cs="仿宋"/>
                <w:bCs/>
                <w:color w:val="auto"/>
                <w:sz w:val="22"/>
                <w:szCs w:val="28"/>
                <w:highlight w:val="none"/>
              </w:rPr>
            </w:pPr>
            <w:r>
              <w:rPr>
                <w:rFonts w:hint="eastAsia" w:ascii="仿宋" w:hAnsi="仿宋" w:eastAsia="仿宋" w:cs="仿宋"/>
                <w:bCs/>
                <w:color w:val="auto"/>
                <w:sz w:val="22"/>
                <w:szCs w:val="28"/>
                <w:highlight w:val="none"/>
              </w:rPr>
              <w:t>技术</w:t>
            </w:r>
          </w:p>
        </w:tc>
        <w:tc>
          <w:tcPr>
            <w:tcW w:w="825" w:type="dxa"/>
            <w:noWrap/>
            <w:vAlign w:val="center"/>
          </w:tcPr>
          <w:p w14:paraId="49DCE43A">
            <w:pPr>
              <w:spacing w:line="460" w:lineRule="exact"/>
              <w:jc w:val="left"/>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实施方案</w:t>
            </w:r>
          </w:p>
        </w:tc>
        <w:tc>
          <w:tcPr>
            <w:tcW w:w="5856" w:type="dxa"/>
            <w:noWrap/>
            <w:vAlign w:val="center"/>
          </w:tcPr>
          <w:p w14:paraId="191D0317">
            <w:pPr>
              <w:spacing w:line="460" w:lineRule="exact"/>
              <w:jc w:val="left"/>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由评委根据各投标人所报的实施方案内容按照以下标准进行综合打分，</w:t>
            </w:r>
          </w:p>
          <w:p w14:paraId="7E288693">
            <w:pPr>
              <w:spacing w:line="460" w:lineRule="exact"/>
              <w:jc w:val="left"/>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①实施方案内容齐全、结构完整、表述明确、条理清晰，服务目标和任务明确，工作方法及关键技术作业流程和方法先进、规范，工作程序、标准等完整合理、科学严密，切实可行的，得15分；</w:t>
            </w:r>
          </w:p>
          <w:p w14:paraId="1B46E977">
            <w:pPr>
              <w:spacing w:line="460" w:lineRule="exact"/>
              <w:jc w:val="left"/>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②根据本项目实际情况对项目过程中可能出现的重难点分析准确完善、应对措施及建议科学合理，解决问题的方法高效、实用性、针对性强的，得15分；</w:t>
            </w:r>
          </w:p>
          <w:p w14:paraId="459A7767">
            <w:pPr>
              <w:spacing w:line="460" w:lineRule="exact"/>
              <w:jc w:val="left"/>
              <w:rPr>
                <w:rFonts w:ascii="仿宋" w:hAnsi="仿宋" w:eastAsia="仿宋" w:cs="仿宋"/>
                <w:color w:val="auto"/>
                <w:sz w:val="22"/>
                <w:szCs w:val="28"/>
                <w:highlight w:val="none"/>
              </w:rPr>
            </w:pPr>
            <w:r>
              <w:rPr>
                <w:rFonts w:hint="eastAsia" w:ascii="MS Mincho" w:hAnsi="MS Mincho" w:eastAsia="MS Mincho" w:cs="MS Mincho"/>
                <w:color w:val="auto"/>
                <w:sz w:val="22"/>
                <w:szCs w:val="28"/>
                <w:highlight w:val="none"/>
              </w:rPr>
              <w:t>③</w:t>
            </w:r>
            <w:r>
              <w:rPr>
                <w:rFonts w:hint="eastAsia" w:ascii="仿宋" w:hAnsi="仿宋" w:eastAsia="仿宋" w:cs="仿宋"/>
                <w:color w:val="auto"/>
                <w:sz w:val="22"/>
                <w:szCs w:val="28"/>
                <w:highlight w:val="none"/>
              </w:rPr>
              <w:t>工作进度安排细致、周详，项目阶段进度目标明确、时间分配合理、衔接有序，进度控制措施有效，科学合理、切实可行的，得15分；</w:t>
            </w:r>
          </w:p>
          <w:p w14:paraId="0CBE9A72">
            <w:pPr>
              <w:spacing w:line="460" w:lineRule="exact"/>
              <w:jc w:val="left"/>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④质量保障措施表述完整全面，科学可行，质量目标明确，成果资料检查程序切实可行，成果管理措施严谨合理，保密制度健全，保密措施得力可行的，得15分。</w:t>
            </w:r>
          </w:p>
          <w:p w14:paraId="1F5DE386">
            <w:pPr>
              <w:spacing w:line="460" w:lineRule="exact"/>
              <w:jc w:val="left"/>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⑤投标人做出的后续服务及承诺真实、可行，后续服务完善、承诺可行性高的，得5分；</w:t>
            </w:r>
          </w:p>
          <w:p w14:paraId="63A1BFCA">
            <w:pPr>
              <w:spacing w:line="460" w:lineRule="exact"/>
              <w:jc w:val="left"/>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⑥质量检测鉴定成果及资料档案管理制度内容全面、表述清晰、严谨、周密的，得5分；</w:t>
            </w:r>
          </w:p>
          <w:p w14:paraId="2E8E4C13">
            <w:pPr>
              <w:spacing w:line="460" w:lineRule="exact"/>
              <w:jc w:val="left"/>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上述内容①-</w:t>
            </w:r>
            <w:r>
              <w:rPr>
                <w:rFonts w:hint="eastAsia" w:cs="MS Mincho" w:asciiTheme="minorEastAsia" w:hAnsiTheme="minorEastAsia" w:eastAsiaTheme="minorEastAsia"/>
                <w:color w:val="auto"/>
                <w:sz w:val="22"/>
                <w:szCs w:val="28"/>
                <w:highlight w:val="none"/>
              </w:rPr>
              <w:t>④</w:t>
            </w:r>
            <w:r>
              <w:rPr>
                <w:rFonts w:hint="eastAsia" w:ascii="仿宋" w:hAnsi="仿宋" w:eastAsia="仿宋" w:cs="仿宋"/>
                <w:color w:val="auto"/>
                <w:sz w:val="22"/>
                <w:szCs w:val="28"/>
                <w:highlight w:val="none"/>
              </w:rPr>
              <w:t>项，每项最高得15分；⑤、⑥项，每项最高得5分，每有一处内容不完善、不合理或针对性差的扣1分，未提供相关描述的该项不得分。</w:t>
            </w:r>
          </w:p>
          <w:p w14:paraId="0EE8810A">
            <w:pPr>
              <w:spacing w:line="460" w:lineRule="exact"/>
              <w:jc w:val="left"/>
              <w:rPr>
                <w:rFonts w:ascii="仿宋" w:hAnsi="仿宋" w:eastAsia="仿宋" w:cs="仿宋"/>
                <w:b/>
                <w:color w:val="auto"/>
                <w:sz w:val="22"/>
                <w:szCs w:val="28"/>
                <w:highlight w:val="none"/>
              </w:rPr>
            </w:pPr>
            <w:r>
              <w:rPr>
                <w:rFonts w:hint="eastAsia" w:ascii="仿宋" w:hAnsi="仿宋" w:eastAsia="仿宋" w:cs="仿宋"/>
                <w:b/>
                <w:color w:val="auto"/>
                <w:sz w:val="22"/>
                <w:szCs w:val="28"/>
                <w:highlight w:val="none"/>
              </w:rPr>
              <w:t>实施方案内容应简明扼，编制完成后，应确保页数不得超过100页（不含封面、目录及标题页），否则得0分。</w:t>
            </w:r>
          </w:p>
        </w:tc>
        <w:tc>
          <w:tcPr>
            <w:tcW w:w="851" w:type="dxa"/>
            <w:noWrap/>
            <w:vAlign w:val="center"/>
          </w:tcPr>
          <w:p w14:paraId="0FAC2207">
            <w:pPr>
              <w:pStyle w:val="14"/>
              <w:spacing w:line="400" w:lineRule="exact"/>
              <w:ind w:firstLine="0"/>
              <w:jc w:val="center"/>
              <w:rPr>
                <w:rFonts w:ascii="仿宋" w:hAnsi="仿宋" w:eastAsia="仿宋" w:cs="仿宋"/>
                <w:bCs/>
                <w:color w:val="auto"/>
                <w:sz w:val="22"/>
                <w:szCs w:val="28"/>
                <w:highlight w:val="none"/>
              </w:rPr>
            </w:pPr>
            <w:r>
              <w:rPr>
                <w:rFonts w:hint="eastAsia" w:ascii="仿宋" w:hAnsi="仿宋" w:eastAsia="仿宋" w:cs="仿宋"/>
                <w:bCs/>
                <w:color w:val="auto"/>
                <w:sz w:val="22"/>
                <w:szCs w:val="28"/>
                <w:highlight w:val="none"/>
              </w:rPr>
              <w:t>主观分</w:t>
            </w:r>
          </w:p>
        </w:tc>
        <w:tc>
          <w:tcPr>
            <w:tcW w:w="942" w:type="dxa"/>
            <w:noWrap/>
            <w:vAlign w:val="center"/>
          </w:tcPr>
          <w:p w14:paraId="5889C63E">
            <w:pPr>
              <w:pStyle w:val="14"/>
              <w:spacing w:line="400" w:lineRule="exact"/>
              <w:ind w:firstLine="0"/>
              <w:rPr>
                <w:rFonts w:ascii="仿宋" w:hAnsi="仿宋" w:eastAsia="仿宋" w:cs="仿宋"/>
                <w:color w:val="auto"/>
                <w:sz w:val="22"/>
                <w:szCs w:val="28"/>
                <w:highlight w:val="none"/>
              </w:rPr>
            </w:pPr>
            <w:r>
              <w:rPr>
                <w:rFonts w:hint="eastAsia" w:ascii="仿宋" w:hAnsi="仿宋" w:eastAsia="仿宋" w:cs="仿宋"/>
                <w:color w:val="auto"/>
                <w:sz w:val="22"/>
                <w:szCs w:val="28"/>
                <w:highlight w:val="none"/>
              </w:rPr>
              <w:t>70.00</w:t>
            </w:r>
          </w:p>
        </w:tc>
      </w:tr>
    </w:tbl>
    <w:p w14:paraId="1F65AFCC">
      <w:pPr>
        <w:spacing w:line="440" w:lineRule="exact"/>
        <w:contextualSpacing/>
        <w:rPr>
          <w:rFonts w:ascii="仿宋" w:hAnsi="仿宋" w:eastAsia="仿宋" w:cs="仿宋"/>
          <w:b/>
          <w:color w:val="auto"/>
          <w:sz w:val="24"/>
          <w:highlight w:val="none"/>
        </w:rPr>
      </w:pPr>
      <w:r>
        <w:rPr>
          <w:rFonts w:hint="eastAsia" w:ascii="仿宋" w:hAnsi="仿宋" w:eastAsia="仿宋" w:cs="仿宋"/>
          <w:b/>
          <w:color w:val="auto"/>
          <w:sz w:val="24"/>
          <w:highlight w:val="none"/>
        </w:rPr>
        <w:t>注：①本细则只针对有效投标文件予以评分。</w:t>
      </w:r>
    </w:p>
    <w:p w14:paraId="00D8CCF6">
      <w:pPr>
        <w:spacing w:line="440" w:lineRule="exact"/>
        <w:ind w:firstLine="480" w:firstLineChars="200"/>
        <w:contextualSpacing/>
        <w:rPr>
          <w:rFonts w:ascii="仿宋" w:hAnsi="仿宋" w:eastAsia="仿宋" w:cs="仿宋"/>
          <w:b/>
          <w:color w:val="auto"/>
          <w:sz w:val="24"/>
          <w:highlight w:val="none"/>
        </w:rPr>
      </w:pPr>
      <w:r>
        <w:rPr>
          <w:rFonts w:hint="eastAsia" w:ascii="仿宋" w:hAnsi="仿宋" w:eastAsia="仿宋" w:cs="仿宋"/>
          <w:b/>
          <w:color w:val="auto"/>
          <w:sz w:val="24"/>
          <w:highlight w:val="none"/>
        </w:rPr>
        <w:t>②计算得分时，四舍五入保留至小数点后二位。</w:t>
      </w:r>
    </w:p>
    <w:p w14:paraId="0B722B5F">
      <w:pPr>
        <w:spacing w:line="440" w:lineRule="exact"/>
        <w:ind w:firstLine="480" w:firstLineChars="200"/>
        <w:contextualSpacing/>
        <w:rPr>
          <w:rFonts w:ascii="仿宋" w:hAnsi="仿宋" w:eastAsia="仿宋" w:cs="仿宋"/>
          <w:b/>
          <w:color w:val="auto"/>
          <w:sz w:val="24"/>
          <w:highlight w:val="none"/>
        </w:rPr>
      </w:pPr>
      <w:r>
        <w:rPr>
          <w:rFonts w:hint="eastAsia" w:ascii="仿宋" w:hAnsi="仿宋" w:eastAsia="仿宋" w:cs="仿宋"/>
          <w:b/>
          <w:color w:val="auto"/>
          <w:sz w:val="24"/>
          <w:highlight w:val="none"/>
        </w:rPr>
        <w:t>③汇总各评委打分进行算术平均，计算出各投标人的综合得分。</w:t>
      </w:r>
    </w:p>
    <w:p w14:paraId="46107833">
      <w:pPr>
        <w:spacing w:line="560" w:lineRule="exact"/>
        <w:ind w:firstLine="560" w:firstLineChars="200"/>
        <w:rPr>
          <w:rFonts w:ascii="仿宋" w:hAnsi="仿宋" w:eastAsia="仿宋"/>
          <w:color w:val="auto"/>
          <w:sz w:val="28"/>
          <w:szCs w:val="28"/>
          <w:highlight w:val="none"/>
        </w:rPr>
      </w:pPr>
      <w:bookmarkStart w:id="24" w:name="_Toc130891916"/>
      <w:r>
        <w:rPr>
          <w:rFonts w:hint="eastAsia" w:ascii="仿宋" w:hAnsi="仿宋" w:eastAsia="仿宋"/>
          <w:color w:val="auto"/>
          <w:sz w:val="28"/>
          <w:szCs w:val="28"/>
          <w:highlight w:val="none"/>
        </w:rPr>
        <w:t>四、编写评标报告</w:t>
      </w:r>
      <w:bookmarkEnd w:id="24"/>
    </w:p>
    <w:p w14:paraId="2ACD2E3A">
      <w:pPr>
        <w:spacing w:line="560" w:lineRule="exact"/>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依据</w:t>
      </w:r>
      <w:r>
        <w:rPr>
          <w:rFonts w:ascii="仿宋" w:hAnsi="仿宋" w:eastAsia="仿宋"/>
          <w:color w:val="auto"/>
          <w:sz w:val="28"/>
          <w:szCs w:val="28"/>
          <w:highlight w:val="none"/>
        </w:rPr>
        <w:t>评标委员会</w:t>
      </w:r>
      <w:r>
        <w:rPr>
          <w:rFonts w:hint="eastAsia" w:ascii="仿宋" w:hAnsi="仿宋" w:eastAsia="仿宋"/>
          <w:color w:val="auto"/>
          <w:sz w:val="28"/>
          <w:szCs w:val="28"/>
          <w:highlight w:val="none"/>
        </w:rPr>
        <w:t>签字的原始记录和评标结果，按照规定的内容要求编写评标报告，并由全体评委签名。</w:t>
      </w:r>
    </w:p>
    <w:p w14:paraId="2119268B">
      <w:pPr>
        <w:spacing w:line="560" w:lineRule="exact"/>
        <w:ind w:firstLine="560" w:firstLineChars="200"/>
        <w:rPr>
          <w:rFonts w:ascii="仿宋" w:hAnsi="仿宋" w:eastAsia="仿宋"/>
          <w:bCs/>
          <w:color w:val="auto"/>
          <w:sz w:val="28"/>
          <w:szCs w:val="28"/>
          <w:highlight w:val="none"/>
        </w:rPr>
      </w:pPr>
      <w:r>
        <w:rPr>
          <w:rFonts w:hint="eastAsia" w:ascii="仿宋" w:hAnsi="仿宋" w:eastAsia="仿宋"/>
          <w:bCs/>
          <w:color w:val="auto"/>
          <w:sz w:val="28"/>
          <w:szCs w:val="28"/>
          <w:highlight w:val="none"/>
        </w:rPr>
        <w:t>五、定标</w:t>
      </w:r>
    </w:p>
    <w:p w14:paraId="5D1990BB">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1</w:t>
      </w:r>
      <w:r>
        <w:rPr>
          <w:rFonts w:ascii="仿宋" w:hAnsi="仿宋" w:eastAsia="仿宋"/>
          <w:color w:val="auto"/>
          <w:sz w:val="28"/>
          <w:szCs w:val="21"/>
          <w:highlight w:val="none"/>
        </w:rPr>
        <w:t>.</w:t>
      </w:r>
      <w:r>
        <w:rPr>
          <w:rFonts w:hint="eastAsia" w:ascii="仿宋" w:hAnsi="仿宋" w:eastAsia="仿宋"/>
          <w:color w:val="auto"/>
          <w:sz w:val="28"/>
          <w:szCs w:val="21"/>
          <w:highlight w:val="none"/>
        </w:rPr>
        <w:t>评标委员会根据招标文件载明的评标细则进行综合评审，并按评审后综合得分由高到低顺序排列，确定排名第一的为中标人。</w:t>
      </w:r>
    </w:p>
    <w:p w14:paraId="52126366">
      <w:pPr>
        <w:spacing w:line="520" w:lineRule="exact"/>
        <w:ind w:firstLine="560" w:firstLineChars="200"/>
        <w:rPr>
          <w:rFonts w:ascii="仿宋" w:hAnsi="仿宋" w:eastAsia="仿宋"/>
          <w:color w:val="auto"/>
          <w:sz w:val="28"/>
          <w:szCs w:val="21"/>
          <w:highlight w:val="none"/>
        </w:rPr>
      </w:pPr>
      <w:r>
        <w:rPr>
          <w:rFonts w:ascii="仿宋" w:hAnsi="仿宋" w:eastAsia="仿宋"/>
          <w:color w:val="auto"/>
          <w:sz w:val="28"/>
          <w:szCs w:val="21"/>
          <w:highlight w:val="none"/>
        </w:rPr>
        <w:t>2</w:t>
      </w:r>
      <w:r>
        <w:rPr>
          <w:rFonts w:hint="eastAsia" w:ascii="仿宋" w:hAnsi="仿宋" w:eastAsia="仿宋"/>
          <w:color w:val="auto"/>
          <w:sz w:val="28"/>
          <w:szCs w:val="21"/>
          <w:highlight w:val="none"/>
        </w:rPr>
        <w:t>.</w:t>
      </w:r>
      <w:r>
        <w:rPr>
          <w:rFonts w:ascii="仿宋" w:hAnsi="仿宋" w:eastAsia="仿宋"/>
          <w:color w:val="auto"/>
          <w:sz w:val="28"/>
          <w:szCs w:val="21"/>
          <w:highlight w:val="none"/>
        </w:rPr>
        <w:t>评标结束后，</w:t>
      </w:r>
      <w:r>
        <w:rPr>
          <w:rFonts w:hint="eastAsia" w:ascii="仿宋" w:hAnsi="仿宋" w:eastAsia="仿宋"/>
          <w:color w:val="auto"/>
          <w:sz w:val="28"/>
          <w:szCs w:val="21"/>
          <w:highlight w:val="none"/>
        </w:rPr>
        <w:t>公告</w:t>
      </w:r>
      <w:r>
        <w:rPr>
          <w:rFonts w:ascii="仿宋" w:hAnsi="仿宋" w:eastAsia="仿宋"/>
          <w:color w:val="auto"/>
          <w:sz w:val="28"/>
          <w:szCs w:val="21"/>
          <w:highlight w:val="none"/>
        </w:rPr>
        <w:t>无异议确定排名第一的为中标人。如发现中标人存在与招标文件、投标文件不符或弄虚作假等其它违法行为，经</w:t>
      </w:r>
      <w:r>
        <w:rPr>
          <w:rFonts w:hint="eastAsia" w:ascii="仿宋" w:hAnsi="仿宋" w:eastAsia="仿宋"/>
          <w:color w:val="auto"/>
          <w:sz w:val="28"/>
          <w:szCs w:val="21"/>
          <w:highlight w:val="none"/>
        </w:rPr>
        <w:t>招标</w:t>
      </w:r>
      <w:r>
        <w:rPr>
          <w:rFonts w:ascii="仿宋" w:hAnsi="仿宋" w:eastAsia="仿宋"/>
          <w:color w:val="auto"/>
          <w:sz w:val="28"/>
          <w:szCs w:val="21"/>
          <w:highlight w:val="none"/>
        </w:rPr>
        <w:t>人同意，取消中标人资格，由排名次之的中标，依次类推或重新招标。</w:t>
      </w:r>
    </w:p>
    <w:p w14:paraId="0BCB85D9">
      <w:pPr>
        <w:wordWrap w:val="0"/>
        <w:spacing w:line="520" w:lineRule="exact"/>
        <w:ind w:firstLine="560" w:firstLineChars="200"/>
        <w:jc w:val="left"/>
        <w:rPr>
          <w:rFonts w:ascii="仿宋" w:hAnsi="仿宋" w:eastAsia="仿宋"/>
          <w:color w:val="auto"/>
          <w:sz w:val="28"/>
          <w:szCs w:val="21"/>
          <w:highlight w:val="none"/>
        </w:rPr>
      </w:pPr>
      <w:r>
        <w:rPr>
          <w:rFonts w:ascii="仿宋" w:hAnsi="仿宋" w:eastAsia="仿宋"/>
          <w:color w:val="auto"/>
          <w:sz w:val="28"/>
          <w:szCs w:val="21"/>
          <w:highlight w:val="none"/>
        </w:rPr>
        <w:t>3</w:t>
      </w:r>
      <w:r>
        <w:rPr>
          <w:rFonts w:hint="eastAsia" w:ascii="仿宋" w:hAnsi="仿宋" w:eastAsia="仿宋"/>
          <w:color w:val="auto"/>
          <w:sz w:val="28"/>
          <w:szCs w:val="21"/>
          <w:highlight w:val="none"/>
        </w:rPr>
        <w:t>.</w:t>
      </w:r>
      <w:r>
        <w:rPr>
          <w:rFonts w:ascii="仿宋" w:hAnsi="仿宋" w:eastAsia="仿宋"/>
          <w:color w:val="auto"/>
          <w:sz w:val="28"/>
          <w:szCs w:val="21"/>
          <w:highlight w:val="none"/>
        </w:rPr>
        <w:t>评标结果</w:t>
      </w:r>
      <w:r>
        <w:rPr>
          <w:rFonts w:hint="eastAsia" w:ascii="仿宋" w:hAnsi="仿宋" w:eastAsia="仿宋"/>
          <w:color w:val="auto"/>
          <w:sz w:val="28"/>
          <w:szCs w:val="21"/>
          <w:highlight w:val="none"/>
        </w:rPr>
        <w:t>将在原招标公告发布媒介予以公告</w:t>
      </w:r>
      <w:r>
        <w:rPr>
          <w:rFonts w:ascii="仿宋" w:hAnsi="仿宋" w:eastAsia="仿宋"/>
          <w:color w:val="auto"/>
          <w:sz w:val="28"/>
          <w:szCs w:val="21"/>
          <w:highlight w:val="none"/>
        </w:rPr>
        <w:t>。</w:t>
      </w:r>
    </w:p>
    <w:p w14:paraId="5D3DF011">
      <w:pPr>
        <w:spacing w:line="560" w:lineRule="exact"/>
        <w:ind w:firstLine="560" w:firstLineChars="200"/>
        <w:rPr>
          <w:rFonts w:ascii="仿宋" w:hAnsi="仿宋" w:eastAsia="仿宋"/>
          <w:bCs/>
          <w:color w:val="auto"/>
          <w:sz w:val="28"/>
          <w:szCs w:val="28"/>
          <w:highlight w:val="none"/>
        </w:rPr>
      </w:pPr>
      <w:bookmarkStart w:id="25" w:name="_Toc130891919"/>
      <w:r>
        <w:rPr>
          <w:rFonts w:hint="eastAsia" w:ascii="仿宋" w:hAnsi="仿宋" w:eastAsia="仿宋"/>
          <w:bCs/>
          <w:color w:val="auto"/>
          <w:sz w:val="28"/>
          <w:szCs w:val="28"/>
          <w:highlight w:val="none"/>
        </w:rPr>
        <w:t>六、签发中标通知书</w:t>
      </w:r>
      <w:bookmarkEnd w:id="25"/>
    </w:p>
    <w:p w14:paraId="563BD23C">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2568FF5C">
      <w:pPr>
        <w:spacing w:line="560" w:lineRule="exact"/>
        <w:ind w:firstLine="560" w:firstLineChars="200"/>
        <w:rPr>
          <w:rFonts w:ascii="仿宋" w:hAnsi="仿宋" w:eastAsia="仿宋"/>
          <w:bCs/>
          <w:color w:val="auto"/>
          <w:sz w:val="28"/>
          <w:szCs w:val="28"/>
          <w:highlight w:val="none"/>
        </w:rPr>
      </w:pPr>
      <w:bookmarkStart w:id="26" w:name="_Toc130891920"/>
      <w:r>
        <w:rPr>
          <w:rFonts w:hint="eastAsia" w:ascii="仿宋" w:hAnsi="仿宋" w:eastAsia="仿宋"/>
          <w:bCs/>
          <w:color w:val="auto"/>
          <w:sz w:val="28"/>
          <w:szCs w:val="28"/>
          <w:highlight w:val="none"/>
        </w:rPr>
        <w:t>七、签订合同</w:t>
      </w:r>
      <w:bookmarkEnd w:id="26"/>
    </w:p>
    <w:p w14:paraId="01EBC16C">
      <w:pPr>
        <w:spacing w:line="520" w:lineRule="exact"/>
        <w:ind w:firstLine="560" w:firstLineChars="200"/>
        <w:rPr>
          <w:rFonts w:ascii="仿宋" w:hAnsi="仿宋" w:eastAsia="仿宋"/>
          <w:color w:val="auto"/>
          <w:sz w:val="28"/>
          <w:szCs w:val="21"/>
          <w:highlight w:val="none"/>
        </w:rPr>
      </w:pPr>
      <w:r>
        <w:rPr>
          <w:rFonts w:ascii="仿宋" w:hAnsi="仿宋" w:eastAsia="仿宋"/>
          <w:color w:val="auto"/>
          <w:sz w:val="28"/>
          <w:szCs w:val="21"/>
          <w:highlight w:val="none"/>
        </w:rPr>
        <w:t>1</w:t>
      </w:r>
      <w:r>
        <w:rPr>
          <w:rFonts w:hint="eastAsia" w:ascii="仿宋" w:hAnsi="仿宋" w:eastAsia="仿宋"/>
          <w:color w:val="auto"/>
          <w:sz w:val="28"/>
          <w:szCs w:val="21"/>
          <w:highlight w:val="none"/>
        </w:rPr>
        <w:t>.中标合同原则以第六章合同书（范本）为基础，并根据投标、答疑情况进行修改补充，自签订之日起生效。</w:t>
      </w:r>
    </w:p>
    <w:p w14:paraId="6D176491">
      <w:pPr>
        <w:spacing w:line="520" w:lineRule="exact"/>
        <w:ind w:firstLine="560" w:firstLineChars="200"/>
        <w:rPr>
          <w:rFonts w:ascii="仿宋" w:hAnsi="仿宋" w:eastAsia="仿宋"/>
          <w:color w:val="auto"/>
          <w:sz w:val="28"/>
          <w:szCs w:val="21"/>
          <w:highlight w:val="none"/>
        </w:rPr>
      </w:pPr>
      <w:r>
        <w:rPr>
          <w:rFonts w:ascii="仿宋" w:hAnsi="仿宋" w:eastAsia="仿宋"/>
          <w:color w:val="auto"/>
          <w:sz w:val="28"/>
          <w:szCs w:val="21"/>
          <w:highlight w:val="none"/>
        </w:rPr>
        <w:t>2</w:t>
      </w:r>
      <w:r>
        <w:rPr>
          <w:rFonts w:hint="eastAsia" w:ascii="仿宋" w:hAnsi="仿宋" w:eastAsia="仿宋"/>
          <w:color w:val="auto"/>
          <w:sz w:val="28"/>
          <w:szCs w:val="21"/>
          <w:highlight w:val="none"/>
        </w:rPr>
        <w:t>.中标人在规定的期限内无正当理由拒绝签订合同,取消原中标决定，与排名次之的中标候选人签订合同或重新组织招标。</w:t>
      </w:r>
    </w:p>
    <w:p w14:paraId="2A109784">
      <w:pPr>
        <w:spacing w:line="520" w:lineRule="exact"/>
        <w:ind w:firstLine="560" w:firstLineChars="200"/>
        <w:rPr>
          <w:rFonts w:ascii="仿宋" w:hAnsi="仿宋" w:eastAsia="仿宋"/>
          <w:color w:val="auto"/>
          <w:sz w:val="28"/>
          <w:szCs w:val="21"/>
          <w:highlight w:val="none"/>
        </w:rPr>
      </w:pPr>
      <w:r>
        <w:rPr>
          <w:rFonts w:hint="eastAsia" w:ascii="仿宋" w:hAnsi="仿宋" w:eastAsia="仿宋"/>
          <w:color w:val="auto"/>
          <w:sz w:val="28"/>
          <w:szCs w:val="21"/>
          <w:highlight w:val="none"/>
        </w:rPr>
        <w:t>3.中标合同，按照监督部门的要求，通过威海市国有企业阳光采购电子化服务平台进行签订。</w:t>
      </w:r>
    </w:p>
    <w:p w14:paraId="17CE2AFE">
      <w:pPr>
        <w:rPr>
          <w:rFonts w:ascii="仿宋" w:hAnsi="仿宋" w:eastAsia="仿宋" w:cs="仿宋"/>
          <w:b/>
          <w:bCs/>
          <w:color w:val="auto"/>
          <w:sz w:val="44"/>
          <w:szCs w:val="44"/>
          <w:highlight w:val="none"/>
        </w:rPr>
      </w:pPr>
    </w:p>
    <w:p w14:paraId="6D9299FA">
      <w:pPr>
        <w:pStyle w:val="40"/>
        <w:rPr>
          <w:rFonts w:ascii="仿宋" w:hAnsi="仿宋" w:eastAsia="仿宋" w:cs="仿宋"/>
          <w:color w:val="auto"/>
          <w:highlight w:val="none"/>
        </w:rPr>
      </w:pPr>
    </w:p>
    <w:p w14:paraId="4EA6295D">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03F80D1F">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587B3067">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7943564B">
      <w:pPr>
        <w:pStyle w:val="2"/>
        <w:rPr>
          <w:color w:val="auto"/>
          <w:highlight w:val="none"/>
        </w:rPr>
      </w:pPr>
    </w:p>
    <w:p w14:paraId="41A5500E">
      <w:pPr>
        <w:pStyle w:val="3"/>
        <w:rPr>
          <w:color w:val="auto"/>
          <w:highlight w:val="none"/>
        </w:rPr>
      </w:pPr>
    </w:p>
    <w:p w14:paraId="275485ED">
      <w:pPr>
        <w:rPr>
          <w:color w:val="auto"/>
          <w:highlight w:val="none"/>
        </w:rPr>
      </w:pPr>
    </w:p>
    <w:p w14:paraId="72443A97">
      <w:pPr>
        <w:pStyle w:val="2"/>
        <w:rPr>
          <w:color w:val="auto"/>
          <w:highlight w:val="none"/>
        </w:rPr>
      </w:pPr>
    </w:p>
    <w:p w14:paraId="6ACE983C">
      <w:pPr>
        <w:pStyle w:val="3"/>
        <w:rPr>
          <w:color w:val="auto"/>
          <w:highlight w:val="none"/>
        </w:rPr>
      </w:pPr>
    </w:p>
    <w:p w14:paraId="5F2CE6B1">
      <w:pPr>
        <w:rPr>
          <w:color w:val="auto"/>
          <w:highlight w:val="none"/>
        </w:rPr>
      </w:pPr>
    </w:p>
    <w:p w14:paraId="54B4A20C">
      <w:pPr>
        <w:pStyle w:val="2"/>
        <w:rPr>
          <w:color w:val="auto"/>
          <w:highlight w:val="none"/>
        </w:rPr>
      </w:pPr>
    </w:p>
    <w:p w14:paraId="4085B072">
      <w:pPr>
        <w:pStyle w:val="3"/>
        <w:rPr>
          <w:color w:val="auto"/>
          <w:highlight w:val="none"/>
        </w:rPr>
      </w:pPr>
    </w:p>
    <w:p w14:paraId="29CBDCA7">
      <w:pPr>
        <w:rPr>
          <w:color w:val="auto"/>
          <w:highlight w:val="none"/>
        </w:rPr>
      </w:pPr>
    </w:p>
    <w:p w14:paraId="1D847F43">
      <w:pPr>
        <w:pStyle w:val="2"/>
        <w:rPr>
          <w:color w:val="auto"/>
          <w:highlight w:val="none"/>
        </w:rPr>
      </w:pPr>
    </w:p>
    <w:p w14:paraId="3EE9A1B2">
      <w:pPr>
        <w:pStyle w:val="3"/>
        <w:rPr>
          <w:color w:val="auto"/>
          <w:highlight w:val="none"/>
        </w:rPr>
      </w:pPr>
    </w:p>
    <w:p w14:paraId="0496C5CC">
      <w:pPr>
        <w:rPr>
          <w:color w:val="auto"/>
          <w:highlight w:val="none"/>
        </w:rPr>
      </w:pPr>
    </w:p>
    <w:p w14:paraId="71966543">
      <w:pPr>
        <w:pStyle w:val="2"/>
        <w:rPr>
          <w:color w:val="auto"/>
          <w:highlight w:val="none"/>
        </w:rPr>
      </w:pPr>
    </w:p>
    <w:p w14:paraId="7A077E20">
      <w:pPr>
        <w:pStyle w:val="3"/>
        <w:rPr>
          <w:color w:val="auto"/>
          <w:highlight w:val="none"/>
        </w:rPr>
      </w:pPr>
    </w:p>
    <w:p w14:paraId="77E82518">
      <w:pPr>
        <w:rPr>
          <w:color w:val="auto"/>
          <w:highlight w:val="none"/>
        </w:rPr>
      </w:pPr>
    </w:p>
    <w:p w14:paraId="1161CF8C">
      <w:pPr>
        <w:spacing w:before="100" w:beforeAutospacing="1" w:after="100" w:afterAutospacing="1" w:line="415" w:lineRule="auto"/>
        <w:jc w:val="center"/>
        <w:outlineLvl w:val="0"/>
        <w:rPr>
          <w:rFonts w:ascii="仿宋" w:hAnsi="仿宋" w:eastAsia="仿宋" w:cs="仿宋"/>
          <w:b/>
          <w:bCs/>
          <w:color w:val="auto"/>
          <w:sz w:val="44"/>
          <w:szCs w:val="44"/>
          <w:highlight w:val="none"/>
        </w:rPr>
      </w:pPr>
    </w:p>
    <w:p w14:paraId="6AFEDF13">
      <w:pPr>
        <w:pStyle w:val="4"/>
        <w:jc w:val="center"/>
        <w:rPr>
          <w:rFonts w:ascii="仿宋" w:hAnsi="仿宋" w:eastAsia="仿宋" w:cs="仿宋"/>
          <w:color w:val="auto"/>
          <w:highlight w:val="none"/>
        </w:rPr>
        <w:sectPr>
          <w:headerReference r:id="rId9" w:type="default"/>
          <w:footerReference r:id="rId10" w:type="default"/>
          <w:pgSz w:w="11906" w:h="16838"/>
          <w:pgMar w:top="1440" w:right="1028" w:bottom="1440" w:left="998" w:header="851" w:footer="992" w:gutter="0"/>
          <w:cols w:space="425" w:num="1"/>
          <w:docGrid w:type="linesAndChars" w:linePitch="312" w:charSpace="0"/>
        </w:sectPr>
      </w:pPr>
      <w:bookmarkStart w:id="27" w:name="_Toc19398"/>
      <w:r>
        <w:rPr>
          <w:rFonts w:hint="eastAsia"/>
          <w:color w:val="auto"/>
          <w:highlight w:val="none"/>
        </w:rPr>
        <w:t>第五章投标文件格式</w:t>
      </w:r>
      <w:bookmarkEnd w:id="23"/>
      <w:bookmarkEnd w:id="27"/>
    </w:p>
    <w:p w14:paraId="3572B6AC">
      <w:pPr>
        <w:jc w:val="center"/>
        <w:rPr>
          <w:rFonts w:ascii="仿宋" w:hAnsi="仿宋" w:eastAsia="仿宋" w:cs="仿宋"/>
          <w:color w:val="auto"/>
          <w:sz w:val="28"/>
          <w:szCs w:val="28"/>
          <w:highlight w:val="none"/>
        </w:rPr>
      </w:pPr>
    </w:p>
    <w:p w14:paraId="718CDAA3">
      <w:pPr>
        <w:jc w:val="center"/>
        <w:rPr>
          <w:rFonts w:ascii="仿宋" w:hAnsi="仿宋" w:eastAsia="仿宋" w:cs="仿宋"/>
          <w:color w:val="auto"/>
          <w:sz w:val="28"/>
          <w:szCs w:val="28"/>
          <w:highlight w:val="none"/>
        </w:rPr>
      </w:pPr>
    </w:p>
    <w:p w14:paraId="041C8051">
      <w:pPr>
        <w:jc w:val="center"/>
        <w:rPr>
          <w:rFonts w:ascii="仿宋" w:hAnsi="仿宋" w:eastAsia="仿宋" w:cs="仿宋"/>
          <w:color w:val="auto"/>
          <w:sz w:val="28"/>
          <w:szCs w:val="28"/>
          <w:highlight w:val="none"/>
        </w:rPr>
      </w:pPr>
    </w:p>
    <w:p w14:paraId="3BE14226">
      <w:pPr>
        <w:jc w:val="center"/>
        <w:rPr>
          <w:rFonts w:ascii="仿宋" w:hAnsi="仿宋" w:eastAsia="仿宋" w:cs="仿宋"/>
          <w:color w:val="auto"/>
          <w:sz w:val="28"/>
          <w:szCs w:val="28"/>
          <w:highlight w:val="none"/>
        </w:rPr>
      </w:pPr>
    </w:p>
    <w:p w14:paraId="4A1BDF7D">
      <w:pPr>
        <w:ind w:firstLine="2160" w:firstLineChars="300"/>
        <w:rPr>
          <w:rFonts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投标文件</w:t>
      </w:r>
    </w:p>
    <w:p w14:paraId="08586EF6">
      <w:pPr>
        <w:ind w:left="2874" w:leftChars="1026" w:hanging="720" w:hangingChars="100"/>
        <w:rPr>
          <w:rFonts w:ascii="仿宋" w:hAnsi="仿宋" w:eastAsia="仿宋" w:cs="仿宋"/>
          <w:b/>
          <w:bCs/>
          <w:color w:val="auto"/>
          <w:sz w:val="72"/>
          <w:szCs w:val="72"/>
          <w:highlight w:val="none"/>
        </w:rPr>
      </w:pPr>
      <w:r>
        <w:rPr>
          <w:rFonts w:hint="eastAsia" w:ascii="仿宋" w:hAnsi="仿宋" w:eastAsia="仿宋" w:cs="仿宋"/>
          <w:b/>
          <w:bCs/>
          <w:color w:val="auto"/>
          <w:sz w:val="72"/>
          <w:szCs w:val="72"/>
          <w:highlight w:val="none"/>
        </w:rPr>
        <w:t>（第一册）</w:t>
      </w:r>
    </w:p>
    <w:p w14:paraId="678DE416">
      <w:pPr>
        <w:pStyle w:val="14"/>
        <w:rPr>
          <w:rFonts w:ascii="仿宋" w:hAnsi="仿宋" w:eastAsia="仿宋" w:cs="仿宋"/>
          <w:color w:val="auto"/>
          <w:sz w:val="28"/>
          <w:szCs w:val="28"/>
          <w:highlight w:val="none"/>
        </w:rPr>
      </w:pPr>
    </w:p>
    <w:p w14:paraId="402D0370">
      <w:pPr>
        <w:pStyle w:val="14"/>
        <w:rPr>
          <w:rFonts w:ascii="仿宋" w:hAnsi="仿宋" w:eastAsia="仿宋" w:cs="仿宋"/>
          <w:color w:val="auto"/>
          <w:sz w:val="36"/>
          <w:szCs w:val="36"/>
          <w:highlight w:val="none"/>
        </w:rPr>
      </w:pPr>
    </w:p>
    <w:p w14:paraId="29104E9D">
      <w:pPr>
        <w:pStyle w:val="14"/>
        <w:rPr>
          <w:rFonts w:ascii="仿宋" w:hAnsi="仿宋" w:eastAsia="仿宋" w:cs="仿宋"/>
          <w:color w:val="auto"/>
          <w:sz w:val="36"/>
          <w:szCs w:val="36"/>
          <w:highlight w:val="none"/>
        </w:rPr>
      </w:pPr>
    </w:p>
    <w:p w14:paraId="43EB5301">
      <w:pPr>
        <w:pStyle w:val="14"/>
        <w:rPr>
          <w:rFonts w:ascii="仿宋" w:hAnsi="仿宋" w:eastAsia="仿宋" w:cs="仿宋"/>
          <w:color w:val="auto"/>
          <w:sz w:val="36"/>
          <w:szCs w:val="36"/>
          <w:highlight w:val="none"/>
        </w:rPr>
      </w:pPr>
    </w:p>
    <w:p w14:paraId="5F2F2FDA">
      <w:pPr>
        <w:pStyle w:val="2"/>
        <w:spacing w:line="600" w:lineRule="exact"/>
        <w:ind w:left="1986" w:leftChars="344" w:hanging="1264" w:hangingChars="395"/>
        <w:rPr>
          <w:rFonts w:ascii="仿宋" w:hAnsi="仿宋" w:eastAsia="仿宋" w:cs="仿宋"/>
          <w:color w:val="auto"/>
          <w:kern w:val="2"/>
          <w:sz w:val="32"/>
          <w:szCs w:val="36"/>
          <w:highlight w:val="none"/>
        </w:rPr>
      </w:pPr>
      <w:r>
        <w:rPr>
          <w:rFonts w:hint="eastAsia" w:ascii="仿宋" w:hAnsi="仿宋" w:eastAsia="仿宋" w:cs="仿宋"/>
          <w:b/>
          <w:bCs/>
          <w:color w:val="auto"/>
          <w:kern w:val="2"/>
          <w:sz w:val="32"/>
          <w:szCs w:val="36"/>
          <w:highlight w:val="none"/>
        </w:rPr>
        <w:t>采购项目：</w:t>
      </w:r>
      <w:r>
        <w:rPr>
          <w:rFonts w:hint="eastAsia" w:ascii="仿宋" w:hAnsi="仿宋" w:eastAsia="仿宋" w:cs="仿宋"/>
          <w:color w:val="auto"/>
          <w:kern w:val="2"/>
          <w:sz w:val="32"/>
          <w:szCs w:val="36"/>
          <w:highlight w:val="none"/>
        </w:rPr>
        <w:t>威海电视观光塔文旅项目检测鉴定服务</w:t>
      </w:r>
    </w:p>
    <w:p w14:paraId="11E73902">
      <w:pPr>
        <w:pStyle w:val="2"/>
        <w:spacing w:line="600" w:lineRule="exact"/>
        <w:ind w:firstLine="640" w:firstLineChars="200"/>
        <w:rPr>
          <w:rFonts w:ascii="仿宋" w:hAnsi="仿宋" w:eastAsia="仿宋" w:cs="仿宋"/>
          <w:color w:val="auto"/>
          <w:kern w:val="2"/>
          <w:sz w:val="36"/>
          <w:szCs w:val="36"/>
          <w:highlight w:val="none"/>
        </w:rPr>
      </w:pPr>
      <w:r>
        <w:rPr>
          <w:rFonts w:hint="eastAsia" w:ascii="仿宋" w:hAnsi="仿宋" w:eastAsia="仿宋" w:cs="仿宋"/>
          <w:b/>
          <w:bCs/>
          <w:color w:val="auto"/>
          <w:kern w:val="2"/>
          <w:sz w:val="32"/>
          <w:szCs w:val="36"/>
          <w:highlight w:val="none"/>
        </w:rPr>
        <w:t>采购编号</w:t>
      </w:r>
      <w:r>
        <w:rPr>
          <w:rFonts w:hint="eastAsia" w:ascii="仿宋" w:hAnsi="仿宋" w:eastAsia="仿宋" w:cs="仿宋"/>
          <w:color w:val="auto"/>
          <w:kern w:val="2"/>
          <w:sz w:val="32"/>
          <w:szCs w:val="36"/>
          <w:highlight w:val="none"/>
        </w:rPr>
        <w:t>：HSSGZC20260601</w:t>
      </w:r>
    </w:p>
    <w:p w14:paraId="4EB60308">
      <w:pPr>
        <w:pStyle w:val="2"/>
        <w:rPr>
          <w:rFonts w:ascii="仿宋" w:hAnsi="仿宋" w:eastAsia="仿宋" w:cs="仿宋"/>
          <w:b/>
          <w:bCs/>
          <w:color w:val="auto"/>
          <w:sz w:val="28"/>
          <w:szCs w:val="28"/>
          <w:highlight w:val="none"/>
        </w:rPr>
      </w:pPr>
    </w:p>
    <w:p w14:paraId="23A9E687">
      <w:pPr>
        <w:pStyle w:val="14"/>
        <w:ind w:firstLine="0"/>
        <w:rPr>
          <w:rFonts w:ascii="仿宋" w:hAnsi="仿宋" w:eastAsia="仿宋" w:cs="仿宋"/>
          <w:color w:val="auto"/>
          <w:sz w:val="28"/>
          <w:szCs w:val="28"/>
          <w:highlight w:val="none"/>
        </w:rPr>
      </w:pPr>
    </w:p>
    <w:p w14:paraId="3A92996A">
      <w:pPr>
        <w:pStyle w:val="14"/>
        <w:ind w:firstLine="0"/>
        <w:rPr>
          <w:rFonts w:ascii="仿宋" w:hAnsi="仿宋" w:eastAsia="仿宋" w:cs="仿宋"/>
          <w:color w:val="auto"/>
          <w:sz w:val="28"/>
          <w:szCs w:val="28"/>
          <w:highlight w:val="none"/>
        </w:rPr>
      </w:pPr>
    </w:p>
    <w:p w14:paraId="0CFCAF63">
      <w:pPr>
        <w:pStyle w:val="14"/>
        <w:ind w:firstLine="0"/>
        <w:rPr>
          <w:rFonts w:ascii="仿宋" w:hAnsi="仿宋" w:eastAsia="仿宋" w:cs="仿宋"/>
          <w:color w:val="auto"/>
          <w:sz w:val="28"/>
          <w:szCs w:val="28"/>
          <w:highlight w:val="none"/>
        </w:rPr>
      </w:pPr>
    </w:p>
    <w:p w14:paraId="75B1462E">
      <w:pPr>
        <w:pStyle w:val="14"/>
        <w:rPr>
          <w:rFonts w:ascii="仿宋" w:hAnsi="仿宋" w:eastAsia="仿宋" w:cs="仿宋"/>
          <w:color w:val="auto"/>
          <w:sz w:val="36"/>
          <w:szCs w:val="36"/>
          <w:highlight w:val="none"/>
        </w:rPr>
      </w:pPr>
    </w:p>
    <w:p w14:paraId="44AEA316">
      <w:pPr>
        <w:pStyle w:val="26"/>
        <w:tabs>
          <w:tab w:val="left" w:pos="580"/>
        </w:tabs>
        <w:ind w:left="184" w:leftChars="88" w:firstLine="2340" w:firstLineChars="650"/>
        <w:rPr>
          <w:rFonts w:ascii="仿宋" w:hAnsi="仿宋" w:eastAsia="仿宋" w:cs="仿宋"/>
          <w:color w:val="auto"/>
          <w:sz w:val="36"/>
          <w:szCs w:val="36"/>
          <w:highlight w:val="none"/>
        </w:rPr>
      </w:pPr>
      <w:r>
        <w:rPr>
          <w:rFonts w:hint="eastAsia" w:ascii="仿宋" w:hAnsi="仿宋" w:eastAsia="仿宋" w:cs="仿宋"/>
          <w:color w:val="auto"/>
          <w:sz w:val="36"/>
          <w:szCs w:val="36"/>
          <w:highlight w:val="none"/>
        </w:rPr>
        <w:t>投标人名称：******（盖章）</w:t>
      </w:r>
    </w:p>
    <w:p w14:paraId="58D14086">
      <w:pPr>
        <w:ind w:right="720" w:firstLine="2520" w:firstLineChars="700"/>
        <w:rPr>
          <w:rFonts w:ascii="仿宋" w:hAnsi="仿宋" w:eastAsia="仿宋" w:cs="仿宋"/>
          <w:color w:val="auto"/>
          <w:highlight w:val="none"/>
        </w:rPr>
      </w:pPr>
      <w:r>
        <w:rPr>
          <w:rFonts w:hint="eastAsia" w:ascii="仿宋" w:hAnsi="仿宋" w:eastAsia="仿宋" w:cs="仿宋"/>
          <w:color w:val="auto"/>
          <w:sz w:val="36"/>
          <w:szCs w:val="36"/>
          <w:highlight w:val="none"/>
        </w:rPr>
        <w:t>日期：年月日</w:t>
      </w:r>
      <w:r>
        <w:rPr>
          <w:rFonts w:hint="eastAsia" w:ascii="仿宋" w:hAnsi="仿宋" w:eastAsia="仿宋" w:cs="仿宋"/>
          <w:color w:val="auto"/>
          <w:sz w:val="36"/>
          <w:szCs w:val="36"/>
          <w:highlight w:val="none"/>
        </w:rPr>
        <w:cr/>
      </w:r>
    </w:p>
    <w:p w14:paraId="47D83CCD">
      <w:pPr>
        <w:widowControl/>
        <w:jc w:val="center"/>
        <w:rPr>
          <w:rFonts w:ascii="仿宋" w:hAnsi="仿宋" w:eastAsia="仿宋" w:cs="仿宋"/>
          <w:color w:val="auto"/>
          <w:sz w:val="44"/>
          <w:szCs w:val="44"/>
          <w:highlight w:val="none"/>
        </w:rPr>
      </w:pPr>
      <w:r>
        <w:rPr>
          <w:rFonts w:hint="eastAsia" w:ascii="仿宋" w:hAnsi="仿宋" w:eastAsia="仿宋" w:cs="仿宋"/>
          <w:b/>
          <w:color w:val="auto"/>
          <w:sz w:val="28"/>
          <w:szCs w:val="28"/>
          <w:highlight w:val="none"/>
        </w:rPr>
        <w:br w:type="page"/>
      </w:r>
      <w:r>
        <w:rPr>
          <w:rFonts w:hint="eastAsia" w:ascii="仿宋" w:hAnsi="仿宋" w:eastAsia="仿宋" w:cs="仿宋"/>
          <w:b/>
          <w:bCs/>
          <w:color w:val="auto"/>
          <w:sz w:val="44"/>
          <w:szCs w:val="44"/>
          <w:highlight w:val="none"/>
        </w:rPr>
        <w:t>目录</w:t>
      </w:r>
    </w:p>
    <w:p w14:paraId="7850CCCF">
      <w:pPr>
        <w:widowControl/>
        <w:jc w:val="center"/>
        <w:rPr>
          <w:rFonts w:ascii="仿宋" w:hAnsi="仿宋" w:eastAsia="仿宋" w:cs="仿宋"/>
          <w:color w:val="auto"/>
          <w:sz w:val="36"/>
          <w:szCs w:val="36"/>
          <w:highlight w:val="none"/>
        </w:rPr>
      </w:pPr>
      <w:r>
        <w:rPr>
          <w:rFonts w:hint="eastAsia" w:ascii="仿宋" w:hAnsi="仿宋" w:eastAsia="仿宋" w:cs="仿宋"/>
          <w:color w:val="auto"/>
          <w:sz w:val="32"/>
          <w:szCs w:val="36"/>
          <w:highlight w:val="none"/>
        </w:rPr>
        <w:t>（由投标人自行编制）</w:t>
      </w:r>
    </w:p>
    <w:p w14:paraId="276245D9">
      <w:pPr>
        <w:widowControl/>
        <w:jc w:val="left"/>
        <w:rPr>
          <w:rFonts w:ascii="仿宋" w:hAnsi="仿宋" w:eastAsia="仿宋" w:cs="仿宋"/>
          <w:b/>
          <w:color w:val="auto"/>
          <w:sz w:val="28"/>
          <w:szCs w:val="28"/>
          <w:highlight w:val="none"/>
        </w:rPr>
      </w:pPr>
    </w:p>
    <w:p w14:paraId="608F29CC">
      <w:pPr>
        <w:widowControl/>
        <w:jc w:val="lef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14:paraId="20FC1F91">
      <w:pPr>
        <w:ind w:right="720"/>
        <w:jc w:val="center"/>
        <w:rPr>
          <w:rFonts w:ascii="仿宋" w:hAnsi="仿宋" w:eastAsia="仿宋" w:cs="仿宋"/>
          <w:b/>
          <w:bCs/>
          <w:color w:val="auto"/>
          <w:sz w:val="32"/>
          <w:szCs w:val="28"/>
          <w:highlight w:val="none"/>
        </w:rPr>
      </w:pPr>
      <w:r>
        <w:rPr>
          <w:rFonts w:hint="eastAsia" w:ascii="仿宋" w:hAnsi="仿宋" w:eastAsia="仿宋" w:cs="仿宋"/>
          <w:b/>
          <w:color w:val="auto"/>
          <w:sz w:val="32"/>
          <w:szCs w:val="28"/>
          <w:highlight w:val="none"/>
        </w:rPr>
        <w:t>投标承诺函</w:t>
      </w:r>
    </w:p>
    <w:p w14:paraId="3528BB4C">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山东达信招标代理有限公司：</w:t>
      </w:r>
    </w:p>
    <w:p w14:paraId="7782D0BF">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我方收到项目编号为HSSGZC20260601名称为威海电视观光塔文旅项目检测鉴定服务的招标文件，经详细研究决定参加投标。</w:t>
      </w:r>
    </w:p>
    <w:p w14:paraId="3610037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1.我方接受本采购文件中关于电子招投标的各项规定，遵守《中华人民共和国电子签名法》关于电子签名的各项规定。我方愿意按照招标文件的规定和要求提供服务，报价详见《开标一览表》。</w:t>
      </w:r>
    </w:p>
    <w:p w14:paraId="549E5F98">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2.我方同意90天的投标有效期，严格遵守投标文件的各项承诺。在此期限届满之前，本投标文件始终对我方具有约束力，并随时接受中标。我方承诺在投标有效期内不修改、撤销投标文件。</w:t>
      </w:r>
    </w:p>
    <w:p w14:paraId="42DA274A">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 我方愿意遵守本采购文件的规定和要求并提供招标文件中要求的所有资料，若投标文件中存在虚假资料的，则视为我方隐瞒真实情况、提供虚假资料，我方愿意接受主管部门做出的行政处罚。</w:t>
      </w:r>
    </w:p>
    <w:p w14:paraId="193AE8A9">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4.我方同意最低价是中标的主要选择标准，但不是唯一的选择标准。</w:t>
      </w:r>
    </w:p>
    <w:p w14:paraId="62BAB879">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5.如果我方中标：</w:t>
      </w:r>
    </w:p>
    <w:p w14:paraId="19A16D2B">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（1）我方承诺在中标通知书发出后，在规定期限内与招标人签订合同；</w:t>
      </w:r>
    </w:p>
    <w:p w14:paraId="66E5C276">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（2）我方承诺在合同约定的期限内，按期、保质、保量完成任务；</w:t>
      </w:r>
    </w:p>
    <w:p w14:paraId="50551BF5">
      <w:pPr>
        <w:spacing w:line="47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（3）我方承诺将按照招标文件的规定全额交纳代理服务费。</w:t>
      </w:r>
    </w:p>
    <w:p w14:paraId="0E971834">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6.所有有关本投标的函电，请按下列地址联系：</w:t>
      </w:r>
    </w:p>
    <w:p w14:paraId="41180579">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单位：邮政编码：</w:t>
      </w:r>
    </w:p>
    <w:p w14:paraId="06BDD993">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地址：联系人：</w:t>
      </w:r>
    </w:p>
    <w:p w14:paraId="55C1313D">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电话：传真：</w:t>
      </w:r>
    </w:p>
    <w:p w14:paraId="72CE944B">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开户名称：</w:t>
      </w:r>
    </w:p>
    <w:p w14:paraId="61422CF0">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w:t>
      </w:r>
    </w:p>
    <w:p w14:paraId="6F173025">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开户帐号：</w:t>
      </w:r>
    </w:p>
    <w:p w14:paraId="75EC39F4">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投标单位（盖章）：</w:t>
      </w:r>
    </w:p>
    <w:p w14:paraId="5C339373">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zh-CN"/>
        </w:rPr>
        <w:t>（签字或盖章）</w:t>
      </w:r>
      <w:r>
        <w:rPr>
          <w:rFonts w:hint="eastAsia" w:ascii="仿宋" w:hAnsi="仿宋" w:eastAsia="仿宋" w:cs="仿宋"/>
          <w:color w:val="auto"/>
          <w:sz w:val="28"/>
          <w:szCs w:val="28"/>
          <w:highlight w:val="none"/>
        </w:rPr>
        <w:t>：</w:t>
      </w:r>
    </w:p>
    <w:p w14:paraId="2FE59AC9">
      <w:pPr>
        <w:spacing w:line="47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投标日期：××年××月××日</w:t>
      </w:r>
      <w:r>
        <w:rPr>
          <w:rFonts w:hint="eastAsia" w:ascii="仿宋" w:hAnsi="仿宋" w:eastAsia="仿宋" w:cs="仿宋"/>
          <w:color w:val="auto"/>
          <w:sz w:val="28"/>
          <w:szCs w:val="28"/>
          <w:highlight w:val="none"/>
        </w:rPr>
        <w:br w:type="page"/>
      </w:r>
    </w:p>
    <w:p w14:paraId="381E7C54">
      <w:pPr>
        <w:jc w:val="center"/>
        <w:rPr>
          <w:rFonts w:ascii="仿宋" w:hAnsi="仿宋" w:eastAsia="仿宋" w:cs="仿宋"/>
          <w:color w:val="auto"/>
          <w:sz w:val="36"/>
          <w:szCs w:val="36"/>
          <w:highlight w:val="none"/>
          <w:u w:val="single"/>
        </w:rPr>
      </w:pPr>
      <w:r>
        <w:rPr>
          <w:rFonts w:hint="eastAsia" w:ascii="仿宋" w:hAnsi="仿宋" w:eastAsia="仿宋" w:cs="仿宋"/>
          <w:b/>
          <w:bCs/>
          <w:color w:val="auto"/>
          <w:sz w:val="36"/>
          <w:szCs w:val="36"/>
          <w:highlight w:val="none"/>
        </w:rPr>
        <w:t>开标一览表</w:t>
      </w:r>
    </w:p>
    <w:p w14:paraId="669A8A3D">
      <w:pPr>
        <w:pStyle w:val="26"/>
        <w:wordWrap w:val="0"/>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采购编号：HSSGZC20260601</w:t>
      </w:r>
    </w:p>
    <w:p w14:paraId="2A0E99E4">
      <w:pPr>
        <w:pStyle w:val="26"/>
        <w:wordWrap w:val="0"/>
        <w:spacing w:line="52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项目名称：威海电视观光塔文旅项目检测鉴定服务</w:t>
      </w:r>
    </w:p>
    <w:tbl>
      <w:tblPr>
        <w:tblStyle w:val="49"/>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2634"/>
        <w:gridCol w:w="4825"/>
        <w:gridCol w:w="1569"/>
      </w:tblGrid>
      <w:tr w14:paraId="000D9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6" w:hRule="atLeast"/>
          <w:jc w:val="center"/>
        </w:trPr>
        <w:tc>
          <w:tcPr>
            <w:tcW w:w="732" w:type="dxa"/>
            <w:vAlign w:val="center"/>
          </w:tcPr>
          <w:p w14:paraId="5A7D5771">
            <w:pPr>
              <w:tabs>
                <w:tab w:val="left" w:pos="4860"/>
              </w:tabs>
              <w:spacing w:line="440" w:lineRule="exact"/>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序号</w:t>
            </w:r>
          </w:p>
        </w:tc>
        <w:tc>
          <w:tcPr>
            <w:tcW w:w="2634" w:type="dxa"/>
            <w:vAlign w:val="center"/>
          </w:tcPr>
          <w:p w14:paraId="0F435F4D">
            <w:pPr>
              <w:tabs>
                <w:tab w:val="left" w:pos="4860"/>
              </w:tabs>
              <w:spacing w:line="440" w:lineRule="exact"/>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条款名称</w:t>
            </w:r>
          </w:p>
        </w:tc>
        <w:tc>
          <w:tcPr>
            <w:tcW w:w="4825" w:type="dxa"/>
            <w:vAlign w:val="center"/>
          </w:tcPr>
          <w:p w14:paraId="36E292D3">
            <w:pPr>
              <w:tabs>
                <w:tab w:val="left" w:pos="4860"/>
              </w:tabs>
              <w:spacing w:line="440" w:lineRule="exact"/>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约定内容</w:t>
            </w:r>
          </w:p>
        </w:tc>
        <w:tc>
          <w:tcPr>
            <w:tcW w:w="1569" w:type="dxa"/>
            <w:vAlign w:val="center"/>
          </w:tcPr>
          <w:p w14:paraId="1A81FCE2">
            <w:pPr>
              <w:tabs>
                <w:tab w:val="left" w:pos="4860"/>
              </w:tabs>
              <w:spacing w:line="440" w:lineRule="exact"/>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备注</w:t>
            </w:r>
          </w:p>
        </w:tc>
      </w:tr>
      <w:tr w14:paraId="1EEA7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732" w:type="dxa"/>
            <w:vMerge w:val="restart"/>
            <w:vAlign w:val="center"/>
          </w:tcPr>
          <w:p w14:paraId="0738BC46">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634" w:type="dxa"/>
            <w:vAlign w:val="center"/>
          </w:tcPr>
          <w:p w14:paraId="4B7B333E">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投标报价</w:t>
            </w:r>
          </w:p>
        </w:tc>
        <w:tc>
          <w:tcPr>
            <w:tcW w:w="4825" w:type="dxa"/>
            <w:vAlign w:val="center"/>
          </w:tcPr>
          <w:p w14:paraId="28DCD3BF">
            <w:pPr>
              <w:tabs>
                <w:tab w:val="left" w:pos="4860"/>
              </w:tabs>
              <w:spacing w:line="44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（大写）：元</w:t>
            </w:r>
          </w:p>
          <w:p w14:paraId="3E6E1DD3">
            <w:pPr>
              <w:tabs>
                <w:tab w:val="left" w:pos="4860"/>
              </w:tabs>
              <w:spacing w:line="44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（小写）：元</w:t>
            </w:r>
          </w:p>
        </w:tc>
        <w:tc>
          <w:tcPr>
            <w:tcW w:w="1569" w:type="dxa"/>
            <w:vAlign w:val="center"/>
          </w:tcPr>
          <w:p w14:paraId="1FC84236">
            <w:pPr>
              <w:tabs>
                <w:tab w:val="left" w:pos="4860"/>
              </w:tabs>
              <w:spacing w:line="440" w:lineRule="exact"/>
              <w:jc w:val="center"/>
              <w:rPr>
                <w:rFonts w:ascii="仿宋" w:hAnsi="仿宋" w:eastAsia="仿宋" w:cs="仿宋"/>
                <w:color w:val="auto"/>
                <w:sz w:val="28"/>
                <w:szCs w:val="28"/>
                <w:highlight w:val="none"/>
              </w:rPr>
            </w:pPr>
          </w:p>
        </w:tc>
      </w:tr>
      <w:tr w14:paraId="71709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732" w:type="dxa"/>
            <w:vMerge w:val="continue"/>
            <w:vAlign w:val="center"/>
          </w:tcPr>
          <w:p w14:paraId="00D74AC2">
            <w:pPr>
              <w:tabs>
                <w:tab w:val="left" w:pos="4860"/>
              </w:tabs>
              <w:spacing w:line="440" w:lineRule="exact"/>
              <w:jc w:val="center"/>
              <w:rPr>
                <w:rFonts w:ascii="仿宋" w:hAnsi="仿宋" w:eastAsia="仿宋" w:cs="仿宋"/>
                <w:color w:val="auto"/>
                <w:sz w:val="28"/>
                <w:szCs w:val="28"/>
                <w:highlight w:val="none"/>
              </w:rPr>
            </w:pPr>
          </w:p>
        </w:tc>
        <w:tc>
          <w:tcPr>
            <w:tcW w:w="2634" w:type="dxa"/>
            <w:vAlign w:val="center"/>
          </w:tcPr>
          <w:p w14:paraId="5CF87CC1">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不含税报价</w:t>
            </w:r>
          </w:p>
        </w:tc>
        <w:tc>
          <w:tcPr>
            <w:tcW w:w="4825" w:type="dxa"/>
            <w:vAlign w:val="center"/>
          </w:tcPr>
          <w:p w14:paraId="039F31BC">
            <w:pPr>
              <w:tabs>
                <w:tab w:val="left" w:pos="4860"/>
              </w:tabs>
              <w:spacing w:line="44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（大写）：元</w:t>
            </w:r>
          </w:p>
          <w:p w14:paraId="4C659252">
            <w:pPr>
              <w:tabs>
                <w:tab w:val="left" w:pos="4860"/>
              </w:tabs>
              <w:spacing w:line="44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（小写）：元</w:t>
            </w:r>
          </w:p>
        </w:tc>
        <w:tc>
          <w:tcPr>
            <w:tcW w:w="1569" w:type="dxa"/>
            <w:vAlign w:val="center"/>
          </w:tcPr>
          <w:p w14:paraId="3FF721B6">
            <w:pPr>
              <w:tabs>
                <w:tab w:val="left" w:pos="4860"/>
              </w:tabs>
              <w:spacing w:line="440" w:lineRule="exact"/>
              <w:jc w:val="center"/>
              <w:rPr>
                <w:rFonts w:ascii="仿宋" w:hAnsi="仿宋" w:eastAsia="仿宋" w:cs="仿宋"/>
                <w:color w:val="auto"/>
                <w:sz w:val="28"/>
                <w:szCs w:val="28"/>
                <w:highlight w:val="none"/>
              </w:rPr>
            </w:pPr>
          </w:p>
        </w:tc>
      </w:tr>
      <w:tr w14:paraId="2698C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732" w:type="dxa"/>
            <w:vAlign w:val="center"/>
          </w:tcPr>
          <w:p w14:paraId="6120B796">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634" w:type="dxa"/>
            <w:vAlign w:val="center"/>
          </w:tcPr>
          <w:p w14:paraId="2A9E807F">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项目负责人</w:t>
            </w:r>
          </w:p>
        </w:tc>
        <w:tc>
          <w:tcPr>
            <w:tcW w:w="4825" w:type="dxa"/>
            <w:vAlign w:val="center"/>
          </w:tcPr>
          <w:p w14:paraId="5BDB6D14">
            <w:pPr>
              <w:tabs>
                <w:tab w:val="left" w:pos="4860"/>
              </w:tabs>
              <w:spacing w:line="440" w:lineRule="exact"/>
              <w:rPr>
                <w:rFonts w:ascii="仿宋" w:hAnsi="仿宋" w:eastAsia="仿宋" w:cs="仿宋"/>
                <w:color w:val="auto"/>
                <w:sz w:val="28"/>
                <w:szCs w:val="28"/>
                <w:highlight w:val="none"/>
              </w:rPr>
            </w:pPr>
          </w:p>
        </w:tc>
        <w:tc>
          <w:tcPr>
            <w:tcW w:w="1569" w:type="dxa"/>
            <w:vAlign w:val="center"/>
          </w:tcPr>
          <w:p w14:paraId="1517F764">
            <w:pPr>
              <w:tabs>
                <w:tab w:val="left" w:pos="4860"/>
              </w:tabs>
              <w:spacing w:line="440" w:lineRule="exact"/>
              <w:jc w:val="center"/>
              <w:rPr>
                <w:rFonts w:ascii="仿宋" w:hAnsi="仿宋" w:eastAsia="仿宋" w:cs="仿宋"/>
                <w:color w:val="auto"/>
                <w:sz w:val="28"/>
                <w:szCs w:val="28"/>
                <w:highlight w:val="none"/>
              </w:rPr>
            </w:pPr>
          </w:p>
        </w:tc>
      </w:tr>
      <w:tr w14:paraId="6C03C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jc w:val="center"/>
        </w:trPr>
        <w:tc>
          <w:tcPr>
            <w:tcW w:w="732" w:type="dxa"/>
            <w:vAlign w:val="center"/>
          </w:tcPr>
          <w:p w14:paraId="4554451D">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634" w:type="dxa"/>
            <w:vAlign w:val="center"/>
          </w:tcPr>
          <w:p w14:paraId="6E2756CE">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pacing w:val="8"/>
                <w:kern w:val="0"/>
                <w:sz w:val="28"/>
                <w:szCs w:val="28"/>
                <w:highlight w:val="none"/>
              </w:rPr>
              <w:t>服务期限</w:t>
            </w:r>
          </w:p>
        </w:tc>
        <w:tc>
          <w:tcPr>
            <w:tcW w:w="4825" w:type="dxa"/>
            <w:vAlign w:val="center"/>
          </w:tcPr>
          <w:p w14:paraId="701F3452">
            <w:pPr>
              <w:tabs>
                <w:tab w:val="left" w:pos="4860"/>
              </w:tabs>
              <w:spacing w:line="440" w:lineRule="exact"/>
              <w:rPr>
                <w:rFonts w:ascii="仿宋" w:hAnsi="仿宋" w:eastAsia="仿宋" w:cs="仿宋"/>
                <w:color w:val="auto"/>
                <w:sz w:val="28"/>
                <w:szCs w:val="28"/>
                <w:highlight w:val="none"/>
              </w:rPr>
            </w:pPr>
          </w:p>
        </w:tc>
        <w:tc>
          <w:tcPr>
            <w:tcW w:w="1569" w:type="dxa"/>
            <w:vAlign w:val="center"/>
          </w:tcPr>
          <w:p w14:paraId="5F1BF97A">
            <w:pPr>
              <w:tabs>
                <w:tab w:val="left" w:pos="4860"/>
              </w:tabs>
              <w:spacing w:line="440" w:lineRule="exact"/>
              <w:jc w:val="center"/>
              <w:rPr>
                <w:rFonts w:ascii="仿宋" w:hAnsi="仿宋" w:eastAsia="仿宋" w:cs="仿宋"/>
                <w:color w:val="auto"/>
                <w:sz w:val="28"/>
                <w:szCs w:val="28"/>
                <w:highlight w:val="none"/>
              </w:rPr>
            </w:pPr>
          </w:p>
        </w:tc>
      </w:tr>
      <w:tr w14:paraId="2F4D9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732" w:type="dxa"/>
            <w:vAlign w:val="center"/>
          </w:tcPr>
          <w:p w14:paraId="73591A6F">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634" w:type="dxa"/>
            <w:vAlign w:val="center"/>
          </w:tcPr>
          <w:p w14:paraId="7BA6BF89">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质量标准</w:t>
            </w:r>
          </w:p>
        </w:tc>
        <w:tc>
          <w:tcPr>
            <w:tcW w:w="4825" w:type="dxa"/>
            <w:vAlign w:val="center"/>
          </w:tcPr>
          <w:p w14:paraId="3FF37AF6">
            <w:pPr>
              <w:tabs>
                <w:tab w:val="left" w:pos="4860"/>
              </w:tabs>
              <w:spacing w:line="440" w:lineRule="exact"/>
              <w:rPr>
                <w:rFonts w:ascii="仿宋" w:hAnsi="仿宋" w:eastAsia="仿宋" w:cs="仿宋"/>
                <w:color w:val="auto"/>
                <w:sz w:val="28"/>
                <w:szCs w:val="28"/>
                <w:highlight w:val="none"/>
              </w:rPr>
            </w:pPr>
          </w:p>
        </w:tc>
        <w:tc>
          <w:tcPr>
            <w:tcW w:w="1569" w:type="dxa"/>
            <w:vAlign w:val="center"/>
          </w:tcPr>
          <w:p w14:paraId="3E92DA61">
            <w:pPr>
              <w:tabs>
                <w:tab w:val="left" w:pos="4860"/>
              </w:tabs>
              <w:spacing w:line="440" w:lineRule="exact"/>
              <w:jc w:val="center"/>
              <w:rPr>
                <w:rFonts w:ascii="仿宋" w:hAnsi="仿宋" w:eastAsia="仿宋" w:cs="仿宋"/>
                <w:color w:val="auto"/>
                <w:sz w:val="28"/>
                <w:szCs w:val="28"/>
                <w:highlight w:val="none"/>
              </w:rPr>
            </w:pPr>
          </w:p>
        </w:tc>
      </w:tr>
    </w:tbl>
    <w:p w14:paraId="1310B4FF">
      <w:pPr>
        <w:snapToGrid w:val="0"/>
        <w:spacing w:line="360" w:lineRule="auto"/>
        <w:ind w:firstLine="280" w:firstLineChars="100"/>
        <w:rPr>
          <w:rFonts w:ascii="仿宋" w:hAnsi="仿宋" w:eastAsia="仿宋" w:cs="仿宋"/>
          <w:color w:val="auto"/>
          <w:sz w:val="28"/>
          <w:szCs w:val="28"/>
          <w:highlight w:val="none"/>
        </w:rPr>
      </w:pPr>
    </w:p>
    <w:p w14:paraId="45F88050">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投标人（盖电子公章）：</w:t>
      </w:r>
    </w:p>
    <w:p w14:paraId="245D2E63">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zh-CN"/>
        </w:rPr>
        <w:t>（签字或盖章）</w:t>
      </w:r>
      <w:r>
        <w:rPr>
          <w:rFonts w:hint="eastAsia" w:ascii="仿宋" w:hAnsi="仿宋" w:eastAsia="仿宋" w:cs="仿宋"/>
          <w:color w:val="auto"/>
          <w:sz w:val="28"/>
          <w:szCs w:val="28"/>
          <w:highlight w:val="none"/>
        </w:rPr>
        <w:t>：</w:t>
      </w:r>
    </w:p>
    <w:p w14:paraId="336A7334">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日期：</w:t>
      </w:r>
    </w:p>
    <w:p w14:paraId="78649366">
      <w:pPr>
        <w:pStyle w:val="2"/>
        <w:rPr>
          <w:rFonts w:ascii="仿宋" w:hAnsi="仿宋" w:eastAsia="仿宋" w:cs="仿宋"/>
          <w:color w:val="auto"/>
          <w:sz w:val="28"/>
          <w:szCs w:val="28"/>
          <w:highlight w:val="none"/>
        </w:rPr>
      </w:pPr>
    </w:p>
    <w:p w14:paraId="69313C13">
      <w:pPr>
        <w:pStyle w:val="3"/>
        <w:rPr>
          <w:rFonts w:ascii="仿宋" w:hAnsi="仿宋" w:eastAsia="仿宋" w:cs="仿宋"/>
          <w:color w:val="auto"/>
          <w:sz w:val="28"/>
          <w:szCs w:val="28"/>
          <w:highlight w:val="none"/>
        </w:rPr>
      </w:pPr>
    </w:p>
    <w:p w14:paraId="551E2ED4">
      <w:pPr>
        <w:rPr>
          <w:rFonts w:ascii="仿宋" w:hAnsi="仿宋" w:eastAsia="仿宋" w:cs="仿宋"/>
          <w:color w:val="auto"/>
          <w:sz w:val="28"/>
          <w:szCs w:val="28"/>
          <w:highlight w:val="none"/>
        </w:rPr>
      </w:pPr>
    </w:p>
    <w:p w14:paraId="05CC3457">
      <w:pPr>
        <w:pStyle w:val="2"/>
        <w:rPr>
          <w:rFonts w:ascii="仿宋" w:hAnsi="仿宋" w:eastAsia="仿宋" w:cs="仿宋"/>
          <w:color w:val="auto"/>
          <w:sz w:val="28"/>
          <w:szCs w:val="28"/>
          <w:highlight w:val="none"/>
        </w:rPr>
      </w:pPr>
    </w:p>
    <w:p w14:paraId="7F506AD6">
      <w:pPr>
        <w:pStyle w:val="3"/>
        <w:rPr>
          <w:rFonts w:ascii="仿宋" w:hAnsi="仿宋" w:eastAsia="仿宋" w:cs="仿宋"/>
          <w:color w:val="auto"/>
          <w:sz w:val="28"/>
          <w:szCs w:val="28"/>
          <w:highlight w:val="none"/>
        </w:rPr>
      </w:pPr>
    </w:p>
    <w:p w14:paraId="45E6836E">
      <w:pPr>
        <w:rPr>
          <w:rFonts w:ascii="仿宋" w:hAnsi="仿宋" w:eastAsia="仿宋" w:cs="仿宋"/>
          <w:color w:val="auto"/>
          <w:sz w:val="28"/>
          <w:szCs w:val="28"/>
          <w:highlight w:val="none"/>
        </w:rPr>
      </w:pPr>
    </w:p>
    <w:p w14:paraId="3A3C5447">
      <w:pPr>
        <w:rPr>
          <w:color w:val="auto"/>
          <w:highlight w:val="none"/>
        </w:rPr>
      </w:pPr>
    </w:p>
    <w:p w14:paraId="2E4AF401">
      <w:pPr>
        <w:jc w:val="center"/>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报价明细表</w:t>
      </w:r>
    </w:p>
    <w:tbl>
      <w:tblPr>
        <w:tblStyle w:val="49"/>
        <w:tblW w:w="9510" w:type="dxa"/>
        <w:tblInd w:w="96" w:type="dxa"/>
        <w:tblLayout w:type="autofit"/>
        <w:tblCellMar>
          <w:top w:w="0" w:type="dxa"/>
          <w:left w:w="108" w:type="dxa"/>
          <w:bottom w:w="0" w:type="dxa"/>
          <w:right w:w="108" w:type="dxa"/>
        </w:tblCellMar>
      </w:tblPr>
      <w:tblGrid>
        <w:gridCol w:w="903"/>
        <w:gridCol w:w="1553"/>
        <w:gridCol w:w="7054"/>
      </w:tblGrid>
      <w:tr w14:paraId="3904F611">
        <w:tblPrEx>
          <w:tblCellMar>
            <w:top w:w="0" w:type="dxa"/>
            <w:left w:w="108" w:type="dxa"/>
            <w:bottom w:w="0" w:type="dxa"/>
            <w:right w:w="108" w:type="dxa"/>
          </w:tblCellMar>
        </w:tblPrEx>
        <w:trPr>
          <w:trHeight w:val="1275" w:hRule="atLeast"/>
        </w:trPr>
        <w:tc>
          <w:tcPr>
            <w:tcW w:w="9510" w:type="dxa"/>
            <w:gridSpan w:val="3"/>
            <w:tcBorders>
              <w:top w:val="nil"/>
              <w:left w:val="nil"/>
              <w:bottom w:val="nil"/>
              <w:right w:val="nil"/>
            </w:tcBorders>
            <w:vAlign w:val="center"/>
          </w:tcPr>
          <w:p w14:paraId="3AD62850">
            <w:pPr>
              <w:widowControl/>
              <w:jc w:val="center"/>
              <w:textAlignment w:val="center"/>
              <w:rPr>
                <w:rFonts w:ascii="方正小标宋简体" w:hAnsi="方正小标宋简体" w:eastAsia="方正小标宋简体" w:cs="方正小标宋简体"/>
                <w:color w:val="auto"/>
                <w:sz w:val="28"/>
                <w:szCs w:val="28"/>
                <w:highlight w:val="none"/>
              </w:rPr>
            </w:pPr>
            <w:r>
              <w:rPr>
                <w:rFonts w:ascii="方正小标宋简体" w:hAnsi="方正小标宋简体" w:eastAsia="方正小标宋简体" w:cs="方正小标宋简体"/>
                <w:color w:val="auto"/>
                <w:kern w:val="0"/>
                <w:sz w:val="28"/>
                <w:szCs w:val="28"/>
                <w:highlight w:val="none"/>
              </w:rPr>
              <w:t>威海电视观光塔文旅项目检测鉴定服务报价汇总表</w:t>
            </w:r>
          </w:p>
        </w:tc>
      </w:tr>
      <w:tr w14:paraId="6FAB0C4E">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95F10C1">
            <w:pPr>
              <w:widowControl/>
              <w:jc w:val="center"/>
              <w:textAlignment w:val="center"/>
              <w:rPr>
                <w:rFonts w:ascii="黑体" w:hAnsi="宋体" w:eastAsia="黑体" w:cs="黑体"/>
                <w:color w:val="auto"/>
                <w:sz w:val="28"/>
                <w:szCs w:val="28"/>
                <w:highlight w:val="none"/>
              </w:rPr>
            </w:pPr>
            <w:r>
              <w:rPr>
                <w:rFonts w:hint="eastAsia" w:ascii="黑体" w:hAnsi="宋体" w:eastAsia="黑体" w:cs="黑体"/>
                <w:color w:val="auto"/>
                <w:kern w:val="0"/>
                <w:sz w:val="28"/>
                <w:szCs w:val="28"/>
                <w:highlight w:val="none"/>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0B90E8C">
            <w:pPr>
              <w:widowControl/>
              <w:jc w:val="center"/>
              <w:textAlignment w:val="center"/>
              <w:rPr>
                <w:rFonts w:ascii="黑体" w:hAnsi="宋体" w:eastAsia="黑体" w:cs="黑体"/>
                <w:color w:val="auto"/>
                <w:sz w:val="28"/>
                <w:szCs w:val="28"/>
                <w:highlight w:val="none"/>
              </w:rPr>
            </w:pPr>
            <w:r>
              <w:rPr>
                <w:rFonts w:hint="eastAsia" w:ascii="黑体" w:hAnsi="宋体" w:eastAsia="黑体" w:cs="黑体"/>
                <w:color w:val="auto"/>
                <w:kern w:val="0"/>
                <w:sz w:val="28"/>
                <w:szCs w:val="28"/>
                <w:highlight w:val="none"/>
              </w:rPr>
              <w:t>项目名称</w:t>
            </w:r>
          </w:p>
        </w:tc>
        <w:tc>
          <w:tcPr>
            <w:tcW w:w="7054" w:type="dxa"/>
            <w:tcBorders>
              <w:top w:val="single" w:color="000000" w:sz="4" w:space="0"/>
              <w:left w:val="single" w:color="000000" w:sz="4" w:space="0"/>
              <w:bottom w:val="single" w:color="000000" w:sz="4" w:space="0"/>
              <w:right w:val="single" w:color="000000" w:sz="4" w:space="0"/>
            </w:tcBorders>
            <w:noWrap/>
            <w:vAlign w:val="center"/>
          </w:tcPr>
          <w:p w14:paraId="3D1D9BB4">
            <w:pPr>
              <w:widowControl/>
              <w:jc w:val="center"/>
              <w:textAlignment w:val="center"/>
              <w:rPr>
                <w:rFonts w:ascii="黑体" w:hAnsi="宋体" w:eastAsia="黑体" w:cs="黑体"/>
                <w:color w:val="auto"/>
                <w:sz w:val="28"/>
                <w:szCs w:val="28"/>
                <w:highlight w:val="none"/>
              </w:rPr>
            </w:pPr>
            <w:r>
              <w:rPr>
                <w:rFonts w:hint="eastAsia" w:ascii="黑体" w:hAnsi="宋体" w:eastAsia="黑体" w:cs="黑体"/>
                <w:color w:val="auto"/>
                <w:kern w:val="0"/>
                <w:sz w:val="28"/>
                <w:szCs w:val="28"/>
                <w:highlight w:val="none"/>
              </w:rPr>
              <w:t>金额（元）</w:t>
            </w:r>
          </w:p>
        </w:tc>
      </w:tr>
      <w:tr w14:paraId="1D53B5AB">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7B5647C6">
            <w:pPr>
              <w:widowControl/>
              <w:jc w:val="center"/>
              <w:textAlignment w:val="center"/>
              <w:rPr>
                <w:rFonts w:ascii="黑体" w:hAnsi="宋体" w:eastAsia="黑体" w:cs="黑体"/>
                <w:color w:val="auto"/>
                <w:kern w:val="0"/>
                <w:sz w:val="28"/>
                <w:szCs w:val="28"/>
                <w:highlight w:val="none"/>
              </w:rPr>
            </w:pPr>
            <w:r>
              <w:rPr>
                <w:rFonts w:hint="eastAsia" w:ascii="黑体" w:hAnsi="宋体" w:eastAsia="黑体" w:cs="黑体"/>
                <w:color w:val="auto"/>
                <w:kern w:val="0"/>
                <w:sz w:val="28"/>
                <w:szCs w:val="28"/>
                <w:highlight w:val="none"/>
              </w:rPr>
              <w:t>一、</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C1386EB">
            <w:pPr>
              <w:widowControl/>
              <w:jc w:val="center"/>
              <w:textAlignment w:val="center"/>
              <w:rPr>
                <w:rFonts w:ascii="黑体" w:hAnsi="宋体" w:eastAsia="黑体" w:cs="黑体"/>
                <w:color w:val="auto"/>
                <w:kern w:val="0"/>
                <w:sz w:val="28"/>
                <w:szCs w:val="28"/>
                <w:highlight w:val="none"/>
              </w:rPr>
            </w:pPr>
            <w:r>
              <w:rPr>
                <w:rFonts w:hint="eastAsia" w:ascii="黑体" w:hAnsi="宋体" w:eastAsia="黑体" w:cs="黑体"/>
                <w:color w:val="auto"/>
                <w:kern w:val="0"/>
                <w:sz w:val="28"/>
                <w:szCs w:val="28"/>
                <w:highlight w:val="none"/>
              </w:rPr>
              <w:t>检测</w:t>
            </w:r>
          </w:p>
        </w:tc>
        <w:tc>
          <w:tcPr>
            <w:tcW w:w="7054" w:type="dxa"/>
            <w:tcBorders>
              <w:top w:val="single" w:color="000000" w:sz="4" w:space="0"/>
              <w:left w:val="single" w:color="000000" w:sz="4" w:space="0"/>
              <w:bottom w:val="single" w:color="000000" w:sz="4" w:space="0"/>
              <w:right w:val="single" w:color="000000" w:sz="4" w:space="0"/>
            </w:tcBorders>
            <w:noWrap/>
            <w:vAlign w:val="center"/>
          </w:tcPr>
          <w:p w14:paraId="36B52CBA">
            <w:pPr>
              <w:widowControl/>
              <w:jc w:val="center"/>
              <w:textAlignment w:val="center"/>
              <w:rPr>
                <w:rFonts w:ascii="黑体" w:hAnsi="宋体" w:eastAsia="黑体" w:cs="黑体"/>
                <w:color w:val="auto"/>
                <w:kern w:val="0"/>
                <w:sz w:val="28"/>
                <w:szCs w:val="28"/>
                <w:highlight w:val="none"/>
              </w:rPr>
            </w:pPr>
          </w:p>
        </w:tc>
      </w:tr>
      <w:tr w14:paraId="6324A240">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4119A18">
            <w:pPr>
              <w:widowControl/>
              <w:jc w:val="center"/>
              <w:textAlignment w:val="center"/>
              <w:rPr>
                <w:rFonts w:ascii="宋体" w:hAnsi="宋体" w:cs="宋体"/>
                <w:color w:val="auto"/>
                <w:sz w:val="28"/>
                <w:szCs w:val="28"/>
                <w:highlight w:val="none"/>
              </w:rPr>
            </w:pPr>
            <w:r>
              <w:rPr>
                <w:rFonts w:hint="eastAsia" w:ascii="宋体" w:hAnsi="宋体" w:cs="宋体"/>
                <w:color w:val="auto"/>
                <w:kern w:val="0"/>
                <w:sz w:val="28"/>
                <w:szCs w:val="28"/>
                <w:highlight w:val="none"/>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962F0E">
            <w:pPr>
              <w:widowControl/>
              <w:jc w:val="center"/>
              <w:textAlignment w:val="center"/>
              <w:rPr>
                <w:rFonts w:ascii="黑体" w:hAnsi="宋体" w:eastAsia="黑体" w:cs="黑体"/>
                <w:color w:val="auto"/>
                <w:sz w:val="28"/>
                <w:szCs w:val="28"/>
                <w:highlight w:val="none"/>
              </w:rPr>
            </w:pPr>
          </w:p>
        </w:tc>
        <w:tc>
          <w:tcPr>
            <w:tcW w:w="7054" w:type="dxa"/>
            <w:tcBorders>
              <w:top w:val="single" w:color="000000" w:sz="4" w:space="0"/>
              <w:left w:val="single" w:color="000000" w:sz="4" w:space="0"/>
              <w:bottom w:val="single" w:color="000000" w:sz="4" w:space="0"/>
              <w:right w:val="single" w:color="000000" w:sz="4" w:space="0"/>
            </w:tcBorders>
            <w:noWrap/>
            <w:vAlign w:val="center"/>
          </w:tcPr>
          <w:p w14:paraId="21A3CD91">
            <w:pPr>
              <w:jc w:val="center"/>
              <w:rPr>
                <w:rFonts w:ascii="宋体" w:hAnsi="宋体" w:cs="宋体"/>
                <w:color w:val="auto"/>
                <w:sz w:val="28"/>
                <w:szCs w:val="28"/>
                <w:highlight w:val="none"/>
              </w:rPr>
            </w:pPr>
          </w:p>
        </w:tc>
      </w:tr>
      <w:tr w14:paraId="6129CF3F">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7EF160D">
            <w:pPr>
              <w:widowControl/>
              <w:jc w:val="center"/>
              <w:textAlignment w:val="center"/>
              <w:rPr>
                <w:rFonts w:ascii="宋体" w:hAnsi="宋体" w:cs="宋体"/>
                <w:color w:val="auto"/>
                <w:sz w:val="28"/>
                <w:szCs w:val="28"/>
                <w:highlight w:val="none"/>
              </w:rPr>
            </w:pPr>
            <w:r>
              <w:rPr>
                <w:rFonts w:hint="eastAsia" w:ascii="宋体" w:hAnsi="宋体" w:cs="宋体"/>
                <w:color w:val="auto"/>
                <w:kern w:val="0"/>
                <w:sz w:val="28"/>
                <w:szCs w:val="28"/>
                <w:highlight w:val="none"/>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711ECB7">
            <w:pPr>
              <w:widowControl/>
              <w:jc w:val="center"/>
              <w:textAlignment w:val="center"/>
              <w:rPr>
                <w:rFonts w:ascii="黑体" w:hAnsi="宋体" w:eastAsia="黑体" w:cs="黑体"/>
                <w:color w:val="auto"/>
                <w:sz w:val="28"/>
                <w:szCs w:val="28"/>
                <w:highlight w:val="none"/>
              </w:rPr>
            </w:pPr>
          </w:p>
        </w:tc>
        <w:tc>
          <w:tcPr>
            <w:tcW w:w="7054" w:type="dxa"/>
            <w:tcBorders>
              <w:top w:val="single" w:color="000000" w:sz="4" w:space="0"/>
              <w:left w:val="single" w:color="000000" w:sz="4" w:space="0"/>
              <w:bottom w:val="single" w:color="000000" w:sz="4" w:space="0"/>
              <w:right w:val="single" w:color="000000" w:sz="4" w:space="0"/>
            </w:tcBorders>
            <w:noWrap/>
            <w:vAlign w:val="center"/>
          </w:tcPr>
          <w:p w14:paraId="5918465A">
            <w:pPr>
              <w:jc w:val="center"/>
              <w:rPr>
                <w:rFonts w:ascii="宋体" w:hAnsi="宋体" w:cs="宋体"/>
                <w:color w:val="auto"/>
                <w:sz w:val="28"/>
                <w:szCs w:val="28"/>
                <w:highlight w:val="none"/>
              </w:rPr>
            </w:pPr>
          </w:p>
        </w:tc>
      </w:tr>
      <w:tr w14:paraId="325E2D0D">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313BFAF2">
            <w:pPr>
              <w:widowControl/>
              <w:jc w:val="center"/>
              <w:textAlignment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D0F4E21">
            <w:pPr>
              <w:widowControl/>
              <w:jc w:val="center"/>
              <w:textAlignment w:val="center"/>
              <w:rPr>
                <w:rFonts w:ascii="黑体" w:hAnsi="宋体" w:eastAsia="黑体" w:cs="黑体"/>
                <w:color w:val="auto"/>
                <w:kern w:val="0"/>
                <w:sz w:val="28"/>
                <w:szCs w:val="28"/>
                <w:highlight w:val="none"/>
              </w:rPr>
            </w:pPr>
            <w:r>
              <w:rPr>
                <w:rFonts w:hint="eastAsia" w:ascii="黑体" w:hAnsi="宋体" w:eastAsia="黑体" w:cs="黑体"/>
                <w:color w:val="auto"/>
                <w:kern w:val="0"/>
                <w:sz w:val="28"/>
                <w:szCs w:val="28"/>
                <w:highlight w:val="none"/>
              </w:rPr>
              <w:t>……</w:t>
            </w:r>
          </w:p>
        </w:tc>
        <w:tc>
          <w:tcPr>
            <w:tcW w:w="7054" w:type="dxa"/>
            <w:tcBorders>
              <w:top w:val="single" w:color="000000" w:sz="4" w:space="0"/>
              <w:left w:val="single" w:color="000000" w:sz="4" w:space="0"/>
              <w:bottom w:val="single" w:color="000000" w:sz="4" w:space="0"/>
              <w:right w:val="single" w:color="000000" w:sz="4" w:space="0"/>
            </w:tcBorders>
            <w:noWrap/>
            <w:vAlign w:val="center"/>
          </w:tcPr>
          <w:p w14:paraId="010F5F5F">
            <w:pPr>
              <w:jc w:val="center"/>
              <w:rPr>
                <w:rFonts w:ascii="宋体" w:hAnsi="宋体" w:cs="宋体"/>
                <w:color w:val="auto"/>
                <w:sz w:val="28"/>
                <w:szCs w:val="28"/>
                <w:highlight w:val="none"/>
              </w:rPr>
            </w:pPr>
          </w:p>
        </w:tc>
      </w:tr>
      <w:tr w14:paraId="4B4242B7">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4DEDB6D2">
            <w:pPr>
              <w:widowControl/>
              <w:jc w:val="center"/>
              <w:textAlignment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二</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B9604B5">
            <w:pPr>
              <w:rPr>
                <w:color w:val="auto"/>
                <w:sz w:val="28"/>
                <w:szCs w:val="28"/>
                <w:highlight w:val="none"/>
              </w:rPr>
            </w:pPr>
            <w:r>
              <w:rPr>
                <w:rFonts w:hint="eastAsia"/>
                <w:color w:val="auto"/>
                <w:sz w:val="28"/>
                <w:szCs w:val="28"/>
                <w:highlight w:val="none"/>
              </w:rPr>
              <w:t>鉴定</w:t>
            </w:r>
          </w:p>
        </w:tc>
        <w:tc>
          <w:tcPr>
            <w:tcW w:w="7054" w:type="dxa"/>
            <w:tcBorders>
              <w:top w:val="single" w:color="000000" w:sz="4" w:space="0"/>
              <w:left w:val="single" w:color="000000" w:sz="4" w:space="0"/>
              <w:bottom w:val="single" w:color="000000" w:sz="4" w:space="0"/>
              <w:right w:val="single" w:color="000000" w:sz="4" w:space="0"/>
            </w:tcBorders>
            <w:noWrap/>
            <w:vAlign w:val="center"/>
          </w:tcPr>
          <w:p w14:paraId="33E33E15">
            <w:pPr>
              <w:jc w:val="center"/>
              <w:rPr>
                <w:rFonts w:ascii="宋体" w:hAnsi="宋体" w:cs="宋体"/>
                <w:color w:val="auto"/>
                <w:sz w:val="28"/>
                <w:szCs w:val="28"/>
                <w:highlight w:val="none"/>
              </w:rPr>
            </w:pPr>
          </w:p>
        </w:tc>
      </w:tr>
      <w:tr w14:paraId="3FBA0C55">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1956EB94">
            <w:pPr>
              <w:widowControl/>
              <w:jc w:val="center"/>
              <w:textAlignment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1FEAD3E">
            <w:pPr>
              <w:rPr>
                <w:color w:val="auto"/>
                <w:sz w:val="28"/>
                <w:szCs w:val="28"/>
                <w:highlight w:val="none"/>
              </w:rPr>
            </w:pPr>
          </w:p>
        </w:tc>
        <w:tc>
          <w:tcPr>
            <w:tcW w:w="7054" w:type="dxa"/>
            <w:tcBorders>
              <w:top w:val="single" w:color="000000" w:sz="4" w:space="0"/>
              <w:left w:val="single" w:color="000000" w:sz="4" w:space="0"/>
              <w:bottom w:val="single" w:color="000000" w:sz="4" w:space="0"/>
              <w:right w:val="single" w:color="000000" w:sz="4" w:space="0"/>
            </w:tcBorders>
            <w:noWrap/>
            <w:vAlign w:val="center"/>
          </w:tcPr>
          <w:p w14:paraId="1BF2F597">
            <w:pPr>
              <w:jc w:val="center"/>
              <w:rPr>
                <w:rFonts w:ascii="宋体" w:hAnsi="宋体" w:cs="宋体"/>
                <w:color w:val="auto"/>
                <w:sz w:val="28"/>
                <w:szCs w:val="28"/>
                <w:highlight w:val="none"/>
              </w:rPr>
            </w:pPr>
          </w:p>
        </w:tc>
      </w:tr>
      <w:tr w14:paraId="2305CDEE">
        <w:tblPrEx>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AC37D17">
            <w:pPr>
              <w:widowControl/>
              <w:jc w:val="center"/>
              <w:textAlignment w:val="center"/>
              <w:rPr>
                <w:rFonts w:ascii="宋体" w:hAnsi="宋体" w:cs="宋体"/>
                <w:color w:val="auto"/>
                <w:kern w:val="0"/>
                <w:sz w:val="28"/>
                <w:szCs w:val="28"/>
                <w:highlight w:val="none"/>
              </w:rPr>
            </w:pPr>
            <w:r>
              <w:rPr>
                <w:rFonts w:hint="eastAsia" w:ascii="宋体" w:hAnsi="宋体" w:cs="宋体"/>
                <w:color w:val="auto"/>
                <w:kern w:val="0"/>
                <w:sz w:val="28"/>
                <w:szCs w:val="28"/>
                <w:highlight w:val="none"/>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272C6BE">
            <w:pPr>
              <w:rPr>
                <w:color w:val="auto"/>
                <w:sz w:val="28"/>
                <w:szCs w:val="28"/>
                <w:highlight w:val="none"/>
              </w:rPr>
            </w:pPr>
            <w:r>
              <w:rPr>
                <w:rFonts w:hint="eastAsia"/>
                <w:color w:val="auto"/>
                <w:sz w:val="28"/>
                <w:szCs w:val="28"/>
                <w:highlight w:val="none"/>
              </w:rPr>
              <w:t>……</w:t>
            </w:r>
          </w:p>
        </w:tc>
        <w:tc>
          <w:tcPr>
            <w:tcW w:w="7054" w:type="dxa"/>
            <w:tcBorders>
              <w:top w:val="single" w:color="000000" w:sz="4" w:space="0"/>
              <w:left w:val="single" w:color="000000" w:sz="4" w:space="0"/>
              <w:bottom w:val="single" w:color="000000" w:sz="4" w:space="0"/>
              <w:right w:val="single" w:color="000000" w:sz="4" w:space="0"/>
            </w:tcBorders>
            <w:noWrap/>
            <w:vAlign w:val="center"/>
          </w:tcPr>
          <w:p w14:paraId="23DB3A20">
            <w:pPr>
              <w:jc w:val="center"/>
              <w:rPr>
                <w:rFonts w:ascii="宋体" w:hAnsi="宋体" w:cs="宋体"/>
                <w:color w:val="auto"/>
                <w:sz w:val="28"/>
                <w:szCs w:val="28"/>
                <w:highlight w:val="none"/>
              </w:rPr>
            </w:pPr>
          </w:p>
        </w:tc>
      </w:tr>
      <w:tr w14:paraId="0C5D1B3B">
        <w:tblPrEx>
          <w:tblCellMar>
            <w:top w:w="0" w:type="dxa"/>
            <w:left w:w="108" w:type="dxa"/>
            <w:bottom w:w="0" w:type="dxa"/>
            <w:right w:w="108" w:type="dxa"/>
          </w:tblCellMar>
        </w:tblPrEx>
        <w:trPr>
          <w:trHeight w:val="900" w:hRule="atLeast"/>
        </w:trPr>
        <w:tc>
          <w:tcPr>
            <w:tcW w:w="0" w:type="auto"/>
            <w:gridSpan w:val="2"/>
            <w:tcBorders>
              <w:top w:val="single" w:color="000000" w:sz="4" w:space="0"/>
              <w:left w:val="single" w:color="000000" w:sz="4" w:space="0"/>
              <w:bottom w:val="single" w:color="000000" w:sz="4" w:space="0"/>
              <w:right w:val="single" w:color="000000" w:sz="4" w:space="0"/>
            </w:tcBorders>
            <w:noWrap/>
            <w:vAlign w:val="center"/>
          </w:tcPr>
          <w:p w14:paraId="261C4E8E">
            <w:pPr>
              <w:widowControl/>
              <w:jc w:val="center"/>
              <w:textAlignment w:val="center"/>
              <w:rPr>
                <w:rFonts w:ascii="黑体" w:hAnsi="宋体" w:eastAsia="黑体" w:cs="黑体"/>
                <w:color w:val="auto"/>
                <w:kern w:val="0"/>
                <w:sz w:val="28"/>
                <w:szCs w:val="28"/>
                <w:highlight w:val="none"/>
              </w:rPr>
            </w:pPr>
            <w:r>
              <w:rPr>
                <w:rFonts w:hint="eastAsia" w:ascii="黑体" w:hAnsi="宋体" w:eastAsia="黑体" w:cs="黑体"/>
                <w:color w:val="auto"/>
                <w:kern w:val="0"/>
                <w:sz w:val="28"/>
                <w:szCs w:val="28"/>
                <w:highlight w:val="none"/>
              </w:rPr>
              <w:t>检测鉴定费用合计</w:t>
            </w:r>
          </w:p>
        </w:tc>
        <w:tc>
          <w:tcPr>
            <w:tcW w:w="7054" w:type="dxa"/>
            <w:tcBorders>
              <w:top w:val="single" w:color="000000" w:sz="4" w:space="0"/>
              <w:left w:val="single" w:color="000000" w:sz="4" w:space="0"/>
              <w:bottom w:val="single" w:color="000000" w:sz="4" w:space="0"/>
              <w:right w:val="single" w:color="000000" w:sz="4" w:space="0"/>
            </w:tcBorders>
            <w:noWrap/>
            <w:vAlign w:val="center"/>
          </w:tcPr>
          <w:p w14:paraId="2DB47759">
            <w:pPr>
              <w:jc w:val="center"/>
              <w:rPr>
                <w:rFonts w:ascii="宋体" w:hAnsi="宋体" w:cs="宋体"/>
                <w:color w:val="auto"/>
                <w:sz w:val="28"/>
                <w:szCs w:val="28"/>
                <w:highlight w:val="none"/>
              </w:rPr>
            </w:pPr>
          </w:p>
        </w:tc>
      </w:tr>
      <w:tr w14:paraId="0E24AF69">
        <w:tblPrEx>
          <w:tblCellMar>
            <w:top w:w="0" w:type="dxa"/>
            <w:left w:w="108" w:type="dxa"/>
            <w:bottom w:w="0" w:type="dxa"/>
            <w:right w:w="108" w:type="dxa"/>
          </w:tblCellMar>
        </w:tblPrEx>
        <w:trPr>
          <w:trHeight w:val="1695" w:hRule="atLeast"/>
        </w:trPr>
        <w:tc>
          <w:tcPr>
            <w:tcW w:w="9510" w:type="dxa"/>
            <w:gridSpan w:val="3"/>
            <w:tcBorders>
              <w:top w:val="nil"/>
              <w:left w:val="nil"/>
              <w:bottom w:val="nil"/>
              <w:right w:val="nil"/>
            </w:tcBorders>
            <w:vAlign w:val="center"/>
          </w:tcPr>
          <w:p w14:paraId="3DC2988D">
            <w:pPr>
              <w:widowControl/>
              <w:jc w:val="left"/>
              <w:textAlignment w:val="center"/>
              <w:rPr>
                <w:rFonts w:ascii="仿宋_GB2312" w:hAnsi="等线" w:eastAsia="仿宋_GB2312" w:cs="仿宋_GB2312"/>
                <w:color w:val="auto"/>
                <w:sz w:val="28"/>
                <w:szCs w:val="28"/>
                <w:highlight w:val="none"/>
              </w:rPr>
            </w:pPr>
            <w:r>
              <w:rPr>
                <w:rFonts w:ascii="仿宋_GB2312" w:hAnsi="等线" w:eastAsia="仿宋_GB2312" w:cs="仿宋_GB2312"/>
                <w:color w:val="auto"/>
                <w:kern w:val="0"/>
                <w:sz w:val="28"/>
                <w:szCs w:val="28"/>
                <w:highlight w:val="none"/>
              </w:rPr>
              <w:t>注：</w:t>
            </w:r>
            <w:r>
              <w:rPr>
                <w:rFonts w:hint="eastAsia" w:ascii="仿宋_GB2312" w:hAnsi="等线" w:eastAsia="仿宋_GB2312" w:cs="仿宋_GB2312"/>
                <w:color w:val="auto"/>
                <w:kern w:val="0"/>
                <w:sz w:val="28"/>
                <w:szCs w:val="28"/>
                <w:highlight w:val="none"/>
              </w:rPr>
              <w:t>此表只提供格式，投标人可根据此表自行编辑内容，但</w:t>
            </w:r>
            <w:r>
              <w:rPr>
                <w:rFonts w:ascii="仿宋_GB2312" w:hAnsi="等线" w:eastAsia="仿宋_GB2312" w:cs="仿宋_GB2312"/>
                <w:color w:val="auto"/>
                <w:kern w:val="0"/>
                <w:sz w:val="28"/>
                <w:szCs w:val="28"/>
                <w:highlight w:val="none"/>
              </w:rPr>
              <w:t>报价应包括完成所有质量检测</w:t>
            </w:r>
            <w:r>
              <w:rPr>
                <w:rFonts w:hint="eastAsia" w:ascii="仿宋_GB2312" w:hAnsi="等线" w:eastAsia="仿宋_GB2312" w:cs="仿宋_GB2312"/>
                <w:color w:val="auto"/>
                <w:kern w:val="0"/>
                <w:sz w:val="28"/>
                <w:szCs w:val="28"/>
                <w:highlight w:val="none"/>
              </w:rPr>
              <w:t>鉴定</w:t>
            </w:r>
            <w:r>
              <w:rPr>
                <w:rFonts w:ascii="仿宋_GB2312" w:hAnsi="等线" w:eastAsia="仿宋_GB2312" w:cs="仿宋_GB2312"/>
                <w:color w:val="auto"/>
                <w:kern w:val="0"/>
                <w:sz w:val="28"/>
                <w:szCs w:val="28"/>
                <w:highlight w:val="none"/>
              </w:rPr>
              <w:t>工作并提供全套质量检测文件及后续服务的全部费用，包括人工成本、材料成本、机械成本、管理费、措施费、规费、利润、税金、检测能力、市场风险等，并考虑了应由报价供应商承担的义务、责任和风险所发生的费用。</w:t>
            </w:r>
          </w:p>
        </w:tc>
      </w:tr>
    </w:tbl>
    <w:p w14:paraId="471E96F6">
      <w:pPr>
        <w:snapToGrid w:val="0"/>
        <w:spacing w:line="360" w:lineRule="auto"/>
        <w:ind w:firstLine="280" w:firstLineChars="100"/>
        <w:rPr>
          <w:rFonts w:ascii="仿宋" w:hAnsi="仿宋" w:eastAsia="仿宋" w:cs="仿宋"/>
          <w:color w:val="auto"/>
          <w:sz w:val="28"/>
          <w:szCs w:val="28"/>
          <w:highlight w:val="none"/>
        </w:rPr>
      </w:pPr>
    </w:p>
    <w:p w14:paraId="18FC9D3A">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投标人（盖电子公章）：</w:t>
      </w:r>
      <w:r>
        <w:rPr>
          <w:rFonts w:hint="eastAsia" w:ascii="仿宋" w:hAnsi="仿宋" w:eastAsia="仿宋" w:cs="仿宋"/>
          <w:b/>
          <w:color w:val="auto"/>
          <w:sz w:val="52"/>
          <w:szCs w:val="52"/>
          <w:highlight w:val="none"/>
        </w:rPr>
        <w:br w:type="page"/>
      </w:r>
    </w:p>
    <w:p w14:paraId="487287D7">
      <w:pPr>
        <w:pStyle w:val="26"/>
        <w:spacing w:line="520" w:lineRule="exact"/>
        <w:ind w:left="1"/>
        <w:jc w:val="center"/>
        <w:rPr>
          <w:rFonts w:ascii="仿宋" w:hAnsi="仿宋" w:eastAsia="仿宋" w:cs="仿宋"/>
          <w:b/>
          <w:color w:val="auto"/>
          <w:sz w:val="52"/>
          <w:szCs w:val="52"/>
          <w:highlight w:val="none"/>
        </w:rPr>
      </w:pPr>
      <w:r>
        <w:rPr>
          <w:rFonts w:hint="eastAsia" w:ascii="仿宋" w:hAnsi="仿宋" w:eastAsia="仿宋" w:cs="仿宋"/>
          <w:b/>
          <w:color w:val="auto"/>
          <w:sz w:val="52"/>
          <w:szCs w:val="52"/>
          <w:highlight w:val="none"/>
        </w:rPr>
        <w:t>投标人资格证明文件</w:t>
      </w:r>
    </w:p>
    <w:p w14:paraId="3FEA6544">
      <w:pPr>
        <w:pStyle w:val="26"/>
        <w:spacing w:line="52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投标人有效的营业执照副本扫描件或其他能证明具有独立承担民事责任能力的材料扫描件</w:t>
      </w:r>
    </w:p>
    <w:p w14:paraId="3D7547FC">
      <w:pPr>
        <w:spacing w:line="480" w:lineRule="exact"/>
        <w:jc w:val="center"/>
        <w:rPr>
          <w:rFonts w:ascii="仿宋" w:hAnsi="仿宋" w:eastAsia="仿宋" w:cs="仿宋"/>
          <w:b/>
          <w:color w:val="auto"/>
          <w:sz w:val="32"/>
          <w:szCs w:val="32"/>
          <w:highlight w:val="none"/>
        </w:rPr>
      </w:pPr>
    </w:p>
    <w:p w14:paraId="7302509A">
      <w:pPr>
        <w:spacing w:line="480" w:lineRule="exact"/>
        <w:jc w:val="center"/>
        <w:rPr>
          <w:rFonts w:ascii="仿宋" w:hAnsi="仿宋" w:eastAsia="仿宋" w:cs="仿宋"/>
          <w:b/>
          <w:color w:val="auto"/>
          <w:sz w:val="32"/>
          <w:szCs w:val="32"/>
          <w:highlight w:val="none"/>
        </w:rPr>
      </w:pPr>
    </w:p>
    <w:p w14:paraId="107EF6D6">
      <w:pPr>
        <w:spacing w:line="480" w:lineRule="exact"/>
        <w:jc w:val="center"/>
        <w:rPr>
          <w:rFonts w:ascii="仿宋" w:hAnsi="仿宋" w:eastAsia="仿宋" w:cs="仿宋"/>
          <w:b/>
          <w:color w:val="auto"/>
          <w:sz w:val="32"/>
          <w:szCs w:val="32"/>
          <w:highlight w:val="none"/>
        </w:rPr>
      </w:pPr>
    </w:p>
    <w:p w14:paraId="27DB4A8A">
      <w:pPr>
        <w:spacing w:line="480" w:lineRule="exact"/>
        <w:jc w:val="center"/>
        <w:rPr>
          <w:rFonts w:ascii="仿宋" w:hAnsi="仿宋" w:eastAsia="仿宋" w:cs="仿宋"/>
          <w:b/>
          <w:color w:val="auto"/>
          <w:sz w:val="32"/>
          <w:szCs w:val="32"/>
          <w:highlight w:val="none"/>
        </w:rPr>
      </w:pPr>
    </w:p>
    <w:p w14:paraId="0C4BFA1D">
      <w:pPr>
        <w:spacing w:line="480" w:lineRule="exact"/>
        <w:jc w:val="center"/>
        <w:rPr>
          <w:rFonts w:ascii="仿宋" w:hAnsi="仿宋" w:eastAsia="仿宋" w:cs="仿宋"/>
          <w:b/>
          <w:color w:val="auto"/>
          <w:sz w:val="32"/>
          <w:szCs w:val="32"/>
          <w:highlight w:val="none"/>
        </w:rPr>
      </w:pPr>
    </w:p>
    <w:p w14:paraId="199A56FC">
      <w:pPr>
        <w:spacing w:line="480" w:lineRule="exact"/>
        <w:jc w:val="center"/>
        <w:rPr>
          <w:rFonts w:ascii="仿宋" w:hAnsi="仿宋" w:eastAsia="仿宋" w:cs="仿宋"/>
          <w:b/>
          <w:color w:val="auto"/>
          <w:sz w:val="32"/>
          <w:szCs w:val="32"/>
          <w:highlight w:val="none"/>
        </w:rPr>
      </w:pPr>
    </w:p>
    <w:p w14:paraId="1EDE59CB">
      <w:pPr>
        <w:spacing w:line="480" w:lineRule="exact"/>
        <w:jc w:val="center"/>
        <w:rPr>
          <w:rFonts w:ascii="仿宋" w:hAnsi="仿宋" w:eastAsia="仿宋" w:cs="仿宋"/>
          <w:b/>
          <w:color w:val="auto"/>
          <w:sz w:val="32"/>
          <w:szCs w:val="32"/>
          <w:highlight w:val="none"/>
        </w:rPr>
      </w:pPr>
    </w:p>
    <w:p w14:paraId="67E0E656">
      <w:pPr>
        <w:spacing w:line="480" w:lineRule="exact"/>
        <w:jc w:val="center"/>
        <w:rPr>
          <w:rFonts w:ascii="仿宋" w:hAnsi="仿宋" w:eastAsia="仿宋" w:cs="仿宋"/>
          <w:b/>
          <w:color w:val="auto"/>
          <w:sz w:val="32"/>
          <w:szCs w:val="32"/>
          <w:highlight w:val="none"/>
        </w:rPr>
      </w:pPr>
    </w:p>
    <w:p w14:paraId="0BA67650">
      <w:pPr>
        <w:spacing w:line="480" w:lineRule="exact"/>
        <w:jc w:val="center"/>
        <w:rPr>
          <w:rFonts w:ascii="仿宋" w:hAnsi="仿宋" w:eastAsia="仿宋" w:cs="仿宋"/>
          <w:b/>
          <w:color w:val="auto"/>
          <w:sz w:val="32"/>
          <w:szCs w:val="32"/>
          <w:highlight w:val="none"/>
        </w:rPr>
      </w:pPr>
    </w:p>
    <w:p w14:paraId="61BD2D52">
      <w:pPr>
        <w:spacing w:line="480" w:lineRule="exact"/>
        <w:jc w:val="center"/>
        <w:rPr>
          <w:rFonts w:ascii="仿宋" w:hAnsi="仿宋" w:eastAsia="仿宋" w:cs="仿宋"/>
          <w:b/>
          <w:color w:val="auto"/>
          <w:sz w:val="32"/>
          <w:szCs w:val="32"/>
          <w:highlight w:val="none"/>
        </w:rPr>
      </w:pPr>
    </w:p>
    <w:p w14:paraId="442C668E">
      <w:pPr>
        <w:spacing w:line="480" w:lineRule="exact"/>
        <w:jc w:val="center"/>
        <w:rPr>
          <w:rFonts w:ascii="仿宋" w:hAnsi="仿宋" w:eastAsia="仿宋" w:cs="仿宋"/>
          <w:b/>
          <w:color w:val="auto"/>
          <w:sz w:val="32"/>
          <w:szCs w:val="32"/>
          <w:highlight w:val="none"/>
        </w:rPr>
      </w:pPr>
    </w:p>
    <w:p w14:paraId="609717EF">
      <w:pPr>
        <w:spacing w:line="480" w:lineRule="exact"/>
        <w:jc w:val="center"/>
        <w:rPr>
          <w:rFonts w:ascii="仿宋" w:hAnsi="仿宋" w:eastAsia="仿宋" w:cs="仿宋"/>
          <w:b/>
          <w:color w:val="auto"/>
          <w:sz w:val="32"/>
          <w:szCs w:val="32"/>
          <w:highlight w:val="none"/>
        </w:rPr>
      </w:pPr>
    </w:p>
    <w:p w14:paraId="3770B66F">
      <w:pPr>
        <w:spacing w:line="480" w:lineRule="exact"/>
        <w:jc w:val="center"/>
        <w:rPr>
          <w:rFonts w:ascii="仿宋" w:hAnsi="仿宋" w:eastAsia="仿宋" w:cs="仿宋"/>
          <w:b/>
          <w:color w:val="auto"/>
          <w:sz w:val="32"/>
          <w:szCs w:val="32"/>
          <w:highlight w:val="none"/>
        </w:rPr>
      </w:pPr>
    </w:p>
    <w:p w14:paraId="76F043AA">
      <w:pPr>
        <w:spacing w:line="480" w:lineRule="exact"/>
        <w:jc w:val="center"/>
        <w:rPr>
          <w:rFonts w:ascii="仿宋" w:hAnsi="仿宋" w:eastAsia="仿宋" w:cs="仿宋"/>
          <w:b/>
          <w:color w:val="auto"/>
          <w:sz w:val="32"/>
          <w:szCs w:val="32"/>
          <w:highlight w:val="none"/>
        </w:rPr>
      </w:pPr>
    </w:p>
    <w:p w14:paraId="62ECA7B7">
      <w:pPr>
        <w:spacing w:line="480" w:lineRule="exact"/>
        <w:jc w:val="center"/>
        <w:rPr>
          <w:rFonts w:ascii="仿宋" w:hAnsi="仿宋" w:eastAsia="仿宋" w:cs="仿宋"/>
          <w:b/>
          <w:color w:val="auto"/>
          <w:sz w:val="32"/>
          <w:szCs w:val="32"/>
          <w:highlight w:val="none"/>
        </w:rPr>
      </w:pPr>
    </w:p>
    <w:p w14:paraId="30AF534A">
      <w:pPr>
        <w:spacing w:line="480" w:lineRule="exact"/>
        <w:jc w:val="center"/>
        <w:rPr>
          <w:rFonts w:ascii="仿宋" w:hAnsi="仿宋" w:eastAsia="仿宋" w:cs="仿宋"/>
          <w:b/>
          <w:color w:val="auto"/>
          <w:sz w:val="32"/>
          <w:szCs w:val="32"/>
          <w:highlight w:val="none"/>
        </w:rPr>
      </w:pPr>
    </w:p>
    <w:p w14:paraId="3D51BD85">
      <w:pPr>
        <w:spacing w:line="480" w:lineRule="exact"/>
        <w:jc w:val="center"/>
        <w:rPr>
          <w:rFonts w:ascii="仿宋" w:hAnsi="仿宋" w:eastAsia="仿宋" w:cs="仿宋"/>
          <w:b/>
          <w:color w:val="auto"/>
          <w:sz w:val="32"/>
          <w:szCs w:val="32"/>
          <w:highlight w:val="none"/>
        </w:rPr>
      </w:pPr>
    </w:p>
    <w:p w14:paraId="44834FA4">
      <w:pPr>
        <w:spacing w:line="480" w:lineRule="exact"/>
        <w:jc w:val="center"/>
        <w:rPr>
          <w:rFonts w:ascii="仿宋" w:hAnsi="仿宋" w:eastAsia="仿宋" w:cs="仿宋"/>
          <w:b/>
          <w:color w:val="auto"/>
          <w:sz w:val="32"/>
          <w:szCs w:val="32"/>
          <w:highlight w:val="none"/>
        </w:rPr>
      </w:pPr>
    </w:p>
    <w:p w14:paraId="39BA06F4">
      <w:pPr>
        <w:spacing w:line="480" w:lineRule="exact"/>
        <w:jc w:val="center"/>
        <w:rPr>
          <w:rFonts w:ascii="仿宋" w:hAnsi="仿宋" w:eastAsia="仿宋" w:cs="仿宋"/>
          <w:b/>
          <w:color w:val="auto"/>
          <w:sz w:val="32"/>
          <w:szCs w:val="32"/>
          <w:highlight w:val="none"/>
        </w:rPr>
      </w:pPr>
    </w:p>
    <w:p w14:paraId="0C1220BB">
      <w:pPr>
        <w:spacing w:line="480" w:lineRule="exact"/>
        <w:jc w:val="center"/>
        <w:rPr>
          <w:rFonts w:ascii="仿宋" w:hAnsi="仿宋" w:eastAsia="仿宋" w:cs="仿宋"/>
          <w:b/>
          <w:color w:val="auto"/>
          <w:sz w:val="32"/>
          <w:szCs w:val="32"/>
          <w:highlight w:val="none"/>
        </w:rPr>
      </w:pPr>
    </w:p>
    <w:p w14:paraId="18BC1367">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投标人（盖电子公章）：</w:t>
      </w:r>
    </w:p>
    <w:p w14:paraId="33074042">
      <w:pPr>
        <w:spacing w:line="480" w:lineRule="exact"/>
        <w:jc w:val="center"/>
        <w:rPr>
          <w:rFonts w:ascii="仿宋" w:hAnsi="仿宋" w:eastAsia="仿宋" w:cs="仿宋"/>
          <w:b/>
          <w:color w:val="auto"/>
          <w:kern w:val="0"/>
          <w:sz w:val="32"/>
          <w:szCs w:val="32"/>
          <w:highlight w:val="none"/>
        </w:rPr>
      </w:pPr>
      <w:r>
        <w:rPr>
          <w:rFonts w:hint="eastAsia" w:ascii="仿宋" w:hAnsi="仿宋" w:eastAsia="仿宋" w:cs="仿宋"/>
          <w:b/>
          <w:color w:val="auto"/>
          <w:sz w:val="32"/>
          <w:szCs w:val="32"/>
          <w:highlight w:val="none"/>
        </w:rPr>
        <w:br w:type="page"/>
      </w:r>
      <w:r>
        <w:rPr>
          <w:rFonts w:hint="eastAsia" w:ascii="仿宋" w:hAnsi="仿宋" w:eastAsia="仿宋" w:cs="仿宋"/>
          <w:b/>
          <w:color w:val="auto"/>
          <w:sz w:val="32"/>
          <w:szCs w:val="32"/>
          <w:highlight w:val="none"/>
        </w:rPr>
        <w:t>投标人具有建设行政主管部门颁发的《建设工程质量检测机构资质证书》综合资质或专项资质（资质范围需包括招标检测内容中的所有项目）证书扫描件</w:t>
      </w:r>
    </w:p>
    <w:p w14:paraId="6AF82B0A">
      <w:pPr>
        <w:rPr>
          <w:rFonts w:ascii="仿宋" w:hAnsi="仿宋" w:eastAsia="仿宋" w:cs="仿宋"/>
          <w:b/>
          <w:color w:val="auto"/>
          <w:kern w:val="0"/>
          <w:sz w:val="32"/>
          <w:szCs w:val="32"/>
          <w:highlight w:val="none"/>
        </w:rPr>
      </w:pPr>
    </w:p>
    <w:p w14:paraId="7E2AF2EE">
      <w:pPr>
        <w:rPr>
          <w:rFonts w:ascii="仿宋" w:hAnsi="仿宋" w:eastAsia="仿宋" w:cs="仿宋"/>
          <w:b/>
          <w:color w:val="auto"/>
          <w:kern w:val="0"/>
          <w:sz w:val="32"/>
          <w:szCs w:val="32"/>
          <w:highlight w:val="none"/>
        </w:rPr>
      </w:pPr>
    </w:p>
    <w:p w14:paraId="2779DD3D">
      <w:pPr>
        <w:rPr>
          <w:rFonts w:ascii="仿宋" w:hAnsi="仿宋" w:eastAsia="仿宋" w:cs="仿宋"/>
          <w:b/>
          <w:color w:val="auto"/>
          <w:kern w:val="0"/>
          <w:sz w:val="32"/>
          <w:szCs w:val="32"/>
          <w:highlight w:val="none"/>
        </w:rPr>
      </w:pPr>
    </w:p>
    <w:p w14:paraId="5178DE94">
      <w:pPr>
        <w:rPr>
          <w:rFonts w:ascii="仿宋" w:hAnsi="仿宋" w:eastAsia="仿宋" w:cs="仿宋"/>
          <w:b/>
          <w:color w:val="auto"/>
          <w:kern w:val="0"/>
          <w:sz w:val="32"/>
          <w:szCs w:val="32"/>
          <w:highlight w:val="none"/>
        </w:rPr>
      </w:pPr>
    </w:p>
    <w:p w14:paraId="1E65405A">
      <w:pPr>
        <w:rPr>
          <w:rFonts w:ascii="仿宋" w:hAnsi="仿宋" w:eastAsia="仿宋" w:cs="仿宋"/>
          <w:b/>
          <w:color w:val="auto"/>
          <w:kern w:val="0"/>
          <w:sz w:val="32"/>
          <w:szCs w:val="32"/>
          <w:highlight w:val="none"/>
        </w:rPr>
      </w:pPr>
    </w:p>
    <w:p w14:paraId="63B0B3E1">
      <w:pPr>
        <w:rPr>
          <w:rFonts w:ascii="仿宋" w:hAnsi="仿宋" w:eastAsia="仿宋" w:cs="仿宋"/>
          <w:b/>
          <w:color w:val="auto"/>
          <w:kern w:val="0"/>
          <w:sz w:val="32"/>
          <w:szCs w:val="32"/>
          <w:highlight w:val="none"/>
        </w:rPr>
      </w:pPr>
    </w:p>
    <w:p w14:paraId="1AF15C5C">
      <w:pPr>
        <w:rPr>
          <w:rFonts w:ascii="仿宋" w:hAnsi="仿宋" w:eastAsia="仿宋" w:cs="仿宋"/>
          <w:b/>
          <w:color w:val="auto"/>
          <w:kern w:val="0"/>
          <w:sz w:val="32"/>
          <w:szCs w:val="32"/>
          <w:highlight w:val="none"/>
        </w:rPr>
      </w:pPr>
    </w:p>
    <w:p w14:paraId="6A4BC531">
      <w:pPr>
        <w:rPr>
          <w:rFonts w:ascii="仿宋" w:hAnsi="仿宋" w:eastAsia="仿宋" w:cs="仿宋"/>
          <w:b/>
          <w:color w:val="auto"/>
          <w:kern w:val="0"/>
          <w:sz w:val="32"/>
          <w:szCs w:val="32"/>
          <w:highlight w:val="none"/>
        </w:rPr>
      </w:pPr>
    </w:p>
    <w:p w14:paraId="3C274CAE">
      <w:pPr>
        <w:rPr>
          <w:rFonts w:ascii="仿宋" w:hAnsi="仿宋" w:eastAsia="仿宋" w:cs="仿宋"/>
          <w:b/>
          <w:color w:val="auto"/>
          <w:kern w:val="0"/>
          <w:sz w:val="32"/>
          <w:szCs w:val="32"/>
          <w:highlight w:val="none"/>
        </w:rPr>
      </w:pPr>
    </w:p>
    <w:p w14:paraId="454BD564">
      <w:pPr>
        <w:rPr>
          <w:rFonts w:ascii="仿宋" w:hAnsi="仿宋" w:eastAsia="仿宋" w:cs="仿宋"/>
          <w:b/>
          <w:color w:val="auto"/>
          <w:kern w:val="0"/>
          <w:sz w:val="32"/>
          <w:szCs w:val="32"/>
          <w:highlight w:val="none"/>
        </w:rPr>
      </w:pPr>
    </w:p>
    <w:p w14:paraId="4662A02B">
      <w:pPr>
        <w:rPr>
          <w:rFonts w:ascii="仿宋" w:hAnsi="仿宋" w:eastAsia="仿宋" w:cs="仿宋"/>
          <w:b/>
          <w:color w:val="auto"/>
          <w:kern w:val="0"/>
          <w:sz w:val="32"/>
          <w:szCs w:val="32"/>
          <w:highlight w:val="none"/>
        </w:rPr>
      </w:pPr>
    </w:p>
    <w:p w14:paraId="5717A21E">
      <w:pPr>
        <w:rPr>
          <w:rFonts w:ascii="仿宋" w:hAnsi="仿宋" w:eastAsia="仿宋" w:cs="仿宋"/>
          <w:b/>
          <w:color w:val="auto"/>
          <w:kern w:val="0"/>
          <w:sz w:val="32"/>
          <w:szCs w:val="32"/>
          <w:highlight w:val="none"/>
        </w:rPr>
      </w:pPr>
    </w:p>
    <w:p w14:paraId="2B96E847">
      <w:pPr>
        <w:rPr>
          <w:rFonts w:ascii="仿宋" w:hAnsi="仿宋" w:eastAsia="仿宋" w:cs="仿宋"/>
          <w:b/>
          <w:color w:val="auto"/>
          <w:kern w:val="0"/>
          <w:sz w:val="32"/>
          <w:szCs w:val="32"/>
          <w:highlight w:val="none"/>
        </w:rPr>
      </w:pPr>
    </w:p>
    <w:p w14:paraId="1BF0EB6D">
      <w:pPr>
        <w:rPr>
          <w:rFonts w:ascii="仿宋" w:hAnsi="仿宋" w:eastAsia="仿宋" w:cs="仿宋"/>
          <w:b/>
          <w:color w:val="auto"/>
          <w:kern w:val="0"/>
          <w:sz w:val="32"/>
          <w:szCs w:val="32"/>
          <w:highlight w:val="none"/>
        </w:rPr>
      </w:pPr>
    </w:p>
    <w:p w14:paraId="4A33F4EF">
      <w:pPr>
        <w:rPr>
          <w:rFonts w:ascii="仿宋" w:hAnsi="仿宋" w:eastAsia="仿宋" w:cs="仿宋"/>
          <w:b/>
          <w:color w:val="auto"/>
          <w:kern w:val="0"/>
          <w:sz w:val="32"/>
          <w:szCs w:val="32"/>
          <w:highlight w:val="none"/>
        </w:rPr>
      </w:pPr>
    </w:p>
    <w:p w14:paraId="6663F7A3">
      <w:pPr>
        <w:rPr>
          <w:rFonts w:ascii="仿宋" w:hAnsi="仿宋" w:eastAsia="仿宋" w:cs="仿宋"/>
          <w:b/>
          <w:color w:val="auto"/>
          <w:kern w:val="0"/>
          <w:sz w:val="32"/>
          <w:szCs w:val="32"/>
          <w:highlight w:val="none"/>
        </w:rPr>
      </w:pPr>
    </w:p>
    <w:p w14:paraId="196773AE">
      <w:pPr>
        <w:rPr>
          <w:rFonts w:ascii="仿宋" w:hAnsi="仿宋" w:eastAsia="仿宋" w:cs="仿宋"/>
          <w:b/>
          <w:color w:val="auto"/>
          <w:kern w:val="0"/>
          <w:sz w:val="32"/>
          <w:szCs w:val="32"/>
          <w:highlight w:val="none"/>
        </w:rPr>
      </w:pPr>
    </w:p>
    <w:p w14:paraId="2B841707">
      <w:pPr>
        <w:rPr>
          <w:rFonts w:ascii="仿宋" w:hAnsi="仿宋" w:eastAsia="仿宋" w:cs="仿宋"/>
          <w:b/>
          <w:color w:val="auto"/>
          <w:kern w:val="0"/>
          <w:sz w:val="32"/>
          <w:szCs w:val="32"/>
          <w:highlight w:val="none"/>
        </w:rPr>
      </w:pPr>
    </w:p>
    <w:p w14:paraId="0355D511">
      <w:pPr>
        <w:rPr>
          <w:rFonts w:ascii="仿宋" w:hAnsi="仿宋" w:eastAsia="仿宋" w:cs="仿宋"/>
          <w:b/>
          <w:color w:val="auto"/>
          <w:kern w:val="0"/>
          <w:sz w:val="32"/>
          <w:szCs w:val="32"/>
          <w:highlight w:val="none"/>
        </w:rPr>
      </w:pPr>
    </w:p>
    <w:p w14:paraId="08EBD803">
      <w:pPr>
        <w:rPr>
          <w:rFonts w:ascii="仿宋" w:hAnsi="仿宋" w:eastAsia="仿宋" w:cs="仿宋"/>
          <w:b/>
          <w:color w:val="auto"/>
          <w:kern w:val="0"/>
          <w:sz w:val="32"/>
          <w:szCs w:val="32"/>
          <w:highlight w:val="none"/>
        </w:rPr>
      </w:pPr>
    </w:p>
    <w:p w14:paraId="6057430E">
      <w:pPr>
        <w:rPr>
          <w:rFonts w:ascii="仿宋" w:hAnsi="仿宋" w:eastAsia="仿宋" w:cs="仿宋"/>
          <w:b/>
          <w:color w:val="auto"/>
          <w:kern w:val="0"/>
          <w:sz w:val="32"/>
          <w:szCs w:val="32"/>
          <w:highlight w:val="none"/>
        </w:rPr>
      </w:pPr>
    </w:p>
    <w:p w14:paraId="4BC80216">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投标人（盖电子公章）：</w:t>
      </w:r>
    </w:p>
    <w:p w14:paraId="6EF1CED1">
      <w:pPr>
        <w:rPr>
          <w:rFonts w:ascii="仿宋" w:hAnsi="仿宋" w:eastAsia="仿宋" w:cs="仿宋"/>
          <w:b/>
          <w:color w:val="auto"/>
          <w:kern w:val="0"/>
          <w:sz w:val="32"/>
          <w:szCs w:val="32"/>
          <w:highlight w:val="none"/>
        </w:rPr>
      </w:pPr>
    </w:p>
    <w:p w14:paraId="1C91BE2D">
      <w:pPr>
        <w:spacing w:line="48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r>
        <w:rPr>
          <w:rFonts w:hint="eastAsia" w:ascii="仿宋" w:hAnsi="仿宋" w:eastAsia="仿宋" w:cs="仿宋"/>
          <w:b/>
          <w:color w:val="auto"/>
          <w:sz w:val="32"/>
          <w:szCs w:val="32"/>
          <w:highlight w:val="none"/>
        </w:rPr>
        <w:t>.具有省级(含)以上市场监督管理部门颁发的《检验检测机构资质认定证书》</w:t>
      </w:r>
    </w:p>
    <w:p w14:paraId="400FB6E6">
      <w:pPr>
        <w:rPr>
          <w:rFonts w:ascii="仿宋" w:hAnsi="仿宋" w:eastAsia="仿宋" w:cs="仿宋"/>
          <w:b/>
          <w:color w:val="auto"/>
          <w:sz w:val="32"/>
          <w:szCs w:val="32"/>
          <w:highlight w:val="none"/>
        </w:rPr>
      </w:pPr>
    </w:p>
    <w:p w14:paraId="7D093CAD">
      <w:pPr>
        <w:pStyle w:val="2"/>
        <w:rPr>
          <w:color w:val="auto"/>
          <w:highlight w:val="none"/>
        </w:rPr>
      </w:pPr>
    </w:p>
    <w:p w14:paraId="523FF865">
      <w:pPr>
        <w:pStyle w:val="3"/>
        <w:rPr>
          <w:color w:val="auto"/>
          <w:highlight w:val="none"/>
        </w:rPr>
      </w:pPr>
    </w:p>
    <w:p w14:paraId="40349344">
      <w:pPr>
        <w:rPr>
          <w:color w:val="auto"/>
          <w:highlight w:val="none"/>
        </w:rPr>
      </w:pPr>
    </w:p>
    <w:p w14:paraId="23E513B6">
      <w:pPr>
        <w:pStyle w:val="2"/>
        <w:rPr>
          <w:color w:val="auto"/>
          <w:highlight w:val="none"/>
        </w:rPr>
      </w:pPr>
    </w:p>
    <w:p w14:paraId="58A59FA0">
      <w:pPr>
        <w:pStyle w:val="3"/>
        <w:rPr>
          <w:color w:val="auto"/>
          <w:highlight w:val="none"/>
        </w:rPr>
      </w:pPr>
    </w:p>
    <w:p w14:paraId="060951DE">
      <w:pPr>
        <w:rPr>
          <w:color w:val="auto"/>
          <w:highlight w:val="none"/>
        </w:rPr>
      </w:pPr>
    </w:p>
    <w:p w14:paraId="659CF621">
      <w:pPr>
        <w:pStyle w:val="2"/>
        <w:rPr>
          <w:color w:val="auto"/>
          <w:highlight w:val="none"/>
        </w:rPr>
      </w:pPr>
    </w:p>
    <w:p w14:paraId="6221158C">
      <w:pPr>
        <w:pStyle w:val="3"/>
        <w:rPr>
          <w:color w:val="auto"/>
          <w:highlight w:val="none"/>
        </w:rPr>
      </w:pPr>
    </w:p>
    <w:p w14:paraId="087B522B">
      <w:pPr>
        <w:rPr>
          <w:color w:val="auto"/>
          <w:highlight w:val="none"/>
        </w:rPr>
      </w:pPr>
    </w:p>
    <w:p w14:paraId="6978C79E">
      <w:pPr>
        <w:pStyle w:val="2"/>
        <w:rPr>
          <w:color w:val="auto"/>
          <w:highlight w:val="none"/>
        </w:rPr>
      </w:pPr>
    </w:p>
    <w:p w14:paraId="0A075787">
      <w:pPr>
        <w:pStyle w:val="3"/>
        <w:rPr>
          <w:color w:val="auto"/>
          <w:highlight w:val="none"/>
        </w:rPr>
      </w:pPr>
    </w:p>
    <w:p w14:paraId="7B2BBF8B">
      <w:pPr>
        <w:rPr>
          <w:color w:val="auto"/>
          <w:highlight w:val="none"/>
        </w:rPr>
      </w:pPr>
    </w:p>
    <w:p w14:paraId="4089525C">
      <w:pPr>
        <w:pStyle w:val="2"/>
        <w:rPr>
          <w:color w:val="auto"/>
          <w:highlight w:val="none"/>
        </w:rPr>
      </w:pPr>
    </w:p>
    <w:p w14:paraId="3AE8A2D8">
      <w:pPr>
        <w:pStyle w:val="3"/>
        <w:rPr>
          <w:color w:val="auto"/>
          <w:highlight w:val="none"/>
        </w:rPr>
      </w:pPr>
    </w:p>
    <w:p w14:paraId="72549557">
      <w:pPr>
        <w:rPr>
          <w:color w:val="auto"/>
          <w:highlight w:val="none"/>
        </w:rPr>
      </w:pPr>
    </w:p>
    <w:p w14:paraId="651DB651">
      <w:pPr>
        <w:pStyle w:val="3"/>
        <w:rPr>
          <w:color w:val="auto"/>
          <w:highlight w:val="none"/>
        </w:rPr>
      </w:pPr>
    </w:p>
    <w:p w14:paraId="69045EBF">
      <w:pPr>
        <w:rPr>
          <w:color w:val="auto"/>
          <w:highlight w:val="none"/>
        </w:rPr>
      </w:pPr>
    </w:p>
    <w:p w14:paraId="4580020F">
      <w:pPr>
        <w:pStyle w:val="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投标人（盖电子公章）</w:t>
      </w:r>
    </w:p>
    <w:p w14:paraId="72CED42C">
      <w:pPr>
        <w:pStyle w:val="3"/>
        <w:rPr>
          <w:color w:val="auto"/>
          <w:highlight w:val="none"/>
        </w:rPr>
      </w:pPr>
    </w:p>
    <w:p w14:paraId="1674CC8F">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法定代表人身份证明</w:t>
      </w:r>
    </w:p>
    <w:p w14:paraId="4AF06305">
      <w:pPr>
        <w:rPr>
          <w:rFonts w:ascii="仿宋" w:hAnsi="仿宋" w:eastAsia="仿宋" w:cs="仿宋"/>
          <w:color w:val="auto"/>
          <w:sz w:val="28"/>
          <w:szCs w:val="28"/>
          <w:highlight w:val="none"/>
        </w:rPr>
      </w:pPr>
    </w:p>
    <w:p w14:paraId="3563BD42">
      <w:pPr>
        <w:spacing w:line="48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投标人名称：</w:t>
      </w:r>
    </w:p>
    <w:p w14:paraId="5C0EE654">
      <w:pPr>
        <w:spacing w:line="480" w:lineRule="exac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单位性质：</w:t>
      </w:r>
    </w:p>
    <w:p w14:paraId="1F4AED9F">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p w14:paraId="5A8BF7ED">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成立时间：年月日</w:t>
      </w:r>
    </w:p>
    <w:p w14:paraId="6FCEAC17">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p>
    <w:p w14:paraId="0C54B8B5">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姓名：性别：年龄：职务：</w:t>
      </w:r>
    </w:p>
    <w:p w14:paraId="56AC5F27">
      <w:pPr>
        <w:spacing w:line="48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系</w:t>
      </w:r>
      <w:r>
        <w:rPr>
          <w:rFonts w:hint="eastAsia" w:ascii="仿宋" w:hAnsi="仿宋" w:eastAsia="仿宋" w:cs="仿宋"/>
          <w:color w:val="auto"/>
          <w:sz w:val="28"/>
          <w:szCs w:val="28"/>
          <w:highlight w:val="none"/>
          <w:u w:val="single"/>
        </w:rPr>
        <w:t>（投标人名称）</w:t>
      </w:r>
      <w:r>
        <w:rPr>
          <w:rFonts w:hint="eastAsia" w:ascii="仿宋" w:hAnsi="仿宋" w:eastAsia="仿宋" w:cs="仿宋"/>
          <w:color w:val="auto"/>
          <w:sz w:val="28"/>
          <w:szCs w:val="28"/>
          <w:highlight w:val="none"/>
        </w:rPr>
        <w:t>的法定代表人。</w:t>
      </w:r>
    </w:p>
    <w:p w14:paraId="7BC7D404">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66D34FDF">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投标人（盖电子公章）：</w:t>
      </w:r>
    </w:p>
    <w:p w14:paraId="45B8CCF0">
      <w:pPr>
        <w:pStyle w:val="26"/>
        <w:spacing w:line="48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年月日</w:t>
      </w:r>
    </w:p>
    <w:p w14:paraId="4D97402E">
      <w:pPr>
        <w:pStyle w:val="26"/>
        <w:ind w:firstLine="560" w:firstLineChars="200"/>
        <w:jc w:val="center"/>
        <w:rPr>
          <w:rFonts w:ascii="仿宋" w:hAnsi="仿宋" w:eastAsia="仿宋" w:cs="仿宋"/>
          <w:color w:val="auto"/>
          <w:sz w:val="28"/>
          <w:szCs w:val="28"/>
          <w:highlight w:val="none"/>
        </w:rPr>
      </w:pPr>
    </w:p>
    <w:p w14:paraId="42666EBA">
      <w:pPr>
        <w:pStyle w:val="26"/>
        <w:ind w:firstLine="560" w:firstLineChars="200"/>
        <w:jc w:val="center"/>
        <w:rPr>
          <w:rFonts w:ascii="仿宋" w:hAnsi="仿宋" w:eastAsia="仿宋" w:cs="仿宋"/>
          <w:color w:val="auto"/>
          <w:sz w:val="28"/>
          <w:szCs w:val="28"/>
          <w:highlight w:val="none"/>
        </w:rPr>
      </w:pPr>
    </w:p>
    <w:tbl>
      <w:tblPr>
        <w:tblStyle w:val="49"/>
        <w:tblpPr w:leftFromText="180" w:rightFromText="180" w:vertAnchor="text" w:tblpXSpec="center" w:tblpY="1"/>
        <w:tblOverlap w:val="never"/>
        <w:tblW w:w="73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6"/>
      </w:tblGrid>
      <w:tr w14:paraId="0E955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0" w:hRule="atLeast"/>
        </w:trPr>
        <w:tc>
          <w:tcPr>
            <w:tcW w:w="7336" w:type="dxa"/>
            <w:vAlign w:val="center"/>
          </w:tcPr>
          <w:p w14:paraId="3BB0C8DC">
            <w:pPr>
              <w:pStyle w:val="41"/>
              <w:jc w:val="center"/>
              <w:rPr>
                <w:rFonts w:ascii="仿宋" w:hAnsi="仿宋" w:eastAsia="仿宋" w:cs="仿宋"/>
                <w:color w:val="auto"/>
                <w:szCs w:val="28"/>
                <w:highlight w:val="none"/>
              </w:rPr>
            </w:pPr>
            <w:r>
              <w:rPr>
                <w:rFonts w:hint="eastAsia" w:ascii="仿宋" w:hAnsi="仿宋" w:eastAsia="仿宋" w:cs="仿宋"/>
                <w:color w:val="auto"/>
                <w:sz w:val="28"/>
                <w:szCs w:val="28"/>
                <w:highlight w:val="none"/>
              </w:rPr>
              <w:t>（法定代表人身份证双面扫描件）</w:t>
            </w:r>
          </w:p>
        </w:tc>
      </w:tr>
    </w:tbl>
    <w:p w14:paraId="72D1091E">
      <w:pPr>
        <w:pStyle w:val="26"/>
        <w:spacing w:line="520" w:lineRule="exact"/>
        <w:jc w:val="center"/>
        <w:rPr>
          <w:rFonts w:ascii="仿宋" w:hAnsi="仿宋" w:eastAsia="仿宋" w:cs="仿宋"/>
          <w:b/>
          <w:color w:val="auto"/>
          <w:sz w:val="36"/>
          <w:highlight w:val="none"/>
        </w:rPr>
      </w:pPr>
    </w:p>
    <w:p w14:paraId="1AA4D0D0">
      <w:pPr>
        <w:pStyle w:val="26"/>
        <w:spacing w:line="520" w:lineRule="exact"/>
        <w:jc w:val="center"/>
        <w:rPr>
          <w:rFonts w:ascii="仿宋" w:hAnsi="仿宋" w:eastAsia="仿宋" w:cs="仿宋"/>
          <w:b/>
          <w:color w:val="auto"/>
          <w:sz w:val="36"/>
          <w:highlight w:val="none"/>
        </w:rPr>
      </w:pPr>
    </w:p>
    <w:p w14:paraId="057A563B">
      <w:pPr>
        <w:pStyle w:val="26"/>
        <w:spacing w:line="520" w:lineRule="exact"/>
        <w:jc w:val="center"/>
        <w:rPr>
          <w:rFonts w:ascii="仿宋" w:hAnsi="仿宋" w:eastAsia="仿宋" w:cs="仿宋"/>
          <w:b/>
          <w:color w:val="auto"/>
          <w:sz w:val="36"/>
          <w:highlight w:val="none"/>
        </w:rPr>
      </w:pPr>
    </w:p>
    <w:p w14:paraId="5B267E78">
      <w:pPr>
        <w:pStyle w:val="26"/>
        <w:spacing w:line="520" w:lineRule="exact"/>
        <w:jc w:val="center"/>
        <w:rPr>
          <w:rFonts w:ascii="仿宋" w:hAnsi="仿宋" w:eastAsia="仿宋" w:cs="仿宋"/>
          <w:b/>
          <w:color w:val="auto"/>
          <w:sz w:val="36"/>
          <w:highlight w:val="none"/>
        </w:rPr>
      </w:pPr>
    </w:p>
    <w:p w14:paraId="10B8D294">
      <w:pPr>
        <w:pStyle w:val="26"/>
        <w:spacing w:line="520" w:lineRule="exact"/>
        <w:jc w:val="center"/>
        <w:rPr>
          <w:rFonts w:ascii="仿宋" w:hAnsi="仿宋" w:eastAsia="仿宋" w:cs="仿宋"/>
          <w:b/>
          <w:color w:val="auto"/>
          <w:sz w:val="36"/>
          <w:highlight w:val="none"/>
        </w:rPr>
      </w:pPr>
    </w:p>
    <w:p w14:paraId="5FF314E5">
      <w:pPr>
        <w:pStyle w:val="26"/>
        <w:spacing w:line="520" w:lineRule="exact"/>
        <w:jc w:val="center"/>
        <w:rPr>
          <w:rFonts w:ascii="仿宋" w:hAnsi="仿宋" w:eastAsia="仿宋" w:cs="仿宋"/>
          <w:b/>
          <w:color w:val="auto"/>
          <w:sz w:val="36"/>
          <w:highlight w:val="none"/>
        </w:rPr>
      </w:pPr>
    </w:p>
    <w:p w14:paraId="07DE05F5">
      <w:pPr>
        <w:pStyle w:val="26"/>
        <w:spacing w:line="520" w:lineRule="exact"/>
        <w:jc w:val="center"/>
        <w:rPr>
          <w:rFonts w:ascii="仿宋" w:hAnsi="仿宋" w:eastAsia="仿宋" w:cs="仿宋"/>
          <w:b/>
          <w:color w:val="auto"/>
          <w:sz w:val="36"/>
          <w:highlight w:val="none"/>
        </w:rPr>
      </w:pPr>
    </w:p>
    <w:p w14:paraId="56498FA3">
      <w:pPr>
        <w:pStyle w:val="26"/>
        <w:spacing w:line="520" w:lineRule="exact"/>
        <w:jc w:val="center"/>
        <w:rPr>
          <w:rFonts w:ascii="仿宋" w:hAnsi="仿宋" w:eastAsia="仿宋" w:cs="仿宋"/>
          <w:b/>
          <w:color w:val="auto"/>
          <w:sz w:val="36"/>
          <w:szCs w:val="36"/>
          <w:highlight w:val="none"/>
        </w:rPr>
      </w:pPr>
    </w:p>
    <w:p w14:paraId="791B1A6F">
      <w:pPr>
        <w:pStyle w:val="26"/>
        <w:spacing w:line="520" w:lineRule="exact"/>
        <w:jc w:val="center"/>
        <w:rPr>
          <w:rFonts w:ascii="仿宋" w:hAnsi="仿宋" w:eastAsia="仿宋" w:cs="仿宋"/>
          <w:b/>
          <w:color w:val="auto"/>
          <w:sz w:val="36"/>
          <w:szCs w:val="36"/>
          <w:highlight w:val="none"/>
        </w:rPr>
      </w:pPr>
    </w:p>
    <w:p w14:paraId="38A67F37">
      <w:pPr>
        <w:pStyle w:val="26"/>
        <w:spacing w:line="520" w:lineRule="exact"/>
        <w:jc w:val="center"/>
        <w:rPr>
          <w:rFonts w:ascii="仿宋" w:hAnsi="仿宋" w:eastAsia="仿宋" w:cs="仿宋"/>
          <w:b/>
          <w:color w:val="auto"/>
          <w:sz w:val="36"/>
          <w:szCs w:val="36"/>
          <w:highlight w:val="none"/>
        </w:rPr>
      </w:pPr>
    </w:p>
    <w:p w14:paraId="6DAB8AA3">
      <w:pPr>
        <w:pStyle w:val="26"/>
        <w:spacing w:line="520" w:lineRule="exact"/>
        <w:jc w:val="center"/>
        <w:rPr>
          <w:rFonts w:ascii="仿宋" w:hAnsi="仿宋" w:eastAsia="仿宋" w:cs="仿宋"/>
          <w:b/>
          <w:color w:val="auto"/>
          <w:sz w:val="36"/>
          <w:szCs w:val="36"/>
          <w:highlight w:val="none"/>
        </w:rPr>
      </w:pPr>
    </w:p>
    <w:p w14:paraId="47996DBD">
      <w:pPr>
        <w:rPr>
          <w:rFonts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14:paraId="0439B25F">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授权委托书</w:t>
      </w:r>
    </w:p>
    <w:p w14:paraId="0A659946">
      <w:pPr>
        <w:snapToGrid w:val="0"/>
        <w:spacing w:line="560" w:lineRule="exact"/>
        <w:jc w:val="center"/>
        <w:rPr>
          <w:rFonts w:ascii="仿宋" w:hAnsi="仿宋" w:eastAsia="仿宋" w:cs="仿宋"/>
          <w:b/>
          <w:color w:val="auto"/>
          <w:sz w:val="32"/>
          <w:szCs w:val="32"/>
          <w:highlight w:val="none"/>
        </w:rPr>
      </w:pPr>
    </w:p>
    <w:p w14:paraId="01E9713B">
      <w:pPr>
        <w:pStyle w:val="26"/>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本授权书声明：注册于</w:t>
      </w:r>
      <w:r>
        <w:rPr>
          <w:rFonts w:hint="eastAsia" w:ascii="仿宋" w:hAnsi="仿宋" w:eastAsia="仿宋" w:cs="仿宋"/>
          <w:color w:val="auto"/>
          <w:sz w:val="28"/>
          <w:szCs w:val="28"/>
          <w:highlight w:val="none"/>
          <w:u w:val="single"/>
        </w:rPr>
        <w:t xml:space="preserve">   (国家或地区的名称)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(公司名称)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(法人代表姓名、职务)  </w:t>
      </w:r>
      <w:r>
        <w:rPr>
          <w:rFonts w:hint="eastAsia" w:ascii="仿宋" w:hAnsi="仿宋" w:eastAsia="仿宋" w:cs="仿宋"/>
          <w:color w:val="auto"/>
          <w:sz w:val="28"/>
          <w:szCs w:val="28"/>
          <w:highlight w:val="none"/>
        </w:rPr>
        <w:t>，代表本公司授权</w:t>
      </w:r>
      <w:r>
        <w:rPr>
          <w:rFonts w:hint="eastAsia" w:ascii="仿宋" w:hAnsi="仿宋" w:eastAsia="仿宋" w:cs="仿宋"/>
          <w:color w:val="auto"/>
          <w:sz w:val="28"/>
          <w:szCs w:val="28"/>
          <w:highlight w:val="none"/>
          <w:u w:val="single"/>
        </w:rPr>
        <w:t xml:space="preserve">  (被授权单位名称)  </w:t>
      </w:r>
      <w:r>
        <w:rPr>
          <w:rFonts w:hint="eastAsia" w:ascii="仿宋" w:hAnsi="仿宋" w:eastAsia="仿宋" w:cs="仿宋"/>
          <w:color w:val="auto"/>
          <w:sz w:val="28"/>
          <w:szCs w:val="28"/>
          <w:highlight w:val="none"/>
        </w:rPr>
        <w:t>的</w:t>
      </w:r>
      <w:r>
        <w:rPr>
          <w:rFonts w:hint="eastAsia" w:ascii="仿宋" w:hAnsi="仿宋" w:eastAsia="仿宋" w:cs="仿宋"/>
          <w:color w:val="auto"/>
          <w:sz w:val="28"/>
          <w:szCs w:val="28"/>
          <w:highlight w:val="none"/>
          <w:u w:val="single"/>
        </w:rPr>
        <w:t xml:space="preserve">        (被授权人的姓名、职务)</w:t>
      </w:r>
      <w:r>
        <w:rPr>
          <w:rFonts w:hint="eastAsia" w:ascii="仿宋" w:hAnsi="仿宋" w:eastAsia="仿宋" w:cs="仿宋"/>
          <w:color w:val="auto"/>
          <w:sz w:val="28"/>
          <w:szCs w:val="28"/>
          <w:highlight w:val="none"/>
        </w:rPr>
        <w:t>为本公司的合法代理人，参加编号为HSSGZC20260601号的公开招标采购活动，以本公司名义处理一切与之有关的事宜。</w:t>
      </w:r>
    </w:p>
    <w:p w14:paraId="5B2F89C5">
      <w:pPr>
        <w:pStyle w:val="26"/>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如果本公司在此次采购活动中中标，被授权人有权代表本公司签署合同。</w:t>
      </w:r>
    </w:p>
    <w:p w14:paraId="49049983">
      <w:pPr>
        <w:pStyle w:val="26"/>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本授权书于年月日法定代表人签字或盖章生效，特此声明。</w:t>
      </w:r>
    </w:p>
    <w:p w14:paraId="1C4E75C8">
      <w:pPr>
        <w:pStyle w:val="26"/>
        <w:spacing w:line="5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被授权人无转委托权。</w:t>
      </w:r>
    </w:p>
    <w:p w14:paraId="2F4CA911">
      <w:pPr>
        <w:pStyle w:val="26"/>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法定代表人签章：</w:t>
      </w:r>
    </w:p>
    <w:p w14:paraId="1CFD833B">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投标人（盖电子公章）：</w:t>
      </w:r>
    </w:p>
    <w:tbl>
      <w:tblPr>
        <w:tblStyle w:val="49"/>
        <w:tblpPr w:leftFromText="180" w:rightFromText="180" w:vertAnchor="text" w:horzAnchor="page" w:tblpX="2855" w:tblpY="241"/>
        <w:tblOverlap w:val="never"/>
        <w:tblW w:w="5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4"/>
      </w:tblGrid>
      <w:tr w14:paraId="6430A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0" w:hRule="atLeast"/>
        </w:trPr>
        <w:tc>
          <w:tcPr>
            <w:tcW w:w="5644" w:type="dxa"/>
            <w:vAlign w:val="center"/>
          </w:tcPr>
          <w:p w14:paraId="59808FA4">
            <w:pPr>
              <w:pStyle w:val="26"/>
              <w:spacing w:line="520" w:lineRule="exact"/>
              <w:ind w:firstLine="840" w:firstLineChars="3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（被授权人身份证双面扫描件）</w:t>
            </w:r>
          </w:p>
        </w:tc>
      </w:tr>
    </w:tbl>
    <w:p w14:paraId="343EFE6B">
      <w:pPr>
        <w:pStyle w:val="26"/>
        <w:spacing w:line="520" w:lineRule="exact"/>
        <w:rPr>
          <w:rFonts w:ascii="仿宋" w:hAnsi="仿宋" w:eastAsia="仿宋" w:cs="仿宋"/>
          <w:color w:val="auto"/>
          <w:sz w:val="28"/>
          <w:szCs w:val="28"/>
          <w:highlight w:val="none"/>
        </w:rPr>
      </w:pPr>
    </w:p>
    <w:p w14:paraId="74AB21CC">
      <w:pPr>
        <w:pStyle w:val="26"/>
        <w:spacing w:line="520" w:lineRule="exact"/>
        <w:jc w:val="center"/>
        <w:rPr>
          <w:rFonts w:ascii="仿宋" w:hAnsi="仿宋" w:eastAsia="仿宋" w:cs="仿宋"/>
          <w:b/>
          <w:color w:val="auto"/>
          <w:sz w:val="28"/>
          <w:szCs w:val="28"/>
          <w:highlight w:val="none"/>
        </w:rPr>
      </w:pPr>
    </w:p>
    <w:p w14:paraId="45511C99">
      <w:pPr>
        <w:rPr>
          <w:rFonts w:ascii="仿宋" w:hAnsi="仿宋" w:eastAsia="仿宋" w:cs="仿宋"/>
          <w:color w:val="auto"/>
          <w:sz w:val="28"/>
          <w:szCs w:val="28"/>
          <w:highlight w:val="none"/>
        </w:rPr>
      </w:pPr>
    </w:p>
    <w:p w14:paraId="6817724C">
      <w:pPr>
        <w:rPr>
          <w:rFonts w:ascii="仿宋" w:hAnsi="仿宋" w:eastAsia="仿宋" w:cs="仿宋"/>
          <w:color w:val="auto"/>
          <w:sz w:val="28"/>
          <w:szCs w:val="28"/>
          <w:highlight w:val="none"/>
        </w:rPr>
      </w:pPr>
    </w:p>
    <w:p w14:paraId="1B9C59E8">
      <w:pPr>
        <w:rPr>
          <w:rFonts w:ascii="仿宋" w:hAnsi="仿宋" w:eastAsia="仿宋" w:cs="仿宋"/>
          <w:color w:val="auto"/>
          <w:sz w:val="28"/>
          <w:szCs w:val="28"/>
          <w:highlight w:val="none"/>
        </w:rPr>
      </w:pPr>
    </w:p>
    <w:p w14:paraId="764A1252">
      <w:pPr>
        <w:rPr>
          <w:rFonts w:ascii="仿宋" w:hAnsi="仿宋" w:eastAsia="仿宋" w:cs="仿宋"/>
          <w:color w:val="auto"/>
          <w:sz w:val="28"/>
          <w:szCs w:val="28"/>
          <w:highlight w:val="none"/>
        </w:rPr>
      </w:pPr>
    </w:p>
    <w:p w14:paraId="63E7FD10">
      <w:pPr>
        <w:rPr>
          <w:rFonts w:ascii="仿宋" w:hAnsi="仿宋" w:eastAsia="仿宋" w:cs="仿宋"/>
          <w:color w:val="auto"/>
          <w:sz w:val="28"/>
          <w:szCs w:val="28"/>
          <w:highlight w:val="none"/>
        </w:rPr>
      </w:pPr>
    </w:p>
    <w:p w14:paraId="304E8748">
      <w:pPr>
        <w:rPr>
          <w:rFonts w:ascii="仿宋" w:hAnsi="仿宋" w:eastAsia="仿宋" w:cs="仿宋"/>
          <w:color w:val="auto"/>
          <w:sz w:val="28"/>
          <w:szCs w:val="28"/>
          <w:highlight w:val="none"/>
        </w:rPr>
      </w:pPr>
    </w:p>
    <w:p w14:paraId="0493D385">
      <w:pPr>
        <w:rPr>
          <w:rFonts w:ascii="仿宋" w:hAnsi="仿宋" w:eastAsia="仿宋" w:cs="仿宋"/>
          <w:bCs/>
          <w:color w:val="auto"/>
          <w:sz w:val="24"/>
          <w:highlight w:val="none"/>
        </w:rPr>
      </w:pPr>
      <w:r>
        <w:rPr>
          <w:rFonts w:hint="eastAsia" w:ascii="仿宋" w:hAnsi="仿宋" w:eastAsia="仿宋" w:cs="仿宋"/>
          <w:color w:val="auto"/>
          <w:sz w:val="28"/>
          <w:szCs w:val="28"/>
          <w:highlight w:val="none"/>
        </w:rPr>
        <w:t>说明：若投标人代表为企业法定代表人，此表可不填。</w:t>
      </w:r>
    </w:p>
    <w:p w14:paraId="657A3ED6">
      <w:pPr>
        <w:widowControl/>
        <w:jc w:val="left"/>
        <w:rPr>
          <w:rFonts w:ascii="仿宋" w:hAnsi="仿宋" w:eastAsia="仿宋" w:cs="仿宋"/>
          <w:b/>
          <w:color w:val="auto"/>
          <w:sz w:val="32"/>
          <w:szCs w:val="32"/>
          <w:highlight w:val="none"/>
        </w:rPr>
      </w:pPr>
      <w:r>
        <w:rPr>
          <w:rFonts w:ascii="仿宋" w:hAnsi="仿宋" w:eastAsia="仿宋" w:cs="仿宋"/>
          <w:b/>
          <w:color w:val="auto"/>
          <w:sz w:val="32"/>
          <w:szCs w:val="32"/>
          <w:highlight w:val="none"/>
        </w:rPr>
        <w:br w:type="page"/>
      </w:r>
    </w:p>
    <w:p w14:paraId="33AE2FE6">
      <w:pPr>
        <w:spacing w:line="54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投标人参与投标的声明函</w:t>
      </w:r>
    </w:p>
    <w:p w14:paraId="2F8E64C3">
      <w:pPr>
        <w:pStyle w:val="26"/>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本单位郑重承诺如下：</w:t>
      </w:r>
    </w:p>
    <w:p w14:paraId="691348E6">
      <w:pPr>
        <w:pStyle w:val="26"/>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1.具有独立承担民事责任的能力；</w:t>
      </w:r>
    </w:p>
    <w:p w14:paraId="3D60CC05">
      <w:pPr>
        <w:pStyle w:val="26"/>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2.具有良好的商业信誉和健全的财务会计制度；</w:t>
      </w:r>
    </w:p>
    <w:p w14:paraId="7CF0244D">
      <w:pPr>
        <w:pStyle w:val="26"/>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3.具有履行合同所必需设备和专业技术能力；</w:t>
      </w:r>
    </w:p>
    <w:p w14:paraId="5D1F2083">
      <w:pPr>
        <w:pStyle w:val="26"/>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4.具有依法缴纳税收和社会保障资金的良好记录；</w:t>
      </w:r>
    </w:p>
    <w:p w14:paraId="5FB314C1">
      <w:pPr>
        <w:pStyle w:val="26"/>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5.参加本次招标活动前三年内，在经营活动中没有重大违法记录；</w:t>
      </w:r>
    </w:p>
    <w:p w14:paraId="1F63EF4F">
      <w:pPr>
        <w:pStyle w:val="26"/>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6.我方不存在招标文件第二章“投标人须知”第24.1项的情况。</w:t>
      </w:r>
    </w:p>
    <w:p w14:paraId="65F3B396">
      <w:pPr>
        <w:spacing w:line="52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7.符合法律、行政法规及招标文件规定的其他要求。</w:t>
      </w:r>
    </w:p>
    <w:p w14:paraId="4467C746">
      <w:pPr>
        <w:spacing w:line="520" w:lineRule="exact"/>
        <w:ind w:firstLine="560" w:firstLineChars="2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p w14:paraId="2CABF226">
      <w:pPr>
        <w:pStyle w:val="2"/>
        <w:rPr>
          <w:rFonts w:ascii="仿宋" w:hAnsi="仿宋" w:eastAsia="仿宋"/>
          <w:color w:val="auto"/>
          <w:highlight w:val="none"/>
        </w:rPr>
      </w:pPr>
    </w:p>
    <w:p w14:paraId="1E075C28">
      <w:pPr>
        <w:pStyle w:val="26"/>
        <w:spacing w:line="520" w:lineRule="exact"/>
        <w:ind w:firstLine="560" w:firstLineChars="200"/>
        <w:rPr>
          <w:rFonts w:ascii="仿宋" w:hAnsi="仿宋" w:eastAsia="仿宋" w:cs="仿宋"/>
          <w:color w:val="auto"/>
          <w:sz w:val="28"/>
          <w:szCs w:val="28"/>
          <w:highlight w:val="none"/>
        </w:rPr>
      </w:pPr>
    </w:p>
    <w:p w14:paraId="27303D33">
      <w:pPr>
        <w:pStyle w:val="26"/>
        <w:spacing w:line="520" w:lineRule="exact"/>
        <w:ind w:firstLine="560" w:firstLineChars="200"/>
        <w:rPr>
          <w:rFonts w:ascii="仿宋" w:hAnsi="仿宋" w:eastAsia="仿宋" w:cs="仿宋"/>
          <w:color w:val="auto"/>
          <w:sz w:val="28"/>
          <w:szCs w:val="28"/>
          <w:highlight w:val="none"/>
        </w:rPr>
      </w:pPr>
    </w:p>
    <w:p w14:paraId="7BF99288">
      <w:pPr>
        <w:snapToGrid w:val="0"/>
        <w:spacing w:line="560" w:lineRule="exact"/>
        <w:ind w:firstLine="562" w:firstLineChars="201"/>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投标人（盖电子公章）：</w:t>
      </w:r>
    </w:p>
    <w:p w14:paraId="7E9728D6">
      <w:pPr>
        <w:pStyle w:val="26"/>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法定代表人（盖电子法人章）：</w:t>
      </w:r>
    </w:p>
    <w:p w14:paraId="5031C9D7">
      <w:pPr>
        <w:rPr>
          <w:rFonts w:ascii="仿宋" w:hAnsi="仿宋" w:eastAsia="仿宋" w:cs="仿宋"/>
          <w:b/>
          <w:color w:val="auto"/>
          <w:sz w:val="28"/>
          <w:szCs w:val="28"/>
          <w:highlight w:val="none"/>
        </w:rPr>
      </w:pPr>
      <w:r>
        <w:rPr>
          <w:rFonts w:hint="eastAsia" w:ascii="仿宋" w:hAnsi="仿宋" w:eastAsia="仿宋" w:cs="仿宋"/>
          <w:b/>
          <w:color w:val="auto"/>
          <w:sz w:val="32"/>
          <w:szCs w:val="32"/>
          <w:highlight w:val="none"/>
        </w:rPr>
        <w:br w:type="page"/>
      </w:r>
    </w:p>
    <w:p w14:paraId="636FDA65">
      <w:pPr>
        <w:wordWrap w:val="0"/>
        <w:snapToGrid w:val="0"/>
        <w:spacing w:line="560" w:lineRule="exact"/>
        <w:jc w:val="center"/>
        <w:rPr>
          <w:rFonts w:ascii="仿宋" w:hAnsi="仿宋" w:eastAsia="仿宋" w:cs="仿宋"/>
          <w:b/>
          <w:color w:val="auto"/>
          <w:sz w:val="32"/>
          <w:szCs w:val="32"/>
          <w:highlight w:val="none"/>
        </w:rPr>
      </w:pPr>
      <w:bookmarkStart w:id="28" w:name="_Toc522526789"/>
      <w:bookmarkStart w:id="29" w:name="_Toc504549927"/>
      <w:r>
        <w:rPr>
          <w:rFonts w:hint="eastAsia" w:ascii="仿宋" w:hAnsi="仿宋" w:eastAsia="仿宋" w:cs="仿宋"/>
          <w:b/>
          <w:color w:val="auto"/>
          <w:sz w:val="32"/>
          <w:szCs w:val="32"/>
          <w:highlight w:val="none"/>
        </w:rPr>
        <w:t>投标人、法定代表人、委托代理人及项目负责人未被最高法院列入失信被执行人截图（网址</w:t>
      </w:r>
      <w:r>
        <w:rPr>
          <w:rFonts w:ascii="仿宋" w:hAnsi="仿宋" w:eastAsia="仿宋" w:cs="仿宋"/>
          <w:b/>
          <w:color w:val="auto"/>
          <w:sz w:val="32"/>
          <w:szCs w:val="32"/>
          <w:highlight w:val="none"/>
        </w:rPr>
        <w:t>https://zxgk.court.gov.cn/shixin/</w:t>
      </w:r>
      <w:r>
        <w:rPr>
          <w:rFonts w:hint="eastAsia" w:ascii="仿宋" w:hAnsi="仿宋" w:eastAsia="仿宋" w:cs="仿宋"/>
          <w:b/>
          <w:color w:val="auto"/>
          <w:sz w:val="32"/>
          <w:szCs w:val="32"/>
          <w:highlight w:val="none"/>
        </w:rPr>
        <w:t>）</w:t>
      </w:r>
    </w:p>
    <w:p w14:paraId="50B88A9B">
      <w:pPr>
        <w:snapToGrid w:val="0"/>
        <w:spacing w:line="560" w:lineRule="exact"/>
        <w:ind w:firstLine="562" w:firstLineChars="201"/>
        <w:rPr>
          <w:rFonts w:ascii="仿宋" w:hAnsi="仿宋" w:eastAsia="仿宋" w:cs="仿宋"/>
          <w:color w:val="auto"/>
          <w:sz w:val="28"/>
          <w:szCs w:val="28"/>
          <w:highlight w:val="none"/>
        </w:rPr>
      </w:pPr>
    </w:p>
    <w:p w14:paraId="7A224DD3">
      <w:pPr>
        <w:snapToGrid w:val="0"/>
        <w:spacing w:line="560" w:lineRule="exact"/>
        <w:ind w:firstLine="562" w:firstLineChars="201"/>
        <w:rPr>
          <w:rFonts w:ascii="仿宋" w:hAnsi="仿宋" w:eastAsia="仿宋" w:cs="仿宋"/>
          <w:color w:val="auto"/>
          <w:sz w:val="28"/>
          <w:szCs w:val="28"/>
          <w:highlight w:val="none"/>
        </w:rPr>
      </w:pPr>
    </w:p>
    <w:p w14:paraId="30CE1BEA">
      <w:pPr>
        <w:snapToGrid w:val="0"/>
        <w:spacing w:line="560" w:lineRule="exact"/>
        <w:ind w:firstLine="562" w:firstLineChars="201"/>
        <w:rPr>
          <w:rFonts w:ascii="仿宋" w:hAnsi="仿宋" w:eastAsia="仿宋" w:cs="仿宋"/>
          <w:color w:val="auto"/>
          <w:sz w:val="28"/>
          <w:szCs w:val="28"/>
          <w:highlight w:val="none"/>
        </w:rPr>
      </w:pPr>
    </w:p>
    <w:p w14:paraId="6E197B0F">
      <w:pPr>
        <w:snapToGrid w:val="0"/>
        <w:spacing w:line="560" w:lineRule="exact"/>
        <w:ind w:firstLine="562" w:firstLineChars="201"/>
        <w:rPr>
          <w:rFonts w:ascii="仿宋" w:hAnsi="仿宋" w:eastAsia="仿宋" w:cs="仿宋"/>
          <w:color w:val="auto"/>
          <w:sz w:val="28"/>
          <w:szCs w:val="28"/>
          <w:highlight w:val="none"/>
        </w:rPr>
      </w:pPr>
    </w:p>
    <w:p w14:paraId="7A01959B">
      <w:pPr>
        <w:snapToGrid w:val="0"/>
        <w:spacing w:line="560" w:lineRule="exact"/>
        <w:ind w:firstLine="562" w:firstLineChars="201"/>
        <w:rPr>
          <w:rFonts w:ascii="仿宋" w:hAnsi="仿宋" w:eastAsia="仿宋" w:cs="仿宋"/>
          <w:color w:val="auto"/>
          <w:sz w:val="28"/>
          <w:szCs w:val="28"/>
          <w:highlight w:val="none"/>
        </w:rPr>
      </w:pPr>
    </w:p>
    <w:p w14:paraId="67DDA4E1">
      <w:pPr>
        <w:snapToGrid w:val="0"/>
        <w:spacing w:line="560" w:lineRule="exact"/>
        <w:ind w:firstLine="562" w:firstLineChars="201"/>
        <w:rPr>
          <w:rFonts w:ascii="仿宋" w:hAnsi="仿宋" w:eastAsia="仿宋" w:cs="仿宋"/>
          <w:color w:val="auto"/>
          <w:sz w:val="28"/>
          <w:szCs w:val="28"/>
          <w:highlight w:val="none"/>
        </w:rPr>
      </w:pPr>
    </w:p>
    <w:p w14:paraId="521E4E25">
      <w:pPr>
        <w:snapToGrid w:val="0"/>
        <w:spacing w:line="560" w:lineRule="exact"/>
        <w:ind w:firstLine="562" w:firstLineChars="201"/>
        <w:rPr>
          <w:rFonts w:ascii="仿宋" w:hAnsi="仿宋" w:eastAsia="仿宋" w:cs="仿宋"/>
          <w:color w:val="auto"/>
          <w:sz w:val="28"/>
          <w:szCs w:val="28"/>
          <w:highlight w:val="none"/>
        </w:rPr>
      </w:pPr>
    </w:p>
    <w:bookmarkEnd w:id="28"/>
    <w:p w14:paraId="12E84F1C">
      <w:pPr>
        <w:jc w:val="center"/>
        <w:rPr>
          <w:rFonts w:ascii="仿宋" w:hAnsi="仿宋" w:eastAsia="仿宋" w:cs="仿宋"/>
          <w:color w:val="auto"/>
          <w:highlight w:val="none"/>
        </w:rPr>
      </w:pPr>
    </w:p>
    <w:p w14:paraId="28D2293E">
      <w:pPr>
        <w:jc w:val="center"/>
        <w:rPr>
          <w:rFonts w:ascii="仿宋" w:hAnsi="仿宋" w:eastAsia="仿宋" w:cs="仿宋"/>
          <w:color w:val="auto"/>
          <w:highlight w:val="none"/>
        </w:rPr>
      </w:pPr>
    </w:p>
    <w:p w14:paraId="7757B702">
      <w:pPr>
        <w:jc w:val="center"/>
        <w:rPr>
          <w:rFonts w:ascii="仿宋" w:hAnsi="仿宋" w:eastAsia="仿宋" w:cs="仿宋"/>
          <w:color w:val="auto"/>
          <w:highlight w:val="none"/>
        </w:rPr>
      </w:pPr>
    </w:p>
    <w:p w14:paraId="7BF95E40">
      <w:pPr>
        <w:rPr>
          <w:rFonts w:ascii="仿宋" w:hAnsi="仿宋" w:eastAsia="仿宋" w:cs="仿宋"/>
          <w:color w:val="auto"/>
          <w:highlight w:val="none"/>
        </w:rPr>
      </w:pPr>
    </w:p>
    <w:p w14:paraId="19A14982">
      <w:pPr>
        <w:jc w:val="center"/>
        <w:rPr>
          <w:rFonts w:ascii="仿宋" w:hAnsi="仿宋" w:eastAsia="仿宋" w:cs="仿宋"/>
          <w:color w:val="auto"/>
          <w:highlight w:val="none"/>
        </w:rPr>
      </w:pPr>
    </w:p>
    <w:p w14:paraId="3162AAB2">
      <w:pPr>
        <w:jc w:val="center"/>
        <w:rPr>
          <w:rFonts w:ascii="仿宋" w:hAnsi="仿宋" w:eastAsia="仿宋" w:cs="仿宋"/>
          <w:color w:val="auto"/>
          <w:highlight w:val="none"/>
        </w:rPr>
      </w:pPr>
    </w:p>
    <w:p w14:paraId="6957B18F">
      <w:pPr>
        <w:jc w:val="center"/>
        <w:rPr>
          <w:rFonts w:ascii="仿宋" w:hAnsi="仿宋" w:eastAsia="仿宋" w:cs="仿宋"/>
          <w:color w:val="auto"/>
          <w:highlight w:val="none"/>
        </w:rPr>
      </w:pPr>
    </w:p>
    <w:p w14:paraId="7AD6B297">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投标人（盖电子公章）：</w:t>
      </w:r>
    </w:p>
    <w:p w14:paraId="7EB1CAA0">
      <w:pPr>
        <w:rPr>
          <w:rFonts w:ascii="仿宋" w:hAnsi="仿宋" w:eastAsia="仿宋" w:cs="仿宋"/>
          <w:color w:val="auto"/>
          <w:highlight w:val="none"/>
        </w:rPr>
      </w:pPr>
    </w:p>
    <w:p w14:paraId="1359653F">
      <w:pP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2765AFF0">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投标人近一年在“信用中国”或“信用中国（山东）”无严重失信记录</w:t>
      </w:r>
    </w:p>
    <w:p w14:paraId="2EAAED87">
      <w:pPr>
        <w:pStyle w:val="26"/>
        <w:spacing w:line="52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附：通过信用中国（查询网址：https://www.creditchina.gov.cn）或信用中国（山东）（https://credit.shandong.gov.cn）下载的信用报告。</w:t>
      </w:r>
    </w:p>
    <w:p w14:paraId="3774B515">
      <w:pPr>
        <w:pStyle w:val="17"/>
        <w:rPr>
          <w:rFonts w:ascii="仿宋" w:hAnsi="仿宋" w:eastAsia="仿宋" w:cs="仿宋"/>
          <w:color w:val="auto"/>
          <w:sz w:val="28"/>
          <w:szCs w:val="28"/>
          <w:highlight w:val="none"/>
        </w:rPr>
      </w:pPr>
    </w:p>
    <w:p w14:paraId="71335DE1">
      <w:pPr>
        <w:rPr>
          <w:rFonts w:ascii="仿宋" w:hAnsi="仿宋" w:eastAsia="仿宋" w:cs="仿宋"/>
          <w:color w:val="auto"/>
          <w:highlight w:val="none"/>
        </w:rPr>
      </w:pPr>
    </w:p>
    <w:p w14:paraId="6944A2FF">
      <w:pPr>
        <w:pStyle w:val="17"/>
        <w:rPr>
          <w:rFonts w:ascii="仿宋" w:hAnsi="仿宋" w:eastAsia="仿宋" w:cs="仿宋"/>
          <w:color w:val="auto"/>
          <w:highlight w:val="none"/>
        </w:rPr>
      </w:pPr>
    </w:p>
    <w:p w14:paraId="65E2F85F">
      <w:pPr>
        <w:rPr>
          <w:rFonts w:ascii="仿宋" w:hAnsi="仿宋" w:eastAsia="仿宋" w:cs="仿宋"/>
          <w:color w:val="auto"/>
          <w:highlight w:val="none"/>
        </w:rPr>
      </w:pPr>
    </w:p>
    <w:p w14:paraId="5CD05F9F">
      <w:pPr>
        <w:pStyle w:val="40"/>
        <w:rPr>
          <w:rFonts w:ascii="仿宋" w:hAnsi="仿宋" w:eastAsia="仿宋" w:cs="仿宋"/>
          <w:color w:val="auto"/>
          <w:highlight w:val="none"/>
        </w:rPr>
      </w:pPr>
    </w:p>
    <w:p w14:paraId="481E6F6A">
      <w:pPr>
        <w:pStyle w:val="40"/>
        <w:rPr>
          <w:rFonts w:ascii="仿宋" w:hAnsi="仿宋" w:eastAsia="仿宋" w:cs="仿宋"/>
          <w:color w:val="auto"/>
          <w:highlight w:val="none"/>
        </w:rPr>
      </w:pPr>
    </w:p>
    <w:p w14:paraId="2D423C04">
      <w:pPr>
        <w:pStyle w:val="40"/>
        <w:rPr>
          <w:rFonts w:ascii="仿宋" w:hAnsi="仿宋" w:eastAsia="仿宋" w:cs="仿宋"/>
          <w:color w:val="auto"/>
          <w:highlight w:val="none"/>
        </w:rPr>
      </w:pPr>
    </w:p>
    <w:p w14:paraId="2CFF02D4">
      <w:pPr>
        <w:pStyle w:val="40"/>
        <w:rPr>
          <w:rFonts w:ascii="仿宋" w:hAnsi="仿宋" w:eastAsia="仿宋" w:cs="仿宋"/>
          <w:color w:val="auto"/>
          <w:highlight w:val="none"/>
        </w:rPr>
      </w:pPr>
    </w:p>
    <w:p w14:paraId="45B1F035">
      <w:pPr>
        <w:pStyle w:val="40"/>
        <w:rPr>
          <w:rFonts w:ascii="仿宋" w:hAnsi="仿宋" w:eastAsia="仿宋" w:cs="仿宋"/>
          <w:color w:val="auto"/>
          <w:highlight w:val="none"/>
        </w:rPr>
      </w:pPr>
    </w:p>
    <w:p w14:paraId="174587A0">
      <w:pPr>
        <w:pStyle w:val="40"/>
        <w:rPr>
          <w:rFonts w:ascii="仿宋" w:hAnsi="仿宋" w:eastAsia="仿宋" w:cs="仿宋"/>
          <w:color w:val="auto"/>
          <w:highlight w:val="none"/>
        </w:rPr>
      </w:pPr>
    </w:p>
    <w:p w14:paraId="0C7E4D9B">
      <w:pPr>
        <w:pStyle w:val="40"/>
        <w:rPr>
          <w:rFonts w:ascii="仿宋" w:hAnsi="仿宋" w:eastAsia="仿宋" w:cs="仿宋"/>
          <w:color w:val="auto"/>
          <w:highlight w:val="none"/>
        </w:rPr>
      </w:pPr>
    </w:p>
    <w:p w14:paraId="4ED407C1">
      <w:pPr>
        <w:pStyle w:val="40"/>
        <w:rPr>
          <w:rFonts w:ascii="仿宋" w:hAnsi="仿宋" w:eastAsia="仿宋" w:cs="仿宋"/>
          <w:color w:val="auto"/>
          <w:highlight w:val="none"/>
        </w:rPr>
      </w:pPr>
    </w:p>
    <w:p w14:paraId="222CA1D3">
      <w:pPr>
        <w:pStyle w:val="40"/>
        <w:rPr>
          <w:rFonts w:ascii="仿宋" w:hAnsi="仿宋" w:eastAsia="仿宋" w:cs="仿宋"/>
          <w:color w:val="auto"/>
          <w:highlight w:val="none"/>
        </w:rPr>
      </w:pPr>
    </w:p>
    <w:p w14:paraId="25748D79">
      <w:pPr>
        <w:pStyle w:val="40"/>
        <w:rPr>
          <w:rFonts w:ascii="仿宋" w:hAnsi="仿宋" w:eastAsia="仿宋" w:cs="仿宋"/>
          <w:color w:val="auto"/>
          <w:highlight w:val="none"/>
        </w:rPr>
      </w:pPr>
    </w:p>
    <w:p w14:paraId="00F9A91A">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投标人（盖电子公章）：</w:t>
      </w:r>
    </w:p>
    <w:p w14:paraId="5E353C9D">
      <w:pPr>
        <w:pStyle w:val="40"/>
        <w:rPr>
          <w:rFonts w:ascii="仿宋" w:hAnsi="仿宋" w:eastAsia="仿宋" w:cs="仿宋"/>
          <w:color w:val="auto"/>
          <w:highlight w:val="none"/>
        </w:rPr>
      </w:pPr>
    </w:p>
    <w:p w14:paraId="3293A86D">
      <w:pP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33FD3DB4">
      <w:pPr>
        <w:jc w:val="center"/>
        <w:rPr>
          <w:rFonts w:ascii="仿宋" w:hAnsi="仿宋" w:eastAsia="仿宋" w:cs="仿宋"/>
          <w:b/>
          <w:color w:val="auto"/>
          <w:sz w:val="32"/>
          <w:szCs w:val="28"/>
          <w:highlight w:val="none"/>
        </w:rPr>
      </w:pPr>
      <w:r>
        <w:rPr>
          <w:rFonts w:hint="eastAsia" w:ascii="仿宋" w:hAnsi="仿宋" w:eastAsia="仿宋" w:cs="仿宋"/>
          <w:b/>
          <w:color w:val="auto"/>
          <w:sz w:val="32"/>
          <w:szCs w:val="28"/>
          <w:highlight w:val="none"/>
        </w:rPr>
        <w:t>投标人信用承诺书</w:t>
      </w:r>
    </w:p>
    <w:p w14:paraId="299E3EFB">
      <w:pPr>
        <w:spacing w:line="500" w:lineRule="exact"/>
        <w:rPr>
          <w:rFonts w:ascii="仿宋" w:hAnsi="仿宋" w:eastAsia="仿宋" w:cs="仿宋"/>
          <w:color w:val="auto"/>
          <w:sz w:val="28"/>
          <w:szCs w:val="28"/>
          <w:highlight w:val="none"/>
        </w:rPr>
      </w:pPr>
    </w:p>
    <w:p w14:paraId="40F8BF9D">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为营造公平竞争、规范有序的市场环境，树立诚信守法经营形象。本单位郑重承诺：</w:t>
      </w:r>
    </w:p>
    <w:p w14:paraId="5A73B4A1">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一、我方在此声明，本次招标投标活动中申报的所有资料都是真实、准确完整的，如发现提供虚假资料，或与事实不符而导致投标无效，甚至造成任何法律和经济责任，完全由我方负责。</w:t>
      </w:r>
    </w:p>
    <w:p w14:paraId="33A8EE0D">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二、我方在本次投标活动中绝无资质挂靠、串标、围标情形，若经贵方查出，立即取消我方投标资格并承担相应的法律责任。</w:t>
      </w:r>
    </w:p>
    <w:p w14:paraId="72F7FB11">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三、我方在以往的招标投标活动中，无重大违法、违规的不良记录；或虽有不良记录，但已超过处理期限。</w:t>
      </w:r>
    </w:p>
    <w:p w14:paraId="48F760DD">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四、我方一旦中标，将按规定及时与招标人签订合同，严格按照投标文件中所承诺的报价、服务周期等内容组织实施。</w:t>
      </w:r>
    </w:p>
    <w:p w14:paraId="737C80ED">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五、自觉接受社会各界的监督，依法接受有关行政机关的事中事后监管和执法检查，并如实提供有关情况和材料。</w:t>
      </w:r>
    </w:p>
    <w:p w14:paraId="29D00580">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六、严格遵守国家法律、法规、规章和相关政策规定，积极参与社会信用体系建设，倡树以信笃行，以诚兴业的传统美德，争当信用市民，争创信用企业。</w:t>
      </w:r>
    </w:p>
    <w:p w14:paraId="5A04B202">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七、本《信用承诺书》同意向社会公开。</w:t>
      </w:r>
    </w:p>
    <w:p w14:paraId="7E597B09">
      <w:pPr>
        <w:spacing w:line="480" w:lineRule="exact"/>
        <w:ind w:firstLine="560" w:firstLineChars="200"/>
        <w:rPr>
          <w:rFonts w:ascii="仿宋" w:hAnsi="仿宋" w:eastAsia="仿宋" w:cs="仿宋"/>
          <w:color w:val="auto"/>
          <w:sz w:val="28"/>
          <w:szCs w:val="28"/>
          <w:highlight w:val="none"/>
        </w:rPr>
      </w:pPr>
    </w:p>
    <w:p w14:paraId="0BCC1365">
      <w:pPr>
        <w:spacing w:line="480" w:lineRule="exact"/>
        <w:ind w:firstLine="560" w:firstLineChars="200"/>
        <w:rPr>
          <w:rFonts w:ascii="仿宋" w:hAnsi="仿宋" w:eastAsia="仿宋" w:cs="仿宋"/>
          <w:color w:val="auto"/>
          <w:sz w:val="28"/>
          <w:szCs w:val="28"/>
          <w:highlight w:val="none"/>
        </w:rPr>
      </w:pPr>
    </w:p>
    <w:p w14:paraId="65240EBC">
      <w:pPr>
        <w:spacing w:line="480" w:lineRule="exact"/>
        <w:ind w:firstLine="560" w:firstLineChars="200"/>
        <w:rPr>
          <w:rFonts w:ascii="仿宋" w:hAnsi="仿宋" w:eastAsia="仿宋" w:cs="仿宋"/>
          <w:color w:val="auto"/>
          <w:sz w:val="28"/>
          <w:szCs w:val="28"/>
          <w:highlight w:val="none"/>
        </w:rPr>
      </w:pPr>
    </w:p>
    <w:p w14:paraId="00395483">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承诺单位：（盖电子公章）</w:t>
      </w:r>
    </w:p>
    <w:p w14:paraId="18BAFAEF">
      <w:pPr>
        <w:spacing w:line="480" w:lineRule="exact"/>
        <w:ind w:firstLine="560" w:firstLineChars="200"/>
        <w:rPr>
          <w:rFonts w:ascii="仿宋" w:hAnsi="仿宋" w:eastAsia="仿宋" w:cs="仿宋"/>
          <w:color w:val="auto"/>
          <w:sz w:val="28"/>
          <w:szCs w:val="28"/>
          <w:highlight w:val="none"/>
        </w:rPr>
      </w:pPr>
    </w:p>
    <w:p w14:paraId="1A319C32">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年月日</w:t>
      </w:r>
    </w:p>
    <w:p w14:paraId="6AA63C53">
      <w:pPr>
        <w:rPr>
          <w:rFonts w:ascii="仿宋" w:hAnsi="仿宋" w:eastAsia="仿宋" w:cs="仿宋"/>
          <w:color w:val="auto"/>
          <w:highlight w:val="none"/>
        </w:rPr>
      </w:pPr>
    </w:p>
    <w:p w14:paraId="31769076">
      <w:pPr>
        <w:pStyle w:val="2"/>
        <w:spacing w:line="600" w:lineRule="exact"/>
        <w:jc w:val="center"/>
        <w:rPr>
          <w:rFonts w:ascii="仿宋" w:hAnsi="仿宋" w:eastAsia="仿宋" w:cs="仿宋"/>
          <w:b/>
          <w:bCs/>
          <w:color w:val="auto"/>
          <w:spacing w:val="14"/>
          <w:sz w:val="36"/>
          <w:szCs w:val="36"/>
          <w:highlight w:val="none"/>
        </w:rPr>
      </w:pPr>
    </w:p>
    <w:p w14:paraId="4C192347">
      <w:pPr>
        <w:rPr>
          <w:rFonts w:ascii="仿宋" w:hAnsi="仿宋" w:eastAsia="仿宋" w:cs="仿宋"/>
          <w:b/>
          <w:color w:val="auto"/>
          <w:sz w:val="32"/>
          <w:highlight w:val="none"/>
        </w:rPr>
      </w:pPr>
      <w:r>
        <w:rPr>
          <w:rFonts w:ascii="仿宋" w:hAnsi="仿宋" w:eastAsia="仿宋" w:cs="仿宋"/>
          <w:b/>
          <w:color w:val="auto"/>
          <w:sz w:val="32"/>
          <w:highlight w:val="none"/>
        </w:rPr>
        <w:br w:type="page"/>
      </w:r>
    </w:p>
    <w:p w14:paraId="095678C7">
      <w:pPr>
        <w:jc w:val="center"/>
        <w:rPr>
          <w:rFonts w:ascii="仿宋" w:hAnsi="仿宋" w:eastAsia="仿宋" w:cs="仿宋"/>
          <w:b/>
          <w:color w:val="auto"/>
          <w:sz w:val="32"/>
          <w:szCs w:val="28"/>
          <w:highlight w:val="none"/>
        </w:rPr>
      </w:pPr>
      <w:r>
        <w:rPr>
          <w:rFonts w:hint="eastAsia" w:ascii="仿宋" w:hAnsi="仿宋" w:eastAsia="仿宋" w:cs="仿宋"/>
          <w:b/>
          <w:color w:val="auto"/>
          <w:sz w:val="32"/>
          <w:szCs w:val="28"/>
          <w:highlight w:val="none"/>
        </w:rPr>
        <w:t>财务状况报告等相关材料</w:t>
      </w:r>
    </w:p>
    <w:p w14:paraId="2AA34F4D">
      <w:pPr>
        <w:jc w:val="center"/>
        <w:rPr>
          <w:rFonts w:ascii="仿宋" w:hAnsi="仿宋" w:eastAsia="仿宋" w:cs="仿宋"/>
          <w:color w:val="auto"/>
          <w:sz w:val="32"/>
          <w:szCs w:val="28"/>
          <w:highlight w:val="none"/>
        </w:rPr>
      </w:pPr>
      <w:r>
        <w:rPr>
          <w:rFonts w:hint="eastAsia" w:ascii="仿宋" w:hAnsi="仿宋" w:eastAsia="仿宋" w:cs="仿宋"/>
          <w:color w:val="auto"/>
          <w:sz w:val="32"/>
          <w:szCs w:val="28"/>
          <w:highlight w:val="none"/>
        </w:rPr>
        <w:t>（加盖投标人公章）</w:t>
      </w:r>
    </w:p>
    <w:p w14:paraId="5946A92F">
      <w:pPr>
        <w:widowControl/>
        <w:jc w:val="left"/>
        <w:rPr>
          <w:rFonts w:ascii="仿宋" w:hAnsi="仿宋" w:eastAsia="仿宋" w:cs="仿宋"/>
          <w:b/>
          <w:color w:val="auto"/>
          <w:sz w:val="32"/>
          <w:szCs w:val="28"/>
          <w:highlight w:val="none"/>
        </w:rPr>
      </w:pPr>
      <w:r>
        <w:rPr>
          <w:rFonts w:ascii="仿宋" w:hAnsi="仿宋" w:eastAsia="仿宋" w:cs="仿宋"/>
          <w:b/>
          <w:color w:val="auto"/>
          <w:sz w:val="32"/>
          <w:szCs w:val="28"/>
          <w:highlight w:val="none"/>
        </w:rPr>
        <w:br w:type="page"/>
      </w:r>
    </w:p>
    <w:p w14:paraId="2D036634">
      <w:pPr>
        <w:jc w:val="center"/>
        <w:rPr>
          <w:rFonts w:ascii="仿宋" w:hAnsi="仿宋" w:eastAsia="仿宋" w:cs="仿宋"/>
          <w:b/>
          <w:color w:val="auto"/>
          <w:sz w:val="32"/>
          <w:szCs w:val="28"/>
          <w:highlight w:val="none"/>
        </w:rPr>
      </w:pPr>
      <w:r>
        <w:rPr>
          <w:rFonts w:hint="eastAsia" w:ascii="仿宋" w:hAnsi="仿宋" w:eastAsia="仿宋" w:cs="仿宋"/>
          <w:b/>
          <w:color w:val="auto"/>
          <w:sz w:val="32"/>
          <w:szCs w:val="28"/>
          <w:highlight w:val="none"/>
        </w:rPr>
        <w:t>保证金证明材料</w:t>
      </w:r>
    </w:p>
    <w:p w14:paraId="6B20A9C5">
      <w:pPr>
        <w:pStyle w:val="3"/>
        <w:rPr>
          <w:color w:val="auto"/>
          <w:highlight w:val="none"/>
        </w:rPr>
      </w:pPr>
    </w:p>
    <w:p w14:paraId="6AA7A997">
      <w:pPr>
        <w:rPr>
          <w:rFonts w:ascii="仿宋" w:hAnsi="仿宋" w:eastAsia="仿宋" w:cs="仿宋"/>
          <w:b/>
          <w:color w:val="auto"/>
          <w:sz w:val="32"/>
          <w:szCs w:val="32"/>
          <w:highlight w:val="none"/>
        </w:rPr>
      </w:pPr>
    </w:p>
    <w:p w14:paraId="4297B617">
      <w:pPr>
        <w:rPr>
          <w:rFonts w:ascii="仿宋" w:hAnsi="仿宋" w:eastAsia="仿宋" w:cs="仿宋"/>
          <w:b/>
          <w:color w:val="auto"/>
          <w:sz w:val="32"/>
          <w:szCs w:val="32"/>
          <w:highlight w:val="none"/>
        </w:rPr>
      </w:pPr>
    </w:p>
    <w:p w14:paraId="7B7355AD">
      <w:pPr>
        <w:rPr>
          <w:rFonts w:ascii="仿宋" w:hAnsi="仿宋" w:eastAsia="仿宋" w:cs="仿宋"/>
          <w:b/>
          <w:color w:val="auto"/>
          <w:sz w:val="32"/>
          <w:szCs w:val="32"/>
          <w:highlight w:val="none"/>
        </w:rPr>
      </w:pPr>
    </w:p>
    <w:p w14:paraId="5A9E1766">
      <w:pPr>
        <w:rPr>
          <w:rFonts w:ascii="仿宋" w:hAnsi="仿宋" w:eastAsia="仿宋" w:cs="仿宋"/>
          <w:b/>
          <w:color w:val="auto"/>
          <w:sz w:val="32"/>
          <w:szCs w:val="32"/>
          <w:highlight w:val="none"/>
        </w:rPr>
      </w:pPr>
    </w:p>
    <w:p w14:paraId="3464446F">
      <w:pPr>
        <w:rPr>
          <w:rFonts w:ascii="仿宋" w:hAnsi="仿宋" w:eastAsia="仿宋" w:cs="仿宋"/>
          <w:b/>
          <w:color w:val="auto"/>
          <w:sz w:val="32"/>
          <w:szCs w:val="32"/>
          <w:highlight w:val="none"/>
        </w:rPr>
      </w:pPr>
    </w:p>
    <w:p w14:paraId="2E0635AD">
      <w:pPr>
        <w:rPr>
          <w:rFonts w:ascii="仿宋" w:hAnsi="仿宋" w:eastAsia="仿宋" w:cs="仿宋"/>
          <w:b/>
          <w:color w:val="auto"/>
          <w:sz w:val="32"/>
          <w:szCs w:val="32"/>
          <w:highlight w:val="none"/>
        </w:rPr>
      </w:pPr>
    </w:p>
    <w:p w14:paraId="27CC3B58">
      <w:pPr>
        <w:rPr>
          <w:rFonts w:ascii="仿宋" w:hAnsi="仿宋" w:eastAsia="仿宋" w:cs="仿宋"/>
          <w:b/>
          <w:color w:val="auto"/>
          <w:sz w:val="32"/>
          <w:szCs w:val="32"/>
          <w:highlight w:val="none"/>
        </w:rPr>
      </w:pPr>
    </w:p>
    <w:p w14:paraId="223897CE">
      <w:pPr>
        <w:rPr>
          <w:rFonts w:ascii="仿宋" w:hAnsi="仿宋" w:eastAsia="仿宋" w:cs="仿宋"/>
          <w:b/>
          <w:color w:val="auto"/>
          <w:sz w:val="32"/>
          <w:szCs w:val="32"/>
          <w:highlight w:val="none"/>
        </w:rPr>
      </w:pPr>
    </w:p>
    <w:p w14:paraId="14CECCD9">
      <w:pPr>
        <w:rPr>
          <w:rFonts w:ascii="仿宋" w:hAnsi="仿宋" w:eastAsia="仿宋" w:cs="仿宋"/>
          <w:b/>
          <w:color w:val="auto"/>
          <w:sz w:val="32"/>
          <w:szCs w:val="32"/>
          <w:highlight w:val="none"/>
        </w:rPr>
      </w:pPr>
    </w:p>
    <w:p w14:paraId="1EDDBC9F">
      <w:pPr>
        <w:rPr>
          <w:rFonts w:ascii="仿宋" w:hAnsi="仿宋" w:eastAsia="仿宋" w:cs="仿宋"/>
          <w:b/>
          <w:color w:val="auto"/>
          <w:sz w:val="32"/>
          <w:szCs w:val="32"/>
          <w:highlight w:val="none"/>
        </w:rPr>
      </w:pPr>
    </w:p>
    <w:p w14:paraId="0930C889">
      <w:pPr>
        <w:rPr>
          <w:rFonts w:ascii="仿宋" w:hAnsi="仿宋" w:eastAsia="仿宋" w:cs="仿宋"/>
          <w:b/>
          <w:color w:val="auto"/>
          <w:sz w:val="32"/>
          <w:szCs w:val="32"/>
          <w:highlight w:val="none"/>
        </w:rPr>
      </w:pPr>
    </w:p>
    <w:p w14:paraId="27A3E4D4">
      <w:pPr>
        <w:rPr>
          <w:rFonts w:ascii="仿宋" w:hAnsi="仿宋" w:eastAsia="仿宋" w:cs="仿宋"/>
          <w:b/>
          <w:color w:val="auto"/>
          <w:sz w:val="32"/>
          <w:szCs w:val="32"/>
          <w:highlight w:val="none"/>
        </w:rPr>
      </w:pPr>
    </w:p>
    <w:p w14:paraId="3D39A077">
      <w:pPr>
        <w:rPr>
          <w:rFonts w:ascii="仿宋" w:hAnsi="仿宋" w:eastAsia="仿宋" w:cs="仿宋"/>
          <w:b/>
          <w:color w:val="auto"/>
          <w:sz w:val="32"/>
          <w:szCs w:val="32"/>
          <w:highlight w:val="none"/>
        </w:rPr>
      </w:pPr>
    </w:p>
    <w:p w14:paraId="468A6A6F">
      <w:pPr>
        <w:rPr>
          <w:rFonts w:ascii="仿宋" w:hAnsi="仿宋" w:eastAsia="仿宋" w:cs="仿宋"/>
          <w:b/>
          <w:color w:val="auto"/>
          <w:sz w:val="32"/>
          <w:szCs w:val="32"/>
          <w:highlight w:val="none"/>
        </w:rPr>
      </w:pPr>
    </w:p>
    <w:p w14:paraId="7A0E8EB6">
      <w:pPr>
        <w:rPr>
          <w:rFonts w:ascii="仿宋" w:hAnsi="仿宋" w:eastAsia="仿宋" w:cs="仿宋"/>
          <w:b/>
          <w:color w:val="auto"/>
          <w:sz w:val="32"/>
          <w:szCs w:val="32"/>
          <w:highlight w:val="none"/>
        </w:rPr>
      </w:pPr>
    </w:p>
    <w:p w14:paraId="40CA3E2F">
      <w:pPr>
        <w:rPr>
          <w:rFonts w:ascii="仿宋" w:hAnsi="仿宋" w:eastAsia="仿宋" w:cs="仿宋"/>
          <w:b/>
          <w:color w:val="auto"/>
          <w:sz w:val="32"/>
          <w:szCs w:val="32"/>
          <w:highlight w:val="none"/>
        </w:rPr>
      </w:pPr>
    </w:p>
    <w:p w14:paraId="759F3F01">
      <w:pPr>
        <w:rPr>
          <w:rFonts w:ascii="仿宋" w:hAnsi="仿宋" w:eastAsia="仿宋" w:cs="仿宋"/>
          <w:b/>
          <w:color w:val="auto"/>
          <w:sz w:val="32"/>
          <w:szCs w:val="32"/>
          <w:highlight w:val="none"/>
        </w:rPr>
      </w:pPr>
    </w:p>
    <w:p w14:paraId="1EB0DC7C">
      <w:pPr>
        <w:rPr>
          <w:rFonts w:ascii="仿宋" w:hAnsi="仿宋" w:eastAsia="仿宋" w:cs="仿宋"/>
          <w:b/>
          <w:color w:val="auto"/>
          <w:sz w:val="32"/>
          <w:szCs w:val="32"/>
          <w:highlight w:val="none"/>
        </w:rPr>
      </w:pPr>
      <w:r>
        <w:rPr>
          <w:rFonts w:hint="eastAsia" w:ascii="仿宋" w:hAnsi="仿宋" w:eastAsia="仿宋" w:cs="仿宋"/>
          <w:color w:val="auto"/>
          <w:sz w:val="28"/>
          <w:szCs w:val="28"/>
          <w:highlight w:val="none"/>
        </w:rPr>
        <w:t>投标人（盖电子公章）：</w:t>
      </w:r>
      <w:r>
        <w:rPr>
          <w:rFonts w:ascii="仿宋" w:hAnsi="仿宋" w:eastAsia="仿宋" w:cs="仿宋"/>
          <w:b/>
          <w:color w:val="auto"/>
          <w:sz w:val="32"/>
          <w:szCs w:val="32"/>
          <w:highlight w:val="none"/>
        </w:rPr>
        <w:br w:type="page"/>
      </w:r>
    </w:p>
    <w:p w14:paraId="66B8C8B6">
      <w:pPr>
        <w:snapToGrid w:val="0"/>
        <w:spacing w:line="560" w:lineRule="exact"/>
        <w:jc w:val="center"/>
        <w:rPr>
          <w:rFonts w:ascii="仿宋" w:hAnsi="仿宋" w:eastAsia="仿宋" w:cs="仿宋"/>
          <w:b/>
          <w:color w:val="auto"/>
          <w:sz w:val="32"/>
          <w:szCs w:val="32"/>
          <w:highlight w:val="none"/>
        </w:rPr>
      </w:pPr>
    </w:p>
    <w:p w14:paraId="1623358D">
      <w:pPr>
        <w:snapToGrid w:val="0"/>
        <w:spacing w:line="560" w:lineRule="exact"/>
        <w:jc w:val="center"/>
        <w:rPr>
          <w:rFonts w:ascii="仿宋" w:hAnsi="仿宋" w:eastAsia="仿宋" w:cs="仿宋"/>
          <w:b/>
          <w:color w:val="auto"/>
          <w:sz w:val="32"/>
          <w:szCs w:val="32"/>
          <w:highlight w:val="none"/>
        </w:rPr>
      </w:pPr>
      <w:r>
        <w:rPr>
          <w:rFonts w:ascii="仿宋" w:hAnsi="仿宋" w:eastAsia="仿宋" w:cs="仿宋"/>
          <w:b/>
          <w:color w:val="auto"/>
          <w:sz w:val="32"/>
          <w:szCs w:val="32"/>
          <w:highlight w:val="none"/>
        </w:rPr>
        <w:t>投</w:t>
      </w:r>
      <w:r>
        <w:rPr>
          <w:rFonts w:hint="eastAsia" w:ascii="仿宋" w:hAnsi="仿宋" w:eastAsia="仿宋" w:cs="仿宋"/>
          <w:b/>
          <w:color w:val="auto"/>
          <w:sz w:val="32"/>
          <w:szCs w:val="32"/>
          <w:highlight w:val="none"/>
        </w:rPr>
        <w:t>标人认为需要提供的其他资质资格证明文件</w:t>
      </w:r>
    </w:p>
    <w:p w14:paraId="72AEA44C">
      <w:pP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129D2C71">
      <w:pPr>
        <w:snapToGrid w:val="0"/>
        <w:spacing w:line="480" w:lineRule="auto"/>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投标人基本情况表</w:t>
      </w:r>
      <w:bookmarkEnd w:id="29"/>
    </w:p>
    <w:tbl>
      <w:tblPr>
        <w:tblStyle w:val="49"/>
        <w:tblpPr w:leftFromText="180" w:rightFromText="180" w:vertAnchor="text" w:horzAnchor="page" w:tblpX="1260" w:tblpY="44"/>
        <w:tblOverlap w:val="never"/>
        <w:tblW w:w="945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39"/>
        <w:gridCol w:w="897"/>
        <w:gridCol w:w="1026"/>
        <w:gridCol w:w="1286"/>
        <w:gridCol w:w="551"/>
        <w:gridCol w:w="870"/>
        <w:gridCol w:w="967"/>
        <w:gridCol w:w="286"/>
        <w:gridCol w:w="1234"/>
      </w:tblGrid>
      <w:tr w14:paraId="70639A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2339" w:type="dxa"/>
            <w:vAlign w:val="center"/>
          </w:tcPr>
          <w:p w14:paraId="32B34AF3">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投标人名称</w:t>
            </w:r>
          </w:p>
        </w:tc>
        <w:tc>
          <w:tcPr>
            <w:tcW w:w="7117" w:type="dxa"/>
            <w:gridSpan w:val="8"/>
            <w:vAlign w:val="center"/>
          </w:tcPr>
          <w:p w14:paraId="5E694A84">
            <w:pPr>
              <w:tabs>
                <w:tab w:val="left" w:pos="4860"/>
              </w:tabs>
              <w:spacing w:line="440" w:lineRule="exact"/>
              <w:jc w:val="center"/>
              <w:rPr>
                <w:rFonts w:ascii="仿宋" w:hAnsi="仿宋" w:eastAsia="仿宋" w:cs="仿宋"/>
                <w:color w:val="auto"/>
                <w:sz w:val="28"/>
                <w:szCs w:val="28"/>
                <w:highlight w:val="none"/>
              </w:rPr>
            </w:pPr>
          </w:p>
        </w:tc>
      </w:tr>
      <w:tr w14:paraId="6EFADA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7" w:hRule="atLeast"/>
        </w:trPr>
        <w:tc>
          <w:tcPr>
            <w:tcW w:w="2339" w:type="dxa"/>
            <w:vAlign w:val="center"/>
          </w:tcPr>
          <w:p w14:paraId="2153C68B">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注册地址</w:t>
            </w:r>
          </w:p>
        </w:tc>
        <w:tc>
          <w:tcPr>
            <w:tcW w:w="3209" w:type="dxa"/>
            <w:gridSpan w:val="3"/>
            <w:vAlign w:val="center"/>
          </w:tcPr>
          <w:p w14:paraId="1CD0F3DC">
            <w:pPr>
              <w:tabs>
                <w:tab w:val="left" w:pos="4860"/>
              </w:tabs>
              <w:spacing w:line="440" w:lineRule="exact"/>
              <w:jc w:val="center"/>
              <w:rPr>
                <w:rFonts w:ascii="仿宋" w:hAnsi="仿宋" w:eastAsia="仿宋" w:cs="仿宋"/>
                <w:color w:val="auto"/>
                <w:sz w:val="28"/>
                <w:szCs w:val="28"/>
                <w:highlight w:val="none"/>
              </w:rPr>
            </w:pPr>
          </w:p>
        </w:tc>
        <w:tc>
          <w:tcPr>
            <w:tcW w:w="1421" w:type="dxa"/>
            <w:gridSpan w:val="2"/>
            <w:vAlign w:val="center"/>
          </w:tcPr>
          <w:p w14:paraId="3FE5882F">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邮政编码</w:t>
            </w:r>
          </w:p>
        </w:tc>
        <w:tc>
          <w:tcPr>
            <w:tcW w:w="2487" w:type="dxa"/>
            <w:gridSpan w:val="3"/>
            <w:vAlign w:val="center"/>
          </w:tcPr>
          <w:p w14:paraId="076FF8A6">
            <w:pPr>
              <w:tabs>
                <w:tab w:val="left" w:pos="4860"/>
              </w:tabs>
              <w:spacing w:line="440" w:lineRule="exact"/>
              <w:jc w:val="center"/>
              <w:rPr>
                <w:rFonts w:ascii="仿宋" w:hAnsi="仿宋" w:eastAsia="仿宋" w:cs="仿宋"/>
                <w:color w:val="auto"/>
                <w:sz w:val="28"/>
                <w:szCs w:val="28"/>
                <w:highlight w:val="none"/>
              </w:rPr>
            </w:pPr>
          </w:p>
        </w:tc>
      </w:tr>
      <w:tr w14:paraId="2645A4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2339" w:type="dxa"/>
            <w:vMerge w:val="restart"/>
            <w:tcBorders>
              <w:bottom w:val="nil"/>
            </w:tcBorders>
            <w:vAlign w:val="center"/>
          </w:tcPr>
          <w:p w14:paraId="1B56A355">
            <w:pPr>
              <w:tabs>
                <w:tab w:val="left" w:pos="4860"/>
              </w:tabs>
              <w:spacing w:line="440" w:lineRule="exact"/>
              <w:jc w:val="center"/>
              <w:rPr>
                <w:rFonts w:ascii="仿宋" w:hAnsi="仿宋" w:eastAsia="仿宋" w:cs="仿宋"/>
                <w:color w:val="auto"/>
                <w:sz w:val="28"/>
                <w:szCs w:val="28"/>
                <w:highlight w:val="none"/>
              </w:rPr>
            </w:pPr>
          </w:p>
          <w:p w14:paraId="7F763A6A">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联系方式</w:t>
            </w:r>
          </w:p>
        </w:tc>
        <w:tc>
          <w:tcPr>
            <w:tcW w:w="897" w:type="dxa"/>
            <w:vAlign w:val="center"/>
          </w:tcPr>
          <w:p w14:paraId="31E9D16F">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2312" w:type="dxa"/>
            <w:gridSpan w:val="2"/>
            <w:vAlign w:val="center"/>
          </w:tcPr>
          <w:p w14:paraId="211D2374">
            <w:pPr>
              <w:tabs>
                <w:tab w:val="left" w:pos="4860"/>
              </w:tabs>
              <w:spacing w:line="440" w:lineRule="exact"/>
              <w:jc w:val="center"/>
              <w:rPr>
                <w:rFonts w:ascii="仿宋" w:hAnsi="仿宋" w:eastAsia="仿宋" w:cs="仿宋"/>
                <w:color w:val="auto"/>
                <w:sz w:val="28"/>
                <w:szCs w:val="28"/>
                <w:highlight w:val="none"/>
              </w:rPr>
            </w:pPr>
          </w:p>
        </w:tc>
        <w:tc>
          <w:tcPr>
            <w:tcW w:w="1421" w:type="dxa"/>
            <w:gridSpan w:val="2"/>
            <w:vAlign w:val="center"/>
          </w:tcPr>
          <w:p w14:paraId="5310052D">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2487" w:type="dxa"/>
            <w:gridSpan w:val="3"/>
            <w:vAlign w:val="center"/>
          </w:tcPr>
          <w:p w14:paraId="3715B60D">
            <w:pPr>
              <w:tabs>
                <w:tab w:val="left" w:pos="4860"/>
              </w:tabs>
              <w:spacing w:line="440" w:lineRule="exact"/>
              <w:jc w:val="center"/>
              <w:rPr>
                <w:rFonts w:ascii="仿宋" w:hAnsi="仿宋" w:eastAsia="仿宋" w:cs="仿宋"/>
                <w:color w:val="auto"/>
                <w:sz w:val="28"/>
                <w:szCs w:val="28"/>
                <w:highlight w:val="none"/>
              </w:rPr>
            </w:pPr>
          </w:p>
        </w:tc>
      </w:tr>
      <w:tr w14:paraId="6C6D73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2339" w:type="dxa"/>
            <w:vMerge w:val="continue"/>
            <w:tcBorders>
              <w:top w:val="nil"/>
            </w:tcBorders>
            <w:vAlign w:val="center"/>
          </w:tcPr>
          <w:p w14:paraId="60347555">
            <w:pPr>
              <w:tabs>
                <w:tab w:val="left" w:pos="4860"/>
              </w:tabs>
              <w:spacing w:line="440" w:lineRule="exact"/>
              <w:jc w:val="center"/>
              <w:rPr>
                <w:rFonts w:ascii="仿宋" w:hAnsi="仿宋" w:eastAsia="仿宋" w:cs="仿宋"/>
                <w:color w:val="auto"/>
                <w:sz w:val="28"/>
                <w:szCs w:val="28"/>
                <w:highlight w:val="none"/>
              </w:rPr>
            </w:pPr>
          </w:p>
        </w:tc>
        <w:tc>
          <w:tcPr>
            <w:tcW w:w="897" w:type="dxa"/>
            <w:vAlign w:val="center"/>
          </w:tcPr>
          <w:p w14:paraId="0E421242">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传真</w:t>
            </w:r>
          </w:p>
        </w:tc>
        <w:tc>
          <w:tcPr>
            <w:tcW w:w="2312" w:type="dxa"/>
            <w:gridSpan w:val="2"/>
            <w:vAlign w:val="center"/>
          </w:tcPr>
          <w:p w14:paraId="3BECB361">
            <w:pPr>
              <w:tabs>
                <w:tab w:val="left" w:pos="4860"/>
              </w:tabs>
              <w:spacing w:line="440" w:lineRule="exact"/>
              <w:jc w:val="center"/>
              <w:rPr>
                <w:rFonts w:ascii="仿宋" w:hAnsi="仿宋" w:eastAsia="仿宋" w:cs="仿宋"/>
                <w:color w:val="auto"/>
                <w:sz w:val="28"/>
                <w:szCs w:val="28"/>
                <w:highlight w:val="none"/>
              </w:rPr>
            </w:pPr>
          </w:p>
        </w:tc>
        <w:tc>
          <w:tcPr>
            <w:tcW w:w="1421" w:type="dxa"/>
            <w:gridSpan w:val="2"/>
            <w:vAlign w:val="center"/>
          </w:tcPr>
          <w:p w14:paraId="2A60BD22">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网址</w:t>
            </w:r>
          </w:p>
        </w:tc>
        <w:tc>
          <w:tcPr>
            <w:tcW w:w="2487" w:type="dxa"/>
            <w:gridSpan w:val="3"/>
            <w:vAlign w:val="center"/>
          </w:tcPr>
          <w:p w14:paraId="4902A806">
            <w:pPr>
              <w:tabs>
                <w:tab w:val="left" w:pos="4860"/>
              </w:tabs>
              <w:spacing w:line="440" w:lineRule="exact"/>
              <w:jc w:val="center"/>
              <w:rPr>
                <w:rFonts w:ascii="仿宋" w:hAnsi="仿宋" w:eastAsia="仿宋" w:cs="仿宋"/>
                <w:color w:val="auto"/>
                <w:sz w:val="28"/>
                <w:szCs w:val="28"/>
                <w:highlight w:val="none"/>
              </w:rPr>
            </w:pPr>
          </w:p>
        </w:tc>
      </w:tr>
      <w:tr w14:paraId="357718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2339" w:type="dxa"/>
            <w:vAlign w:val="center"/>
          </w:tcPr>
          <w:p w14:paraId="14B516F0">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897" w:type="dxa"/>
            <w:vAlign w:val="center"/>
          </w:tcPr>
          <w:p w14:paraId="7B8AA2CE">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1026" w:type="dxa"/>
            <w:vAlign w:val="center"/>
          </w:tcPr>
          <w:p w14:paraId="71230634">
            <w:pPr>
              <w:tabs>
                <w:tab w:val="left" w:pos="4860"/>
              </w:tabs>
              <w:spacing w:line="440" w:lineRule="exact"/>
              <w:jc w:val="center"/>
              <w:rPr>
                <w:rFonts w:ascii="仿宋" w:hAnsi="仿宋" w:eastAsia="仿宋" w:cs="仿宋"/>
                <w:color w:val="auto"/>
                <w:sz w:val="28"/>
                <w:szCs w:val="28"/>
                <w:highlight w:val="none"/>
              </w:rPr>
            </w:pPr>
          </w:p>
        </w:tc>
        <w:tc>
          <w:tcPr>
            <w:tcW w:w="1286" w:type="dxa"/>
            <w:vAlign w:val="center"/>
          </w:tcPr>
          <w:p w14:paraId="0916C727">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技术职称</w:t>
            </w:r>
          </w:p>
        </w:tc>
        <w:tc>
          <w:tcPr>
            <w:tcW w:w="1421" w:type="dxa"/>
            <w:gridSpan w:val="2"/>
            <w:vAlign w:val="center"/>
          </w:tcPr>
          <w:p w14:paraId="60F4E04F">
            <w:pPr>
              <w:tabs>
                <w:tab w:val="left" w:pos="4860"/>
              </w:tabs>
              <w:spacing w:line="440" w:lineRule="exact"/>
              <w:jc w:val="center"/>
              <w:rPr>
                <w:rFonts w:ascii="仿宋" w:hAnsi="仿宋" w:eastAsia="仿宋" w:cs="仿宋"/>
                <w:color w:val="auto"/>
                <w:sz w:val="28"/>
                <w:szCs w:val="28"/>
                <w:highlight w:val="none"/>
              </w:rPr>
            </w:pPr>
          </w:p>
        </w:tc>
        <w:tc>
          <w:tcPr>
            <w:tcW w:w="1253" w:type="dxa"/>
            <w:gridSpan w:val="2"/>
            <w:vAlign w:val="center"/>
          </w:tcPr>
          <w:p w14:paraId="3EB86E39">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1234" w:type="dxa"/>
            <w:vAlign w:val="center"/>
          </w:tcPr>
          <w:p w14:paraId="38178EF2">
            <w:pPr>
              <w:tabs>
                <w:tab w:val="left" w:pos="4860"/>
              </w:tabs>
              <w:spacing w:line="440" w:lineRule="exact"/>
              <w:jc w:val="center"/>
              <w:rPr>
                <w:rFonts w:ascii="仿宋" w:hAnsi="仿宋" w:eastAsia="仿宋" w:cs="仿宋"/>
                <w:color w:val="auto"/>
                <w:sz w:val="28"/>
                <w:szCs w:val="28"/>
                <w:highlight w:val="none"/>
              </w:rPr>
            </w:pPr>
          </w:p>
        </w:tc>
      </w:tr>
      <w:tr w14:paraId="1AA9B5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2339" w:type="dxa"/>
            <w:vAlign w:val="center"/>
          </w:tcPr>
          <w:p w14:paraId="2571B031">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技术负责人</w:t>
            </w:r>
          </w:p>
        </w:tc>
        <w:tc>
          <w:tcPr>
            <w:tcW w:w="897" w:type="dxa"/>
            <w:vAlign w:val="center"/>
          </w:tcPr>
          <w:p w14:paraId="78C99528">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1026" w:type="dxa"/>
            <w:vAlign w:val="center"/>
          </w:tcPr>
          <w:p w14:paraId="09F5C295">
            <w:pPr>
              <w:tabs>
                <w:tab w:val="left" w:pos="4860"/>
              </w:tabs>
              <w:spacing w:line="440" w:lineRule="exact"/>
              <w:jc w:val="center"/>
              <w:rPr>
                <w:rFonts w:ascii="仿宋" w:hAnsi="仿宋" w:eastAsia="仿宋" w:cs="仿宋"/>
                <w:color w:val="auto"/>
                <w:sz w:val="28"/>
                <w:szCs w:val="28"/>
                <w:highlight w:val="none"/>
              </w:rPr>
            </w:pPr>
          </w:p>
        </w:tc>
        <w:tc>
          <w:tcPr>
            <w:tcW w:w="1286" w:type="dxa"/>
            <w:vAlign w:val="center"/>
          </w:tcPr>
          <w:p w14:paraId="2A8B296B">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技术职称</w:t>
            </w:r>
          </w:p>
        </w:tc>
        <w:tc>
          <w:tcPr>
            <w:tcW w:w="1421" w:type="dxa"/>
            <w:gridSpan w:val="2"/>
            <w:vAlign w:val="center"/>
          </w:tcPr>
          <w:p w14:paraId="42ED8BEF">
            <w:pPr>
              <w:tabs>
                <w:tab w:val="left" w:pos="4860"/>
              </w:tabs>
              <w:spacing w:line="440" w:lineRule="exact"/>
              <w:jc w:val="center"/>
              <w:rPr>
                <w:rFonts w:ascii="仿宋" w:hAnsi="仿宋" w:eastAsia="仿宋" w:cs="仿宋"/>
                <w:color w:val="auto"/>
                <w:sz w:val="28"/>
                <w:szCs w:val="28"/>
                <w:highlight w:val="none"/>
              </w:rPr>
            </w:pPr>
          </w:p>
        </w:tc>
        <w:tc>
          <w:tcPr>
            <w:tcW w:w="1253" w:type="dxa"/>
            <w:gridSpan w:val="2"/>
            <w:vAlign w:val="center"/>
          </w:tcPr>
          <w:p w14:paraId="5C88BDF5">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p>
        </w:tc>
        <w:tc>
          <w:tcPr>
            <w:tcW w:w="1234" w:type="dxa"/>
            <w:vAlign w:val="center"/>
          </w:tcPr>
          <w:p w14:paraId="6EDBD935">
            <w:pPr>
              <w:tabs>
                <w:tab w:val="left" w:pos="4860"/>
              </w:tabs>
              <w:spacing w:line="440" w:lineRule="exact"/>
              <w:jc w:val="center"/>
              <w:rPr>
                <w:rFonts w:ascii="仿宋" w:hAnsi="仿宋" w:eastAsia="仿宋" w:cs="仿宋"/>
                <w:color w:val="auto"/>
                <w:sz w:val="28"/>
                <w:szCs w:val="28"/>
                <w:highlight w:val="none"/>
              </w:rPr>
            </w:pPr>
          </w:p>
        </w:tc>
      </w:tr>
      <w:tr w14:paraId="247CAA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2339" w:type="dxa"/>
            <w:vAlign w:val="center"/>
          </w:tcPr>
          <w:p w14:paraId="0DF46C91">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企业资质证书</w:t>
            </w:r>
          </w:p>
        </w:tc>
        <w:tc>
          <w:tcPr>
            <w:tcW w:w="1923" w:type="dxa"/>
            <w:gridSpan w:val="2"/>
            <w:tcBorders>
              <w:right w:val="single" w:color="auto" w:sz="4" w:space="0"/>
            </w:tcBorders>
            <w:vAlign w:val="center"/>
          </w:tcPr>
          <w:p w14:paraId="640520CE">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类型：</w:t>
            </w:r>
          </w:p>
        </w:tc>
        <w:tc>
          <w:tcPr>
            <w:tcW w:w="1837" w:type="dxa"/>
            <w:gridSpan w:val="2"/>
            <w:tcBorders>
              <w:left w:val="single" w:color="auto" w:sz="4" w:space="0"/>
              <w:right w:val="single" w:color="auto" w:sz="4" w:space="0"/>
            </w:tcBorders>
            <w:vAlign w:val="center"/>
          </w:tcPr>
          <w:p w14:paraId="3A62FB54">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等级：</w:t>
            </w:r>
          </w:p>
        </w:tc>
        <w:tc>
          <w:tcPr>
            <w:tcW w:w="3357" w:type="dxa"/>
            <w:gridSpan w:val="4"/>
            <w:tcBorders>
              <w:left w:val="single" w:color="auto" w:sz="4" w:space="0"/>
            </w:tcBorders>
            <w:vAlign w:val="center"/>
          </w:tcPr>
          <w:p w14:paraId="2F9CCB61">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证书号：</w:t>
            </w:r>
          </w:p>
        </w:tc>
      </w:tr>
      <w:tr w14:paraId="30699C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8" w:hRule="atLeast"/>
        </w:trPr>
        <w:tc>
          <w:tcPr>
            <w:tcW w:w="2339" w:type="dxa"/>
            <w:vAlign w:val="center"/>
          </w:tcPr>
          <w:p w14:paraId="4D20A456">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质量管理体系证书</w:t>
            </w:r>
          </w:p>
          <w:p w14:paraId="70995234">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(如有)</w:t>
            </w:r>
          </w:p>
        </w:tc>
        <w:tc>
          <w:tcPr>
            <w:tcW w:w="3760" w:type="dxa"/>
            <w:gridSpan w:val="4"/>
            <w:tcBorders>
              <w:right w:val="single" w:color="auto" w:sz="4" w:space="0"/>
            </w:tcBorders>
            <w:vAlign w:val="center"/>
          </w:tcPr>
          <w:p w14:paraId="4DB823C5">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类型：</w:t>
            </w:r>
          </w:p>
        </w:tc>
        <w:tc>
          <w:tcPr>
            <w:tcW w:w="3357" w:type="dxa"/>
            <w:gridSpan w:val="4"/>
            <w:tcBorders>
              <w:left w:val="single" w:color="auto" w:sz="4" w:space="0"/>
            </w:tcBorders>
            <w:vAlign w:val="center"/>
          </w:tcPr>
          <w:p w14:paraId="1277FBED">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证书号：</w:t>
            </w:r>
          </w:p>
        </w:tc>
      </w:tr>
      <w:tr w14:paraId="6367EC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2339" w:type="dxa"/>
            <w:vAlign w:val="center"/>
          </w:tcPr>
          <w:p w14:paraId="56AC775A">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营业执照号</w:t>
            </w:r>
          </w:p>
        </w:tc>
        <w:tc>
          <w:tcPr>
            <w:tcW w:w="3209" w:type="dxa"/>
            <w:gridSpan w:val="3"/>
            <w:vAlign w:val="center"/>
          </w:tcPr>
          <w:p w14:paraId="774F9610">
            <w:pPr>
              <w:tabs>
                <w:tab w:val="left" w:pos="4860"/>
              </w:tabs>
              <w:spacing w:line="440" w:lineRule="exact"/>
              <w:jc w:val="center"/>
              <w:rPr>
                <w:rFonts w:ascii="仿宋" w:hAnsi="仿宋" w:eastAsia="仿宋" w:cs="仿宋"/>
                <w:color w:val="auto"/>
                <w:sz w:val="28"/>
                <w:szCs w:val="28"/>
                <w:highlight w:val="none"/>
              </w:rPr>
            </w:pPr>
          </w:p>
        </w:tc>
        <w:tc>
          <w:tcPr>
            <w:tcW w:w="3908" w:type="dxa"/>
            <w:gridSpan w:val="5"/>
            <w:vAlign w:val="center"/>
          </w:tcPr>
          <w:p w14:paraId="7F3EDDB1">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员工总人数：</w:t>
            </w:r>
          </w:p>
        </w:tc>
      </w:tr>
      <w:tr w14:paraId="5E90F3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5" w:hRule="atLeast"/>
        </w:trPr>
        <w:tc>
          <w:tcPr>
            <w:tcW w:w="2339" w:type="dxa"/>
            <w:vAlign w:val="center"/>
          </w:tcPr>
          <w:p w14:paraId="7938E20E">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w:t>
            </w:r>
          </w:p>
        </w:tc>
        <w:tc>
          <w:tcPr>
            <w:tcW w:w="3209" w:type="dxa"/>
            <w:gridSpan w:val="3"/>
            <w:vAlign w:val="center"/>
          </w:tcPr>
          <w:p w14:paraId="2173D776">
            <w:pPr>
              <w:tabs>
                <w:tab w:val="left" w:pos="4860"/>
              </w:tabs>
              <w:spacing w:line="440" w:lineRule="exact"/>
              <w:jc w:val="center"/>
              <w:rPr>
                <w:rFonts w:ascii="仿宋" w:hAnsi="仿宋" w:eastAsia="仿宋" w:cs="仿宋"/>
                <w:color w:val="auto"/>
                <w:sz w:val="28"/>
                <w:szCs w:val="28"/>
                <w:highlight w:val="none"/>
              </w:rPr>
            </w:pPr>
          </w:p>
        </w:tc>
        <w:tc>
          <w:tcPr>
            <w:tcW w:w="551" w:type="dxa"/>
            <w:vMerge w:val="restart"/>
            <w:tcBorders>
              <w:bottom w:val="nil"/>
            </w:tcBorders>
            <w:textDirection w:val="tbRlV"/>
            <w:vAlign w:val="center"/>
          </w:tcPr>
          <w:p w14:paraId="2AAB031D">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其中</w:t>
            </w:r>
          </w:p>
        </w:tc>
        <w:tc>
          <w:tcPr>
            <w:tcW w:w="1837" w:type="dxa"/>
            <w:gridSpan w:val="2"/>
            <w:vAlign w:val="center"/>
          </w:tcPr>
          <w:p w14:paraId="26747880">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高级职称人员</w:t>
            </w:r>
          </w:p>
        </w:tc>
        <w:tc>
          <w:tcPr>
            <w:tcW w:w="1520" w:type="dxa"/>
            <w:gridSpan w:val="2"/>
            <w:vAlign w:val="center"/>
          </w:tcPr>
          <w:p w14:paraId="0F441313">
            <w:pPr>
              <w:tabs>
                <w:tab w:val="left" w:pos="4860"/>
              </w:tabs>
              <w:spacing w:line="440" w:lineRule="exact"/>
              <w:jc w:val="center"/>
              <w:rPr>
                <w:rFonts w:ascii="仿宋" w:hAnsi="仿宋" w:eastAsia="仿宋" w:cs="仿宋"/>
                <w:color w:val="auto"/>
                <w:sz w:val="28"/>
                <w:szCs w:val="28"/>
                <w:highlight w:val="none"/>
              </w:rPr>
            </w:pPr>
          </w:p>
        </w:tc>
      </w:tr>
      <w:tr w14:paraId="2FD7E0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2339" w:type="dxa"/>
            <w:vAlign w:val="center"/>
          </w:tcPr>
          <w:p w14:paraId="7C76B679">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成立日期</w:t>
            </w:r>
          </w:p>
        </w:tc>
        <w:tc>
          <w:tcPr>
            <w:tcW w:w="3209" w:type="dxa"/>
            <w:gridSpan w:val="3"/>
            <w:vAlign w:val="center"/>
          </w:tcPr>
          <w:p w14:paraId="1F26191F">
            <w:pPr>
              <w:tabs>
                <w:tab w:val="left" w:pos="4860"/>
              </w:tabs>
              <w:spacing w:line="440" w:lineRule="exact"/>
              <w:jc w:val="center"/>
              <w:rPr>
                <w:rFonts w:ascii="仿宋" w:hAnsi="仿宋" w:eastAsia="仿宋" w:cs="仿宋"/>
                <w:color w:val="auto"/>
                <w:sz w:val="28"/>
                <w:szCs w:val="28"/>
                <w:highlight w:val="none"/>
              </w:rPr>
            </w:pPr>
          </w:p>
        </w:tc>
        <w:tc>
          <w:tcPr>
            <w:tcW w:w="551" w:type="dxa"/>
            <w:vMerge w:val="continue"/>
            <w:tcBorders>
              <w:top w:val="nil"/>
              <w:bottom w:val="nil"/>
            </w:tcBorders>
            <w:textDirection w:val="tbRlV"/>
            <w:vAlign w:val="center"/>
          </w:tcPr>
          <w:p w14:paraId="596E9D77">
            <w:pPr>
              <w:tabs>
                <w:tab w:val="left" w:pos="4860"/>
              </w:tabs>
              <w:spacing w:line="440" w:lineRule="exact"/>
              <w:jc w:val="center"/>
              <w:rPr>
                <w:rFonts w:ascii="仿宋" w:hAnsi="仿宋" w:eastAsia="仿宋" w:cs="仿宋"/>
                <w:color w:val="auto"/>
                <w:sz w:val="28"/>
                <w:szCs w:val="28"/>
                <w:highlight w:val="none"/>
              </w:rPr>
            </w:pPr>
          </w:p>
        </w:tc>
        <w:tc>
          <w:tcPr>
            <w:tcW w:w="1837" w:type="dxa"/>
            <w:gridSpan w:val="2"/>
            <w:vAlign w:val="center"/>
          </w:tcPr>
          <w:p w14:paraId="3ED888C2">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中级职称人员</w:t>
            </w:r>
          </w:p>
        </w:tc>
        <w:tc>
          <w:tcPr>
            <w:tcW w:w="1520" w:type="dxa"/>
            <w:gridSpan w:val="2"/>
            <w:vAlign w:val="center"/>
          </w:tcPr>
          <w:p w14:paraId="5C30C846">
            <w:pPr>
              <w:tabs>
                <w:tab w:val="left" w:pos="4860"/>
              </w:tabs>
              <w:spacing w:line="440" w:lineRule="exact"/>
              <w:jc w:val="center"/>
              <w:rPr>
                <w:rFonts w:ascii="仿宋" w:hAnsi="仿宋" w:eastAsia="仿宋" w:cs="仿宋"/>
                <w:color w:val="auto"/>
                <w:sz w:val="28"/>
                <w:szCs w:val="28"/>
                <w:highlight w:val="none"/>
              </w:rPr>
            </w:pPr>
          </w:p>
        </w:tc>
      </w:tr>
      <w:tr w14:paraId="4D7CB0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2339" w:type="dxa"/>
            <w:vAlign w:val="center"/>
          </w:tcPr>
          <w:p w14:paraId="4B20057E">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基本账户开户银行</w:t>
            </w:r>
          </w:p>
        </w:tc>
        <w:tc>
          <w:tcPr>
            <w:tcW w:w="3209" w:type="dxa"/>
            <w:gridSpan w:val="3"/>
            <w:vAlign w:val="center"/>
          </w:tcPr>
          <w:p w14:paraId="6F539221">
            <w:pPr>
              <w:tabs>
                <w:tab w:val="left" w:pos="4860"/>
              </w:tabs>
              <w:spacing w:line="440" w:lineRule="exact"/>
              <w:jc w:val="center"/>
              <w:rPr>
                <w:rFonts w:ascii="仿宋" w:hAnsi="仿宋" w:eastAsia="仿宋" w:cs="仿宋"/>
                <w:color w:val="auto"/>
                <w:sz w:val="28"/>
                <w:szCs w:val="28"/>
                <w:highlight w:val="none"/>
              </w:rPr>
            </w:pPr>
          </w:p>
        </w:tc>
        <w:tc>
          <w:tcPr>
            <w:tcW w:w="551" w:type="dxa"/>
            <w:vMerge w:val="continue"/>
            <w:tcBorders>
              <w:top w:val="nil"/>
              <w:bottom w:val="nil"/>
            </w:tcBorders>
            <w:textDirection w:val="tbRlV"/>
            <w:vAlign w:val="center"/>
          </w:tcPr>
          <w:p w14:paraId="3D267050">
            <w:pPr>
              <w:tabs>
                <w:tab w:val="left" w:pos="4860"/>
              </w:tabs>
              <w:spacing w:line="440" w:lineRule="exact"/>
              <w:jc w:val="center"/>
              <w:rPr>
                <w:rFonts w:ascii="仿宋" w:hAnsi="仿宋" w:eastAsia="仿宋" w:cs="仿宋"/>
                <w:color w:val="auto"/>
                <w:sz w:val="28"/>
                <w:szCs w:val="28"/>
                <w:highlight w:val="none"/>
              </w:rPr>
            </w:pPr>
          </w:p>
        </w:tc>
        <w:tc>
          <w:tcPr>
            <w:tcW w:w="1837" w:type="dxa"/>
            <w:gridSpan w:val="2"/>
            <w:vAlign w:val="center"/>
          </w:tcPr>
          <w:p w14:paraId="1E03B2F1">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技术人员数量</w:t>
            </w:r>
          </w:p>
        </w:tc>
        <w:tc>
          <w:tcPr>
            <w:tcW w:w="1520" w:type="dxa"/>
            <w:gridSpan w:val="2"/>
            <w:vAlign w:val="center"/>
          </w:tcPr>
          <w:p w14:paraId="101A02D4">
            <w:pPr>
              <w:tabs>
                <w:tab w:val="left" w:pos="4860"/>
              </w:tabs>
              <w:spacing w:line="440" w:lineRule="exact"/>
              <w:jc w:val="center"/>
              <w:rPr>
                <w:rFonts w:ascii="仿宋" w:hAnsi="仿宋" w:eastAsia="仿宋" w:cs="仿宋"/>
                <w:color w:val="auto"/>
                <w:sz w:val="28"/>
                <w:szCs w:val="28"/>
                <w:highlight w:val="none"/>
              </w:rPr>
            </w:pPr>
          </w:p>
        </w:tc>
      </w:tr>
      <w:tr w14:paraId="339013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2339" w:type="dxa"/>
            <w:vAlign w:val="center"/>
          </w:tcPr>
          <w:p w14:paraId="0E76E2B4">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基本账户银行账号</w:t>
            </w:r>
          </w:p>
        </w:tc>
        <w:tc>
          <w:tcPr>
            <w:tcW w:w="3209" w:type="dxa"/>
            <w:gridSpan w:val="3"/>
            <w:vAlign w:val="center"/>
          </w:tcPr>
          <w:p w14:paraId="645F5759">
            <w:pPr>
              <w:tabs>
                <w:tab w:val="left" w:pos="4860"/>
              </w:tabs>
              <w:spacing w:line="440" w:lineRule="exact"/>
              <w:jc w:val="center"/>
              <w:rPr>
                <w:rFonts w:ascii="仿宋" w:hAnsi="仿宋" w:eastAsia="仿宋" w:cs="仿宋"/>
                <w:color w:val="auto"/>
                <w:sz w:val="28"/>
                <w:szCs w:val="28"/>
                <w:highlight w:val="none"/>
              </w:rPr>
            </w:pPr>
          </w:p>
        </w:tc>
        <w:tc>
          <w:tcPr>
            <w:tcW w:w="551" w:type="dxa"/>
            <w:vMerge w:val="continue"/>
            <w:tcBorders>
              <w:top w:val="nil"/>
            </w:tcBorders>
            <w:textDirection w:val="tbRlV"/>
            <w:vAlign w:val="center"/>
          </w:tcPr>
          <w:p w14:paraId="724BCBDF">
            <w:pPr>
              <w:tabs>
                <w:tab w:val="left" w:pos="4860"/>
              </w:tabs>
              <w:spacing w:line="440" w:lineRule="exact"/>
              <w:jc w:val="center"/>
              <w:rPr>
                <w:rFonts w:ascii="仿宋" w:hAnsi="仿宋" w:eastAsia="仿宋" w:cs="仿宋"/>
                <w:color w:val="auto"/>
                <w:sz w:val="28"/>
                <w:szCs w:val="28"/>
                <w:highlight w:val="none"/>
              </w:rPr>
            </w:pPr>
          </w:p>
        </w:tc>
        <w:tc>
          <w:tcPr>
            <w:tcW w:w="1837" w:type="dxa"/>
            <w:gridSpan w:val="2"/>
            <w:vAlign w:val="center"/>
          </w:tcPr>
          <w:p w14:paraId="7383A50F">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各类注册人员</w:t>
            </w:r>
          </w:p>
        </w:tc>
        <w:tc>
          <w:tcPr>
            <w:tcW w:w="1520" w:type="dxa"/>
            <w:gridSpan w:val="2"/>
            <w:vAlign w:val="center"/>
          </w:tcPr>
          <w:p w14:paraId="42103A3C">
            <w:pPr>
              <w:tabs>
                <w:tab w:val="left" w:pos="4860"/>
              </w:tabs>
              <w:spacing w:line="440" w:lineRule="exact"/>
              <w:jc w:val="center"/>
              <w:rPr>
                <w:rFonts w:ascii="仿宋" w:hAnsi="仿宋" w:eastAsia="仿宋" w:cs="仿宋"/>
                <w:color w:val="auto"/>
                <w:sz w:val="28"/>
                <w:szCs w:val="28"/>
                <w:highlight w:val="none"/>
              </w:rPr>
            </w:pPr>
          </w:p>
        </w:tc>
      </w:tr>
      <w:tr w14:paraId="750AEA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2339" w:type="dxa"/>
            <w:vAlign w:val="center"/>
          </w:tcPr>
          <w:p w14:paraId="64EEB2C1">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7117" w:type="dxa"/>
            <w:gridSpan w:val="8"/>
            <w:vAlign w:val="center"/>
          </w:tcPr>
          <w:p w14:paraId="2605DB0E">
            <w:pPr>
              <w:tabs>
                <w:tab w:val="left" w:pos="4860"/>
              </w:tabs>
              <w:spacing w:line="440" w:lineRule="exact"/>
              <w:jc w:val="center"/>
              <w:rPr>
                <w:rFonts w:ascii="仿宋" w:hAnsi="仿宋" w:eastAsia="仿宋" w:cs="仿宋"/>
                <w:color w:val="auto"/>
                <w:sz w:val="28"/>
                <w:szCs w:val="28"/>
                <w:highlight w:val="none"/>
              </w:rPr>
            </w:pPr>
          </w:p>
        </w:tc>
      </w:tr>
      <w:tr w14:paraId="16314B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339" w:type="dxa"/>
            <w:vAlign w:val="center"/>
          </w:tcPr>
          <w:p w14:paraId="4B8BCE0E">
            <w:pPr>
              <w:tabs>
                <w:tab w:val="left" w:pos="4860"/>
              </w:tabs>
              <w:spacing w:line="4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tc>
        <w:tc>
          <w:tcPr>
            <w:tcW w:w="7117" w:type="dxa"/>
            <w:gridSpan w:val="8"/>
            <w:vAlign w:val="center"/>
          </w:tcPr>
          <w:p w14:paraId="557147F3">
            <w:pPr>
              <w:tabs>
                <w:tab w:val="left" w:pos="4860"/>
              </w:tabs>
              <w:spacing w:line="440" w:lineRule="exact"/>
              <w:jc w:val="center"/>
              <w:rPr>
                <w:rFonts w:ascii="仿宋" w:hAnsi="仿宋" w:eastAsia="仿宋" w:cs="仿宋"/>
                <w:color w:val="auto"/>
                <w:sz w:val="28"/>
                <w:szCs w:val="28"/>
                <w:highlight w:val="none"/>
              </w:rPr>
            </w:pPr>
          </w:p>
        </w:tc>
      </w:tr>
    </w:tbl>
    <w:p w14:paraId="58F5CED0">
      <w:pPr>
        <w:autoSpaceDE w:val="0"/>
        <w:autoSpaceDN w:val="0"/>
        <w:adjustRightInd w:val="0"/>
        <w:snapToGrid w:val="0"/>
        <w:spacing w:line="500" w:lineRule="exact"/>
        <w:rPr>
          <w:rFonts w:ascii="仿宋" w:hAnsi="仿宋" w:eastAsia="仿宋" w:cs="仿宋"/>
          <w:b/>
          <w:color w:val="auto"/>
          <w:sz w:val="28"/>
          <w:szCs w:val="28"/>
          <w:highlight w:val="none"/>
        </w:rPr>
      </w:pPr>
    </w:p>
    <w:p w14:paraId="1AF22B3A">
      <w:pPr>
        <w:snapToGrid w:val="0"/>
        <w:spacing w:line="360" w:lineRule="auto"/>
        <w:ind w:firstLine="280" w:firstLineChars="100"/>
        <w:rPr>
          <w:rFonts w:ascii="仿宋" w:hAnsi="仿宋" w:eastAsia="仿宋" w:cs="仿宋"/>
          <w:color w:val="auto"/>
          <w:sz w:val="28"/>
          <w:szCs w:val="28"/>
          <w:highlight w:val="none"/>
        </w:rPr>
      </w:pPr>
      <w:bookmarkStart w:id="30" w:name="OLE_LINK3"/>
      <w:r>
        <w:rPr>
          <w:rFonts w:hint="eastAsia" w:ascii="仿宋" w:hAnsi="仿宋" w:eastAsia="仿宋" w:cs="仿宋"/>
          <w:color w:val="auto"/>
          <w:sz w:val="28"/>
          <w:szCs w:val="28"/>
          <w:highlight w:val="none"/>
        </w:rPr>
        <w:t>投标人（盖电子公章）：</w:t>
      </w:r>
    </w:p>
    <w:p w14:paraId="1B9D64E3">
      <w:pPr>
        <w:snapToGrid w:val="0"/>
        <w:spacing w:line="360" w:lineRule="auto"/>
        <w:ind w:firstLine="280" w:firstLineChars="100"/>
        <w:rPr>
          <w:rFonts w:ascii="仿宋" w:hAnsi="仿宋" w:eastAsia="仿宋" w:cs="仿宋"/>
          <w:color w:val="auto"/>
          <w:sz w:val="28"/>
          <w:szCs w:val="28"/>
          <w:highlight w:val="none"/>
        </w:rPr>
      </w:pPr>
    </w:p>
    <w:p w14:paraId="3EE5B0AB">
      <w:pPr>
        <w:pStyle w:val="26"/>
        <w:spacing w:line="52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日期：</w:t>
      </w:r>
    </w:p>
    <w:p w14:paraId="5F964172">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bookmarkEnd w:id="30"/>
    <w:p w14:paraId="169A57C3">
      <w:pPr>
        <w:pStyle w:val="32"/>
        <w:jc w:val="center"/>
        <w:rPr>
          <w:rFonts w:ascii="仿宋" w:hAnsi="仿宋" w:eastAsia="仿宋" w:cs="仿宋"/>
          <w:color w:val="auto"/>
          <w:highlight w:val="none"/>
        </w:rPr>
      </w:pPr>
      <w:r>
        <w:rPr>
          <w:rFonts w:hint="eastAsia" w:ascii="仿宋" w:hAnsi="仿宋" w:eastAsia="仿宋" w:cs="仿宋"/>
          <w:color w:val="auto"/>
          <w:sz w:val="32"/>
          <w:szCs w:val="32"/>
          <w:highlight w:val="none"/>
        </w:rPr>
        <w:t>拟派本项目团队成员情况一览表</w:t>
      </w:r>
    </w:p>
    <w:tbl>
      <w:tblPr>
        <w:tblStyle w:val="49"/>
        <w:tblW w:w="90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5"/>
        <w:gridCol w:w="1312"/>
        <w:gridCol w:w="913"/>
        <w:gridCol w:w="950"/>
        <w:gridCol w:w="1245"/>
        <w:gridCol w:w="992"/>
        <w:gridCol w:w="1559"/>
        <w:gridCol w:w="993"/>
      </w:tblGrid>
      <w:tr w14:paraId="3B972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jc w:val="center"/>
        </w:trPr>
        <w:tc>
          <w:tcPr>
            <w:tcW w:w="9039" w:type="dxa"/>
            <w:gridSpan w:val="8"/>
            <w:tcBorders>
              <w:top w:val="single" w:color="auto" w:sz="4" w:space="0"/>
              <w:left w:val="single" w:color="auto" w:sz="4" w:space="0"/>
              <w:bottom w:val="single" w:color="auto" w:sz="4" w:space="0"/>
              <w:right w:val="single" w:color="auto" w:sz="4" w:space="0"/>
            </w:tcBorders>
            <w:vAlign w:val="center"/>
          </w:tcPr>
          <w:p w14:paraId="16A29ED6">
            <w:pPr>
              <w:spacing w:line="50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拟派人员总人数：人</w:t>
            </w:r>
          </w:p>
          <w:p w14:paraId="60351A4A">
            <w:pPr>
              <w:spacing w:line="500" w:lineRule="exac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项目负责人姓名：</w:t>
            </w:r>
            <w:r>
              <w:rPr>
                <w:rFonts w:hint="eastAsia" w:ascii="仿宋" w:hAnsi="仿宋" w:eastAsia="仿宋" w:cs="仿宋"/>
                <w:color w:val="auto"/>
                <w:sz w:val="28"/>
                <w:szCs w:val="28"/>
                <w:highlight w:val="none"/>
                <w:u w:val="single"/>
              </w:rPr>
              <w:t>　　　　</w:t>
            </w: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u w:val="single"/>
              </w:rPr>
              <w:t>　　　　</w:t>
            </w:r>
          </w:p>
        </w:tc>
      </w:tr>
      <w:tr w14:paraId="050B3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top w:val="single" w:color="auto" w:sz="4" w:space="0"/>
              <w:left w:val="single" w:color="auto" w:sz="4" w:space="0"/>
              <w:right w:val="single" w:color="auto" w:sz="4" w:space="0"/>
            </w:tcBorders>
            <w:vAlign w:val="center"/>
          </w:tcPr>
          <w:p w14:paraId="3A92353B">
            <w:pPr>
              <w:spacing w:line="5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1312" w:type="dxa"/>
            <w:tcBorders>
              <w:top w:val="single" w:color="auto" w:sz="4" w:space="0"/>
              <w:left w:val="single" w:color="auto" w:sz="4" w:space="0"/>
              <w:right w:val="single" w:color="auto" w:sz="4" w:space="0"/>
            </w:tcBorders>
            <w:vAlign w:val="center"/>
          </w:tcPr>
          <w:p w14:paraId="52980187">
            <w:pPr>
              <w:spacing w:line="5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性别</w:t>
            </w:r>
          </w:p>
        </w:tc>
        <w:tc>
          <w:tcPr>
            <w:tcW w:w="913" w:type="dxa"/>
            <w:tcBorders>
              <w:top w:val="single" w:color="auto" w:sz="4" w:space="0"/>
              <w:left w:val="single" w:color="auto" w:sz="4" w:space="0"/>
              <w:bottom w:val="single" w:color="auto" w:sz="4" w:space="0"/>
              <w:right w:val="single" w:color="auto" w:sz="4" w:space="0"/>
            </w:tcBorders>
            <w:vAlign w:val="center"/>
          </w:tcPr>
          <w:p w14:paraId="5370B8BA">
            <w:pPr>
              <w:spacing w:line="5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年龄</w:t>
            </w:r>
          </w:p>
        </w:tc>
        <w:tc>
          <w:tcPr>
            <w:tcW w:w="950" w:type="dxa"/>
            <w:tcBorders>
              <w:top w:val="single" w:color="auto" w:sz="4" w:space="0"/>
              <w:left w:val="single" w:color="auto" w:sz="4" w:space="0"/>
              <w:bottom w:val="single" w:color="auto" w:sz="4" w:space="0"/>
              <w:right w:val="single" w:color="auto" w:sz="4" w:space="0"/>
            </w:tcBorders>
            <w:vAlign w:val="center"/>
          </w:tcPr>
          <w:p w14:paraId="735F5D25">
            <w:pPr>
              <w:spacing w:line="5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学历</w:t>
            </w:r>
          </w:p>
        </w:tc>
        <w:tc>
          <w:tcPr>
            <w:tcW w:w="1245" w:type="dxa"/>
            <w:tcBorders>
              <w:top w:val="single" w:color="auto" w:sz="4" w:space="0"/>
              <w:left w:val="single" w:color="auto" w:sz="4" w:space="0"/>
              <w:bottom w:val="single" w:color="auto" w:sz="4" w:space="0"/>
              <w:right w:val="single" w:color="auto" w:sz="4" w:space="0"/>
            </w:tcBorders>
            <w:vAlign w:val="center"/>
          </w:tcPr>
          <w:p w14:paraId="29FC8DCD">
            <w:pPr>
              <w:spacing w:line="5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拟在本项目中担任职务</w:t>
            </w:r>
          </w:p>
        </w:tc>
        <w:tc>
          <w:tcPr>
            <w:tcW w:w="992" w:type="dxa"/>
            <w:tcBorders>
              <w:top w:val="single" w:color="auto" w:sz="4" w:space="0"/>
              <w:left w:val="single" w:color="auto" w:sz="4" w:space="0"/>
              <w:bottom w:val="single" w:color="auto" w:sz="4" w:space="0"/>
              <w:right w:val="single" w:color="auto" w:sz="4" w:space="0"/>
            </w:tcBorders>
            <w:vAlign w:val="center"/>
          </w:tcPr>
          <w:p w14:paraId="743F3CCD">
            <w:pPr>
              <w:spacing w:line="5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注册证书号</w:t>
            </w:r>
          </w:p>
        </w:tc>
        <w:tc>
          <w:tcPr>
            <w:tcW w:w="1559" w:type="dxa"/>
            <w:tcBorders>
              <w:top w:val="single" w:color="auto" w:sz="4" w:space="0"/>
              <w:left w:val="single" w:color="auto" w:sz="4" w:space="0"/>
              <w:bottom w:val="single" w:color="auto" w:sz="4" w:space="0"/>
              <w:right w:val="single" w:color="auto" w:sz="4" w:space="0"/>
            </w:tcBorders>
            <w:vAlign w:val="center"/>
          </w:tcPr>
          <w:p w14:paraId="5BD2D7D8">
            <w:pPr>
              <w:spacing w:line="5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从事该工作时间</w:t>
            </w:r>
          </w:p>
        </w:tc>
        <w:tc>
          <w:tcPr>
            <w:tcW w:w="993" w:type="dxa"/>
            <w:tcBorders>
              <w:top w:val="single" w:color="auto" w:sz="4" w:space="0"/>
              <w:left w:val="single" w:color="auto" w:sz="4" w:space="0"/>
              <w:bottom w:val="single" w:color="auto" w:sz="4" w:space="0"/>
              <w:right w:val="single" w:color="auto" w:sz="4" w:space="0"/>
            </w:tcBorders>
            <w:vAlign w:val="center"/>
          </w:tcPr>
          <w:p w14:paraId="79C505D6">
            <w:pPr>
              <w:spacing w:line="5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职称/专业</w:t>
            </w:r>
          </w:p>
        </w:tc>
      </w:tr>
      <w:tr w14:paraId="25B27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4D705027">
            <w:pPr>
              <w:spacing w:line="460" w:lineRule="exact"/>
              <w:jc w:val="center"/>
              <w:rPr>
                <w:rFonts w:ascii="仿宋" w:hAnsi="仿宋" w:eastAsia="仿宋" w:cs="仿宋"/>
                <w:color w:val="auto"/>
                <w:sz w:val="28"/>
                <w:szCs w:val="28"/>
                <w:highlight w:val="none"/>
              </w:rPr>
            </w:pPr>
          </w:p>
        </w:tc>
        <w:tc>
          <w:tcPr>
            <w:tcW w:w="1312" w:type="dxa"/>
            <w:tcBorders>
              <w:left w:val="single" w:color="auto" w:sz="4" w:space="0"/>
              <w:right w:val="single" w:color="auto" w:sz="4" w:space="0"/>
            </w:tcBorders>
            <w:vAlign w:val="center"/>
          </w:tcPr>
          <w:p w14:paraId="0902E077">
            <w:pPr>
              <w:spacing w:line="460" w:lineRule="exact"/>
              <w:jc w:val="center"/>
              <w:rPr>
                <w:rFonts w:ascii="仿宋" w:hAnsi="仿宋" w:eastAsia="仿宋" w:cs="仿宋"/>
                <w:color w:val="auto"/>
                <w:sz w:val="28"/>
                <w:szCs w:val="28"/>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6D910EA5">
            <w:pPr>
              <w:spacing w:line="460" w:lineRule="exact"/>
              <w:jc w:val="center"/>
              <w:rPr>
                <w:rFonts w:ascii="仿宋" w:hAnsi="仿宋" w:eastAsia="仿宋" w:cs="仿宋"/>
                <w:color w:val="auto"/>
                <w:sz w:val="28"/>
                <w:szCs w:val="28"/>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77AEA169">
            <w:pPr>
              <w:spacing w:line="460" w:lineRule="exact"/>
              <w:jc w:val="center"/>
              <w:rPr>
                <w:rFonts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639685AC">
            <w:pPr>
              <w:spacing w:line="460" w:lineRule="exact"/>
              <w:jc w:val="center"/>
              <w:rPr>
                <w:rFonts w:ascii="仿宋" w:hAnsi="仿宋" w:eastAsia="仿宋" w:cs="仿宋"/>
                <w:color w:val="auto"/>
                <w:sz w:val="28"/>
                <w:szCs w:val="2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0D4AF647">
            <w:pPr>
              <w:spacing w:line="460" w:lineRule="exact"/>
              <w:jc w:val="center"/>
              <w:rPr>
                <w:rFonts w:ascii="仿宋" w:hAnsi="仿宋" w:eastAsia="仿宋" w:cs="仿宋"/>
                <w:color w:val="auto"/>
                <w:sz w:val="28"/>
                <w:szCs w:val="28"/>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4C38821D">
            <w:pPr>
              <w:spacing w:line="460" w:lineRule="exact"/>
              <w:jc w:val="center"/>
              <w:rPr>
                <w:rFonts w:ascii="仿宋" w:hAnsi="仿宋" w:eastAsia="仿宋" w:cs="仿宋"/>
                <w:color w:val="auto"/>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14:paraId="72D8A7E7">
            <w:pPr>
              <w:spacing w:line="460" w:lineRule="exact"/>
              <w:jc w:val="center"/>
              <w:rPr>
                <w:rFonts w:ascii="仿宋" w:hAnsi="仿宋" w:eastAsia="仿宋" w:cs="仿宋"/>
                <w:color w:val="auto"/>
                <w:sz w:val="28"/>
                <w:szCs w:val="28"/>
                <w:highlight w:val="none"/>
              </w:rPr>
            </w:pPr>
          </w:p>
        </w:tc>
      </w:tr>
      <w:tr w14:paraId="3AB9F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47ABF120">
            <w:pPr>
              <w:spacing w:line="460" w:lineRule="exact"/>
              <w:jc w:val="center"/>
              <w:rPr>
                <w:rFonts w:ascii="仿宋" w:hAnsi="仿宋" w:eastAsia="仿宋" w:cs="仿宋"/>
                <w:color w:val="auto"/>
                <w:sz w:val="28"/>
                <w:szCs w:val="28"/>
                <w:highlight w:val="none"/>
              </w:rPr>
            </w:pPr>
          </w:p>
        </w:tc>
        <w:tc>
          <w:tcPr>
            <w:tcW w:w="1312" w:type="dxa"/>
            <w:tcBorders>
              <w:left w:val="single" w:color="auto" w:sz="4" w:space="0"/>
              <w:right w:val="single" w:color="auto" w:sz="4" w:space="0"/>
            </w:tcBorders>
            <w:vAlign w:val="center"/>
          </w:tcPr>
          <w:p w14:paraId="1F027E74">
            <w:pPr>
              <w:spacing w:line="460" w:lineRule="exact"/>
              <w:jc w:val="center"/>
              <w:rPr>
                <w:rFonts w:ascii="仿宋" w:hAnsi="仿宋" w:eastAsia="仿宋" w:cs="仿宋"/>
                <w:color w:val="auto"/>
                <w:sz w:val="28"/>
                <w:szCs w:val="28"/>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16BA97BE">
            <w:pPr>
              <w:spacing w:line="460" w:lineRule="exact"/>
              <w:jc w:val="center"/>
              <w:rPr>
                <w:rFonts w:ascii="仿宋" w:hAnsi="仿宋" w:eastAsia="仿宋" w:cs="仿宋"/>
                <w:color w:val="auto"/>
                <w:sz w:val="28"/>
                <w:szCs w:val="28"/>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18E62C0B">
            <w:pPr>
              <w:spacing w:line="460" w:lineRule="exact"/>
              <w:jc w:val="center"/>
              <w:rPr>
                <w:rFonts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36B478DF">
            <w:pPr>
              <w:spacing w:line="460" w:lineRule="exact"/>
              <w:jc w:val="center"/>
              <w:rPr>
                <w:rFonts w:ascii="仿宋" w:hAnsi="仿宋" w:eastAsia="仿宋" w:cs="仿宋"/>
                <w:color w:val="auto"/>
                <w:sz w:val="28"/>
                <w:szCs w:val="2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020626CE">
            <w:pPr>
              <w:spacing w:line="460" w:lineRule="exact"/>
              <w:jc w:val="center"/>
              <w:rPr>
                <w:rFonts w:ascii="仿宋" w:hAnsi="仿宋" w:eastAsia="仿宋" w:cs="仿宋"/>
                <w:color w:val="auto"/>
                <w:sz w:val="28"/>
                <w:szCs w:val="28"/>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13B7AB38">
            <w:pPr>
              <w:spacing w:line="460" w:lineRule="exact"/>
              <w:jc w:val="center"/>
              <w:rPr>
                <w:rFonts w:ascii="仿宋" w:hAnsi="仿宋" w:eastAsia="仿宋" w:cs="仿宋"/>
                <w:color w:val="auto"/>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14:paraId="660E6240">
            <w:pPr>
              <w:spacing w:line="460" w:lineRule="exact"/>
              <w:jc w:val="center"/>
              <w:rPr>
                <w:rFonts w:ascii="仿宋" w:hAnsi="仿宋" w:eastAsia="仿宋" w:cs="仿宋"/>
                <w:color w:val="auto"/>
                <w:sz w:val="28"/>
                <w:szCs w:val="28"/>
                <w:highlight w:val="none"/>
              </w:rPr>
            </w:pPr>
          </w:p>
        </w:tc>
      </w:tr>
      <w:tr w14:paraId="36A0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539D07DD">
            <w:pPr>
              <w:spacing w:line="460" w:lineRule="exact"/>
              <w:jc w:val="center"/>
              <w:rPr>
                <w:rFonts w:ascii="仿宋" w:hAnsi="仿宋" w:eastAsia="仿宋" w:cs="仿宋"/>
                <w:color w:val="auto"/>
                <w:sz w:val="28"/>
                <w:szCs w:val="28"/>
                <w:highlight w:val="none"/>
              </w:rPr>
            </w:pPr>
          </w:p>
        </w:tc>
        <w:tc>
          <w:tcPr>
            <w:tcW w:w="1312" w:type="dxa"/>
            <w:tcBorders>
              <w:left w:val="single" w:color="auto" w:sz="4" w:space="0"/>
              <w:right w:val="single" w:color="auto" w:sz="4" w:space="0"/>
            </w:tcBorders>
            <w:vAlign w:val="center"/>
          </w:tcPr>
          <w:p w14:paraId="3CA68317">
            <w:pPr>
              <w:spacing w:line="460" w:lineRule="exact"/>
              <w:jc w:val="center"/>
              <w:rPr>
                <w:rFonts w:ascii="仿宋" w:hAnsi="仿宋" w:eastAsia="仿宋" w:cs="仿宋"/>
                <w:color w:val="auto"/>
                <w:sz w:val="28"/>
                <w:szCs w:val="28"/>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33453D38">
            <w:pPr>
              <w:spacing w:line="460" w:lineRule="exact"/>
              <w:jc w:val="center"/>
              <w:rPr>
                <w:rFonts w:ascii="仿宋" w:hAnsi="仿宋" w:eastAsia="仿宋" w:cs="仿宋"/>
                <w:color w:val="auto"/>
                <w:sz w:val="28"/>
                <w:szCs w:val="28"/>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235C2DB5">
            <w:pPr>
              <w:spacing w:line="460" w:lineRule="exact"/>
              <w:jc w:val="center"/>
              <w:rPr>
                <w:rFonts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12514AAA">
            <w:pPr>
              <w:spacing w:line="460" w:lineRule="exact"/>
              <w:jc w:val="center"/>
              <w:rPr>
                <w:rFonts w:ascii="仿宋" w:hAnsi="仿宋" w:eastAsia="仿宋" w:cs="仿宋"/>
                <w:color w:val="auto"/>
                <w:sz w:val="28"/>
                <w:szCs w:val="2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0E3F8FCD">
            <w:pPr>
              <w:spacing w:line="460" w:lineRule="exact"/>
              <w:jc w:val="center"/>
              <w:rPr>
                <w:rFonts w:ascii="仿宋" w:hAnsi="仿宋" w:eastAsia="仿宋" w:cs="仿宋"/>
                <w:color w:val="auto"/>
                <w:sz w:val="28"/>
                <w:szCs w:val="28"/>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364FD9D3">
            <w:pPr>
              <w:spacing w:line="460" w:lineRule="exact"/>
              <w:jc w:val="center"/>
              <w:rPr>
                <w:rFonts w:ascii="仿宋" w:hAnsi="仿宋" w:eastAsia="仿宋" w:cs="仿宋"/>
                <w:color w:val="auto"/>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14:paraId="193963C5">
            <w:pPr>
              <w:spacing w:line="460" w:lineRule="exact"/>
              <w:jc w:val="center"/>
              <w:rPr>
                <w:rFonts w:ascii="仿宋" w:hAnsi="仿宋" w:eastAsia="仿宋" w:cs="仿宋"/>
                <w:color w:val="auto"/>
                <w:sz w:val="28"/>
                <w:szCs w:val="28"/>
                <w:highlight w:val="none"/>
              </w:rPr>
            </w:pPr>
          </w:p>
        </w:tc>
      </w:tr>
      <w:tr w14:paraId="5791D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7E66488D">
            <w:pPr>
              <w:spacing w:line="460" w:lineRule="exact"/>
              <w:jc w:val="center"/>
              <w:rPr>
                <w:rFonts w:ascii="仿宋" w:hAnsi="仿宋" w:eastAsia="仿宋" w:cs="仿宋"/>
                <w:color w:val="auto"/>
                <w:sz w:val="28"/>
                <w:szCs w:val="28"/>
                <w:highlight w:val="none"/>
              </w:rPr>
            </w:pPr>
          </w:p>
        </w:tc>
        <w:tc>
          <w:tcPr>
            <w:tcW w:w="1312" w:type="dxa"/>
            <w:tcBorders>
              <w:left w:val="single" w:color="auto" w:sz="4" w:space="0"/>
              <w:right w:val="single" w:color="auto" w:sz="4" w:space="0"/>
            </w:tcBorders>
            <w:vAlign w:val="center"/>
          </w:tcPr>
          <w:p w14:paraId="05264F1C">
            <w:pPr>
              <w:spacing w:line="460" w:lineRule="exact"/>
              <w:jc w:val="center"/>
              <w:rPr>
                <w:rFonts w:ascii="仿宋" w:hAnsi="仿宋" w:eastAsia="仿宋" w:cs="仿宋"/>
                <w:color w:val="auto"/>
                <w:sz w:val="28"/>
                <w:szCs w:val="28"/>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679EFEAE">
            <w:pPr>
              <w:spacing w:line="460" w:lineRule="exact"/>
              <w:jc w:val="center"/>
              <w:rPr>
                <w:rFonts w:ascii="仿宋" w:hAnsi="仿宋" w:eastAsia="仿宋" w:cs="仿宋"/>
                <w:color w:val="auto"/>
                <w:sz w:val="28"/>
                <w:szCs w:val="28"/>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5BCC66B8">
            <w:pPr>
              <w:spacing w:line="460" w:lineRule="exact"/>
              <w:jc w:val="center"/>
              <w:rPr>
                <w:rFonts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28B0ABBD">
            <w:pPr>
              <w:spacing w:line="460" w:lineRule="exact"/>
              <w:jc w:val="center"/>
              <w:rPr>
                <w:rFonts w:ascii="仿宋" w:hAnsi="仿宋" w:eastAsia="仿宋" w:cs="仿宋"/>
                <w:color w:val="auto"/>
                <w:sz w:val="28"/>
                <w:szCs w:val="2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10A48BB2">
            <w:pPr>
              <w:spacing w:line="460" w:lineRule="exact"/>
              <w:jc w:val="center"/>
              <w:rPr>
                <w:rFonts w:ascii="仿宋" w:hAnsi="仿宋" w:eastAsia="仿宋" w:cs="仿宋"/>
                <w:color w:val="auto"/>
                <w:sz w:val="28"/>
                <w:szCs w:val="28"/>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2D0EB8C6">
            <w:pPr>
              <w:spacing w:line="460" w:lineRule="exact"/>
              <w:jc w:val="center"/>
              <w:rPr>
                <w:rFonts w:ascii="仿宋" w:hAnsi="仿宋" w:eastAsia="仿宋" w:cs="仿宋"/>
                <w:color w:val="auto"/>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14:paraId="59C68DDF">
            <w:pPr>
              <w:spacing w:line="460" w:lineRule="exact"/>
              <w:jc w:val="center"/>
              <w:rPr>
                <w:rFonts w:ascii="仿宋" w:hAnsi="仿宋" w:eastAsia="仿宋" w:cs="仿宋"/>
                <w:color w:val="auto"/>
                <w:sz w:val="28"/>
                <w:szCs w:val="28"/>
                <w:highlight w:val="none"/>
              </w:rPr>
            </w:pPr>
          </w:p>
        </w:tc>
      </w:tr>
      <w:tr w14:paraId="3C9AB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6F740E1F">
            <w:pPr>
              <w:spacing w:line="460" w:lineRule="exact"/>
              <w:jc w:val="center"/>
              <w:rPr>
                <w:rFonts w:ascii="仿宋" w:hAnsi="仿宋" w:eastAsia="仿宋" w:cs="仿宋"/>
                <w:color w:val="auto"/>
                <w:sz w:val="28"/>
                <w:szCs w:val="28"/>
                <w:highlight w:val="none"/>
              </w:rPr>
            </w:pPr>
          </w:p>
        </w:tc>
        <w:tc>
          <w:tcPr>
            <w:tcW w:w="1312" w:type="dxa"/>
            <w:tcBorders>
              <w:left w:val="single" w:color="auto" w:sz="4" w:space="0"/>
              <w:right w:val="single" w:color="auto" w:sz="4" w:space="0"/>
            </w:tcBorders>
            <w:vAlign w:val="center"/>
          </w:tcPr>
          <w:p w14:paraId="05B60F8F">
            <w:pPr>
              <w:spacing w:line="460" w:lineRule="exact"/>
              <w:jc w:val="center"/>
              <w:rPr>
                <w:rFonts w:ascii="仿宋" w:hAnsi="仿宋" w:eastAsia="仿宋" w:cs="仿宋"/>
                <w:color w:val="auto"/>
                <w:sz w:val="28"/>
                <w:szCs w:val="28"/>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208FBF4A">
            <w:pPr>
              <w:spacing w:line="460" w:lineRule="exact"/>
              <w:jc w:val="center"/>
              <w:rPr>
                <w:rFonts w:ascii="仿宋" w:hAnsi="仿宋" w:eastAsia="仿宋" w:cs="仿宋"/>
                <w:color w:val="auto"/>
                <w:sz w:val="28"/>
                <w:szCs w:val="28"/>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0D36DBB2">
            <w:pPr>
              <w:spacing w:line="460" w:lineRule="exact"/>
              <w:jc w:val="center"/>
              <w:rPr>
                <w:rFonts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2E7DB787">
            <w:pPr>
              <w:spacing w:line="460" w:lineRule="exact"/>
              <w:jc w:val="center"/>
              <w:rPr>
                <w:rFonts w:ascii="仿宋" w:hAnsi="仿宋" w:eastAsia="仿宋" w:cs="仿宋"/>
                <w:color w:val="auto"/>
                <w:sz w:val="28"/>
                <w:szCs w:val="2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79CF80C0">
            <w:pPr>
              <w:spacing w:line="460" w:lineRule="exact"/>
              <w:jc w:val="center"/>
              <w:rPr>
                <w:rFonts w:ascii="仿宋" w:hAnsi="仿宋" w:eastAsia="仿宋" w:cs="仿宋"/>
                <w:color w:val="auto"/>
                <w:sz w:val="28"/>
                <w:szCs w:val="28"/>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14C77824">
            <w:pPr>
              <w:spacing w:line="460" w:lineRule="exact"/>
              <w:jc w:val="center"/>
              <w:rPr>
                <w:rFonts w:ascii="仿宋" w:hAnsi="仿宋" w:eastAsia="仿宋" w:cs="仿宋"/>
                <w:color w:val="auto"/>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14:paraId="0002914D">
            <w:pPr>
              <w:spacing w:line="460" w:lineRule="exact"/>
              <w:jc w:val="center"/>
              <w:rPr>
                <w:rFonts w:ascii="仿宋" w:hAnsi="仿宋" w:eastAsia="仿宋" w:cs="仿宋"/>
                <w:color w:val="auto"/>
                <w:sz w:val="28"/>
                <w:szCs w:val="28"/>
                <w:highlight w:val="none"/>
              </w:rPr>
            </w:pPr>
          </w:p>
        </w:tc>
      </w:tr>
      <w:tr w14:paraId="62393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1AAD0D23">
            <w:pPr>
              <w:spacing w:line="460" w:lineRule="exact"/>
              <w:jc w:val="center"/>
              <w:rPr>
                <w:rFonts w:ascii="仿宋" w:hAnsi="仿宋" w:eastAsia="仿宋" w:cs="仿宋"/>
                <w:color w:val="auto"/>
                <w:sz w:val="28"/>
                <w:szCs w:val="28"/>
                <w:highlight w:val="none"/>
              </w:rPr>
            </w:pPr>
          </w:p>
        </w:tc>
        <w:tc>
          <w:tcPr>
            <w:tcW w:w="1312" w:type="dxa"/>
            <w:tcBorders>
              <w:left w:val="single" w:color="auto" w:sz="4" w:space="0"/>
              <w:right w:val="single" w:color="auto" w:sz="4" w:space="0"/>
            </w:tcBorders>
            <w:vAlign w:val="center"/>
          </w:tcPr>
          <w:p w14:paraId="12C73738">
            <w:pPr>
              <w:spacing w:line="460" w:lineRule="exact"/>
              <w:jc w:val="center"/>
              <w:rPr>
                <w:rFonts w:ascii="仿宋" w:hAnsi="仿宋" w:eastAsia="仿宋" w:cs="仿宋"/>
                <w:color w:val="auto"/>
                <w:sz w:val="28"/>
                <w:szCs w:val="28"/>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4A4E67B7">
            <w:pPr>
              <w:spacing w:line="460" w:lineRule="exact"/>
              <w:jc w:val="center"/>
              <w:rPr>
                <w:rFonts w:ascii="仿宋" w:hAnsi="仿宋" w:eastAsia="仿宋" w:cs="仿宋"/>
                <w:color w:val="auto"/>
                <w:sz w:val="28"/>
                <w:szCs w:val="28"/>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1EBA2F49">
            <w:pPr>
              <w:spacing w:line="460" w:lineRule="exact"/>
              <w:jc w:val="center"/>
              <w:rPr>
                <w:rFonts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4D02AF1A">
            <w:pPr>
              <w:spacing w:line="460" w:lineRule="exact"/>
              <w:jc w:val="center"/>
              <w:rPr>
                <w:rFonts w:ascii="仿宋" w:hAnsi="仿宋" w:eastAsia="仿宋" w:cs="仿宋"/>
                <w:color w:val="auto"/>
                <w:sz w:val="28"/>
                <w:szCs w:val="2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77C6955E">
            <w:pPr>
              <w:spacing w:line="460" w:lineRule="exact"/>
              <w:jc w:val="center"/>
              <w:rPr>
                <w:rFonts w:ascii="仿宋" w:hAnsi="仿宋" w:eastAsia="仿宋" w:cs="仿宋"/>
                <w:color w:val="auto"/>
                <w:sz w:val="28"/>
                <w:szCs w:val="28"/>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079F539D">
            <w:pPr>
              <w:spacing w:line="460" w:lineRule="exact"/>
              <w:jc w:val="center"/>
              <w:rPr>
                <w:rFonts w:ascii="仿宋" w:hAnsi="仿宋" w:eastAsia="仿宋" w:cs="仿宋"/>
                <w:color w:val="auto"/>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14:paraId="75AAF630">
            <w:pPr>
              <w:spacing w:line="460" w:lineRule="exact"/>
              <w:jc w:val="center"/>
              <w:rPr>
                <w:rFonts w:ascii="仿宋" w:hAnsi="仿宋" w:eastAsia="仿宋" w:cs="仿宋"/>
                <w:color w:val="auto"/>
                <w:sz w:val="28"/>
                <w:szCs w:val="28"/>
                <w:highlight w:val="none"/>
              </w:rPr>
            </w:pPr>
          </w:p>
        </w:tc>
      </w:tr>
      <w:tr w14:paraId="23302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27C8CF84">
            <w:pPr>
              <w:spacing w:line="460" w:lineRule="exact"/>
              <w:jc w:val="center"/>
              <w:rPr>
                <w:rFonts w:ascii="仿宋" w:hAnsi="仿宋" w:eastAsia="仿宋" w:cs="仿宋"/>
                <w:color w:val="auto"/>
                <w:sz w:val="28"/>
                <w:szCs w:val="28"/>
                <w:highlight w:val="none"/>
              </w:rPr>
            </w:pPr>
          </w:p>
        </w:tc>
        <w:tc>
          <w:tcPr>
            <w:tcW w:w="1312" w:type="dxa"/>
            <w:tcBorders>
              <w:left w:val="single" w:color="auto" w:sz="4" w:space="0"/>
              <w:right w:val="single" w:color="auto" w:sz="4" w:space="0"/>
            </w:tcBorders>
            <w:vAlign w:val="center"/>
          </w:tcPr>
          <w:p w14:paraId="6D4719FB">
            <w:pPr>
              <w:spacing w:line="460" w:lineRule="exact"/>
              <w:jc w:val="center"/>
              <w:rPr>
                <w:rFonts w:ascii="仿宋" w:hAnsi="仿宋" w:eastAsia="仿宋" w:cs="仿宋"/>
                <w:color w:val="auto"/>
                <w:sz w:val="28"/>
                <w:szCs w:val="28"/>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4AB6B8AD">
            <w:pPr>
              <w:spacing w:line="460" w:lineRule="exact"/>
              <w:jc w:val="center"/>
              <w:rPr>
                <w:rFonts w:ascii="仿宋" w:hAnsi="仿宋" w:eastAsia="仿宋" w:cs="仿宋"/>
                <w:color w:val="auto"/>
                <w:sz w:val="28"/>
                <w:szCs w:val="28"/>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2EE39F13">
            <w:pPr>
              <w:spacing w:line="460" w:lineRule="exact"/>
              <w:jc w:val="center"/>
              <w:rPr>
                <w:rFonts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47EC5C5D">
            <w:pPr>
              <w:spacing w:line="460" w:lineRule="exact"/>
              <w:jc w:val="center"/>
              <w:rPr>
                <w:rFonts w:ascii="仿宋" w:hAnsi="仿宋" w:eastAsia="仿宋" w:cs="仿宋"/>
                <w:color w:val="auto"/>
                <w:sz w:val="28"/>
                <w:szCs w:val="2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6021E798">
            <w:pPr>
              <w:spacing w:line="460" w:lineRule="exact"/>
              <w:jc w:val="center"/>
              <w:rPr>
                <w:rFonts w:ascii="仿宋" w:hAnsi="仿宋" w:eastAsia="仿宋" w:cs="仿宋"/>
                <w:color w:val="auto"/>
                <w:sz w:val="28"/>
                <w:szCs w:val="28"/>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44D80E23">
            <w:pPr>
              <w:spacing w:line="460" w:lineRule="exact"/>
              <w:jc w:val="center"/>
              <w:rPr>
                <w:rFonts w:ascii="仿宋" w:hAnsi="仿宋" w:eastAsia="仿宋" w:cs="仿宋"/>
                <w:color w:val="auto"/>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14:paraId="1233C5F7">
            <w:pPr>
              <w:spacing w:line="460" w:lineRule="exact"/>
              <w:jc w:val="center"/>
              <w:rPr>
                <w:rFonts w:ascii="仿宋" w:hAnsi="仿宋" w:eastAsia="仿宋" w:cs="仿宋"/>
                <w:color w:val="auto"/>
                <w:sz w:val="28"/>
                <w:szCs w:val="28"/>
                <w:highlight w:val="none"/>
              </w:rPr>
            </w:pPr>
          </w:p>
        </w:tc>
      </w:tr>
      <w:tr w14:paraId="19298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50F41481">
            <w:pPr>
              <w:spacing w:line="460" w:lineRule="exact"/>
              <w:jc w:val="center"/>
              <w:rPr>
                <w:rFonts w:ascii="仿宋" w:hAnsi="仿宋" w:eastAsia="仿宋" w:cs="仿宋"/>
                <w:color w:val="auto"/>
                <w:sz w:val="28"/>
                <w:szCs w:val="28"/>
                <w:highlight w:val="none"/>
              </w:rPr>
            </w:pPr>
          </w:p>
        </w:tc>
        <w:tc>
          <w:tcPr>
            <w:tcW w:w="1312" w:type="dxa"/>
            <w:tcBorders>
              <w:left w:val="single" w:color="auto" w:sz="4" w:space="0"/>
              <w:right w:val="single" w:color="auto" w:sz="4" w:space="0"/>
            </w:tcBorders>
            <w:vAlign w:val="center"/>
          </w:tcPr>
          <w:p w14:paraId="5FD25374">
            <w:pPr>
              <w:spacing w:line="460" w:lineRule="exact"/>
              <w:jc w:val="center"/>
              <w:rPr>
                <w:rFonts w:ascii="仿宋" w:hAnsi="仿宋" w:eastAsia="仿宋" w:cs="仿宋"/>
                <w:color w:val="auto"/>
                <w:sz w:val="28"/>
                <w:szCs w:val="28"/>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3B843FA1">
            <w:pPr>
              <w:spacing w:line="460" w:lineRule="exact"/>
              <w:jc w:val="center"/>
              <w:rPr>
                <w:rFonts w:ascii="仿宋" w:hAnsi="仿宋" w:eastAsia="仿宋" w:cs="仿宋"/>
                <w:color w:val="auto"/>
                <w:sz w:val="28"/>
                <w:szCs w:val="28"/>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4514278C">
            <w:pPr>
              <w:spacing w:line="460" w:lineRule="exact"/>
              <w:jc w:val="center"/>
              <w:rPr>
                <w:rFonts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3741855D">
            <w:pPr>
              <w:spacing w:line="460" w:lineRule="exact"/>
              <w:jc w:val="center"/>
              <w:rPr>
                <w:rFonts w:ascii="仿宋" w:hAnsi="仿宋" w:eastAsia="仿宋" w:cs="仿宋"/>
                <w:color w:val="auto"/>
                <w:sz w:val="28"/>
                <w:szCs w:val="2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5A7EDA4D">
            <w:pPr>
              <w:spacing w:line="460" w:lineRule="exact"/>
              <w:jc w:val="center"/>
              <w:rPr>
                <w:rFonts w:ascii="仿宋" w:hAnsi="仿宋" w:eastAsia="仿宋" w:cs="仿宋"/>
                <w:color w:val="auto"/>
                <w:sz w:val="28"/>
                <w:szCs w:val="28"/>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0A4D88CD">
            <w:pPr>
              <w:spacing w:line="460" w:lineRule="exact"/>
              <w:jc w:val="center"/>
              <w:rPr>
                <w:rFonts w:ascii="仿宋" w:hAnsi="仿宋" w:eastAsia="仿宋" w:cs="仿宋"/>
                <w:color w:val="auto"/>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14:paraId="77DE6533">
            <w:pPr>
              <w:spacing w:line="460" w:lineRule="exact"/>
              <w:jc w:val="center"/>
              <w:rPr>
                <w:rFonts w:ascii="仿宋" w:hAnsi="仿宋" w:eastAsia="仿宋" w:cs="仿宋"/>
                <w:color w:val="auto"/>
                <w:sz w:val="28"/>
                <w:szCs w:val="28"/>
                <w:highlight w:val="none"/>
              </w:rPr>
            </w:pPr>
          </w:p>
        </w:tc>
      </w:tr>
      <w:tr w14:paraId="1E3DC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442AEA1C">
            <w:pPr>
              <w:spacing w:line="460" w:lineRule="exact"/>
              <w:jc w:val="center"/>
              <w:rPr>
                <w:rFonts w:ascii="仿宋" w:hAnsi="仿宋" w:eastAsia="仿宋" w:cs="仿宋"/>
                <w:color w:val="auto"/>
                <w:sz w:val="28"/>
                <w:szCs w:val="28"/>
                <w:highlight w:val="none"/>
              </w:rPr>
            </w:pPr>
          </w:p>
        </w:tc>
        <w:tc>
          <w:tcPr>
            <w:tcW w:w="1312" w:type="dxa"/>
            <w:tcBorders>
              <w:left w:val="single" w:color="auto" w:sz="4" w:space="0"/>
              <w:right w:val="single" w:color="auto" w:sz="4" w:space="0"/>
            </w:tcBorders>
            <w:vAlign w:val="center"/>
          </w:tcPr>
          <w:p w14:paraId="5BD47E11">
            <w:pPr>
              <w:spacing w:line="460" w:lineRule="exact"/>
              <w:jc w:val="center"/>
              <w:rPr>
                <w:rFonts w:ascii="仿宋" w:hAnsi="仿宋" w:eastAsia="仿宋" w:cs="仿宋"/>
                <w:color w:val="auto"/>
                <w:sz w:val="28"/>
                <w:szCs w:val="28"/>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7F95366B">
            <w:pPr>
              <w:spacing w:line="460" w:lineRule="exact"/>
              <w:jc w:val="center"/>
              <w:rPr>
                <w:rFonts w:ascii="仿宋" w:hAnsi="仿宋" w:eastAsia="仿宋" w:cs="仿宋"/>
                <w:color w:val="auto"/>
                <w:sz w:val="28"/>
                <w:szCs w:val="28"/>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514C54D2">
            <w:pPr>
              <w:spacing w:line="460" w:lineRule="exact"/>
              <w:jc w:val="center"/>
              <w:rPr>
                <w:rFonts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74EE04AD">
            <w:pPr>
              <w:spacing w:line="460" w:lineRule="exact"/>
              <w:jc w:val="center"/>
              <w:rPr>
                <w:rFonts w:ascii="仿宋" w:hAnsi="仿宋" w:eastAsia="仿宋" w:cs="仿宋"/>
                <w:color w:val="auto"/>
                <w:sz w:val="28"/>
                <w:szCs w:val="2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246CA0ED">
            <w:pPr>
              <w:spacing w:line="460" w:lineRule="exact"/>
              <w:jc w:val="center"/>
              <w:rPr>
                <w:rFonts w:ascii="仿宋" w:hAnsi="仿宋" w:eastAsia="仿宋" w:cs="仿宋"/>
                <w:color w:val="auto"/>
                <w:sz w:val="28"/>
                <w:szCs w:val="28"/>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09C45800">
            <w:pPr>
              <w:spacing w:line="460" w:lineRule="exact"/>
              <w:jc w:val="center"/>
              <w:rPr>
                <w:rFonts w:ascii="仿宋" w:hAnsi="仿宋" w:eastAsia="仿宋" w:cs="仿宋"/>
                <w:color w:val="auto"/>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14:paraId="60B3D00B">
            <w:pPr>
              <w:spacing w:line="460" w:lineRule="exact"/>
              <w:jc w:val="center"/>
              <w:rPr>
                <w:rFonts w:ascii="仿宋" w:hAnsi="仿宋" w:eastAsia="仿宋" w:cs="仿宋"/>
                <w:color w:val="auto"/>
                <w:sz w:val="28"/>
                <w:szCs w:val="28"/>
                <w:highlight w:val="none"/>
              </w:rPr>
            </w:pPr>
          </w:p>
        </w:tc>
      </w:tr>
      <w:tr w14:paraId="4D22C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5" w:type="dxa"/>
            <w:tcBorders>
              <w:left w:val="single" w:color="auto" w:sz="4" w:space="0"/>
              <w:right w:val="single" w:color="auto" w:sz="4" w:space="0"/>
            </w:tcBorders>
            <w:vAlign w:val="center"/>
          </w:tcPr>
          <w:p w14:paraId="3682768B">
            <w:pPr>
              <w:spacing w:line="460" w:lineRule="exact"/>
              <w:jc w:val="center"/>
              <w:rPr>
                <w:rFonts w:ascii="仿宋" w:hAnsi="仿宋" w:eastAsia="仿宋" w:cs="仿宋"/>
                <w:color w:val="auto"/>
                <w:sz w:val="28"/>
                <w:szCs w:val="28"/>
                <w:highlight w:val="none"/>
              </w:rPr>
            </w:pPr>
          </w:p>
        </w:tc>
        <w:tc>
          <w:tcPr>
            <w:tcW w:w="1312" w:type="dxa"/>
            <w:tcBorders>
              <w:left w:val="single" w:color="auto" w:sz="4" w:space="0"/>
              <w:right w:val="single" w:color="auto" w:sz="4" w:space="0"/>
            </w:tcBorders>
            <w:vAlign w:val="center"/>
          </w:tcPr>
          <w:p w14:paraId="1844FAC3">
            <w:pPr>
              <w:spacing w:line="460" w:lineRule="exact"/>
              <w:jc w:val="center"/>
              <w:rPr>
                <w:rFonts w:ascii="仿宋" w:hAnsi="仿宋" w:eastAsia="仿宋" w:cs="仿宋"/>
                <w:color w:val="auto"/>
                <w:sz w:val="28"/>
                <w:szCs w:val="28"/>
                <w:highlight w:val="none"/>
              </w:rPr>
            </w:pPr>
          </w:p>
        </w:tc>
        <w:tc>
          <w:tcPr>
            <w:tcW w:w="913" w:type="dxa"/>
            <w:tcBorders>
              <w:top w:val="single" w:color="auto" w:sz="4" w:space="0"/>
              <w:left w:val="single" w:color="auto" w:sz="4" w:space="0"/>
              <w:bottom w:val="single" w:color="auto" w:sz="4" w:space="0"/>
              <w:right w:val="single" w:color="auto" w:sz="4" w:space="0"/>
            </w:tcBorders>
            <w:vAlign w:val="center"/>
          </w:tcPr>
          <w:p w14:paraId="595BDED9">
            <w:pPr>
              <w:spacing w:line="460" w:lineRule="exact"/>
              <w:jc w:val="center"/>
              <w:rPr>
                <w:rFonts w:ascii="仿宋" w:hAnsi="仿宋" w:eastAsia="仿宋" w:cs="仿宋"/>
                <w:color w:val="auto"/>
                <w:sz w:val="28"/>
                <w:szCs w:val="28"/>
                <w:highlight w:val="none"/>
              </w:rPr>
            </w:pPr>
          </w:p>
        </w:tc>
        <w:tc>
          <w:tcPr>
            <w:tcW w:w="950" w:type="dxa"/>
            <w:tcBorders>
              <w:top w:val="single" w:color="auto" w:sz="4" w:space="0"/>
              <w:left w:val="single" w:color="auto" w:sz="4" w:space="0"/>
              <w:bottom w:val="single" w:color="auto" w:sz="4" w:space="0"/>
              <w:right w:val="single" w:color="auto" w:sz="4" w:space="0"/>
            </w:tcBorders>
            <w:vAlign w:val="center"/>
          </w:tcPr>
          <w:p w14:paraId="5B6BC4A8">
            <w:pPr>
              <w:spacing w:line="460" w:lineRule="exact"/>
              <w:jc w:val="center"/>
              <w:rPr>
                <w:rFonts w:ascii="仿宋" w:hAnsi="仿宋" w:eastAsia="仿宋" w:cs="仿宋"/>
                <w:color w:val="auto"/>
                <w:sz w:val="28"/>
                <w:szCs w:val="28"/>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14:paraId="09C705BE">
            <w:pPr>
              <w:spacing w:line="460" w:lineRule="exact"/>
              <w:jc w:val="center"/>
              <w:rPr>
                <w:rFonts w:ascii="仿宋" w:hAnsi="仿宋" w:eastAsia="仿宋" w:cs="仿宋"/>
                <w:color w:val="auto"/>
                <w:sz w:val="28"/>
                <w:szCs w:val="28"/>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14:paraId="43555861">
            <w:pPr>
              <w:spacing w:line="460" w:lineRule="exact"/>
              <w:jc w:val="center"/>
              <w:rPr>
                <w:rFonts w:ascii="仿宋" w:hAnsi="仿宋" w:eastAsia="仿宋" w:cs="仿宋"/>
                <w:color w:val="auto"/>
                <w:sz w:val="28"/>
                <w:szCs w:val="28"/>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4842AC8B">
            <w:pPr>
              <w:spacing w:line="460" w:lineRule="exact"/>
              <w:jc w:val="center"/>
              <w:rPr>
                <w:rFonts w:ascii="仿宋" w:hAnsi="仿宋" w:eastAsia="仿宋" w:cs="仿宋"/>
                <w:color w:val="auto"/>
                <w:sz w:val="28"/>
                <w:szCs w:val="28"/>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14:paraId="47410003">
            <w:pPr>
              <w:spacing w:line="460" w:lineRule="exact"/>
              <w:jc w:val="center"/>
              <w:rPr>
                <w:rFonts w:ascii="仿宋" w:hAnsi="仿宋" w:eastAsia="仿宋" w:cs="仿宋"/>
                <w:color w:val="auto"/>
                <w:sz w:val="28"/>
                <w:szCs w:val="28"/>
                <w:highlight w:val="none"/>
              </w:rPr>
            </w:pPr>
          </w:p>
        </w:tc>
      </w:tr>
    </w:tbl>
    <w:p w14:paraId="5A2FFD12">
      <w:pPr>
        <w:spacing w:line="460" w:lineRule="exact"/>
        <w:jc w:val="left"/>
        <w:rPr>
          <w:rFonts w:ascii="仿宋" w:hAnsi="仿宋" w:eastAsia="仿宋" w:cs="宋体"/>
          <w:color w:val="auto"/>
          <w:sz w:val="22"/>
          <w:szCs w:val="22"/>
          <w:highlight w:val="none"/>
        </w:rPr>
      </w:pPr>
      <w:r>
        <w:rPr>
          <w:rFonts w:hint="eastAsia" w:ascii="仿宋" w:hAnsi="仿宋" w:eastAsia="仿宋" w:cs="仿宋"/>
          <w:color w:val="auto"/>
          <w:sz w:val="24"/>
          <w:highlight w:val="none"/>
        </w:rPr>
        <w:t>注：表后附评分办法中要求的材料的扫描件。</w:t>
      </w:r>
    </w:p>
    <w:p w14:paraId="274FD90B">
      <w:pPr>
        <w:snapToGrid w:val="0"/>
        <w:spacing w:line="360" w:lineRule="auto"/>
        <w:ind w:firstLine="280" w:firstLineChars="100"/>
        <w:rPr>
          <w:rFonts w:ascii="仿宋" w:hAnsi="仿宋" w:eastAsia="仿宋" w:cs="仿宋"/>
          <w:color w:val="auto"/>
          <w:sz w:val="28"/>
          <w:szCs w:val="28"/>
          <w:highlight w:val="none"/>
        </w:rPr>
      </w:pPr>
    </w:p>
    <w:p w14:paraId="4F3D43C4">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投标人（盖电子公章）：</w:t>
      </w:r>
    </w:p>
    <w:p w14:paraId="0F80F2EF">
      <w:pPr>
        <w:snapToGrid w:val="0"/>
        <w:spacing w:line="360" w:lineRule="auto"/>
        <w:ind w:firstLine="280" w:firstLineChars="100"/>
        <w:rPr>
          <w:rFonts w:ascii="仿宋" w:hAnsi="仿宋" w:eastAsia="仿宋" w:cs="仿宋"/>
          <w:color w:val="auto"/>
          <w:sz w:val="28"/>
          <w:szCs w:val="28"/>
          <w:highlight w:val="none"/>
        </w:rPr>
      </w:pPr>
    </w:p>
    <w:p w14:paraId="61014425">
      <w:pPr>
        <w:pStyle w:val="26"/>
        <w:spacing w:line="52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日期：</w:t>
      </w:r>
    </w:p>
    <w:p w14:paraId="684082C5">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3D391543">
      <w:pPr>
        <w:pStyle w:val="6"/>
        <w:spacing w:line="360" w:lineRule="auto"/>
        <w:jc w:val="center"/>
        <w:rPr>
          <w:rFonts w:ascii="仿宋" w:hAnsi="仿宋" w:eastAsia="仿宋" w:cs="仿宋"/>
          <w:color w:val="auto"/>
          <w:szCs w:val="32"/>
          <w:highlight w:val="none"/>
        </w:rPr>
      </w:pPr>
      <w:r>
        <w:rPr>
          <w:rFonts w:hint="eastAsia" w:ascii="仿宋" w:hAnsi="仿宋" w:eastAsia="仿宋" w:cs="仿宋"/>
          <w:color w:val="auto"/>
          <w:szCs w:val="32"/>
          <w:highlight w:val="none"/>
        </w:rPr>
        <w:t>近年类似项目业绩表</w:t>
      </w:r>
    </w:p>
    <w:tbl>
      <w:tblPr>
        <w:tblStyle w:val="49"/>
        <w:tblW w:w="90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0"/>
        <w:gridCol w:w="1398"/>
        <w:gridCol w:w="1348"/>
        <w:gridCol w:w="1499"/>
        <w:gridCol w:w="1669"/>
        <w:gridCol w:w="1798"/>
      </w:tblGrid>
      <w:tr w14:paraId="56F33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90" w:type="dxa"/>
            <w:vAlign w:val="center"/>
          </w:tcPr>
          <w:p w14:paraId="5EE56C23">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1398" w:type="dxa"/>
            <w:vAlign w:val="center"/>
          </w:tcPr>
          <w:p w14:paraId="050DB475">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招标人</w:t>
            </w:r>
          </w:p>
        </w:tc>
        <w:tc>
          <w:tcPr>
            <w:tcW w:w="1348" w:type="dxa"/>
            <w:vAlign w:val="center"/>
          </w:tcPr>
          <w:p w14:paraId="38FF5512">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1499" w:type="dxa"/>
            <w:vAlign w:val="center"/>
          </w:tcPr>
          <w:p w14:paraId="6E34FBE8">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合同签订日期</w:t>
            </w:r>
          </w:p>
        </w:tc>
        <w:tc>
          <w:tcPr>
            <w:tcW w:w="1669" w:type="dxa"/>
            <w:vAlign w:val="center"/>
          </w:tcPr>
          <w:p w14:paraId="07FC4869">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合同金额</w:t>
            </w:r>
          </w:p>
          <w:p w14:paraId="6F67B05E">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798" w:type="dxa"/>
            <w:vAlign w:val="center"/>
          </w:tcPr>
          <w:p w14:paraId="7955094E">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r>
      <w:tr w14:paraId="1BE61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290" w:type="dxa"/>
            <w:vAlign w:val="center"/>
          </w:tcPr>
          <w:p w14:paraId="44149C32">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398" w:type="dxa"/>
            <w:vAlign w:val="center"/>
          </w:tcPr>
          <w:p w14:paraId="0E4AF0DD">
            <w:pPr>
              <w:spacing w:line="360" w:lineRule="auto"/>
              <w:ind w:firstLine="560" w:firstLineChars="200"/>
              <w:jc w:val="center"/>
              <w:rPr>
                <w:rFonts w:ascii="仿宋" w:hAnsi="仿宋" w:eastAsia="仿宋" w:cs="仿宋"/>
                <w:color w:val="auto"/>
                <w:sz w:val="28"/>
                <w:szCs w:val="28"/>
                <w:highlight w:val="none"/>
              </w:rPr>
            </w:pPr>
          </w:p>
        </w:tc>
        <w:tc>
          <w:tcPr>
            <w:tcW w:w="1348" w:type="dxa"/>
            <w:vAlign w:val="center"/>
          </w:tcPr>
          <w:p w14:paraId="44D70D9E">
            <w:pPr>
              <w:spacing w:line="360" w:lineRule="auto"/>
              <w:ind w:firstLine="560" w:firstLineChars="200"/>
              <w:jc w:val="center"/>
              <w:rPr>
                <w:rFonts w:ascii="仿宋" w:hAnsi="仿宋" w:eastAsia="仿宋" w:cs="仿宋"/>
                <w:color w:val="auto"/>
                <w:sz w:val="28"/>
                <w:szCs w:val="28"/>
                <w:highlight w:val="none"/>
              </w:rPr>
            </w:pPr>
          </w:p>
        </w:tc>
        <w:tc>
          <w:tcPr>
            <w:tcW w:w="1499" w:type="dxa"/>
            <w:vAlign w:val="center"/>
          </w:tcPr>
          <w:p w14:paraId="4A4113A1">
            <w:pPr>
              <w:spacing w:line="360" w:lineRule="auto"/>
              <w:ind w:firstLine="560" w:firstLineChars="200"/>
              <w:jc w:val="center"/>
              <w:rPr>
                <w:rFonts w:ascii="仿宋" w:hAnsi="仿宋" w:eastAsia="仿宋" w:cs="仿宋"/>
                <w:color w:val="auto"/>
                <w:sz w:val="28"/>
                <w:szCs w:val="28"/>
                <w:highlight w:val="none"/>
              </w:rPr>
            </w:pPr>
          </w:p>
        </w:tc>
        <w:tc>
          <w:tcPr>
            <w:tcW w:w="1669" w:type="dxa"/>
            <w:vAlign w:val="center"/>
          </w:tcPr>
          <w:p w14:paraId="424B0344">
            <w:pPr>
              <w:spacing w:line="360" w:lineRule="auto"/>
              <w:ind w:firstLine="560" w:firstLineChars="200"/>
              <w:jc w:val="center"/>
              <w:rPr>
                <w:rFonts w:ascii="仿宋" w:hAnsi="仿宋" w:eastAsia="仿宋" w:cs="仿宋"/>
                <w:color w:val="auto"/>
                <w:sz w:val="28"/>
                <w:szCs w:val="28"/>
                <w:highlight w:val="none"/>
              </w:rPr>
            </w:pPr>
          </w:p>
        </w:tc>
        <w:tc>
          <w:tcPr>
            <w:tcW w:w="1798" w:type="dxa"/>
            <w:vAlign w:val="center"/>
          </w:tcPr>
          <w:p w14:paraId="39870254">
            <w:pPr>
              <w:spacing w:line="360" w:lineRule="auto"/>
              <w:ind w:firstLine="560" w:firstLineChars="200"/>
              <w:jc w:val="center"/>
              <w:rPr>
                <w:rFonts w:ascii="仿宋" w:hAnsi="仿宋" w:eastAsia="仿宋" w:cs="仿宋"/>
                <w:color w:val="auto"/>
                <w:sz w:val="28"/>
                <w:szCs w:val="28"/>
                <w:highlight w:val="none"/>
              </w:rPr>
            </w:pPr>
          </w:p>
        </w:tc>
      </w:tr>
      <w:tr w14:paraId="19C59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290" w:type="dxa"/>
            <w:vAlign w:val="center"/>
          </w:tcPr>
          <w:p w14:paraId="1A0C29CC">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1398" w:type="dxa"/>
            <w:vAlign w:val="center"/>
          </w:tcPr>
          <w:p w14:paraId="70D3C410">
            <w:pPr>
              <w:spacing w:line="360" w:lineRule="auto"/>
              <w:ind w:firstLine="560" w:firstLineChars="200"/>
              <w:jc w:val="center"/>
              <w:rPr>
                <w:rFonts w:ascii="仿宋" w:hAnsi="仿宋" w:eastAsia="仿宋" w:cs="仿宋"/>
                <w:color w:val="auto"/>
                <w:sz w:val="28"/>
                <w:szCs w:val="28"/>
                <w:highlight w:val="none"/>
              </w:rPr>
            </w:pPr>
          </w:p>
        </w:tc>
        <w:tc>
          <w:tcPr>
            <w:tcW w:w="1348" w:type="dxa"/>
            <w:vAlign w:val="center"/>
          </w:tcPr>
          <w:p w14:paraId="388C3366">
            <w:pPr>
              <w:spacing w:line="360" w:lineRule="auto"/>
              <w:ind w:firstLine="560" w:firstLineChars="200"/>
              <w:jc w:val="center"/>
              <w:rPr>
                <w:rFonts w:ascii="仿宋" w:hAnsi="仿宋" w:eastAsia="仿宋" w:cs="仿宋"/>
                <w:color w:val="auto"/>
                <w:sz w:val="28"/>
                <w:szCs w:val="28"/>
                <w:highlight w:val="none"/>
              </w:rPr>
            </w:pPr>
          </w:p>
        </w:tc>
        <w:tc>
          <w:tcPr>
            <w:tcW w:w="1499" w:type="dxa"/>
            <w:vAlign w:val="center"/>
          </w:tcPr>
          <w:p w14:paraId="71A7288A">
            <w:pPr>
              <w:spacing w:line="360" w:lineRule="auto"/>
              <w:ind w:firstLine="560" w:firstLineChars="200"/>
              <w:jc w:val="center"/>
              <w:rPr>
                <w:rFonts w:ascii="仿宋" w:hAnsi="仿宋" w:eastAsia="仿宋" w:cs="仿宋"/>
                <w:color w:val="auto"/>
                <w:sz w:val="28"/>
                <w:szCs w:val="28"/>
                <w:highlight w:val="none"/>
              </w:rPr>
            </w:pPr>
          </w:p>
        </w:tc>
        <w:tc>
          <w:tcPr>
            <w:tcW w:w="1669" w:type="dxa"/>
            <w:vAlign w:val="center"/>
          </w:tcPr>
          <w:p w14:paraId="67A4013D">
            <w:pPr>
              <w:spacing w:line="360" w:lineRule="auto"/>
              <w:ind w:firstLine="560" w:firstLineChars="200"/>
              <w:jc w:val="center"/>
              <w:rPr>
                <w:rFonts w:ascii="仿宋" w:hAnsi="仿宋" w:eastAsia="仿宋" w:cs="仿宋"/>
                <w:color w:val="auto"/>
                <w:sz w:val="28"/>
                <w:szCs w:val="28"/>
                <w:highlight w:val="none"/>
              </w:rPr>
            </w:pPr>
          </w:p>
        </w:tc>
        <w:tc>
          <w:tcPr>
            <w:tcW w:w="1798" w:type="dxa"/>
            <w:vAlign w:val="center"/>
          </w:tcPr>
          <w:p w14:paraId="650BF623">
            <w:pPr>
              <w:spacing w:line="360" w:lineRule="auto"/>
              <w:ind w:firstLine="560" w:firstLineChars="200"/>
              <w:jc w:val="center"/>
              <w:rPr>
                <w:rFonts w:ascii="仿宋" w:hAnsi="仿宋" w:eastAsia="仿宋" w:cs="仿宋"/>
                <w:color w:val="auto"/>
                <w:sz w:val="28"/>
                <w:szCs w:val="28"/>
                <w:highlight w:val="none"/>
              </w:rPr>
            </w:pPr>
          </w:p>
        </w:tc>
      </w:tr>
      <w:tr w14:paraId="1BD7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290" w:type="dxa"/>
            <w:vAlign w:val="center"/>
          </w:tcPr>
          <w:p w14:paraId="2335862A">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1398" w:type="dxa"/>
            <w:vAlign w:val="center"/>
          </w:tcPr>
          <w:p w14:paraId="46B8D0B2">
            <w:pPr>
              <w:spacing w:line="360" w:lineRule="auto"/>
              <w:ind w:firstLine="560" w:firstLineChars="200"/>
              <w:jc w:val="center"/>
              <w:rPr>
                <w:rFonts w:ascii="仿宋" w:hAnsi="仿宋" w:eastAsia="仿宋" w:cs="仿宋"/>
                <w:color w:val="auto"/>
                <w:sz w:val="28"/>
                <w:szCs w:val="28"/>
                <w:highlight w:val="none"/>
              </w:rPr>
            </w:pPr>
          </w:p>
        </w:tc>
        <w:tc>
          <w:tcPr>
            <w:tcW w:w="1348" w:type="dxa"/>
            <w:vAlign w:val="center"/>
          </w:tcPr>
          <w:p w14:paraId="07C31706">
            <w:pPr>
              <w:spacing w:line="360" w:lineRule="auto"/>
              <w:ind w:firstLine="560" w:firstLineChars="200"/>
              <w:jc w:val="center"/>
              <w:rPr>
                <w:rFonts w:ascii="仿宋" w:hAnsi="仿宋" w:eastAsia="仿宋" w:cs="仿宋"/>
                <w:color w:val="auto"/>
                <w:sz w:val="28"/>
                <w:szCs w:val="28"/>
                <w:highlight w:val="none"/>
              </w:rPr>
            </w:pPr>
          </w:p>
        </w:tc>
        <w:tc>
          <w:tcPr>
            <w:tcW w:w="1499" w:type="dxa"/>
            <w:vAlign w:val="center"/>
          </w:tcPr>
          <w:p w14:paraId="582A9A10">
            <w:pPr>
              <w:spacing w:line="360" w:lineRule="auto"/>
              <w:ind w:firstLine="560" w:firstLineChars="200"/>
              <w:jc w:val="center"/>
              <w:rPr>
                <w:rFonts w:ascii="仿宋" w:hAnsi="仿宋" w:eastAsia="仿宋" w:cs="仿宋"/>
                <w:color w:val="auto"/>
                <w:sz w:val="28"/>
                <w:szCs w:val="28"/>
                <w:highlight w:val="none"/>
              </w:rPr>
            </w:pPr>
          </w:p>
        </w:tc>
        <w:tc>
          <w:tcPr>
            <w:tcW w:w="1669" w:type="dxa"/>
            <w:vAlign w:val="center"/>
          </w:tcPr>
          <w:p w14:paraId="087C525C">
            <w:pPr>
              <w:spacing w:line="360" w:lineRule="auto"/>
              <w:ind w:firstLine="560" w:firstLineChars="200"/>
              <w:jc w:val="center"/>
              <w:rPr>
                <w:rFonts w:ascii="仿宋" w:hAnsi="仿宋" w:eastAsia="仿宋" w:cs="仿宋"/>
                <w:color w:val="auto"/>
                <w:sz w:val="28"/>
                <w:szCs w:val="28"/>
                <w:highlight w:val="none"/>
              </w:rPr>
            </w:pPr>
          </w:p>
        </w:tc>
        <w:tc>
          <w:tcPr>
            <w:tcW w:w="1798" w:type="dxa"/>
            <w:vAlign w:val="center"/>
          </w:tcPr>
          <w:p w14:paraId="203AE758">
            <w:pPr>
              <w:spacing w:line="360" w:lineRule="auto"/>
              <w:ind w:firstLine="560" w:firstLineChars="200"/>
              <w:jc w:val="center"/>
              <w:rPr>
                <w:rFonts w:ascii="仿宋" w:hAnsi="仿宋" w:eastAsia="仿宋" w:cs="仿宋"/>
                <w:color w:val="auto"/>
                <w:sz w:val="28"/>
                <w:szCs w:val="28"/>
                <w:highlight w:val="none"/>
              </w:rPr>
            </w:pPr>
          </w:p>
        </w:tc>
      </w:tr>
      <w:tr w14:paraId="2559C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290" w:type="dxa"/>
            <w:vAlign w:val="center"/>
          </w:tcPr>
          <w:p w14:paraId="65B774E5">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1398" w:type="dxa"/>
            <w:vAlign w:val="center"/>
          </w:tcPr>
          <w:p w14:paraId="366F2450">
            <w:pPr>
              <w:spacing w:line="360" w:lineRule="auto"/>
              <w:ind w:firstLine="560" w:firstLineChars="200"/>
              <w:jc w:val="center"/>
              <w:rPr>
                <w:rFonts w:ascii="仿宋" w:hAnsi="仿宋" w:eastAsia="仿宋" w:cs="仿宋"/>
                <w:color w:val="auto"/>
                <w:sz w:val="28"/>
                <w:szCs w:val="28"/>
                <w:highlight w:val="none"/>
              </w:rPr>
            </w:pPr>
          </w:p>
        </w:tc>
        <w:tc>
          <w:tcPr>
            <w:tcW w:w="1348" w:type="dxa"/>
            <w:vAlign w:val="center"/>
          </w:tcPr>
          <w:p w14:paraId="194AC5D8">
            <w:pPr>
              <w:spacing w:line="360" w:lineRule="auto"/>
              <w:ind w:firstLine="560" w:firstLineChars="200"/>
              <w:jc w:val="center"/>
              <w:rPr>
                <w:rFonts w:ascii="仿宋" w:hAnsi="仿宋" w:eastAsia="仿宋" w:cs="仿宋"/>
                <w:color w:val="auto"/>
                <w:sz w:val="28"/>
                <w:szCs w:val="28"/>
                <w:highlight w:val="none"/>
              </w:rPr>
            </w:pPr>
          </w:p>
        </w:tc>
        <w:tc>
          <w:tcPr>
            <w:tcW w:w="1499" w:type="dxa"/>
            <w:vAlign w:val="center"/>
          </w:tcPr>
          <w:p w14:paraId="59C0CB6D">
            <w:pPr>
              <w:spacing w:line="360" w:lineRule="auto"/>
              <w:ind w:firstLine="560" w:firstLineChars="200"/>
              <w:jc w:val="center"/>
              <w:rPr>
                <w:rFonts w:ascii="仿宋" w:hAnsi="仿宋" w:eastAsia="仿宋" w:cs="仿宋"/>
                <w:color w:val="auto"/>
                <w:sz w:val="28"/>
                <w:szCs w:val="28"/>
                <w:highlight w:val="none"/>
              </w:rPr>
            </w:pPr>
          </w:p>
        </w:tc>
        <w:tc>
          <w:tcPr>
            <w:tcW w:w="1669" w:type="dxa"/>
            <w:vAlign w:val="center"/>
          </w:tcPr>
          <w:p w14:paraId="31021C92">
            <w:pPr>
              <w:spacing w:line="360" w:lineRule="auto"/>
              <w:ind w:firstLine="560" w:firstLineChars="200"/>
              <w:jc w:val="center"/>
              <w:rPr>
                <w:rFonts w:ascii="仿宋" w:hAnsi="仿宋" w:eastAsia="仿宋" w:cs="仿宋"/>
                <w:color w:val="auto"/>
                <w:sz w:val="28"/>
                <w:szCs w:val="28"/>
                <w:highlight w:val="none"/>
              </w:rPr>
            </w:pPr>
          </w:p>
        </w:tc>
        <w:tc>
          <w:tcPr>
            <w:tcW w:w="1798" w:type="dxa"/>
            <w:vAlign w:val="center"/>
          </w:tcPr>
          <w:p w14:paraId="0FA6CD85">
            <w:pPr>
              <w:spacing w:line="360" w:lineRule="auto"/>
              <w:ind w:firstLine="560" w:firstLineChars="200"/>
              <w:jc w:val="center"/>
              <w:rPr>
                <w:rFonts w:ascii="仿宋" w:hAnsi="仿宋" w:eastAsia="仿宋" w:cs="仿宋"/>
                <w:color w:val="auto"/>
                <w:sz w:val="28"/>
                <w:szCs w:val="28"/>
                <w:highlight w:val="none"/>
              </w:rPr>
            </w:pPr>
          </w:p>
        </w:tc>
      </w:tr>
      <w:tr w14:paraId="70F97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1290" w:type="dxa"/>
            <w:vAlign w:val="center"/>
          </w:tcPr>
          <w:p w14:paraId="1F622857">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1398" w:type="dxa"/>
            <w:vAlign w:val="center"/>
          </w:tcPr>
          <w:p w14:paraId="23AFF751">
            <w:pPr>
              <w:spacing w:line="360" w:lineRule="auto"/>
              <w:ind w:firstLine="480" w:firstLineChars="200"/>
              <w:jc w:val="center"/>
              <w:rPr>
                <w:rFonts w:ascii="仿宋" w:hAnsi="仿宋" w:eastAsia="仿宋" w:cs="仿宋"/>
                <w:color w:val="auto"/>
                <w:sz w:val="24"/>
                <w:szCs w:val="32"/>
                <w:highlight w:val="none"/>
              </w:rPr>
            </w:pPr>
          </w:p>
        </w:tc>
        <w:tc>
          <w:tcPr>
            <w:tcW w:w="1348" w:type="dxa"/>
            <w:vAlign w:val="center"/>
          </w:tcPr>
          <w:p w14:paraId="0D9B63CC">
            <w:pPr>
              <w:spacing w:line="360" w:lineRule="auto"/>
              <w:ind w:firstLine="480" w:firstLineChars="200"/>
              <w:jc w:val="center"/>
              <w:rPr>
                <w:rFonts w:ascii="仿宋" w:hAnsi="仿宋" w:eastAsia="仿宋" w:cs="仿宋"/>
                <w:color w:val="auto"/>
                <w:sz w:val="24"/>
                <w:szCs w:val="32"/>
                <w:highlight w:val="none"/>
              </w:rPr>
            </w:pPr>
          </w:p>
        </w:tc>
        <w:tc>
          <w:tcPr>
            <w:tcW w:w="1499" w:type="dxa"/>
            <w:vAlign w:val="center"/>
          </w:tcPr>
          <w:p w14:paraId="6E9E576A">
            <w:pPr>
              <w:spacing w:line="360" w:lineRule="auto"/>
              <w:ind w:firstLine="480" w:firstLineChars="200"/>
              <w:jc w:val="center"/>
              <w:rPr>
                <w:rFonts w:ascii="仿宋" w:hAnsi="仿宋" w:eastAsia="仿宋" w:cs="仿宋"/>
                <w:color w:val="auto"/>
                <w:sz w:val="24"/>
                <w:szCs w:val="32"/>
                <w:highlight w:val="none"/>
              </w:rPr>
            </w:pPr>
          </w:p>
        </w:tc>
        <w:tc>
          <w:tcPr>
            <w:tcW w:w="1669" w:type="dxa"/>
            <w:vAlign w:val="center"/>
          </w:tcPr>
          <w:p w14:paraId="0565CB51">
            <w:pPr>
              <w:spacing w:line="360" w:lineRule="auto"/>
              <w:ind w:firstLine="480" w:firstLineChars="200"/>
              <w:jc w:val="center"/>
              <w:rPr>
                <w:rFonts w:ascii="仿宋" w:hAnsi="仿宋" w:eastAsia="仿宋" w:cs="仿宋"/>
                <w:color w:val="auto"/>
                <w:sz w:val="24"/>
                <w:szCs w:val="32"/>
                <w:highlight w:val="none"/>
              </w:rPr>
            </w:pPr>
          </w:p>
        </w:tc>
        <w:tc>
          <w:tcPr>
            <w:tcW w:w="1798" w:type="dxa"/>
            <w:vAlign w:val="center"/>
          </w:tcPr>
          <w:p w14:paraId="026D9881">
            <w:pPr>
              <w:spacing w:line="360" w:lineRule="auto"/>
              <w:ind w:firstLine="480" w:firstLineChars="200"/>
              <w:jc w:val="center"/>
              <w:rPr>
                <w:rFonts w:ascii="仿宋" w:hAnsi="仿宋" w:eastAsia="仿宋" w:cs="仿宋"/>
                <w:color w:val="auto"/>
                <w:sz w:val="24"/>
                <w:szCs w:val="32"/>
                <w:highlight w:val="none"/>
              </w:rPr>
            </w:pPr>
          </w:p>
        </w:tc>
      </w:tr>
      <w:tr w14:paraId="4638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290" w:type="dxa"/>
            <w:vAlign w:val="center"/>
          </w:tcPr>
          <w:p w14:paraId="6F1678EE">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1398" w:type="dxa"/>
            <w:vAlign w:val="center"/>
          </w:tcPr>
          <w:p w14:paraId="0D87945D">
            <w:pPr>
              <w:spacing w:line="360" w:lineRule="auto"/>
              <w:ind w:firstLine="480" w:firstLineChars="200"/>
              <w:jc w:val="center"/>
              <w:rPr>
                <w:rFonts w:ascii="仿宋" w:hAnsi="仿宋" w:eastAsia="仿宋" w:cs="仿宋"/>
                <w:color w:val="auto"/>
                <w:sz w:val="24"/>
                <w:szCs w:val="32"/>
                <w:highlight w:val="none"/>
              </w:rPr>
            </w:pPr>
          </w:p>
        </w:tc>
        <w:tc>
          <w:tcPr>
            <w:tcW w:w="1348" w:type="dxa"/>
            <w:vAlign w:val="center"/>
          </w:tcPr>
          <w:p w14:paraId="42D5090E">
            <w:pPr>
              <w:spacing w:line="360" w:lineRule="auto"/>
              <w:ind w:firstLine="480" w:firstLineChars="200"/>
              <w:jc w:val="center"/>
              <w:rPr>
                <w:rFonts w:ascii="仿宋" w:hAnsi="仿宋" w:eastAsia="仿宋" w:cs="仿宋"/>
                <w:color w:val="auto"/>
                <w:sz w:val="24"/>
                <w:szCs w:val="32"/>
                <w:highlight w:val="none"/>
              </w:rPr>
            </w:pPr>
          </w:p>
        </w:tc>
        <w:tc>
          <w:tcPr>
            <w:tcW w:w="1499" w:type="dxa"/>
            <w:vAlign w:val="center"/>
          </w:tcPr>
          <w:p w14:paraId="443D699B">
            <w:pPr>
              <w:spacing w:line="360" w:lineRule="auto"/>
              <w:ind w:firstLine="480" w:firstLineChars="200"/>
              <w:jc w:val="center"/>
              <w:rPr>
                <w:rFonts w:ascii="仿宋" w:hAnsi="仿宋" w:eastAsia="仿宋" w:cs="仿宋"/>
                <w:color w:val="auto"/>
                <w:sz w:val="24"/>
                <w:szCs w:val="32"/>
                <w:highlight w:val="none"/>
              </w:rPr>
            </w:pPr>
          </w:p>
        </w:tc>
        <w:tc>
          <w:tcPr>
            <w:tcW w:w="1669" w:type="dxa"/>
            <w:vAlign w:val="center"/>
          </w:tcPr>
          <w:p w14:paraId="59F6A44B">
            <w:pPr>
              <w:spacing w:line="360" w:lineRule="auto"/>
              <w:ind w:firstLine="480" w:firstLineChars="200"/>
              <w:jc w:val="center"/>
              <w:rPr>
                <w:rFonts w:ascii="仿宋" w:hAnsi="仿宋" w:eastAsia="仿宋" w:cs="仿宋"/>
                <w:color w:val="auto"/>
                <w:sz w:val="24"/>
                <w:szCs w:val="32"/>
                <w:highlight w:val="none"/>
              </w:rPr>
            </w:pPr>
          </w:p>
        </w:tc>
        <w:tc>
          <w:tcPr>
            <w:tcW w:w="1798" w:type="dxa"/>
            <w:vAlign w:val="center"/>
          </w:tcPr>
          <w:p w14:paraId="7DF02C22">
            <w:pPr>
              <w:spacing w:line="360" w:lineRule="auto"/>
              <w:ind w:firstLine="480" w:firstLineChars="200"/>
              <w:jc w:val="center"/>
              <w:rPr>
                <w:rFonts w:ascii="仿宋" w:hAnsi="仿宋" w:eastAsia="仿宋" w:cs="仿宋"/>
                <w:color w:val="auto"/>
                <w:sz w:val="24"/>
                <w:szCs w:val="32"/>
                <w:highlight w:val="none"/>
              </w:rPr>
            </w:pPr>
          </w:p>
        </w:tc>
      </w:tr>
      <w:tr w14:paraId="4EF12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290" w:type="dxa"/>
            <w:vAlign w:val="center"/>
          </w:tcPr>
          <w:p w14:paraId="075A69EB">
            <w:pPr>
              <w:spacing w:line="360" w:lineRule="auto"/>
              <w:jc w:val="center"/>
              <w:rPr>
                <w:rFonts w:ascii="仿宋" w:hAnsi="仿宋" w:eastAsia="仿宋" w:cs="仿宋"/>
                <w:color w:val="auto"/>
                <w:sz w:val="24"/>
                <w:szCs w:val="32"/>
                <w:highlight w:val="none"/>
              </w:rPr>
            </w:pPr>
            <w:r>
              <w:rPr>
                <w:rFonts w:hint="eastAsia" w:ascii="仿宋" w:hAnsi="仿宋" w:eastAsia="仿宋" w:cs="仿宋"/>
                <w:color w:val="auto"/>
                <w:sz w:val="24"/>
                <w:szCs w:val="32"/>
                <w:highlight w:val="none"/>
              </w:rPr>
              <w:t>……</w:t>
            </w:r>
          </w:p>
        </w:tc>
        <w:tc>
          <w:tcPr>
            <w:tcW w:w="1398" w:type="dxa"/>
            <w:vAlign w:val="center"/>
          </w:tcPr>
          <w:p w14:paraId="14C8B93C">
            <w:pPr>
              <w:spacing w:line="360" w:lineRule="auto"/>
              <w:ind w:firstLine="480" w:firstLineChars="200"/>
              <w:jc w:val="center"/>
              <w:rPr>
                <w:rFonts w:ascii="仿宋" w:hAnsi="仿宋" w:eastAsia="仿宋" w:cs="仿宋"/>
                <w:color w:val="auto"/>
                <w:sz w:val="24"/>
                <w:szCs w:val="32"/>
                <w:highlight w:val="none"/>
              </w:rPr>
            </w:pPr>
          </w:p>
        </w:tc>
        <w:tc>
          <w:tcPr>
            <w:tcW w:w="1348" w:type="dxa"/>
            <w:vAlign w:val="center"/>
          </w:tcPr>
          <w:p w14:paraId="1F32BB04">
            <w:pPr>
              <w:spacing w:line="360" w:lineRule="auto"/>
              <w:ind w:firstLine="480" w:firstLineChars="200"/>
              <w:jc w:val="center"/>
              <w:rPr>
                <w:rFonts w:ascii="仿宋" w:hAnsi="仿宋" w:eastAsia="仿宋" w:cs="仿宋"/>
                <w:color w:val="auto"/>
                <w:sz w:val="24"/>
                <w:szCs w:val="32"/>
                <w:highlight w:val="none"/>
              </w:rPr>
            </w:pPr>
          </w:p>
        </w:tc>
        <w:tc>
          <w:tcPr>
            <w:tcW w:w="1499" w:type="dxa"/>
            <w:vAlign w:val="center"/>
          </w:tcPr>
          <w:p w14:paraId="1B225292">
            <w:pPr>
              <w:spacing w:line="360" w:lineRule="auto"/>
              <w:ind w:firstLine="480" w:firstLineChars="200"/>
              <w:jc w:val="center"/>
              <w:rPr>
                <w:rFonts w:ascii="仿宋" w:hAnsi="仿宋" w:eastAsia="仿宋" w:cs="仿宋"/>
                <w:color w:val="auto"/>
                <w:sz w:val="24"/>
                <w:szCs w:val="32"/>
                <w:highlight w:val="none"/>
              </w:rPr>
            </w:pPr>
          </w:p>
        </w:tc>
        <w:tc>
          <w:tcPr>
            <w:tcW w:w="1669" w:type="dxa"/>
            <w:vAlign w:val="center"/>
          </w:tcPr>
          <w:p w14:paraId="33A4563C">
            <w:pPr>
              <w:spacing w:line="360" w:lineRule="auto"/>
              <w:ind w:firstLine="480" w:firstLineChars="200"/>
              <w:jc w:val="center"/>
              <w:rPr>
                <w:rFonts w:ascii="仿宋" w:hAnsi="仿宋" w:eastAsia="仿宋" w:cs="仿宋"/>
                <w:color w:val="auto"/>
                <w:sz w:val="24"/>
                <w:szCs w:val="32"/>
                <w:highlight w:val="none"/>
              </w:rPr>
            </w:pPr>
          </w:p>
        </w:tc>
        <w:tc>
          <w:tcPr>
            <w:tcW w:w="1798" w:type="dxa"/>
            <w:vAlign w:val="center"/>
          </w:tcPr>
          <w:p w14:paraId="50B51BF1">
            <w:pPr>
              <w:spacing w:line="360" w:lineRule="auto"/>
              <w:ind w:firstLine="480" w:firstLineChars="200"/>
              <w:jc w:val="center"/>
              <w:rPr>
                <w:rFonts w:ascii="仿宋" w:hAnsi="仿宋" w:eastAsia="仿宋" w:cs="仿宋"/>
                <w:color w:val="auto"/>
                <w:sz w:val="24"/>
                <w:szCs w:val="32"/>
                <w:highlight w:val="none"/>
              </w:rPr>
            </w:pPr>
          </w:p>
        </w:tc>
      </w:tr>
    </w:tbl>
    <w:p w14:paraId="5A7F0656">
      <w:pPr>
        <w:spacing w:line="360" w:lineRule="auto"/>
        <w:ind w:firstLine="440" w:firstLineChars="200"/>
        <w:rPr>
          <w:rFonts w:ascii="仿宋" w:hAnsi="仿宋" w:eastAsia="仿宋" w:cs="仿宋"/>
          <w:bCs/>
          <w:color w:val="auto"/>
          <w:kern w:val="0"/>
          <w:sz w:val="22"/>
          <w:szCs w:val="22"/>
          <w:highlight w:val="none"/>
        </w:rPr>
      </w:pPr>
      <w:r>
        <w:rPr>
          <w:rFonts w:hint="eastAsia" w:ascii="仿宋" w:hAnsi="仿宋" w:eastAsia="仿宋" w:cs="仿宋"/>
          <w:bCs/>
          <w:color w:val="auto"/>
          <w:sz w:val="22"/>
          <w:szCs w:val="28"/>
          <w:highlight w:val="none"/>
        </w:rPr>
        <w:t>注：</w:t>
      </w:r>
      <w:r>
        <w:rPr>
          <w:rFonts w:hint="eastAsia" w:ascii="仿宋" w:hAnsi="仿宋" w:eastAsia="仿宋" w:cs="仿宋"/>
          <w:color w:val="auto"/>
          <w:sz w:val="24"/>
          <w:highlight w:val="none"/>
        </w:rPr>
        <w:t>表后附评分办法中要求的材料的扫描件</w:t>
      </w:r>
      <w:r>
        <w:rPr>
          <w:rFonts w:hint="eastAsia" w:ascii="仿宋" w:hAnsi="仿宋" w:eastAsia="仿宋" w:cs="仿宋"/>
          <w:bCs/>
          <w:color w:val="auto"/>
          <w:kern w:val="0"/>
          <w:sz w:val="22"/>
          <w:szCs w:val="22"/>
          <w:highlight w:val="none"/>
        </w:rPr>
        <w:t>。</w:t>
      </w:r>
    </w:p>
    <w:p w14:paraId="7A055F62">
      <w:pPr>
        <w:pStyle w:val="32"/>
        <w:rPr>
          <w:rFonts w:ascii="仿宋" w:hAnsi="仿宋" w:eastAsia="仿宋"/>
          <w:color w:val="auto"/>
          <w:highlight w:val="none"/>
        </w:rPr>
      </w:pPr>
    </w:p>
    <w:p w14:paraId="3BA3CD65">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投标人（盖电子公章）：</w:t>
      </w:r>
    </w:p>
    <w:p w14:paraId="07499E09">
      <w:pPr>
        <w:snapToGrid w:val="0"/>
        <w:spacing w:line="360" w:lineRule="auto"/>
        <w:ind w:firstLine="280" w:firstLineChars="100"/>
        <w:rPr>
          <w:rFonts w:ascii="仿宋" w:hAnsi="仿宋" w:eastAsia="仿宋" w:cs="仿宋"/>
          <w:color w:val="auto"/>
          <w:sz w:val="28"/>
          <w:szCs w:val="28"/>
          <w:highlight w:val="none"/>
        </w:rPr>
      </w:pPr>
    </w:p>
    <w:p w14:paraId="54CE868E">
      <w:pPr>
        <w:pStyle w:val="26"/>
        <w:spacing w:line="52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日期：</w:t>
      </w:r>
    </w:p>
    <w:p w14:paraId="16CD8E87">
      <w:pPr>
        <w:rPr>
          <w:rFonts w:ascii="仿宋" w:hAnsi="仿宋" w:eastAsia="仿宋" w:cs="仿宋"/>
          <w:b/>
          <w:color w:val="auto"/>
          <w:sz w:val="32"/>
          <w:szCs w:val="28"/>
          <w:highlight w:val="none"/>
        </w:rPr>
      </w:pPr>
    </w:p>
    <w:p w14:paraId="0B6B7428">
      <w:pPr>
        <w:rPr>
          <w:rFonts w:ascii="仿宋" w:hAnsi="仿宋" w:eastAsia="仿宋" w:cs="仿宋"/>
          <w:b/>
          <w:color w:val="auto"/>
          <w:sz w:val="32"/>
          <w:szCs w:val="28"/>
          <w:highlight w:val="none"/>
        </w:rPr>
      </w:pPr>
      <w:r>
        <w:rPr>
          <w:rFonts w:hint="eastAsia" w:ascii="仿宋" w:hAnsi="仿宋" w:eastAsia="仿宋" w:cs="仿宋"/>
          <w:b/>
          <w:color w:val="auto"/>
          <w:sz w:val="32"/>
          <w:szCs w:val="28"/>
          <w:highlight w:val="none"/>
        </w:rPr>
        <w:br w:type="page"/>
      </w:r>
    </w:p>
    <w:p w14:paraId="479EE6C9">
      <w:pPr>
        <w:snapToGrid w:val="0"/>
        <w:spacing w:line="560" w:lineRule="exact"/>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技术部分</w:t>
      </w:r>
    </w:p>
    <w:p w14:paraId="1BB1000F">
      <w:pPr>
        <w:spacing w:line="560" w:lineRule="exact"/>
        <w:ind w:firstLine="840" w:firstLineChars="3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实施</w:t>
      </w:r>
      <w:r>
        <w:rPr>
          <w:rFonts w:hint="eastAsia" w:ascii="仿宋" w:hAnsi="仿宋" w:eastAsia="仿宋" w:cs="仿宋_GB2312"/>
          <w:color w:val="auto"/>
          <w:sz w:val="28"/>
          <w:szCs w:val="28"/>
          <w:highlight w:val="none"/>
        </w:rPr>
        <w:t>方案</w:t>
      </w:r>
      <w:r>
        <w:rPr>
          <w:rFonts w:hint="eastAsia" w:ascii="仿宋" w:hAnsi="仿宋" w:eastAsia="仿宋" w:cs="仿宋"/>
          <w:color w:val="auto"/>
          <w:sz w:val="28"/>
          <w:szCs w:val="28"/>
          <w:highlight w:val="none"/>
        </w:rPr>
        <w:t>；</w:t>
      </w:r>
    </w:p>
    <w:p w14:paraId="57BB907E">
      <w:pPr>
        <w:spacing w:line="560" w:lineRule="exact"/>
        <w:ind w:firstLine="840" w:firstLineChars="3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p>
    <w:p w14:paraId="4E06382B">
      <w:pPr>
        <w:pStyle w:val="2"/>
        <w:rPr>
          <w:rFonts w:ascii="仿宋" w:hAnsi="仿宋" w:eastAsia="仿宋" w:cs="仿宋"/>
          <w:b/>
          <w:bCs/>
          <w:color w:val="auto"/>
          <w:spacing w:val="14"/>
          <w:sz w:val="36"/>
          <w:szCs w:val="36"/>
          <w:highlight w:val="none"/>
        </w:rPr>
      </w:pPr>
    </w:p>
    <w:p w14:paraId="7E77AF0F">
      <w:pPr>
        <w:pStyle w:val="26"/>
        <w:wordWrap w:val="0"/>
        <w:spacing w:line="500" w:lineRule="exact"/>
        <w:ind w:right="120"/>
        <w:jc w:val="right"/>
        <w:rPr>
          <w:rFonts w:ascii="仿宋" w:hAnsi="仿宋" w:eastAsia="仿宋" w:cs="仿宋"/>
          <w:b/>
          <w:bCs/>
          <w:color w:val="auto"/>
          <w:sz w:val="28"/>
          <w:szCs w:val="28"/>
          <w:highlight w:val="none"/>
        </w:rPr>
        <w:sectPr>
          <w:headerReference r:id="rId11" w:type="default"/>
          <w:footerReference r:id="rId12" w:type="default"/>
          <w:pgSz w:w="11906" w:h="16838"/>
          <w:pgMar w:top="1440" w:right="1361" w:bottom="1440" w:left="1418" w:header="851" w:footer="992" w:gutter="0"/>
          <w:cols w:space="720" w:num="1"/>
          <w:docGrid w:type="linesAndChars" w:linePitch="520" w:charSpace="0"/>
        </w:sectPr>
      </w:pPr>
    </w:p>
    <w:p w14:paraId="0CC3CEE3">
      <w:pPr>
        <w:jc w:val="center"/>
        <w:rPr>
          <w:rFonts w:ascii="宋体" w:hAnsi="宋体" w:cs="宋体"/>
          <w:b/>
          <w:color w:val="auto"/>
          <w:sz w:val="32"/>
          <w:szCs w:val="32"/>
          <w:highlight w:val="none"/>
        </w:rPr>
      </w:pPr>
      <w:r>
        <w:rPr>
          <w:rFonts w:ascii="仿宋" w:hAnsi="仿宋" w:eastAsia="仿宋" w:cs="仿宋"/>
          <w:b/>
          <w:color w:val="auto"/>
          <w:sz w:val="28"/>
          <w:szCs w:val="28"/>
          <w:highlight w:val="none"/>
        </w:rPr>
        <w:tab/>
      </w:r>
      <w:r>
        <w:rPr>
          <w:rFonts w:hint="eastAsia" w:ascii="宋体" w:hAnsi="宋体" w:cs="宋体"/>
          <w:b/>
          <w:color w:val="auto"/>
          <w:sz w:val="32"/>
          <w:szCs w:val="32"/>
          <w:highlight w:val="none"/>
        </w:rPr>
        <w:t>拟投入本项目的设备、仪器等工具清单（如有）</w:t>
      </w:r>
    </w:p>
    <w:tbl>
      <w:tblPr>
        <w:tblStyle w:val="4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7"/>
        <w:gridCol w:w="1720"/>
        <w:gridCol w:w="948"/>
        <w:gridCol w:w="1067"/>
        <w:gridCol w:w="1115"/>
        <w:gridCol w:w="1420"/>
        <w:gridCol w:w="1365"/>
      </w:tblGrid>
      <w:tr w14:paraId="04E29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521" w:type="pct"/>
            <w:vAlign w:val="center"/>
          </w:tcPr>
          <w:p w14:paraId="20CF5A5F">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1009" w:type="pct"/>
            <w:vAlign w:val="center"/>
          </w:tcPr>
          <w:p w14:paraId="70A05DE0">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名称</w:t>
            </w:r>
          </w:p>
        </w:tc>
        <w:tc>
          <w:tcPr>
            <w:tcW w:w="556" w:type="pct"/>
            <w:vAlign w:val="center"/>
          </w:tcPr>
          <w:p w14:paraId="5F0C098E">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型号</w:t>
            </w:r>
          </w:p>
          <w:p w14:paraId="35D74497">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规格</w:t>
            </w:r>
          </w:p>
        </w:tc>
        <w:tc>
          <w:tcPr>
            <w:tcW w:w="626" w:type="pct"/>
            <w:vAlign w:val="center"/>
          </w:tcPr>
          <w:p w14:paraId="6DB943B3">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数量</w:t>
            </w:r>
          </w:p>
        </w:tc>
        <w:tc>
          <w:tcPr>
            <w:tcW w:w="654" w:type="pct"/>
            <w:vAlign w:val="center"/>
          </w:tcPr>
          <w:p w14:paraId="3D0DACF1">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国别</w:t>
            </w:r>
          </w:p>
          <w:p w14:paraId="49D15E28">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产地</w:t>
            </w:r>
          </w:p>
        </w:tc>
        <w:tc>
          <w:tcPr>
            <w:tcW w:w="833" w:type="pct"/>
            <w:vAlign w:val="center"/>
          </w:tcPr>
          <w:p w14:paraId="27C693FC">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制造年份</w:t>
            </w:r>
          </w:p>
        </w:tc>
        <w:tc>
          <w:tcPr>
            <w:tcW w:w="802" w:type="pct"/>
            <w:vAlign w:val="center"/>
          </w:tcPr>
          <w:p w14:paraId="7FDEFE3A">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备注</w:t>
            </w:r>
          </w:p>
        </w:tc>
      </w:tr>
      <w:tr w14:paraId="7A04E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633EA971">
            <w:pPr>
              <w:jc w:val="center"/>
              <w:rPr>
                <w:rFonts w:ascii="仿宋" w:hAnsi="仿宋" w:eastAsia="仿宋" w:cs="仿宋"/>
                <w:color w:val="auto"/>
                <w:sz w:val="28"/>
                <w:szCs w:val="28"/>
                <w:highlight w:val="none"/>
              </w:rPr>
            </w:pPr>
          </w:p>
        </w:tc>
        <w:tc>
          <w:tcPr>
            <w:tcW w:w="1009" w:type="pct"/>
          </w:tcPr>
          <w:p w14:paraId="6C55DD29">
            <w:pPr>
              <w:jc w:val="center"/>
              <w:rPr>
                <w:rFonts w:ascii="仿宋" w:hAnsi="仿宋" w:eastAsia="仿宋" w:cs="仿宋"/>
                <w:color w:val="auto"/>
                <w:sz w:val="28"/>
                <w:szCs w:val="28"/>
                <w:highlight w:val="none"/>
              </w:rPr>
            </w:pPr>
          </w:p>
        </w:tc>
        <w:tc>
          <w:tcPr>
            <w:tcW w:w="556" w:type="pct"/>
          </w:tcPr>
          <w:p w14:paraId="716BA877">
            <w:pPr>
              <w:jc w:val="center"/>
              <w:rPr>
                <w:rFonts w:ascii="仿宋" w:hAnsi="仿宋" w:eastAsia="仿宋" w:cs="仿宋"/>
                <w:color w:val="auto"/>
                <w:sz w:val="28"/>
                <w:szCs w:val="28"/>
                <w:highlight w:val="none"/>
              </w:rPr>
            </w:pPr>
          </w:p>
        </w:tc>
        <w:tc>
          <w:tcPr>
            <w:tcW w:w="626" w:type="pct"/>
          </w:tcPr>
          <w:p w14:paraId="3DD2E202">
            <w:pPr>
              <w:jc w:val="center"/>
              <w:rPr>
                <w:rFonts w:ascii="仿宋" w:hAnsi="仿宋" w:eastAsia="仿宋" w:cs="仿宋"/>
                <w:color w:val="auto"/>
                <w:sz w:val="28"/>
                <w:szCs w:val="28"/>
                <w:highlight w:val="none"/>
              </w:rPr>
            </w:pPr>
          </w:p>
        </w:tc>
        <w:tc>
          <w:tcPr>
            <w:tcW w:w="654" w:type="pct"/>
          </w:tcPr>
          <w:p w14:paraId="00550484">
            <w:pPr>
              <w:jc w:val="center"/>
              <w:rPr>
                <w:rFonts w:ascii="仿宋" w:hAnsi="仿宋" w:eastAsia="仿宋" w:cs="仿宋"/>
                <w:color w:val="auto"/>
                <w:sz w:val="28"/>
                <w:szCs w:val="28"/>
                <w:highlight w:val="none"/>
              </w:rPr>
            </w:pPr>
          </w:p>
        </w:tc>
        <w:tc>
          <w:tcPr>
            <w:tcW w:w="833" w:type="pct"/>
          </w:tcPr>
          <w:p w14:paraId="3E886A93">
            <w:pPr>
              <w:jc w:val="center"/>
              <w:rPr>
                <w:rFonts w:ascii="仿宋" w:hAnsi="仿宋" w:eastAsia="仿宋" w:cs="仿宋"/>
                <w:color w:val="auto"/>
                <w:sz w:val="28"/>
                <w:szCs w:val="28"/>
                <w:highlight w:val="none"/>
              </w:rPr>
            </w:pPr>
          </w:p>
        </w:tc>
        <w:tc>
          <w:tcPr>
            <w:tcW w:w="802" w:type="pct"/>
          </w:tcPr>
          <w:p w14:paraId="023FBEBA">
            <w:pPr>
              <w:jc w:val="center"/>
              <w:rPr>
                <w:rFonts w:ascii="仿宋" w:hAnsi="仿宋" w:eastAsia="仿宋" w:cs="仿宋"/>
                <w:color w:val="auto"/>
                <w:sz w:val="28"/>
                <w:szCs w:val="28"/>
                <w:highlight w:val="none"/>
              </w:rPr>
            </w:pPr>
          </w:p>
        </w:tc>
      </w:tr>
      <w:tr w14:paraId="3A16C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59861143">
            <w:pPr>
              <w:jc w:val="center"/>
              <w:rPr>
                <w:rFonts w:ascii="仿宋" w:hAnsi="仿宋" w:eastAsia="仿宋" w:cs="仿宋"/>
                <w:color w:val="auto"/>
                <w:sz w:val="28"/>
                <w:szCs w:val="28"/>
                <w:highlight w:val="none"/>
              </w:rPr>
            </w:pPr>
          </w:p>
        </w:tc>
        <w:tc>
          <w:tcPr>
            <w:tcW w:w="1009" w:type="pct"/>
          </w:tcPr>
          <w:p w14:paraId="26ACDF36">
            <w:pPr>
              <w:jc w:val="center"/>
              <w:rPr>
                <w:rFonts w:ascii="仿宋" w:hAnsi="仿宋" w:eastAsia="仿宋" w:cs="仿宋"/>
                <w:color w:val="auto"/>
                <w:sz w:val="28"/>
                <w:szCs w:val="28"/>
                <w:highlight w:val="none"/>
              </w:rPr>
            </w:pPr>
          </w:p>
        </w:tc>
        <w:tc>
          <w:tcPr>
            <w:tcW w:w="556" w:type="pct"/>
          </w:tcPr>
          <w:p w14:paraId="2A44CE01">
            <w:pPr>
              <w:jc w:val="center"/>
              <w:rPr>
                <w:rFonts w:ascii="仿宋" w:hAnsi="仿宋" w:eastAsia="仿宋" w:cs="仿宋"/>
                <w:color w:val="auto"/>
                <w:sz w:val="28"/>
                <w:szCs w:val="28"/>
                <w:highlight w:val="none"/>
              </w:rPr>
            </w:pPr>
          </w:p>
        </w:tc>
        <w:tc>
          <w:tcPr>
            <w:tcW w:w="626" w:type="pct"/>
          </w:tcPr>
          <w:p w14:paraId="01205C3E">
            <w:pPr>
              <w:jc w:val="center"/>
              <w:rPr>
                <w:rFonts w:ascii="仿宋" w:hAnsi="仿宋" w:eastAsia="仿宋" w:cs="仿宋"/>
                <w:color w:val="auto"/>
                <w:sz w:val="28"/>
                <w:szCs w:val="28"/>
                <w:highlight w:val="none"/>
              </w:rPr>
            </w:pPr>
          </w:p>
        </w:tc>
        <w:tc>
          <w:tcPr>
            <w:tcW w:w="654" w:type="pct"/>
          </w:tcPr>
          <w:p w14:paraId="57546A88">
            <w:pPr>
              <w:jc w:val="center"/>
              <w:rPr>
                <w:rFonts w:ascii="仿宋" w:hAnsi="仿宋" w:eastAsia="仿宋" w:cs="仿宋"/>
                <w:color w:val="auto"/>
                <w:sz w:val="28"/>
                <w:szCs w:val="28"/>
                <w:highlight w:val="none"/>
              </w:rPr>
            </w:pPr>
          </w:p>
        </w:tc>
        <w:tc>
          <w:tcPr>
            <w:tcW w:w="833" w:type="pct"/>
          </w:tcPr>
          <w:p w14:paraId="4CB83F76">
            <w:pPr>
              <w:jc w:val="center"/>
              <w:rPr>
                <w:rFonts w:ascii="仿宋" w:hAnsi="仿宋" w:eastAsia="仿宋" w:cs="仿宋"/>
                <w:color w:val="auto"/>
                <w:sz w:val="28"/>
                <w:szCs w:val="28"/>
                <w:highlight w:val="none"/>
              </w:rPr>
            </w:pPr>
          </w:p>
        </w:tc>
        <w:tc>
          <w:tcPr>
            <w:tcW w:w="802" w:type="pct"/>
          </w:tcPr>
          <w:p w14:paraId="76C9FC9E">
            <w:pPr>
              <w:jc w:val="center"/>
              <w:rPr>
                <w:rFonts w:ascii="仿宋" w:hAnsi="仿宋" w:eastAsia="仿宋" w:cs="仿宋"/>
                <w:color w:val="auto"/>
                <w:sz w:val="28"/>
                <w:szCs w:val="28"/>
                <w:highlight w:val="none"/>
              </w:rPr>
            </w:pPr>
          </w:p>
        </w:tc>
      </w:tr>
      <w:tr w14:paraId="4E96A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482FB813">
            <w:pPr>
              <w:jc w:val="center"/>
              <w:rPr>
                <w:rFonts w:ascii="仿宋" w:hAnsi="仿宋" w:eastAsia="仿宋" w:cs="仿宋"/>
                <w:color w:val="auto"/>
                <w:sz w:val="28"/>
                <w:szCs w:val="28"/>
                <w:highlight w:val="none"/>
              </w:rPr>
            </w:pPr>
          </w:p>
        </w:tc>
        <w:tc>
          <w:tcPr>
            <w:tcW w:w="1009" w:type="pct"/>
          </w:tcPr>
          <w:p w14:paraId="59819052">
            <w:pPr>
              <w:jc w:val="center"/>
              <w:rPr>
                <w:rFonts w:ascii="仿宋" w:hAnsi="仿宋" w:eastAsia="仿宋" w:cs="仿宋"/>
                <w:color w:val="auto"/>
                <w:sz w:val="28"/>
                <w:szCs w:val="28"/>
                <w:highlight w:val="none"/>
              </w:rPr>
            </w:pPr>
          </w:p>
        </w:tc>
        <w:tc>
          <w:tcPr>
            <w:tcW w:w="556" w:type="pct"/>
          </w:tcPr>
          <w:p w14:paraId="465BE815">
            <w:pPr>
              <w:jc w:val="center"/>
              <w:rPr>
                <w:rFonts w:ascii="仿宋" w:hAnsi="仿宋" w:eastAsia="仿宋" w:cs="仿宋"/>
                <w:color w:val="auto"/>
                <w:sz w:val="28"/>
                <w:szCs w:val="28"/>
                <w:highlight w:val="none"/>
              </w:rPr>
            </w:pPr>
          </w:p>
        </w:tc>
        <w:tc>
          <w:tcPr>
            <w:tcW w:w="626" w:type="pct"/>
          </w:tcPr>
          <w:p w14:paraId="1F7A1B7D">
            <w:pPr>
              <w:jc w:val="center"/>
              <w:rPr>
                <w:rFonts w:ascii="仿宋" w:hAnsi="仿宋" w:eastAsia="仿宋" w:cs="仿宋"/>
                <w:color w:val="auto"/>
                <w:sz w:val="28"/>
                <w:szCs w:val="28"/>
                <w:highlight w:val="none"/>
              </w:rPr>
            </w:pPr>
          </w:p>
        </w:tc>
        <w:tc>
          <w:tcPr>
            <w:tcW w:w="654" w:type="pct"/>
          </w:tcPr>
          <w:p w14:paraId="0F7AFFDB">
            <w:pPr>
              <w:jc w:val="center"/>
              <w:rPr>
                <w:rFonts w:ascii="仿宋" w:hAnsi="仿宋" w:eastAsia="仿宋" w:cs="仿宋"/>
                <w:color w:val="auto"/>
                <w:sz w:val="28"/>
                <w:szCs w:val="28"/>
                <w:highlight w:val="none"/>
              </w:rPr>
            </w:pPr>
          </w:p>
        </w:tc>
        <w:tc>
          <w:tcPr>
            <w:tcW w:w="833" w:type="pct"/>
          </w:tcPr>
          <w:p w14:paraId="5ABBC787">
            <w:pPr>
              <w:jc w:val="center"/>
              <w:rPr>
                <w:rFonts w:ascii="仿宋" w:hAnsi="仿宋" w:eastAsia="仿宋" w:cs="仿宋"/>
                <w:color w:val="auto"/>
                <w:sz w:val="28"/>
                <w:szCs w:val="28"/>
                <w:highlight w:val="none"/>
              </w:rPr>
            </w:pPr>
          </w:p>
        </w:tc>
        <w:tc>
          <w:tcPr>
            <w:tcW w:w="802" w:type="pct"/>
          </w:tcPr>
          <w:p w14:paraId="1A8C993C">
            <w:pPr>
              <w:jc w:val="center"/>
              <w:rPr>
                <w:rFonts w:ascii="仿宋" w:hAnsi="仿宋" w:eastAsia="仿宋" w:cs="仿宋"/>
                <w:color w:val="auto"/>
                <w:sz w:val="28"/>
                <w:szCs w:val="28"/>
                <w:highlight w:val="none"/>
              </w:rPr>
            </w:pPr>
          </w:p>
        </w:tc>
      </w:tr>
      <w:tr w14:paraId="0CBF0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1BD10390">
            <w:pPr>
              <w:jc w:val="center"/>
              <w:rPr>
                <w:rFonts w:ascii="仿宋" w:hAnsi="仿宋" w:eastAsia="仿宋" w:cs="仿宋"/>
                <w:color w:val="auto"/>
                <w:sz w:val="28"/>
                <w:szCs w:val="28"/>
                <w:highlight w:val="none"/>
              </w:rPr>
            </w:pPr>
          </w:p>
        </w:tc>
        <w:tc>
          <w:tcPr>
            <w:tcW w:w="1009" w:type="pct"/>
          </w:tcPr>
          <w:p w14:paraId="49ABE6F7">
            <w:pPr>
              <w:jc w:val="center"/>
              <w:rPr>
                <w:rFonts w:ascii="仿宋" w:hAnsi="仿宋" w:eastAsia="仿宋" w:cs="仿宋"/>
                <w:color w:val="auto"/>
                <w:sz w:val="28"/>
                <w:szCs w:val="28"/>
                <w:highlight w:val="none"/>
              </w:rPr>
            </w:pPr>
          </w:p>
        </w:tc>
        <w:tc>
          <w:tcPr>
            <w:tcW w:w="556" w:type="pct"/>
          </w:tcPr>
          <w:p w14:paraId="23F77205">
            <w:pPr>
              <w:jc w:val="center"/>
              <w:rPr>
                <w:rFonts w:ascii="仿宋" w:hAnsi="仿宋" w:eastAsia="仿宋" w:cs="仿宋"/>
                <w:color w:val="auto"/>
                <w:sz w:val="28"/>
                <w:szCs w:val="28"/>
                <w:highlight w:val="none"/>
              </w:rPr>
            </w:pPr>
          </w:p>
        </w:tc>
        <w:tc>
          <w:tcPr>
            <w:tcW w:w="626" w:type="pct"/>
          </w:tcPr>
          <w:p w14:paraId="7A3A5232">
            <w:pPr>
              <w:jc w:val="center"/>
              <w:rPr>
                <w:rFonts w:ascii="仿宋" w:hAnsi="仿宋" w:eastAsia="仿宋" w:cs="仿宋"/>
                <w:color w:val="auto"/>
                <w:sz w:val="28"/>
                <w:szCs w:val="28"/>
                <w:highlight w:val="none"/>
              </w:rPr>
            </w:pPr>
          </w:p>
        </w:tc>
        <w:tc>
          <w:tcPr>
            <w:tcW w:w="654" w:type="pct"/>
          </w:tcPr>
          <w:p w14:paraId="27944AA3">
            <w:pPr>
              <w:jc w:val="center"/>
              <w:rPr>
                <w:rFonts w:ascii="仿宋" w:hAnsi="仿宋" w:eastAsia="仿宋" w:cs="仿宋"/>
                <w:color w:val="auto"/>
                <w:sz w:val="28"/>
                <w:szCs w:val="28"/>
                <w:highlight w:val="none"/>
              </w:rPr>
            </w:pPr>
          </w:p>
        </w:tc>
        <w:tc>
          <w:tcPr>
            <w:tcW w:w="833" w:type="pct"/>
          </w:tcPr>
          <w:p w14:paraId="2A20CE81">
            <w:pPr>
              <w:jc w:val="center"/>
              <w:rPr>
                <w:rFonts w:ascii="仿宋" w:hAnsi="仿宋" w:eastAsia="仿宋" w:cs="仿宋"/>
                <w:color w:val="auto"/>
                <w:sz w:val="28"/>
                <w:szCs w:val="28"/>
                <w:highlight w:val="none"/>
              </w:rPr>
            </w:pPr>
          </w:p>
        </w:tc>
        <w:tc>
          <w:tcPr>
            <w:tcW w:w="802" w:type="pct"/>
          </w:tcPr>
          <w:p w14:paraId="11362C64">
            <w:pPr>
              <w:jc w:val="center"/>
              <w:rPr>
                <w:rFonts w:ascii="仿宋" w:hAnsi="仿宋" w:eastAsia="仿宋" w:cs="仿宋"/>
                <w:color w:val="auto"/>
                <w:sz w:val="28"/>
                <w:szCs w:val="28"/>
                <w:highlight w:val="none"/>
              </w:rPr>
            </w:pPr>
          </w:p>
        </w:tc>
      </w:tr>
      <w:tr w14:paraId="691D3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0FED1AE2">
            <w:pPr>
              <w:spacing w:line="460" w:lineRule="exact"/>
              <w:rPr>
                <w:rFonts w:ascii="仿宋_GB2312" w:hAnsi="宋体" w:eastAsia="仿宋_GB2312"/>
                <w:color w:val="auto"/>
                <w:sz w:val="28"/>
                <w:szCs w:val="28"/>
                <w:highlight w:val="none"/>
              </w:rPr>
            </w:pPr>
          </w:p>
        </w:tc>
        <w:tc>
          <w:tcPr>
            <w:tcW w:w="1009" w:type="pct"/>
          </w:tcPr>
          <w:p w14:paraId="16B42F89">
            <w:pPr>
              <w:spacing w:line="460" w:lineRule="exact"/>
              <w:rPr>
                <w:rFonts w:ascii="仿宋_GB2312" w:hAnsi="宋体" w:eastAsia="仿宋_GB2312"/>
                <w:color w:val="auto"/>
                <w:sz w:val="28"/>
                <w:szCs w:val="28"/>
                <w:highlight w:val="none"/>
              </w:rPr>
            </w:pPr>
          </w:p>
        </w:tc>
        <w:tc>
          <w:tcPr>
            <w:tcW w:w="556" w:type="pct"/>
          </w:tcPr>
          <w:p w14:paraId="18226C94">
            <w:pPr>
              <w:spacing w:line="460" w:lineRule="exact"/>
              <w:rPr>
                <w:rFonts w:ascii="仿宋_GB2312" w:hAnsi="宋体" w:eastAsia="仿宋_GB2312"/>
                <w:color w:val="auto"/>
                <w:sz w:val="28"/>
                <w:szCs w:val="28"/>
                <w:highlight w:val="none"/>
              </w:rPr>
            </w:pPr>
          </w:p>
        </w:tc>
        <w:tc>
          <w:tcPr>
            <w:tcW w:w="626" w:type="pct"/>
          </w:tcPr>
          <w:p w14:paraId="1FBF9FA7">
            <w:pPr>
              <w:spacing w:line="460" w:lineRule="exact"/>
              <w:rPr>
                <w:rFonts w:ascii="仿宋_GB2312" w:hAnsi="宋体" w:eastAsia="仿宋_GB2312"/>
                <w:color w:val="auto"/>
                <w:sz w:val="28"/>
                <w:szCs w:val="28"/>
                <w:highlight w:val="none"/>
              </w:rPr>
            </w:pPr>
          </w:p>
        </w:tc>
        <w:tc>
          <w:tcPr>
            <w:tcW w:w="654" w:type="pct"/>
          </w:tcPr>
          <w:p w14:paraId="76474943">
            <w:pPr>
              <w:spacing w:line="460" w:lineRule="exact"/>
              <w:rPr>
                <w:rFonts w:ascii="仿宋_GB2312" w:hAnsi="宋体" w:eastAsia="仿宋_GB2312"/>
                <w:color w:val="auto"/>
                <w:sz w:val="28"/>
                <w:szCs w:val="28"/>
                <w:highlight w:val="none"/>
              </w:rPr>
            </w:pPr>
          </w:p>
        </w:tc>
        <w:tc>
          <w:tcPr>
            <w:tcW w:w="833" w:type="pct"/>
          </w:tcPr>
          <w:p w14:paraId="2432C8B4">
            <w:pPr>
              <w:spacing w:line="460" w:lineRule="exact"/>
              <w:rPr>
                <w:rFonts w:ascii="仿宋_GB2312" w:hAnsi="宋体" w:eastAsia="仿宋_GB2312"/>
                <w:color w:val="auto"/>
                <w:sz w:val="28"/>
                <w:szCs w:val="28"/>
                <w:highlight w:val="none"/>
              </w:rPr>
            </w:pPr>
          </w:p>
        </w:tc>
        <w:tc>
          <w:tcPr>
            <w:tcW w:w="802" w:type="pct"/>
          </w:tcPr>
          <w:p w14:paraId="66BAD838">
            <w:pPr>
              <w:spacing w:line="460" w:lineRule="exact"/>
              <w:rPr>
                <w:rFonts w:ascii="仿宋_GB2312" w:hAnsi="宋体" w:eastAsia="仿宋_GB2312"/>
                <w:color w:val="auto"/>
                <w:sz w:val="28"/>
                <w:szCs w:val="28"/>
                <w:highlight w:val="none"/>
              </w:rPr>
            </w:pPr>
          </w:p>
        </w:tc>
      </w:tr>
      <w:tr w14:paraId="7656C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593D788E">
            <w:pPr>
              <w:spacing w:line="460" w:lineRule="exact"/>
              <w:rPr>
                <w:rFonts w:ascii="仿宋_GB2312" w:hAnsi="宋体" w:eastAsia="仿宋_GB2312"/>
                <w:color w:val="auto"/>
                <w:sz w:val="28"/>
                <w:szCs w:val="28"/>
                <w:highlight w:val="none"/>
              </w:rPr>
            </w:pPr>
          </w:p>
        </w:tc>
        <w:tc>
          <w:tcPr>
            <w:tcW w:w="1009" w:type="pct"/>
          </w:tcPr>
          <w:p w14:paraId="4F763634">
            <w:pPr>
              <w:spacing w:line="460" w:lineRule="exact"/>
              <w:rPr>
                <w:rFonts w:ascii="仿宋_GB2312" w:hAnsi="宋体" w:eastAsia="仿宋_GB2312"/>
                <w:color w:val="auto"/>
                <w:sz w:val="28"/>
                <w:szCs w:val="28"/>
                <w:highlight w:val="none"/>
              </w:rPr>
            </w:pPr>
          </w:p>
        </w:tc>
        <w:tc>
          <w:tcPr>
            <w:tcW w:w="556" w:type="pct"/>
          </w:tcPr>
          <w:p w14:paraId="35130E81">
            <w:pPr>
              <w:spacing w:line="460" w:lineRule="exact"/>
              <w:rPr>
                <w:rFonts w:ascii="仿宋_GB2312" w:hAnsi="宋体" w:eastAsia="仿宋_GB2312"/>
                <w:color w:val="auto"/>
                <w:sz w:val="28"/>
                <w:szCs w:val="28"/>
                <w:highlight w:val="none"/>
              </w:rPr>
            </w:pPr>
          </w:p>
        </w:tc>
        <w:tc>
          <w:tcPr>
            <w:tcW w:w="626" w:type="pct"/>
          </w:tcPr>
          <w:p w14:paraId="7FC9BE0D">
            <w:pPr>
              <w:spacing w:line="460" w:lineRule="exact"/>
              <w:rPr>
                <w:rFonts w:ascii="仿宋_GB2312" w:hAnsi="宋体" w:eastAsia="仿宋_GB2312"/>
                <w:color w:val="auto"/>
                <w:sz w:val="28"/>
                <w:szCs w:val="28"/>
                <w:highlight w:val="none"/>
              </w:rPr>
            </w:pPr>
          </w:p>
        </w:tc>
        <w:tc>
          <w:tcPr>
            <w:tcW w:w="654" w:type="pct"/>
          </w:tcPr>
          <w:p w14:paraId="5C63085A">
            <w:pPr>
              <w:spacing w:line="460" w:lineRule="exact"/>
              <w:rPr>
                <w:rFonts w:ascii="仿宋_GB2312" w:hAnsi="宋体" w:eastAsia="仿宋_GB2312"/>
                <w:color w:val="auto"/>
                <w:sz w:val="28"/>
                <w:szCs w:val="28"/>
                <w:highlight w:val="none"/>
              </w:rPr>
            </w:pPr>
          </w:p>
        </w:tc>
        <w:tc>
          <w:tcPr>
            <w:tcW w:w="833" w:type="pct"/>
          </w:tcPr>
          <w:p w14:paraId="385EA6C4">
            <w:pPr>
              <w:spacing w:line="460" w:lineRule="exact"/>
              <w:rPr>
                <w:rFonts w:ascii="仿宋_GB2312" w:hAnsi="宋体" w:eastAsia="仿宋_GB2312"/>
                <w:color w:val="auto"/>
                <w:sz w:val="28"/>
                <w:szCs w:val="28"/>
                <w:highlight w:val="none"/>
              </w:rPr>
            </w:pPr>
          </w:p>
        </w:tc>
        <w:tc>
          <w:tcPr>
            <w:tcW w:w="802" w:type="pct"/>
          </w:tcPr>
          <w:p w14:paraId="4B7DA6CA">
            <w:pPr>
              <w:spacing w:line="460" w:lineRule="exact"/>
              <w:rPr>
                <w:rFonts w:ascii="仿宋_GB2312" w:hAnsi="宋体" w:eastAsia="仿宋_GB2312"/>
                <w:color w:val="auto"/>
                <w:sz w:val="28"/>
                <w:szCs w:val="28"/>
                <w:highlight w:val="none"/>
              </w:rPr>
            </w:pPr>
          </w:p>
        </w:tc>
      </w:tr>
      <w:tr w14:paraId="57276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591705B7">
            <w:pPr>
              <w:spacing w:line="460" w:lineRule="exact"/>
              <w:rPr>
                <w:rFonts w:ascii="仿宋_GB2312" w:hAnsi="宋体" w:eastAsia="仿宋_GB2312"/>
                <w:color w:val="auto"/>
                <w:sz w:val="28"/>
                <w:szCs w:val="28"/>
                <w:highlight w:val="none"/>
              </w:rPr>
            </w:pPr>
          </w:p>
        </w:tc>
        <w:tc>
          <w:tcPr>
            <w:tcW w:w="1009" w:type="pct"/>
          </w:tcPr>
          <w:p w14:paraId="0BF820B8">
            <w:pPr>
              <w:spacing w:line="460" w:lineRule="exact"/>
              <w:rPr>
                <w:rFonts w:ascii="仿宋_GB2312" w:hAnsi="宋体" w:eastAsia="仿宋_GB2312"/>
                <w:color w:val="auto"/>
                <w:sz w:val="28"/>
                <w:szCs w:val="28"/>
                <w:highlight w:val="none"/>
              </w:rPr>
            </w:pPr>
          </w:p>
        </w:tc>
        <w:tc>
          <w:tcPr>
            <w:tcW w:w="556" w:type="pct"/>
          </w:tcPr>
          <w:p w14:paraId="125C2CF7">
            <w:pPr>
              <w:spacing w:line="460" w:lineRule="exact"/>
              <w:rPr>
                <w:rFonts w:ascii="仿宋_GB2312" w:hAnsi="宋体" w:eastAsia="仿宋_GB2312"/>
                <w:color w:val="auto"/>
                <w:sz w:val="28"/>
                <w:szCs w:val="28"/>
                <w:highlight w:val="none"/>
              </w:rPr>
            </w:pPr>
          </w:p>
        </w:tc>
        <w:tc>
          <w:tcPr>
            <w:tcW w:w="626" w:type="pct"/>
          </w:tcPr>
          <w:p w14:paraId="6B50CDA7">
            <w:pPr>
              <w:spacing w:line="460" w:lineRule="exact"/>
              <w:rPr>
                <w:rFonts w:ascii="仿宋_GB2312" w:hAnsi="宋体" w:eastAsia="仿宋_GB2312"/>
                <w:color w:val="auto"/>
                <w:sz w:val="28"/>
                <w:szCs w:val="28"/>
                <w:highlight w:val="none"/>
              </w:rPr>
            </w:pPr>
          </w:p>
        </w:tc>
        <w:tc>
          <w:tcPr>
            <w:tcW w:w="654" w:type="pct"/>
          </w:tcPr>
          <w:p w14:paraId="600624BA">
            <w:pPr>
              <w:spacing w:line="460" w:lineRule="exact"/>
              <w:rPr>
                <w:rFonts w:ascii="仿宋_GB2312" w:hAnsi="宋体" w:eastAsia="仿宋_GB2312"/>
                <w:color w:val="auto"/>
                <w:sz w:val="28"/>
                <w:szCs w:val="28"/>
                <w:highlight w:val="none"/>
              </w:rPr>
            </w:pPr>
          </w:p>
        </w:tc>
        <w:tc>
          <w:tcPr>
            <w:tcW w:w="833" w:type="pct"/>
          </w:tcPr>
          <w:p w14:paraId="4FE898E8">
            <w:pPr>
              <w:spacing w:line="460" w:lineRule="exact"/>
              <w:rPr>
                <w:rFonts w:ascii="仿宋_GB2312" w:hAnsi="宋体" w:eastAsia="仿宋_GB2312"/>
                <w:color w:val="auto"/>
                <w:sz w:val="28"/>
                <w:szCs w:val="28"/>
                <w:highlight w:val="none"/>
              </w:rPr>
            </w:pPr>
          </w:p>
        </w:tc>
        <w:tc>
          <w:tcPr>
            <w:tcW w:w="802" w:type="pct"/>
          </w:tcPr>
          <w:p w14:paraId="5D06CA69">
            <w:pPr>
              <w:spacing w:line="460" w:lineRule="exact"/>
              <w:rPr>
                <w:rFonts w:ascii="仿宋_GB2312" w:hAnsi="宋体" w:eastAsia="仿宋_GB2312"/>
                <w:color w:val="auto"/>
                <w:sz w:val="28"/>
                <w:szCs w:val="28"/>
                <w:highlight w:val="none"/>
              </w:rPr>
            </w:pPr>
          </w:p>
        </w:tc>
      </w:tr>
      <w:tr w14:paraId="38E9B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669A2171">
            <w:pPr>
              <w:spacing w:line="460" w:lineRule="exact"/>
              <w:rPr>
                <w:rFonts w:ascii="仿宋_GB2312" w:hAnsi="宋体" w:eastAsia="仿宋_GB2312"/>
                <w:color w:val="auto"/>
                <w:sz w:val="28"/>
                <w:szCs w:val="28"/>
                <w:highlight w:val="none"/>
              </w:rPr>
            </w:pPr>
          </w:p>
        </w:tc>
        <w:tc>
          <w:tcPr>
            <w:tcW w:w="1009" w:type="pct"/>
          </w:tcPr>
          <w:p w14:paraId="61FDDDC7">
            <w:pPr>
              <w:spacing w:line="460" w:lineRule="exact"/>
              <w:rPr>
                <w:rFonts w:ascii="仿宋_GB2312" w:hAnsi="宋体" w:eastAsia="仿宋_GB2312"/>
                <w:color w:val="auto"/>
                <w:sz w:val="28"/>
                <w:szCs w:val="28"/>
                <w:highlight w:val="none"/>
              </w:rPr>
            </w:pPr>
          </w:p>
        </w:tc>
        <w:tc>
          <w:tcPr>
            <w:tcW w:w="556" w:type="pct"/>
          </w:tcPr>
          <w:p w14:paraId="7FB91BA5">
            <w:pPr>
              <w:spacing w:line="460" w:lineRule="exact"/>
              <w:rPr>
                <w:rFonts w:ascii="仿宋_GB2312" w:hAnsi="宋体" w:eastAsia="仿宋_GB2312"/>
                <w:color w:val="auto"/>
                <w:sz w:val="28"/>
                <w:szCs w:val="28"/>
                <w:highlight w:val="none"/>
              </w:rPr>
            </w:pPr>
          </w:p>
        </w:tc>
        <w:tc>
          <w:tcPr>
            <w:tcW w:w="626" w:type="pct"/>
          </w:tcPr>
          <w:p w14:paraId="4AF70D58">
            <w:pPr>
              <w:spacing w:line="460" w:lineRule="exact"/>
              <w:rPr>
                <w:rFonts w:ascii="仿宋_GB2312" w:hAnsi="宋体" w:eastAsia="仿宋_GB2312"/>
                <w:color w:val="auto"/>
                <w:sz w:val="28"/>
                <w:szCs w:val="28"/>
                <w:highlight w:val="none"/>
              </w:rPr>
            </w:pPr>
          </w:p>
        </w:tc>
        <w:tc>
          <w:tcPr>
            <w:tcW w:w="654" w:type="pct"/>
          </w:tcPr>
          <w:p w14:paraId="5E91FF0B">
            <w:pPr>
              <w:spacing w:line="460" w:lineRule="exact"/>
              <w:rPr>
                <w:rFonts w:ascii="仿宋_GB2312" w:hAnsi="宋体" w:eastAsia="仿宋_GB2312"/>
                <w:color w:val="auto"/>
                <w:sz w:val="28"/>
                <w:szCs w:val="28"/>
                <w:highlight w:val="none"/>
              </w:rPr>
            </w:pPr>
          </w:p>
        </w:tc>
        <w:tc>
          <w:tcPr>
            <w:tcW w:w="833" w:type="pct"/>
          </w:tcPr>
          <w:p w14:paraId="3A4BE365">
            <w:pPr>
              <w:spacing w:line="460" w:lineRule="exact"/>
              <w:rPr>
                <w:rFonts w:ascii="仿宋_GB2312" w:hAnsi="宋体" w:eastAsia="仿宋_GB2312"/>
                <w:color w:val="auto"/>
                <w:sz w:val="28"/>
                <w:szCs w:val="28"/>
                <w:highlight w:val="none"/>
              </w:rPr>
            </w:pPr>
          </w:p>
        </w:tc>
        <w:tc>
          <w:tcPr>
            <w:tcW w:w="802" w:type="pct"/>
          </w:tcPr>
          <w:p w14:paraId="6A99635E">
            <w:pPr>
              <w:spacing w:line="460" w:lineRule="exact"/>
              <w:rPr>
                <w:rFonts w:ascii="仿宋_GB2312" w:hAnsi="宋体" w:eastAsia="仿宋_GB2312"/>
                <w:color w:val="auto"/>
                <w:sz w:val="28"/>
                <w:szCs w:val="28"/>
                <w:highlight w:val="none"/>
              </w:rPr>
            </w:pPr>
          </w:p>
        </w:tc>
      </w:tr>
      <w:tr w14:paraId="5D01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65273A72">
            <w:pPr>
              <w:spacing w:line="460" w:lineRule="exact"/>
              <w:rPr>
                <w:rFonts w:ascii="仿宋_GB2312" w:hAnsi="宋体" w:eastAsia="仿宋_GB2312"/>
                <w:color w:val="auto"/>
                <w:sz w:val="28"/>
                <w:szCs w:val="28"/>
                <w:highlight w:val="none"/>
              </w:rPr>
            </w:pPr>
          </w:p>
        </w:tc>
        <w:tc>
          <w:tcPr>
            <w:tcW w:w="1009" w:type="pct"/>
          </w:tcPr>
          <w:p w14:paraId="2C7CE7ED">
            <w:pPr>
              <w:spacing w:line="460" w:lineRule="exact"/>
              <w:rPr>
                <w:rFonts w:ascii="仿宋_GB2312" w:hAnsi="宋体" w:eastAsia="仿宋_GB2312"/>
                <w:color w:val="auto"/>
                <w:sz w:val="28"/>
                <w:szCs w:val="28"/>
                <w:highlight w:val="none"/>
              </w:rPr>
            </w:pPr>
          </w:p>
        </w:tc>
        <w:tc>
          <w:tcPr>
            <w:tcW w:w="556" w:type="pct"/>
          </w:tcPr>
          <w:p w14:paraId="7AD0FD29">
            <w:pPr>
              <w:spacing w:line="460" w:lineRule="exact"/>
              <w:rPr>
                <w:rFonts w:ascii="仿宋_GB2312" w:hAnsi="宋体" w:eastAsia="仿宋_GB2312"/>
                <w:color w:val="auto"/>
                <w:sz w:val="28"/>
                <w:szCs w:val="28"/>
                <w:highlight w:val="none"/>
              </w:rPr>
            </w:pPr>
          </w:p>
        </w:tc>
        <w:tc>
          <w:tcPr>
            <w:tcW w:w="626" w:type="pct"/>
          </w:tcPr>
          <w:p w14:paraId="73AA917C">
            <w:pPr>
              <w:spacing w:line="460" w:lineRule="exact"/>
              <w:rPr>
                <w:rFonts w:ascii="仿宋_GB2312" w:hAnsi="宋体" w:eastAsia="仿宋_GB2312"/>
                <w:color w:val="auto"/>
                <w:sz w:val="28"/>
                <w:szCs w:val="28"/>
                <w:highlight w:val="none"/>
              </w:rPr>
            </w:pPr>
          </w:p>
        </w:tc>
        <w:tc>
          <w:tcPr>
            <w:tcW w:w="654" w:type="pct"/>
          </w:tcPr>
          <w:p w14:paraId="20FD1D1A">
            <w:pPr>
              <w:spacing w:line="460" w:lineRule="exact"/>
              <w:rPr>
                <w:rFonts w:ascii="仿宋_GB2312" w:hAnsi="宋体" w:eastAsia="仿宋_GB2312"/>
                <w:color w:val="auto"/>
                <w:sz w:val="28"/>
                <w:szCs w:val="28"/>
                <w:highlight w:val="none"/>
              </w:rPr>
            </w:pPr>
          </w:p>
        </w:tc>
        <w:tc>
          <w:tcPr>
            <w:tcW w:w="833" w:type="pct"/>
          </w:tcPr>
          <w:p w14:paraId="46907CB8">
            <w:pPr>
              <w:spacing w:line="460" w:lineRule="exact"/>
              <w:rPr>
                <w:rFonts w:ascii="仿宋_GB2312" w:hAnsi="宋体" w:eastAsia="仿宋_GB2312"/>
                <w:color w:val="auto"/>
                <w:sz w:val="28"/>
                <w:szCs w:val="28"/>
                <w:highlight w:val="none"/>
              </w:rPr>
            </w:pPr>
          </w:p>
        </w:tc>
        <w:tc>
          <w:tcPr>
            <w:tcW w:w="802" w:type="pct"/>
          </w:tcPr>
          <w:p w14:paraId="6C0E8A98">
            <w:pPr>
              <w:spacing w:line="460" w:lineRule="exact"/>
              <w:rPr>
                <w:rFonts w:ascii="仿宋_GB2312" w:hAnsi="宋体" w:eastAsia="仿宋_GB2312"/>
                <w:color w:val="auto"/>
                <w:sz w:val="28"/>
                <w:szCs w:val="28"/>
                <w:highlight w:val="none"/>
              </w:rPr>
            </w:pPr>
          </w:p>
        </w:tc>
      </w:tr>
      <w:tr w14:paraId="25784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17F88DAA">
            <w:pPr>
              <w:spacing w:line="460" w:lineRule="exact"/>
              <w:rPr>
                <w:rFonts w:ascii="仿宋_GB2312" w:hAnsi="宋体" w:eastAsia="仿宋_GB2312"/>
                <w:color w:val="auto"/>
                <w:sz w:val="28"/>
                <w:szCs w:val="28"/>
                <w:highlight w:val="none"/>
              </w:rPr>
            </w:pPr>
          </w:p>
        </w:tc>
        <w:tc>
          <w:tcPr>
            <w:tcW w:w="1009" w:type="pct"/>
          </w:tcPr>
          <w:p w14:paraId="2042F912">
            <w:pPr>
              <w:spacing w:line="460" w:lineRule="exact"/>
              <w:rPr>
                <w:rFonts w:ascii="仿宋_GB2312" w:hAnsi="宋体" w:eastAsia="仿宋_GB2312"/>
                <w:color w:val="auto"/>
                <w:sz w:val="28"/>
                <w:szCs w:val="28"/>
                <w:highlight w:val="none"/>
              </w:rPr>
            </w:pPr>
          </w:p>
        </w:tc>
        <w:tc>
          <w:tcPr>
            <w:tcW w:w="556" w:type="pct"/>
          </w:tcPr>
          <w:p w14:paraId="710B43FD">
            <w:pPr>
              <w:spacing w:line="460" w:lineRule="exact"/>
              <w:rPr>
                <w:rFonts w:ascii="仿宋_GB2312" w:hAnsi="宋体" w:eastAsia="仿宋_GB2312"/>
                <w:color w:val="auto"/>
                <w:sz w:val="28"/>
                <w:szCs w:val="28"/>
                <w:highlight w:val="none"/>
              </w:rPr>
            </w:pPr>
          </w:p>
        </w:tc>
        <w:tc>
          <w:tcPr>
            <w:tcW w:w="626" w:type="pct"/>
          </w:tcPr>
          <w:p w14:paraId="65420A0C">
            <w:pPr>
              <w:spacing w:line="460" w:lineRule="exact"/>
              <w:rPr>
                <w:rFonts w:ascii="仿宋_GB2312" w:hAnsi="宋体" w:eastAsia="仿宋_GB2312"/>
                <w:color w:val="auto"/>
                <w:sz w:val="28"/>
                <w:szCs w:val="28"/>
                <w:highlight w:val="none"/>
              </w:rPr>
            </w:pPr>
          </w:p>
        </w:tc>
        <w:tc>
          <w:tcPr>
            <w:tcW w:w="654" w:type="pct"/>
          </w:tcPr>
          <w:p w14:paraId="7980F666">
            <w:pPr>
              <w:spacing w:line="460" w:lineRule="exact"/>
              <w:rPr>
                <w:rFonts w:ascii="仿宋_GB2312" w:hAnsi="宋体" w:eastAsia="仿宋_GB2312"/>
                <w:color w:val="auto"/>
                <w:sz w:val="28"/>
                <w:szCs w:val="28"/>
                <w:highlight w:val="none"/>
              </w:rPr>
            </w:pPr>
          </w:p>
        </w:tc>
        <w:tc>
          <w:tcPr>
            <w:tcW w:w="833" w:type="pct"/>
          </w:tcPr>
          <w:p w14:paraId="2ACC6A26">
            <w:pPr>
              <w:spacing w:line="460" w:lineRule="exact"/>
              <w:rPr>
                <w:rFonts w:ascii="仿宋_GB2312" w:hAnsi="宋体" w:eastAsia="仿宋_GB2312"/>
                <w:color w:val="auto"/>
                <w:sz w:val="28"/>
                <w:szCs w:val="28"/>
                <w:highlight w:val="none"/>
              </w:rPr>
            </w:pPr>
          </w:p>
        </w:tc>
        <w:tc>
          <w:tcPr>
            <w:tcW w:w="802" w:type="pct"/>
          </w:tcPr>
          <w:p w14:paraId="1FCBCD3D">
            <w:pPr>
              <w:spacing w:line="460" w:lineRule="exact"/>
              <w:rPr>
                <w:rFonts w:ascii="仿宋_GB2312" w:hAnsi="宋体" w:eastAsia="仿宋_GB2312"/>
                <w:color w:val="auto"/>
                <w:sz w:val="28"/>
                <w:szCs w:val="28"/>
                <w:highlight w:val="none"/>
              </w:rPr>
            </w:pPr>
          </w:p>
        </w:tc>
      </w:tr>
      <w:tr w14:paraId="277ED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51F07D3E">
            <w:pPr>
              <w:spacing w:line="460" w:lineRule="exact"/>
              <w:rPr>
                <w:rFonts w:ascii="仿宋_GB2312" w:hAnsi="宋体" w:eastAsia="仿宋_GB2312"/>
                <w:color w:val="auto"/>
                <w:sz w:val="28"/>
                <w:szCs w:val="28"/>
                <w:highlight w:val="none"/>
              </w:rPr>
            </w:pPr>
          </w:p>
        </w:tc>
        <w:tc>
          <w:tcPr>
            <w:tcW w:w="1009" w:type="pct"/>
          </w:tcPr>
          <w:p w14:paraId="69FFB1FA">
            <w:pPr>
              <w:spacing w:line="460" w:lineRule="exact"/>
              <w:rPr>
                <w:rFonts w:ascii="仿宋_GB2312" w:hAnsi="宋体" w:eastAsia="仿宋_GB2312"/>
                <w:color w:val="auto"/>
                <w:sz w:val="28"/>
                <w:szCs w:val="28"/>
                <w:highlight w:val="none"/>
              </w:rPr>
            </w:pPr>
          </w:p>
        </w:tc>
        <w:tc>
          <w:tcPr>
            <w:tcW w:w="556" w:type="pct"/>
          </w:tcPr>
          <w:p w14:paraId="7D83ED92">
            <w:pPr>
              <w:spacing w:line="460" w:lineRule="exact"/>
              <w:rPr>
                <w:rFonts w:ascii="仿宋_GB2312" w:hAnsi="宋体" w:eastAsia="仿宋_GB2312"/>
                <w:color w:val="auto"/>
                <w:sz w:val="28"/>
                <w:szCs w:val="28"/>
                <w:highlight w:val="none"/>
              </w:rPr>
            </w:pPr>
          </w:p>
        </w:tc>
        <w:tc>
          <w:tcPr>
            <w:tcW w:w="626" w:type="pct"/>
          </w:tcPr>
          <w:p w14:paraId="60976976">
            <w:pPr>
              <w:spacing w:line="460" w:lineRule="exact"/>
              <w:rPr>
                <w:rFonts w:ascii="仿宋_GB2312" w:hAnsi="宋体" w:eastAsia="仿宋_GB2312"/>
                <w:color w:val="auto"/>
                <w:sz w:val="28"/>
                <w:szCs w:val="28"/>
                <w:highlight w:val="none"/>
              </w:rPr>
            </w:pPr>
          </w:p>
        </w:tc>
        <w:tc>
          <w:tcPr>
            <w:tcW w:w="654" w:type="pct"/>
          </w:tcPr>
          <w:p w14:paraId="0A56E4F0">
            <w:pPr>
              <w:spacing w:line="460" w:lineRule="exact"/>
              <w:rPr>
                <w:rFonts w:ascii="仿宋_GB2312" w:hAnsi="宋体" w:eastAsia="仿宋_GB2312"/>
                <w:color w:val="auto"/>
                <w:sz w:val="28"/>
                <w:szCs w:val="28"/>
                <w:highlight w:val="none"/>
              </w:rPr>
            </w:pPr>
          </w:p>
        </w:tc>
        <w:tc>
          <w:tcPr>
            <w:tcW w:w="833" w:type="pct"/>
          </w:tcPr>
          <w:p w14:paraId="4E481981">
            <w:pPr>
              <w:spacing w:line="460" w:lineRule="exact"/>
              <w:rPr>
                <w:rFonts w:ascii="仿宋_GB2312" w:hAnsi="宋体" w:eastAsia="仿宋_GB2312"/>
                <w:color w:val="auto"/>
                <w:sz w:val="28"/>
                <w:szCs w:val="28"/>
                <w:highlight w:val="none"/>
              </w:rPr>
            </w:pPr>
          </w:p>
        </w:tc>
        <w:tc>
          <w:tcPr>
            <w:tcW w:w="802" w:type="pct"/>
          </w:tcPr>
          <w:p w14:paraId="3DB1DF0B">
            <w:pPr>
              <w:spacing w:line="460" w:lineRule="exact"/>
              <w:rPr>
                <w:rFonts w:ascii="仿宋_GB2312" w:hAnsi="宋体" w:eastAsia="仿宋_GB2312"/>
                <w:color w:val="auto"/>
                <w:sz w:val="28"/>
                <w:szCs w:val="28"/>
                <w:highlight w:val="none"/>
              </w:rPr>
            </w:pPr>
          </w:p>
        </w:tc>
      </w:tr>
      <w:tr w14:paraId="66454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028806E2">
            <w:pPr>
              <w:spacing w:line="460" w:lineRule="exact"/>
              <w:rPr>
                <w:rFonts w:ascii="仿宋_GB2312" w:hAnsi="宋体" w:eastAsia="仿宋_GB2312"/>
                <w:color w:val="auto"/>
                <w:sz w:val="28"/>
                <w:szCs w:val="28"/>
                <w:highlight w:val="none"/>
              </w:rPr>
            </w:pPr>
          </w:p>
        </w:tc>
        <w:tc>
          <w:tcPr>
            <w:tcW w:w="1009" w:type="pct"/>
          </w:tcPr>
          <w:p w14:paraId="667D77D0">
            <w:pPr>
              <w:spacing w:line="460" w:lineRule="exact"/>
              <w:rPr>
                <w:rFonts w:ascii="仿宋_GB2312" w:hAnsi="宋体" w:eastAsia="仿宋_GB2312"/>
                <w:color w:val="auto"/>
                <w:sz w:val="28"/>
                <w:szCs w:val="28"/>
                <w:highlight w:val="none"/>
              </w:rPr>
            </w:pPr>
          </w:p>
        </w:tc>
        <w:tc>
          <w:tcPr>
            <w:tcW w:w="556" w:type="pct"/>
          </w:tcPr>
          <w:p w14:paraId="7A7DC724">
            <w:pPr>
              <w:spacing w:line="460" w:lineRule="exact"/>
              <w:rPr>
                <w:rFonts w:ascii="仿宋_GB2312" w:hAnsi="宋体" w:eastAsia="仿宋_GB2312"/>
                <w:color w:val="auto"/>
                <w:sz w:val="28"/>
                <w:szCs w:val="28"/>
                <w:highlight w:val="none"/>
              </w:rPr>
            </w:pPr>
          </w:p>
        </w:tc>
        <w:tc>
          <w:tcPr>
            <w:tcW w:w="626" w:type="pct"/>
          </w:tcPr>
          <w:p w14:paraId="11254D09">
            <w:pPr>
              <w:spacing w:line="460" w:lineRule="exact"/>
              <w:rPr>
                <w:rFonts w:ascii="仿宋_GB2312" w:hAnsi="宋体" w:eastAsia="仿宋_GB2312"/>
                <w:color w:val="auto"/>
                <w:sz w:val="28"/>
                <w:szCs w:val="28"/>
                <w:highlight w:val="none"/>
              </w:rPr>
            </w:pPr>
          </w:p>
        </w:tc>
        <w:tc>
          <w:tcPr>
            <w:tcW w:w="654" w:type="pct"/>
          </w:tcPr>
          <w:p w14:paraId="7C7C32A6">
            <w:pPr>
              <w:spacing w:line="460" w:lineRule="exact"/>
              <w:rPr>
                <w:rFonts w:ascii="仿宋_GB2312" w:hAnsi="宋体" w:eastAsia="仿宋_GB2312"/>
                <w:color w:val="auto"/>
                <w:sz w:val="28"/>
                <w:szCs w:val="28"/>
                <w:highlight w:val="none"/>
              </w:rPr>
            </w:pPr>
          </w:p>
        </w:tc>
        <w:tc>
          <w:tcPr>
            <w:tcW w:w="833" w:type="pct"/>
          </w:tcPr>
          <w:p w14:paraId="29F44CCE">
            <w:pPr>
              <w:spacing w:line="460" w:lineRule="exact"/>
              <w:rPr>
                <w:rFonts w:ascii="仿宋_GB2312" w:hAnsi="宋体" w:eastAsia="仿宋_GB2312"/>
                <w:color w:val="auto"/>
                <w:sz w:val="28"/>
                <w:szCs w:val="28"/>
                <w:highlight w:val="none"/>
              </w:rPr>
            </w:pPr>
          </w:p>
        </w:tc>
        <w:tc>
          <w:tcPr>
            <w:tcW w:w="802" w:type="pct"/>
          </w:tcPr>
          <w:p w14:paraId="059E9E06">
            <w:pPr>
              <w:spacing w:line="460" w:lineRule="exact"/>
              <w:rPr>
                <w:rFonts w:ascii="仿宋_GB2312" w:hAnsi="宋体" w:eastAsia="仿宋_GB2312"/>
                <w:color w:val="auto"/>
                <w:sz w:val="28"/>
                <w:szCs w:val="28"/>
                <w:highlight w:val="none"/>
              </w:rPr>
            </w:pPr>
          </w:p>
        </w:tc>
      </w:tr>
      <w:tr w14:paraId="644AA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7BD9A866">
            <w:pPr>
              <w:spacing w:line="460" w:lineRule="exact"/>
              <w:rPr>
                <w:rFonts w:ascii="仿宋_GB2312" w:hAnsi="宋体" w:eastAsia="仿宋_GB2312"/>
                <w:color w:val="auto"/>
                <w:sz w:val="28"/>
                <w:szCs w:val="28"/>
                <w:highlight w:val="none"/>
              </w:rPr>
            </w:pPr>
          </w:p>
        </w:tc>
        <w:tc>
          <w:tcPr>
            <w:tcW w:w="1009" w:type="pct"/>
          </w:tcPr>
          <w:p w14:paraId="1DA0F575">
            <w:pPr>
              <w:spacing w:line="460" w:lineRule="exact"/>
              <w:rPr>
                <w:rFonts w:ascii="仿宋_GB2312" w:hAnsi="宋体" w:eastAsia="仿宋_GB2312"/>
                <w:color w:val="auto"/>
                <w:sz w:val="28"/>
                <w:szCs w:val="28"/>
                <w:highlight w:val="none"/>
              </w:rPr>
            </w:pPr>
          </w:p>
        </w:tc>
        <w:tc>
          <w:tcPr>
            <w:tcW w:w="556" w:type="pct"/>
          </w:tcPr>
          <w:p w14:paraId="6C02E63F">
            <w:pPr>
              <w:spacing w:line="460" w:lineRule="exact"/>
              <w:rPr>
                <w:rFonts w:ascii="仿宋_GB2312" w:hAnsi="宋体" w:eastAsia="仿宋_GB2312"/>
                <w:color w:val="auto"/>
                <w:sz w:val="28"/>
                <w:szCs w:val="28"/>
                <w:highlight w:val="none"/>
              </w:rPr>
            </w:pPr>
          </w:p>
        </w:tc>
        <w:tc>
          <w:tcPr>
            <w:tcW w:w="626" w:type="pct"/>
          </w:tcPr>
          <w:p w14:paraId="63BCA559">
            <w:pPr>
              <w:spacing w:line="460" w:lineRule="exact"/>
              <w:rPr>
                <w:rFonts w:ascii="仿宋_GB2312" w:hAnsi="宋体" w:eastAsia="仿宋_GB2312"/>
                <w:color w:val="auto"/>
                <w:sz w:val="28"/>
                <w:szCs w:val="28"/>
                <w:highlight w:val="none"/>
              </w:rPr>
            </w:pPr>
          </w:p>
        </w:tc>
        <w:tc>
          <w:tcPr>
            <w:tcW w:w="654" w:type="pct"/>
          </w:tcPr>
          <w:p w14:paraId="771463BC">
            <w:pPr>
              <w:spacing w:line="460" w:lineRule="exact"/>
              <w:rPr>
                <w:rFonts w:ascii="仿宋_GB2312" w:hAnsi="宋体" w:eastAsia="仿宋_GB2312"/>
                <w:color w:val="auto"/>
                <w:sz w:val="28"/>
                <w:szCs w:val="28"/>
                <w:highlight w:val="none"/>
              </w:rPr>
            </w:pPr>
          </w:p>
        </w:tc>
        <w:tc>
          <w:tcPr>
            <w:tcW w:w="833" w:type="pct"/>
          </w:tcPr>
          <w:p w14:paraId="12C5B878">
            <w:pPr>
              <w:spacing w:line="460" w:lineRule="exact"/>
              <w:rPr>
                <w:rFonts w:ascii="仿宋_GB2312" w:hAnsi="宋体" w:eastAsia="仿宋_GB2312"/>
                <w:color w:val="auto"/>
                <w:sz w:val="28"/>
                <w:szCs w:val="28"/>
                <w:highlight w:val="none"/>
              </w:rPr>
            </w:pPr>
          </w:p>
        </w:tc>
        <w:tc>
          <w:tcPr>
            <w:tcW w:w="802" w:type="pct"/>
          </w:tcPr>
          <w:p w14:paraId="7B59A8D5">
            <w:pPr>
              <w:spacing w:line="460" w:lineRule="exact"/>
              <w:rPr>
                <w:rFonts w:ascii="仿宋_GB2312" w:hAnsi="宋体" w:eastAsia="仿宋_GB2312"/>
                <w:color w:val="auto"/>
                <w:sz w:val="28"/>
                <w:szCs w:val="28"/>
                <w:highlight w:val="none"/>
              </w:rPr>
            </w:pPr>
          </w:p>
        </w:tc>
      </w:tr>
      <w:tr w14:paraId="0782A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2E7F2307">
            <w:pPr>
              <w:spacing w:line="460" w:lineRule="exact"/>
              <w:rPr>
                <w:rFonts w:ascii="仿宋_GB2312" w:hAnsi="宋体" w:eastAsia="仿宋_GB2312"/>
                <w:color w:val="auto"/>
                <w:sz w:val="28"/>
                <w:szCs w:val="28"/>
                <w:highlight w:val="none"/>
              </w:rPr>
            </w:pPr>
          </w:p>
        </w:tc>
        <w:tc>
          <w:tcPr>
            <w:tcW w:w="1009" w:type="pct"/>
          </w:tcPr>
          <w:p w14:paraId="172C41C3">
            <w:pPr>
              <w:spacing w:line="460" w:lineRule="exact"/>
              <w:rPr>
                <w:rFonts w:ascii="仿宋_GB2312" w:hAnsi="宋体" w:eastAsia="仿宋_GB2312"/>
                <w:color w:val="auto"/>
                <w:sz w:val="28"/>
                <w:szCs w:val="28"/>
                <w:highlight w:val="none"/>
              </w:rPr>
            </w:pPr>
          </w:p>
        </w:tc>
        <w:tc>
          <w:tcPr>
            <w:tcW w:w="556" w:type="pct"/>
          </w:tcPr>
          <w:p w14:paraId="27F574BB">
            <w:pPr>
              <w:spacing w:line="460" w:lineRule="exact"/>
              <w:rPr>
                <w:rFonts w:ascii="仿宋_GB2312" w:hAnsi="宋体" w:eastAsia="仿宋_GB2312"/>
                <w:color w:val="auto"/>
                <w:sz w:val="28"/>
                <w:szCs w:val="28"/>
                <w:highlight w:val="none"/>
              </w:rPr>
            </w:pPr>
          </w:p>
        </w:tc>
        <w:tc>
          <w:tcPr>
            <w:tcW w:w="626" w:type="pct"/>
          </w:tcPr>
          <w:p w14:paraId="3DFBB956">
            <w:pPr>
              <w:spacing w:line="460" w:lineRule="exact"/>
              <w:rPr>
                <w:rFonts w:ascii="仿宋_GB2312" w:hAnsi="宋体" w:eastAsia="仿宋_GB2312"/>
                <w:color w:val="auto"/>
                <w:sz w:val="28"/>
                <w:szCs w:val="28"/>
                <w:highlight w:val="none"/>
              </w:rPr>
            </w:pPr>
          </w:p>
        </w:tc>
        <w:tc>
          <w:tcPr>
            <w:tcW w:w="654" w:type="pct"/>
          </w:tcPr>
          <w:p w14:paraId="118C1203">
            <w:pPr>
              <w:spacing w:line="460" w:lineRule="exact"/>
              <w:rPr>
                <w:rFonts w:ascii="仿宋_GB2312" w:hAnsi="宋体" w:eastAsia="仿宋_GB2312"/>
                <w:color w:val="auto"/>
                <w:sz w:val="28"/>
                <w:szCs w:val="28"/>
                <w:highlight w:val="none"/>
              </w:rPr>
            </w:pPr>
          </w:p>
        </w:tc>
        <w:tc>
          <w:tcPr>
            <w:tcW w:w="833" w:type="pct"/>
          </w:tcPr>
          <w:p w14:paraId="491CECB3">
            <w:pPr>
              <w:spacing w:line="460" w:lineRule="exact"/>
              <w:rPr>
                <w:rFonts w:ascii="仿宋_GB2312" w:hAnsi="宋体" w:eastAsia="仿宋_GB2312"/>
                <w:color w:val="auto"/>
                <w:sz w:val="28"/>
                <w:szCs w:val="28"/>
                <w:highlight w:val="none"/>
              </w:rPr>
            </w:pPr>
          </w:p>
        </w:tc>
        <w:tc>
          <w:tcPr>
            <w:tcW w:w="802" w:type="pct"/>
          </w:tcPr>
          <w:p w14:paraId="0E764020">
            <w:pPr>
              <w:spacing w:line="460" w:lineRule="exact"/>
              <w:rPr>
                <w:rFonts w:ascii="仿宋_GB2312" w:hAnsi="宋体" w:eastAsia="仿宋_GB2312"/>
                <w:color w:val="auto"/>
                <w:sz w:val="28"/>
                <w:szCs w:val="28"/>
                <w:highlight w:val="none"/>
              </w:rPr>
            </w:pPr>
          </w:p>
        </w:tc>
      </w:tr>
      <w:tr w14:paraId="0C2F1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4F0B4EFD">
            <w:pPr>
              <w:spacing w:line="460" w:lineRule="exact"/>
              <w:rPr>
                <w:rFonts w:ascii="仿宋_GB2312" w:hAnsi="宋体" w:eastAsia="仿宋_GB2312"/>
                <w:color w:val="auto"/>
                <w:sz w:val="28"/>
                <w:szCs w:val="28"/>
                <w:highlight w:val="none"/>
              </w:rPr>
            </w:pPr>
          </w:p>
        </w:tc>
        <w:tc>
          <w:tcPr>
            <w:tcW w:w="1009" w:type="pct"/>
          </w:tcPr>
          <w:p w14:paraId="516D2BCC">
            <w:pPr>
              <w:spacing w:line="460" w:lineRule="exact"/>
              <w:rPr>
                <w:rFonts w:ascii="仿宋_GB2312" w:hAnsi="宋体" w:eastAsia="仿宋_GB2312"/>
                <w:color w:val="auto"/>
                <w:sz w:val="28"/>
                <w:szCs w:val="28"/>
                <w:highlight w:val="none"/>
              </w:rPr>
            </w:pPr>
          </w:p>
        </w:tc>
        <w:tc>
          <w:tcPr>
            <w:tcW w:w="556" w:type="pct"/>
          </w:tcPr>
          <w:p w14:paraId="01FF0F4E">
            <w:pPr>
              <w:spacing w:line="460" w:lineRule="exact"/>
              <w:rPr>
                <w:rFonts w:ascii="仿宋_GB2312" w:hAnsi="宋体" w:eastAsia="仿宋_GB2312"/>
                <w:color w:val="auto"/>
                <w:sz w:val="28"/>
                <w:szCs w:val="28"/>
                <w:highlight w:val="none"/>
              </w:rPr>
            </w:pPr>
          </w:p>
        </w:tc>
        <w:tc>
          <w:tcPr>
            <w:tcW w:w="626" w:type="pct"/>
          </w:tcPr>
          <w:p w14:paraId="049ACC03">
            <w:pPr>
              <w:spacing w:line="460" w:lineRule="exact"/>
              <w:rPr>
                <w:rFonts w:ascii="仿宋_GB2312" w:hAnsi="宋体" w:eastAsia="仿宋_GB2312"/>
                <w:color w:val="auto"/>
                <w:sz w:val="28"/>
                <w:szCs w:val="28"/>
                <w:highlight w:val="none"/>
              </w:rPr>
            </w:pPr>
          </w:p>
        </w:tc>
        <w:tc>
          <w:tcPr>
            <w:tcW w:w="654" w:type="pct"/>
          </w:tcPr>
          <w:p w14:paraId="6CC9F87C">
            <w:pPr>
              <w:spacing w:line="460" w:lineRule="exact"/>
              <w:rPr>
                <w:rFonts w:ascii="仿宋_GB2312" w:hAnsi="宋体" w:eastAsia="仿宋_GB2312"/>
                <w:color w:val="auto"/>
                <w:sz w:val="28"/>
                <w:szCs w:val="28"/>
                <w:highlight w:val="none"/>
              </w:rPr>
            </w:pPr>
          </w:p>
        </w:tc>
        <w:tc>
          <w:tcPr>
            <w:tcW w:w="833" w:type="pct"/>
          </w:tcPr>
          <w:p w14:paraId="7B36B50E">
            <w:pPr>
              <w:spacing w:line="460" w:lineRule="exact"/>
              <w:rPr>
                <w:rFonts w:ascii="仿宋_GB2312" w:hAnsi="宋体" w:eastAsia="仿宋_GB2312"/>
                <w:color w:val="auto"/>
                <w:sz w:val="28"/>
                <w:szCs w:val="28"/>
                <w:highlight w:val="none"/>
              </w:rPr>
            </w:pPr>
          </w:p>
        </w:tc>
        <w:tc>
          <w:tcPr>
            <w:tcW w:w="802" w:type="pct"/>
          </w:tcPr>
          <w:p w14:paraId="51594927">
            <w:pPr>
              <w:spacing w:line="460" w:lineRule="exact"/>
              <w:rPr>
                <w:rFonts w:ascii="仿宋_GB2312" w:hAnsi="宋体" w:eastAsia="仿宋_GB2312"/>
                <w:color w:val="auto"/>
                <w:sz w:val="28"/>
                <w:szCs w:val="28"/>
                <w:highlight w:val="none"/>
              </w:rPr>
            </w:pPr>
          </w:p>
        </w:tc>
      </w:tr>
      <w:tr w14:paraId="22B62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209F138A">
            <w:pPr>
              <w:spacing w:line="460" w:lineRule="exact"/>
              <w:rPr>
                <w:rFonts w:ascii="仿宋_GB2312" w:hAnsi="宋体" w:eastAsia="仿宋_GB2312"/>
                <w:color w:val="auto"/>
                <w:sz w:val="28"/>
                <w:szCs w:val="28"/>
                <w:highlight w:val="none"/>
              </w:rPr>
            </w:pPr>
          </w:p>
        </w:tc>
        <w:tc>
          <w:tcPr>
            <w:tcW w:w="1009" w:type="pct"/>
          </w:tcPr>
          <w:p w14:paraId="5B8D5290">
            <w:pPr>
              <w:spacing w:line="460" w:lineRule="exact"/>
              <w:rPr>
                <w:rFonts w:ascii="仿宋_GB2312" w:hAnsi="宋体" w:eastAsia="仿宋_GB2312"/>
                <w:color w:val="auto"/>
                <w:sz w:val="28"/>
                <w:szCs w:val="28"/>
                <w:highlight w:val="none"/>
              </w:rPr>
            </w:pPr>
          </w:p>
        </w:tc>
        <w:tc>
          <w:tcPr>
            <w:tcW w:w="556" w:type="pct"/>
          </w:tcPr>
          <w:p w14:paraId="3016C05A">
            <w:pPr>
              <w:spacing w:line="460" w:lineRule="exact"/>
              <w:rPr>
                <w:rFonts w:ascii="仿宋_GB2312" w:hAnsi="宋体" w:eastAsia="仿宋_GB2312"/>
                <w:color w:val="auto"/>
                <w:sz w:val="28"/>
                <w:szCs w:val="28"/>
                <w:highlight w:val="none"/>
              </w:rPr>
            </w:pPr>
          </w:p>
        </w:tc>
        <w:tc>
          <w:tcPr>
            <w:tcW w:w="626" w:type="pct"/>
          </w:tcPr>
          <w:p w14:paraId="03FBFDBF">
            <w:pPr>
              <w:spacing w:line="460" w:lineRule="exact"/>
              <w:rPr>
                <w:rFonts w:ascii="仿宋_GB2312" w:hAnsi="宋体" w:eastAsia="仿宋_GB2312"/>
                <w:color w:val="auto"/>
                <w:sz w:val="28"/>
                <w:szCs w:val="28"/>
                <w:highlight w:val="none"/>
              </w:rPr>
            </w:pPr>
          </w:p>
        </w:tc>
        <w:tc>
          <w:tcPr>
            <w:tcW w:w="654" w:type="pct"/>
          </w:tcPr>
          <w:p w14:paraId="50CD89F5">
            <w:pPr>
              <w:spacing w:line="460" w:lineRule="exact"/>
              <w:rPr>
                <w:rFonts w:ascii="仿宋_GB2312" w:hAnsi="宋体" w:eastAsia="仿宋_GB2312"/>
                <w:color w:val="auto"/>
                <w:sz w:val="28"/>
                <w:szCs w:val="28"/>
                <w:highlight w:val="none"/>
              </w:rPr>
            </w:pPr>
          </w:p>
        </w:tc>
        <w:tc>
          <w:tcPr>
            <w:tcW w:w="833" w:type="pct"/>
          </w:tcPr>
          <w:p w14:paraId="62AAF1AB">
            <w:pPr>
              <w:spacing w:line="460" w:lineRule="exact"/>
              <w:rPr>
                <w:rFonts w:ascii="仿宋_GB2312" w:hAnsi="宋体" w:eastAsia="仿宋_GB2312"/>
                <w:color w:val="auto"/>
                <w:sz w:val="28"/>
                <w:szCs w:val="28"/>
                <w:highlight w:val="none"/>
              </w:rPr>
            </w:pPr>
          </w:p>
        </w:tc>
        <w:tc>
          <w:tcPr>
            <w:tcW w:w="802" w:type="pct"/>
          </w:tcPr>
          <w:p w14:paraId="729171D2">
            <w:pPr>
              <w:spacing w:line="460" w:lineRule="exact"/>
              <w:rPr>
                <w:rFonts w:ascii="仿宋_GB2312" w:hAnsi="宋体" w:eastAsia="仿宋_GB2312"/>
                <w:color w:val="auto"/>
                <w:sz w:val="28"/>
                <w:szCs w:val="28"/>
                <w:highlight w:val="none"/>
              </w:rPr>
            </w:pPr>
          </w:p>
        </w:tc>
      </w:tr>
      <w:tr w14:paraId="5F01D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521" w:type="pct"/>
          </w:tcPr>
          <w:p w14:paraId="47D72683">
            <w:pPr>
              <w:spacing w:line="460" w:lineRule="exact"/>
              <w:rPr>
                <w:rFonts w:ascii="仿宋_GB2312" w:hAnsi="宋体" w:eastAsia="仿宋_GB2312"/>
                <w:color w:val="auto"/>
                <w:sz w:val="28"/>
                <w:szCs w:val="28"/>
                <w:highlight w:val="none"/>
              </w:rPr>
            </w:pPr>
          </w:p>
        </w:tc>
        <w:tc>
          <w:tcPr>
            <w:tcW w:w="1009" w:type="pct"/>
          </w:tcPr>
          <w:p w14:paraId="25FD022A">
            <w:pPr>
              <w:spacing w:line="460" w:lineRule="exact"/>
              <w:rPr>
                <w:rFonts w:ascii="仿宋_GB2312" w:hAnsi="宋体" w:eastAsia="仿宋_GB2312"/>
                <w:color w:val="auto"/>
                <w:sz w:val="28"/>
                <w:szCs w:val="28"/>
                <w:highlight w:val="none"/>
              </w:rPr>
            </w:pPr>
          </w:p>
        </w:tc>
        <w:tc>
          <w:tcPr>
            <w:tcW w:w="556" w:type="pct"/>
          </w:tcPr>
          <w:p w14:paraId="355845E0">
            <w:pPr>
              <w:spacing w:line="460" w:lineRule="exact"/>
              <w:rPr>
                <w:rFonts w:ascii="仿宋_GB2312" w:hAnsi="宋体" w:eastAsia="仿宋_GB2312"/>
                <w:color w:val="auto"/>
                <w:sz w:val="28"/>
                <w:szCs w:val="28"/>
                <w:highlight w:val="none"/>
              </w:rPr>
            </w:pPr>
          </w:p>
        </w:tc>
        <w:tc>
          <w:tcPr>
            <w:tcW w:w="626" w:type="pct"/>
          </w:tcPr>
          <w:p w14:paraId="33A5C326">
            <w:pPr>
              <w:spacing w:line="460" w:lineRule="exact"/>
              <w:rPr>
                <w:rFonts w:ascii="仿宋_GB2312" w:hAnsi="宋体" w:eastAsia="仿宋_GB2312"/>
                <w:color w:val="auto"/>
                <w:sz w:val="28"/>
                <w:szCs w:val="28"/>
                <w:highlight w:val="none"/>
              </w:rPr>
            </w:pPr>
          </w:p>
        </w:tc>
        <w:tc>
          <w:tcPr>
            <w:tcW w:w="654" w:type="pct"/>
          </w:tcPr>
          <w:p w14:paraId="775BAA31">
            <w:pPr>
              <w:spacing w:line="460" w:lineRule="exact"/>
              <w:rPr>
                <w:rFonts w:ascii="仿宋_GB2312" w:hAnsi="宋体" w:eastAsia="仿宋_GB2312"/>
                <w:color w:val="auto"/>
                <w:sz w:val="28"/>
                <w:szCs w:val="28"/>
                <w:highlight w:val="none"/>
              </w:rPr>
            </w:pPr>
          </w:p>
        </w:tc>
        <w:tc>
          <w:tcPr>
            <w:tcW w:w="833" w:type="pct"/>
          </w:tcPr>
          <w:p w14:paraId="6ACDBF0E">
            <w:pPr>
              <w:spacing w:line="460" w:lineRule="exact"/>
              <w:rPr>
                <w:rFonts w:ascii="仿宋_GB2312" w:hAnsi="宋体" w:eastAsia="仿宋_GB2312"/>
                <w:color w:val="auto"/>
                <w:sz w:val="28"/>
                <w:szCs w:val="28"/>
                <w:highlight w:val="none"/>
              </w:rPr>
            </w:pPr>
          </w:p>
        </w:tc>
        <w:tc>
          <w:tcPr>
            <w:tcW w:w="802" w:type="pct"/>
          </w:tcPr>
          <w:p w14:paraId="3AE9E1E7">
            <w:pPr>
              <w:spacing w:line="460" w:lineRule="exact"/>
              <w:rPr>
                <w:rFonts w:ascii="仿宋_GB2312" w:hAnsi="宋体" w:eastAsia="仿宋_GB2312"/>
                <w:color w:val="auto"/>
                <w:sz w:val="28"/>
                <w:szCs w:val="28"/>
                <w:highlight w:val="none"/>
              </w:rPr>
            </w:pPr>
          </w:p>
        </w:tc>
      </w:tr>
    </w:tbl>
    <w:p w14:paraId="7824A0A6">
      <w:pPr>
        <w:spacing w:line="360" w:lineRule="exact"/>
        <w:ind w:firstLine="480" w:firstLineChars="200"/>
        <w:jc w:val="left"/>
        <w:rPr>
          <w:rFonts w:ascii="仿宋" w:hAnsi="仿宋" w:eastAsia="仿宋" w:cs="仿宋"/>
          <w:color w:val="auto"/>
          <w:sz w:val="24"/>
          <w:highlight w:val="none"/>
        </w:rPr>
      </w:pPr>
      <w:r>
        <w:rPr>
          <w:rFonts w:hint="eastAsia" w:ascii="仿宋" w:hAnsi="仿宋" w:eastAsia="仿宋" w:cs="仿宋"/>
          <w:color w:val="auto"/>
          <w:sz w:val="24"/>
          <w:highlight w:val="none"/>
        </w:rPr>
        <w:t>注：1、本表可自行扩展。</w:t>
      </w:r>
    </w:p>
    <w:p w14:paraId="39D7F9DF">
      <w:pPr>
        <w:spacing w:line="360" w:lineRule="exact"/>
        <w:ind w:firstLine="480" w:firstLineChars="200"/>
        <w:jc w:val="left"/>
        <w:rPr>
          <w:rFonts w:ascii="仿宋" w:hAnsi="仿宋" w:eastAsia="仿宋" w:cs="仿宋"/>
          <w:color w:val="auto"/>
          <w:sz w:val="24"/>
          <w:highlight w:val="none"/>
        </w:rPr>
      </w:pPr>
    </w:p>
    <w:p w14:paraId="59971B28">
      <w:pPr>
        <w:spacing w:line="360" w:lineRule="exact"/>
        <w:ind w:firstLine="480" w:firstLineChars="200"/>
        <w:jc w:val="left"/>
        <w:rPr>
          <w:rFonts w:ascii="仿宋" w:hAnsi="仿宋" w:eastAsia="仿宋" w:cs="仿宋"/>
          <w:color w:val="auto"/>
          <w:sz w:val="24"/>
          <w:highlight w:val="none"/>
        </w:rPr>
      </w:pPr>
    </w:p>
    <w:p w14:paraId="78148BFE">
      <w:pPr>
        <w:snapToGrid w:val="0"/>
        <w:spacing w:line="360" w:lineRule="auto"/>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投标人（盖电子公章）：</w:t>
      </w:r>
    </w:p>
    <w:p w14:paraId="7E272ADA">
      <w:pPr>
        <w:spacing w:line="360" w:lineRule="exact"/>
        <w:ind w:firstLine="480" w:firstLineChars="200"/>
        <w:jc w:val="left"/>
        <w:rPr>
          <w:rFonts w:ascii="仿宋" w:hAnsi="仿宋" w:eastAsia="仿宋" w:cs="仿宋"/>
          <w:color w:val="auto"/>
          <w:sz w:val="24"/>
          <w:highlight w:val="none"/>
        </w:rPr>
      </w:pPr>
    </w:p>
    <w:p w14:paraId="2428A41C">
      <w:pPr>
        <w:pStyle w:val="26"/>
        <w:spacing w:line="520" w:lineRule="exact"/>
        <w:ind w:firstLine="280" w:firstLineChars="1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日期：</w:t>
      </w:r>
    </w:p>
    <w:p w14:paraId="2D61FF86">
      <w:pPr>
        <w:pStyle w:val="26"/>
        <w:tabs>
          <w:tab w:val="left" w:pos="2790"/>
          <w:tab w:val="center" w:pos="4153"/>
        </w:tabs>
        <w:spacing w:line="520" w:lineRule="exact"/>
        <w:jc w:val="left"/>
        <w:rPr>
          <w:rFonts w:ascii="仿宋" w:hAnsi="仿宋" w:eastAsia="仿宋" w:cs="仿宋"/>
          <w:b/>
          <w:color w:val="auto"/>
          <w:sz w:val="28"/>
          <w:szCs w:val="28"/>
          <w:highlight w:val="none"/>
        </w:rPr>
      </w:pPr>
    </w:p>
    <w:p w14:paraId="26252D9B">
      <w:pPr>
        <w:widowControl/>
        <w:jc w:val="center"/>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投标偏离表</w:t>
      </w:r>
    </w:p>
    <w:p w14:paraId="3338E0B1">
      <w:pPr>
        <w:spacing w:line="360" w:lineRule="exact"/>
        <w:jc w:val="center"/>
        <w:rPr>
          <w:rFonts w:ascii="仿宋" w:hAnsi="仿宋" w:eastAsia="仿宋" w:cs="仿宋"/>
          <w:b/>
          <w:bCs/>
          <w:color w:val="auto"/>
          <w:sz w:val="28"/>
          <w:szCs w:val="28"/>
          <w:highlight w:val="none"/>
        </w:rPr>
      </w:pPr>
    </w:p>
    <w:p w14:paraId="613103AA">
      <w:pPr>
        <w:spacing w:line="360" w:lineRule="exact"/>
        <w:jc w:val="center"/>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（包括技术规格、参数和商务条款偏离）</w:t>
      </w:r>
    </w:p>
    <w:p w14:paraId="3DAC389C">
      <w:pPr>
        <w:spacing w:line="360" w:lineRule="exact"/>
        <w:jc w:val="center"/>
        <w:rPr>
          <w:rFonts w:ascii="仿宋" w:hAnsi="仿宋" w:eastAsia="仿宋" w:cs="仿宋"/>
          <w:bCs/>
          <w:color w:val="auto"/>
          <w:sz w:val="28"/>
          <w:szCs w:val="28"/>
          <w:highlight w:val="none"/>
        </w:rPr>
      </w:pPr>
    </w:p>
    <w:tbl>
      <w:tblPr>
        <w:tblStyle w:val="49"/>
        <w:tblW w:w="9444"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36"/>
        <w:gridCol w:w="2203"/>
        <w:gridCol w:w="1134"/>
        <w:gridCol w:w="2551"/>
        <w:gridCol w:w="1652"/>
      </w:tblGrid>
      <w:tr w14:paraId="3E6B8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668" w:type="dxa"/>
            <w:vMerge w:val="restart"/>
          </w:tcPr>
          <w:p w14:paraId="4E67D611">
            <w:pPr>
              <w:pStyle w:val="26"/>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3439" w:type="dxa"/>
            <w:gridSpan w:val="2"/>
          </w:tcPr>
          <w:p w14:paraId="459435BD">
            <w:pPr>
              <w:pStyle w:val="26"/>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招标文件条款</w:t>
            </w:r>
          </w:p>
        </w:tc>
        <w:tc>
          <w:tcPr>
            <w:tcW w:w="3685" w:type="dxa"/>
            <w:gridSpan w:val="2"/>
          </w:tcPr>
          <w:p w14:paraId="7F2727A0">
            <w:pPr>
              <w:pStyle w:val="26"/>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投标文件条款</w:t>
            </w:r>
          </w:p>
        </w:tc>
        <w:tc>
          <w:tcPr>
            <w:tcW w:w="1652" w:type="dxa"/>
            <w:vMerge w:val="restart"/>
            <w:vAlign w:val="center"/>
          </w:tcPr>
          <w:p w14:paraId="3094C950">
            <w:pPr>
              <w:pStyle w:val="26"/>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偏离情况</w:t>
            </w:r>
          </w:p>
        </w:tc>
      </w:tr>
      <w:tr w14:paraId="6F331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668" w:type="dxa"/>
            <w:vMerge w:val="continue"/>
          </w:tcPr>
          <w:p w14:paraId="1B128B50">
            <w:pPr>
              <w:pStyle w:val="26"/>
              <w:spacing w:line="400" w:lineRule="exact"/>
              <w:rPr>
                <w:rFonts w:ascii="仿宋" w:hAnsi="仿宋" w:eastAsia="仿宋" w:cs="仿宋"/>
                <w:color w:val="auto"/>
                <w:sz w:val="28"/>
                <w:szCs w:val="28"/>
                <w:highlight w:val="none"/>
              </w:rPr>
            </w:pPr>
          </w:p>
        </w:tc>
        <w:tc>
          <w:tcPr>
            <w:tcW w:w="1236" w:type="dxa"/>
          </w:tcPr>
          <w:p w14:paraId="3F27445E">
            <w:pPr>
              <w:pStyle w:val="26"/>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203" w:type="dxa"/>
          </w:tcPr>
          <w:p w14:paraId="7D9FF3DA">
            <w:pPr>
              <w:pStyle w:val="26"/>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文件的内容</w:t>
            </w:r>
          </w:p>
        </w:tc>
        <w:tc>
          <w:tcPr>
            <w:tcW w:w="1134" w:type="dxa"/>
          </w:tcPr>
          <w:p w14:paraId="55C8C7ED">
            <w:pPr>
              <w:pStyle w:val="26"/>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条款号</w:t>
            </w:r>
          </w:p>
        </w:tc>
        <w:tc>
          <w:tcPr>
            <w:tcW w:w="2551" w:type="dxa"/>
          </w:tcPr>
          <w:p w14:paraId="61E05450">
            <w:pPr>
              <w:pStyle w:val="26"/>
              <w:spacing w:line="40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投标文件偏离内容</w:t>
            </w:r>
          </w:p>
        </w:tc>
        <w:tc>
          <w:tcPr>
            <w:tcW w:w="1652" w:type="dxa"/>
            <w:vMerge w:val="continue"/>
          </w:tcPr>
          <w:p w14:paraId="51912329">
            <w:pPr>
              <w:pStyle w:val="26"/>
              <w:spacing w:line="400" w:lineRule="exact"/>
              <w:jc w:val="center"/>
              <w:rPr>
                <w:rFonts w:ascii="仿宋" w:hAnsi="仿宋" w:eastAsia="仿宋" w:cs="仿宋"/>
                <w:color w:val="auto"/>
                <w:sz w:val="28"/>
                <w:szCs w:val="28"/>
                <w:highlight w:val="none"/>
              </w:rPr>
            </w:pPr>
          </w:p>
        </w:tc>
      </w:tr>
      <w:tr w14:paraId="426C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321EA2B9">
            <w:pPr>
              <w:pStyle w:val="26"/>
              <w:spacing w:line="400" w:lineRule="exact"/>
              <w:rPr>
                <w:rFonts w:ascii="仿宋" w:hAnsi="仿宋" w:eastAsia="仿宋" w:cs="仿宋"/>
                <w:color w:val="auto"/>
                <w:sz w:val="28"/>
                <w:szCs w:val="28"/>
                <w:highlight w:val="none"/>
              </w:rPr>
            </w:pPr>
          </w:p>
        </w:tc>
        <w:tc>
          <w:tcPr>
            <w:tcW w:w="1236" w:type="dxa"/>
          </w:tcPr>
          <w:p w14:paraId="6BEAA3CF">
            <w:pPr>
              <w:pStyle w:val="26"/>
              <w:spacing w:line="400" w:lineRule="exact"/>
              <w:rPr>
                <w:rFonts w:ascii="仿宋" w:hAnsi="仿宋" w:eastAsia="仿宋" w:cs="仿宋"/>
                <w:color w:val="auto"/>
                <w:sz w:val="28"/>
                <w:szCs w:val="28"/>
                <w:highlight w:val="none"/>
              </w:rPr>
            </w:pPr>
          </w:p>
        </w:tc>
        <w:tc>
          <w:tcPr>
            <w:tcW w:w="2203" w:type="dxa"/>
          </w:tcPr>
          <w:p w14:paraId="653C800C">
            <w:pPr>
              <w:pStyle w:val="26"/>
              <w:spacing w:line="400" w:lineRule="exact"/>
              <w:rPr>
                <w:rFonts w:ascii="仿宋" w:hAnsi="仿宋" w:eastAsia="仿宋" w:cs="仿宋"/>
                <w:color w:val="auto"/>
                <w:sz w:val="28"/>
                <w:szCs w:val="28"/>
                <w:highlight w:val="none"/>
              </w:rPr>
            </w:pPr>
          </w:p>
        </w:tc>
        <w:tc>
          <w:tcPr>
            <w:tcW w:w="1134" w:type="dxa"/>
          </w:tcPr>
          <w:p w14:paraId="6D0BA790">
            <w:pPr>
              <w:pStyle w:val="26"/>
              <w:spacing w:line="400" w:lineRule="exact"/>
              <w:rPr>
                <w:rFonts w:ascii="仿宋" w:hAnsi="仿宋" w:eastAsia="仿宋" w:cs="仿宋"/>
                <w:color w:val="auto"/>
                <w:sz w:val="28"/>
                <w:szCs w:val="28"/>
                <w:highlight w:val="none"/>
              </w:rPr>
            </w:pPr>
          </w:p>
        </w:tc>
        <w:tc>
          <w:tcPr>
            <w:tcW w:w="2551" w:type="dxa"/>
          </w:tcPr>
          <w:p w14:paraId="06A1F30C">
            <w:pPr>
              <w:pStyle w:val="26"/>
              <w:spacing w:line="400" w:lineRule="exact"/>
              <w:rPr>
                <w:rFonts w:ascii="仿宋" w:hAnsi="仿宋" w:eastAsia="仿宋" w:cs="仿宋"/>
                <w:color w:val="auto"/>
                <w:sz w:val="28"/>
                <w:szCs w:val="28"/>
                <w:highlight w:val="none"/>
              </w:rPr>
            </w:pPr>
          </w:p>
        </w:tc>
        <w:tc>
          <w:tcPr>
            <w:tcW w:w="1652" w:type="dxa"/>
          </w:tcPr>
          <w:p w14:paraId="58269B23">
            <w:pPr>
              <w:pStyle w:val="26"/>
              <w:spacing w:line="400" w:lineRule="exact"/>
              <w:rPr>
                <w:rFonts w:ascii="仿宋" w:hAnsi="仿宋" w:eastAsia="仿宋" w:cs="仿宋"/>
                <w:color w:val="auto"/>
                <w:sz w:val="28"/>
                <w:szCs w:val="28"/>
                <w:highlight w:val="none"/>
              </w:rPr>
            </w:pPr>
          </w:p>
        </w:tc>
      </w:tr>
      <w:tr w14:paraId="6C57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7A5DBDDF">
            <w:pPr>
              <w:pStyle w:val="26"/>
              <w:spacing w:line="400" w:lineRule="exact"/>
              <w:rPr>
                <w:rFonts w:ascii="仿宋" w:hAnsi="仿宋" w:eastAsia="仿宋" w:cs="仿宋"/>
                <w:color w:val="auto"/>
                <w:sz w:val="28"/>
                <w:szCs w:val="28"/>
                <w:highlight w:val="none"/>
              </w:rPr>
            </w:pPr>
          </w:p>
        </w:tc>
        <w:tc>
          <w:tcPr>
            <w:tcW w:w="1236" w:type="dxa"/>
          </w:tcPr>
          <w:p w14:paraId="5C9701FE">
            <w:pPr>
              <w:pStyle w:val="26"/>
              <w:spacing w:line="400" w:lineRule="exact"/>
              <w:rPr>
                <w:rFonts w:ascii="仿宋" w:hAnsi="仿宋" w:eastAsia="仿宋" w:cs="仿宋"/>
                <w:color w:val="auto"/>
                <w:sz w:val="28"/>
                <w:szCs w:val="28"/>
                <w:highlight w:val="none"/>
              </w:rPr>
            </w:pPr>
          </w:p>
        </w:tc>
        <w:tc>
          <w:tcPr>
            <w:tcW w:w="2203" w:type="dxa"/>
          </w:tcPr>
          <w:p w14:paraId="4BBC59DD">
            <w:pPr>
              <w:pStyle w:val="26"/>
              <w:spacing w:line="400" w:lineRule="exact"/>
              <w:rPr>
                <w:rFonts w:ascii="仿宋" w:hAnsi="仿宋" w:eastAsia="仿宋" w:cs="仿宋"/>
                <w:color w:val="auto"/>
                <w:sz w:val="28"/>
                <w:szCs w:val="28"/>
                <w:highlight w:val="none"/>
              </w:rPr>
            </w:pPr>
          </w:p>
        </w:tc>
        <w:tc>
          <w:tcPr>
            <w:tcW w:w="1134" w:type="dxa"/>
          </w:tcPr>
          <w:p w14:paraId="2DB2CAA6">
            <w:pPr>
              <w:pStyle w:val="26"/>
              <w:spacing w:line="400" w:lineRule="exact"/>
              <w:rPr>
                <w:rFonts w:ascii="仿宋" w:hAnsi="仿宋" w:eastAsia="仿宋" w:cs="仿宋"/>
                <w:color w:val="auto"/>
                <w:sz w:val="28"/>
                <w:szCs w:val="28"/>
                <w:highlight w:val="none"/>
              </w:rPr>
            </w:pPr>
          </w:p>
        </w:tc>
        <w:tc>
          <w:tcPr>
            <w:tcW w:w="2551" w:type="dxa"/>
          </w:tcPr>
          <w:p w14:paraId="4ED792E6">
            <w:pPr>
              <w:pStyle w:val="26"/>
              <w:spacing w:line="400" w:lineRule="exact"/>
              <w:rPr>
                <w:rFonts w:ascii="仿宋" w:hAnsi="仿宋" w:eastAsia="仿宋" w:cs="仿宋"/>
                <w:color w:val="auto"/>
                <w:sz w:val="28"/>
                <w:szCs w:val="28"/>
                <w:highlight w:val="none"/>
              </w:rPr>
            </w:pPr>
          </w:p>
        </w:tc>
        <w:tc>
          <w:tcPr>
            <w:tcW w:w="1652" w:type="dxa"/>
          </w:tcPr>
          <w:p w14:paraId="566043A1">
            <w:pPr>
              <w:pStyle w:val="26"/>
              <w:spacing w:line="400" w:lineRule="exact"/>
              <w:rPr>
                <w:rFonts w:ascii="仿宋" w:hAnsi="仿宋" w:eastAsia="仿宋" w:cs="仿宋"/>
                <w:color w:val="auto"/>
                <w:sz w:val="28"/>
                <w:szCs w:val="28"/>
                <w:highlight w:val="none"/>
              </w:rPr>
            </w:pPr>
          </w:p>
        </w:tc>
      </w:tr>
      <w:tr w14:paraId="08C3F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308141CF">
            <w:pPr>
              <w:pStyle w:val="26"/>
              <w:spacing w:line="400" w:lineRule="exact"/>
              <w:rPr>
                <w:rFonts w:ascii="仿宋" w:hAnsi="仿宋" w:eastAsia="仿宋" w:cs="仿宋"/>
                <w:color w:val="auto"/>
                <w:sz w:val="28"/>
                <w:szCs w:val="28"/>
                <w:highlight w:val="none"/>
              </w:rPr>
            </w:pPr>
          </w:p>
        </w:tc>
        <w:tc>
          <w:tcPr>
            <w:tcW w:w="1236" w:type="dxa"/>
          </w:tcPr>
          <w:p w14:paraId="1834BE50">
            <w:pPr>
              <w:pStyle w:val="26"/>
              <w:spacing w:line="400" w:lineRule="exact"/>
              <w:rPr>
                <w:rFonts w:ascii="仿宋" w:hAnsi="仿宋" w:eastAsia="仿宋" w:cs="仿宋"/>
                <w:color w:val="auto"/>
                <w:sz w:val="28"/>
                <w:szCs w:val="28"/>
                <w:highlight w:val="none"/>
              </w:rPr>
            </w:pPr>
          </w:p>
        </w:tc>
        <w:tc>
          <w:tcPr>
            <w:tcW w:w="2203" w:type="dxa"/>
          </w:tcPr>
          <w:p w14:paraId="1266E4CB">
            <w:pPr>
              <w:pStyle w:val="26"/>
              <w:spacing w:line="400" w:lineRule="exact"/>
              <w:rPr>
                <w:rFonts w:ascii="仿宋" w:hAnsi="仿宋" w:eastAsia="仿宋" w:cs="仿宋"/>
                <w:color w:val="auto"/>
                <w:sz w:val="28"/>
                <w:szCs w:val="28"/>
                <w:highlight w:val="none"/>
              </w:rPr>
            </w:pPr>
          </w:p>
        </w:tc>
        <w:tc>
          <w:tcPr>
            <w:tcW w:w="1134" w:type="dxa"/>
          </w:tcPr>
          <w:p w14:paraId="4C8F2A64">
            <w:pPr>
              <w:pStyle w:val="26"/>
              <w:spacing w:line="400" w:lineRule="exact"/>
              <w:rPr>
                <w:rFonts w:ascii="仿宋" w:hAnsi="仿宋" w:eastAsia="仿宋" w:cs="仿宋"/>
                <w:color w:val="auto"/>
                <w:sz w:val="28"/>
                <w:szCs w:val="28"/>
                <w:highlight w:val="none"/>
              </w:rPr>
            </w:pPr>
          </w:p>
        </w:tc>
        <w:tc>
          <w:tcPr>
            <w:tcW w:w="2551" w:type="dxa"/>
          </w:tcPr>
          <w:p w14:paraId="0773EB6F">
            <w:pPr>
              <w:pStyle w:val="26"/>
              <w:spacing w:line="400" w:lineRule="exact"/>
              <w:rPr>
                <w:rFonts w:ascii="仿宋" w:hAnsi="仿宋" w:eastAsia="仿宋" w:cs="仿宋"/>
                <w:color w:val="auto"/>
                <w:sz w:val="28"/>
                <w:szCs w:val="28"/>
                <w:highlight w:val="none"/>
              </w:rPr>
            </w:pPr>
          </w:p>
        </w:tc>
        <w:tc>
          <w:tcPr>
            <w:tcW w:w="1652" w:type="dxa"/>
          </w:tcPr>
          <w:p w14:paraId="1E8AC8DE">
            <w:pPr>
              <w:pStyle w:val="26"/>
              <w:spacing w:line="400" w:lineRule="exact"/>
              <w:rPr>
                <w:rFonts w:ascii="仿宋" w:hAnsi="仿宋" w:eastAsia="仿宋" w:cs="仿宋"/>
                <w:color w:val="auto"/>
                <w:sz w:val="28"/>
                <w:szCs w:val="28"/>
                <w:highlight w:val="none"/>
              </w:rPr>
            </w:pPr>
          </w:p>
        </w:tc>
      </w:tr>
      <w:tr w14:paraId="4814E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00630B37">
            <w:pPr>
              <w:pStyle w:val="26"/>
              <w:spacing w:line="400" w:lineRule="exact"/>
              <w:rPr>
                <w:rFonts w:ascii="仿宋" w:hAnsi="仿宋" w:eastAsia="仿宋" w:cs="仿宋"/>
                <w:color w:val="auto"/>
                <w:sz w:val="28"/>
                <w:szCs w:val="28"/>
                <w:highlight w:val="none"/>
              </w:rPr>
            </w:pPr>
          </w:p>
        </w:tc>
        <w:tc>
          <w:tcPr>
            <w:tcW w:w="1236" w:type="dxa"/>
          </w:tcPr>
          <w:p w14:paraId="0F59E153">
            <w:pPr>
              <w:pStyle w:val="26"/>
              <w:spacing w:line="400" w:lineRule="exact"/>
              <w:rPr>
                <w:rFonts w:ascii="仿宋" w:hAnsi="仿宋" w:eastAsia="仿宋" w:cs="仿宋"/>
                <w:color w:val="auto"/>
                <w:sz w:val="28"/>
                <w:szCs w:val="28"/>
                <w:highlight w:val="none"/>
              </w:rPr>
            </w:pPr>
          </w:p>
        </w:tc>
        <w:tc>
          <w:tcPr>
            <w:tcW w:w="2203" w:type="dxa"/>
          </w:tcPr>
          <w:p w14:paraId="2517D69D">
            <w:pPr>
              <w:pStyle w:val="26"/>
              <w:spacing w:line="400" w:lineRule="exact"/>
              <w:rPr>
                <w:rFonts w:ascii="仿宋" w:hAnsi="仿宋" w:eastAsia="仿宋" w:cs="仿宋"/>
                <w:color w:val="auto"/>
                <w:sz w:val="28"/>
                <w:szCs w:val="28"/>
                <w:highlight w:val="none"/>
              </w:rPr>
            </w:pPr>
          </w:p>
        </w:tc>
        <w:tc>
          <w:tcPr>
            <w:tcW w:w="1134" w:type="dxa"/>
          </w:tcPr>
          <w:p w14:paraId="6A151A3B">
            <w:pPr>
              <w:pStyle w:val="26"/>
              <w:spacing w:line="400" w:lineRule="exact"/>
              <w:rPr>
                <w:rFonts w:ascii="仿宋" w:hAnsi="仿宋" w:eastAsia="仿宋" w:cs="仿宋"/>
                <w:color w:val="auto"/>
                <w:sz w:val="28"/>
                <w:szCs w:val="28"/>
                <w:highlight w:val="none"/>
              </w:rPr>
            </w:pPr>
          </w:p>
        </w:tc>
        <w:tc>
          <w:tcPr>
            <w:tcW w:w="2551" w:type="dxa"/>
          </w:tcPr>
          <w:p w14:paraId="00019D30">
            <w:pPr>
              <w:pStyle w:val="26"/>
              <w:spacing w:line="400" w:lineRule="exact"/>
              <w:rPr>
                <w:rFonts w:ascii="仿宋" w:hAnsi="仿宋" w:eastAsia="仿宋" w:cs="仿宋"/>
                <w:color w:val="auto"/>
                <w:sz w:val="28"/>
                <w:szCs w:val="28"/>
                <w:highlight w:val="none"/>
              </w:rPr>
            </w:pPr>
          </w:p>
        </w:tc>
        <w:tc>
          <w:tcPr>
            <w:tcW w:w="1652" w:type="dxa"/>
          </w:tcPr>
          <w:p w14:paraId="3DBD0A23">
            <w:pPr>
              <w:pStyle w:val="26"/>
              <w:spacing w:line="400" w:lineRule="exact"/>
              <w:rPr>
                <w:rFonts w:ascii="仿宋" w:hAnsi="仿宋" w:eastAsia="仿宋" w:cs="仿宋"/>
                <w:color w:val="auto"/>
                <w:sz w:val="28"/>
                <w:szCs w:val="28"/>
                <w:highlight w:val="none"/>
              </w:rPr>
            </w:pPr>
          </w:p>
        </w:tc>
      </w:tr>
      <w:tr w14:paraId="37C62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8" w:type="dxa"/>
          </w:tcPr>
          <w:p w14:paraId="1025E10B">
            <w:pPr>
              <w:pStyle w:val="26"/>
              <w:spacing w:line="400" w:lineRule="exact"/>
              <w:rPr>
                <w:rFonts w:ascii="仿宋" w:hAnsi="仿宋" w:eastAsia="仿宋" w:cs="仿宋"/>
                <w:color w:val="auto"/>
                <w:sz w:val="28"/>
                <w:szCs w:val="28"/>
                <w:highlight w:val="none"/>
              </w:rPr>
            </w:pPr>
          </w:p>
        </w:tc>
        <w:tc>
          <w:tcPr>
            <w:tcW w:w="1236" w:type="dxa"/>
          </w:tcPr>
          <w:p w14:paraId="78F43714">
            <w:pPr>
              <w:pStyle w:val="26"/>
              <w:spacing w:line="400" w:lineRule="exact"/>
              <w:rPr>
                <w:rFonts w:ascii="仿宋" w:hAnsi="仿宋" w:eastAsia="仿宋" w:cs="仿宋"/>
                <w:color w:val="auto"/>
                <w:sz w:val="28"/>
                <w:szCs w:val="28"/>
                <w:highlight w:val="none"/>
              </w:rPr>
            </w:pPr>
          </w:p>
        </w:tc>
        <w:tc>
          <w:tcPr>
            <w:tcW w:w="2203" w:type="dxa"/>
          </w:tcPr>
          <w:p w14:paraId="7CFBB057">
            <w:pPr>
              <w:pStyle w:val="26"/>
              <w:spacing w:line="400" w:lineRule="exact"/>
              <w:rPr>
                <w:rFonts w:ascii="仿宋" w:hAnsi="仿宋" w:eastAsia="仿宋" w:cs="仿宋"/>
                <w:color w:val="auto"/>
                <w:sz w:val="28"/>
                <w:szCs w:val="28"/>
                <w:highlight w:val="none"/>
              </w:rPr>
            </w:pPr>
          </w:p>
        </w:tc>
        <w:tc>
          <w:tcPr>
            <w:tcW w:w="1134" w:type="dxa"/>
          </w:tcPr>
          <w:p w14:paraId="4951AA47">
            <w:pPr>
              <w:pStyle w:val="26"/>
              <w:spacing w:line="400" w:lineRule="exact"/>
              <w:rPr>
                <w:rFonts w:ascii="仿宋" w:hAnsi="仿宋" w:eastAsia="仿宋" w:cs="仿宋"/>
                <w:color w:val="auto"/>
                <w:sz w:val="28"/>
                <w:szCs w:val="28"/>
                <w:highlight w:val="none"/>
              </w:rPr>
            </w:pPr>
          </w:p>
        </w:tc>
        <w:tc>
          <w:tcPr>
            <w:tcW w:w="2551" w:type="dxa"/>
          </w:tcPr>
          <w:p w14:paraId="37564B7A">
            <w:pPr>
              <w:pStyle w:val="26"/>
              <w:spacing w:line="400" w:lineRule="exact"/>
              <w:rPr>
                <w:rFonts w:ascii="仿宋" w:hAnsi="仿宋" w:eastAsia="仿宋" w:cs="仿宋"/>
                <w:color w:val="auto"/>
                <w:sz w:val="28"/>
                <w:szCs w:val="28"/>
                <w:highlight w:val="none"/>
              </w:rPr>
            </w:pPr>
          </w:p>
        </w:tc>
        <w:tc>
          <w:tcPr>
            <w:tcW w:w="1652" w:type="dxa"/>
          </w:tcPr>
          <w:p w14:paraId="473D17EB">
            <w:pPr>
              <w:pStyle w:val="26"/>
              <w:spacing w:line="400" w:lineRule="exact"/>
              <w:rPr>
                <w:rFonts w:ascii="仿宋" w:hAnsi="仿宋" w:eastAsia="仿宋" w:cs="仿宋"/>
                <w:color w:val="auto"/>
                <w:sz w:val="28"/>
                <w:szCs w:val="28"/>
                <w:highlight w:val="none"/>
              </w:rPr>
            </w:pPr>
          </w:p>
        </w:tc>
      </w:tr>
      <w:tr w14:paraId="1A03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668" w:type="dxa"/>
          </w:tcPr>
          <w:p w14:paraId="196B8440">
            <w:pPr>
              <w:pStyle w:val="26"/>
              <w:spacing w:line="400" w:lineRule="exact"/>
              <w:rPr>
                <w:rFonts w:ascii="仿宋" w:hAnsi="仿宋" w:eastAsia="仿宋" w:cs="仿宋"/>
                <w:color w:val="auto"/>
                <w:sz w:val="28"/>
                <w:szCs w:val="28"/>
                <w:highlight w:val="none"/>
              </w:rPr>
            </w:pPr>
          </w:p>
        </w:tc>
        <w:tc>
          <w:tcPr>
            <w:tcW w:w="1236" w:type="dxa"/>
          </w:tcPr>
          <w:p w14:paraId="22B1FC68">
            <w:pPr>
              <w:pStyle w:val="26"/>
              <w:spacing w:line="400" w:lineRule="exact"/>
              <w:rPr>
                <w:rFonts w:ascii="仿宋" w:hAnsi="仿宋" w:eastAsia="仿宋" w:cs="仿宋"/>
                <w:color w:val="auto"/>
                <w:sz w:val="28"/>
                <w:szCs w:val="28"/>
                <w:highlight w:val="none"/>
              </w:rPr>
            </w:pPr>
          </w:p>
        </w:tc>
        <w:tc>
          <w:tcPr>
            <w:tcW w:w="2203" w:type="dxa"/>
          </w:tcPr>
          <w:p w14:paraId="7AB7B4A6">
            <w:pPr>
              <w:pStyle w:val="26"/>
              <w:spacing w:line="400" w:lineRule="exact"/>
              <w:rPr>
                <w:rFonts w:ascii="仿宋" w:hAnsi="仿宋" w:eastAsia="仿宋" w:cs="仿宋"/>
                <w:color w:val="auto"/>
                <w:sz w:val="28"/>
                <w:szCs w:val="28"/>
                <w:highlight w:val="none"/>
              </w:rPr>
            </w:pPr>
          </w:p>
        </w:tc>
        <w:tc>
          <w:tcPr>
            <w:tcW w:w="1134" w:type="dxa"/>
          </w:tcPr>
          <w:p w14:paraId="4ED5D9C3">
            <w:pPr>
              <w:pStyle w:val="26"/>
              <w:spacing w:line="400" w:lineRule="exact"/>
              <w:rPr>
                <w:rFonts w:ascii="仿宋" w:hAnsi="仿宋" w:eastAsia="仿宋" w:cs="仿宋"/>
                <w:color w:val="auto"/>
                <w:sz w:val="28"/>
                <w:szCs w:val="28"/>
                <w:highlight w:val="none"/>
              </w:rPr>
            </w:pPr>
          </w:p>
        </w:tc>
        <w:tc>
          <w:tcPr>
            <w:tcW w:w="2551" w:type="dxa"/>
          </w:tcPr>
          <w:p w14:paraId="2D120F46">
            <w:pPr>
              <w:pStyle w:val="26"/>
              <w:spacing w:line="400" w:lineRule="exact"/>
              <w:rPr>
                <w:rFonts w:ascii="仿宋" w:hAnsi="仿宋" w:eastAsia="仿宋" w:cs="仿宋"/>
                <w:color w:val="auto"/>
                <w:sz w:val="28"/>
                <w:szCs w:val="28"/>
                <w:highlight w:val="none"/>
              </w:rPr>
            </w:pPr>
          </w:p>
        </w:tc>
        <w:tc>
          <w:tcPr>
            <w:tcW w:w="1652" w:type="dxa"/>
          </w:tcPr>
          <w:p w14:paraId="786F2DEF">
            <w:pPr>
              <w:pStyle w:val="26"/>
              <w:spacing w:line="400" w:lineRule="exact"/>
              <w:rPr>
                <w:rFonts w:ascii="仿宋" w:hAnsi="仿宋" w:eastAsia="仿宋" w:cs="仿宋"/>
                <w:color w:val="auto"/>
                <w:sz w:val="28"/>
                <w:szCs w:val="28"/>
                <w:highlight w:val="none"/>
              </w:rPr>
            </w:pPr>
          </w:p>
        </w:tc>
      </w:tr>
      <w:tr w14:paraId="2BCEF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668" w:type="dxa"/>
          </w:tcPr>
          <w:p w14:paraId="4B30C253">
            <w:pPr>
              <w:pStyle w:val="26"/>
              <w:spacing w:line="400" w:lineRule="exact"/>
              <w:rPr>
                <w:rFonts w:ascii="仿宋" w:hAnsi="仿宋" w:eastAsia="仿宋" w:cs="仿宋"/>
                <w:color w:val="auto"/>
                <w:sz w:val="28"/>
                <w:szCs w:val="28"/>
                <w:highlight w:val="none"/>
              </w:rPr>
            </w:pPr>
          </w:p>
        </w:tc>
        <w:tc>
          <w:tcPr>
            <w:tcW w:w="1236" w:type="dxa"/>
          </w:tcPr>
          <w:p w14:paraId="095554ED">
            <w:pPr>
              <w:pStyle w:val="26"/>
              <w:spacing w:line="400" w:lineRule="exact"/>
              <w:rPr>
                <w:rFonts w:ascii="仿宋" w:hAnsi="仿宋" w:eastAsia="仿宋" w:cs="仿宋"/>
                <w:color w:val="auto"/>
                <w:sz w:val="28"/>
                <w:szCs w:val="28"/>
                <w:highlight w:val="none"/>
              </w:rPr>
            </w:pPr>
          </w:p>
        </w:tc>
        <w:tc>
          <w:tcPr>
            <w:tcW w:w="2203" w:type="dxa"/>
          </w:tcPr>
          <w:p w14:paraId="7858AB6E">
            <w:pPr>
              <w:pStyle w:val="26"/>
              <w:spacing w:line="400" w:lineRule="exact"/>
              <w:rPr>
                <w:rFonts w:ascii="仿宋" w:hAnsi="仿宋" w:eastAsia="仿宋" w:cs="仿宋"/>
                <w:color w:val="auto"/>
                <w:sz w:val="28"/>
                <w:szCs w:val="28"/>
                <w:highlight w:val="none"/>
              </w:rPr>
            </w:pPr>
          </w:p>
        </w:tc>
        <w:tc>
          <w:tcPr>
            <w:tcW w:w="1134" w:type="dxa"/>
          </w:tcPr>
          <w:p w14:paraId="2D86B56F">
            <w:pPr>
              <w:pStyle w:val="26"/>
              <w:spacing w:line="400" w:lineRule="exact"/>
              <w:rPr>
                <w:rFonts w:ascii="仿宋" w:hAnsi="仿宋" w:eastAsia="仿宋" w:cs="仿宋"/>
                <w:color w:val="auto"/>
                <w:sz w:val="28"/>
                <w:szCs w:val="28"/>
                <w:highlight w:val="none"/>
              </w:rPr>
            </w:pPr>
          </w:p>
        </w:tc>
        <w:tc>
          <w:tcPr>
            <w:tcW w:w="2551" w:type="dxa"/>
          </w:tcPr>
          <w:p w14:paraId="6153FB0E">
            <w:pPr>
              <w:pStyle w:val="26"/>
              <w:spacing w:line="400" w:lineRule="exact"/>
              <w:rPr>
                <w:rFonts w:ascii="仿宋" w:hAnsi="仿宋" w:eastAsia="仿宋" w:cs="仿宋"/>
                <w:color w:val="auto"/>
                <w:sz w:val="28"/>
                <w:szCs w:val="28"/>
                <w:highlight w:val="none"/>
              </w:rPr>
            </w:pPr>
          </w:p>
        </w:tc>
        <w:tc>
          <w:tcPr>
            <w:tcW w:w="1652" w:type="dxa"/>
          </w:tcPr>
          <w:p w14:paraId="7DAD8DB9">
            <w:pPr>
              <w:pStyle w:val="26"/>
              <w:spacing w:line="400" w:lineRule="exact"/>
              <w:rPr>
                <w:rFonts w:ascii="仿宋" w:hAnsi="仿宋" w:eastAsia="仿宋" w:cs="仿宋"/>
                <w:color w:val="auto"/>
                <w:sz w:val="28"/>
                <w:szCs w:val="28"/>
                <w:highlight w:val="none"/>
              </w:rPr>
            </w:pPr>
          </w:p>
        </w:tc>
      </w:tr>
      <w:tr w14:paraId="44E61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668" w:type="dxa"/>
          </w:tcPr>
          <w:p w14:paraId="0BC0E10B">
            <w:pPr>
              <w:pStyle w:val="26"/>
              <w:spacing w:line="400" w:lineRule="exact"/>
              <w:rPr>
                <w:rFonts w:ascii="仿宋" w:hAnsi="仿宋" w:eastAsia="仿宋" w:cs="仿宋"/>
                <w:color w:val="auto"/>
                <w:sz w:val="28"/>
                <w:szCs w:val="28"/>
                <w:highlight w:val="none"/>
              </w:rPr>
            </w:pPr>
          </w:p>
        </w:tc>
        <w:tc>
          <w:tcPr>
            <w:tcW w:w="1236" w:type="dxa"/>
          </w:tcPr>
          <w:p w14:paraId="7C1F2B9C">
            <w:pPr>
              <w:pStyle w:val="26"/>
              <w:spacing w:line="400" w:lineRule="exact"/>
              <w:rPr>
                <w:rFonts w:ascii="仿宋" w:hAnsi="仿宋" w:eastAsia="仿宋" w:cs="仿宋"/>
                <w:color w:val="auto"/>
                <w:sz w:val="28"/>
                <w:szCs w:val="28"/>
                <w:highlight w:val="none"/>
              </w:rPr>
            </w:pPr>
          </w:p>
        </w:tc>
        <w:tc>
          <w:tcPr>
            <w:tcW w:w="2203" w:type="dxa"/>
          </w:tcPr>
          <w:p w14:paraId="0A904981">
            <w:pPr>
              <w:pStyle w:val="26"/>
              <w:spacing w:line="400" w:lineRule="exact"/>
              <w:rPr>
                <w:rFonts w:ascii="仿宋" w:hAnsi="仿宋" w:eastAsia="仿宋" w:cs="仿宋"/>
                <w:color w:val="auto"/>
                <w:sz w:val="28"/>
                <w:szCs w:val="28"/>
                <w:highlight w:val="none"/>
              </w:rPr>
            </w:pPr>
          </w:p>
        </w:tc>
        <w:tc>
          <w:tcPr>
            <w:tcW w:w="1134" w:type="dxa"/>
          </w:tcPr>
          <w:p w14:paraId="26C5E1B6">
            <w:pPr>
              <w:pStyle w:val="26"/>
              <w:spacing w:line="400" w:lineRule="exact"/>
              <w:rPr>
                <w:rFonts w:ascii="仿宋" w:hAnsi="仿宋" w:eastAsia="仿宋" w:cs="仿宋"/>
                <w:color w:val="auto"/>
                <w:sz w:val="28"/>
                <w:szCs w:val="28"/>
                <w:highlight w:val="none"/>
              </w:rPr>
            </w:pPr>
          </w:p>
        </w:tc>
        <w:tc>
          <w:tcPr>
            <w:tcW w:w="2551" w:type="dxa"/>
          </w:tcPr>
          <w:p w14:paraId="64EE3D66">
            <w:pPr>
              <w:pStyle w:val="26"/>
              <w:spacing w:line="400" w:lineRule="exact"/>
              <w:rPr>
                <w:rFonts w:ascii="仿宋" w:hAnsi="仿宋" w:eastAsia="仿宋" w:cs="仿宋"/>
                <w:color w:val="auto"/>
                <w:sz w:val="28"/>
                <w:szCs w:val="28"/>
                <w:highlight w:val="none"/>
              </w:rPr>
            </w:pPr>
          </w:p>
        </w:tc>
        <w:tc>
          <w:tcPr>
            <w:tcW w:w="1652" w:type="dxa"/>
          </w:tcPr>
          <w:p w14:paraId="314E7112">
            <w:pPr>
              <w:pStyle w:val="26"/>
              <w:spacing w:line="400" w:lineRule="exact"/>
              <w:rPr>
                <w:rFonts w:ascii="仿宋" w:hAnsi="仿宋" w:eastAsia="仿宋" w:cs="仿宋"/>
                <w:color w:val="auto"/>
                <w:sz w:val="28"/>
                <w:szCs w:val="28"/>
                <w:highlight w:val="none"/>
              </w:rPr>
            </w:pPr>
          </w:p>
        </w:tc>
      </w:tr>
    </w:tbl>
    <w:p w14:paraId="57AEEF08">
      <w:pPr>
        <w:pStyle w:val="26"/>
        <w:spacing w:line="40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注：无偏离可填写“无”字，有偏离必须在本表列明，实际存在负偏离而在本表内没有列明的，视为虚假投标。</w:t>
      </w:r>
    </w:p>
    <w:p w14:paraId="04536D42">
      <w:pPr>
        <w:spacing w:line="360" w:lineRule="exact"/>
        <w:ind w:firstLine="4900" w:firstLineChars="1750"/>
        <w:rPr>
          <w:rFonts w:ascii="仿宋" w:hAnsi="仿宋" w:eastAsia="仿宋" w:cs="仿宋"/>
          <w:color w:val="auto"/>
          <w:sz w:val="28"/>
          <w:szCs w:val="28"/>
          <w:highlight w:val="none"/>
        </w:rPr>
      </w:pPr>
    </w:p>
    <w:p w14:paraId="20D846BE">
      <w:pPr>
        <w:spacing w:line="500" w:lineRule="exact"/>
        <w:rPr>
          <w:rFonts w:ascii="仿宋" w:hAnsi="仿宋" w:eastAsia="仿宋" w:cs="仿宋"/>
          <w:color w:val="auto"/>
          <w:sz w:val="28"/>
          <w:szCs w:val="28"/>
          <w:highlight w:val="none"/>
        </w:rPr>
      </w:pPr>
    </w:p>
    <w:p w14:paraId="65FD86B7">
      <w:pPr>
        <w:snapToGrid w:val="0"/>
        <w:spacing w:line="360" w:lineRule="auto"/>
        <w:ind w:firstLine="280" w:firstLineChars="100"/>
        <w:rPr>
          <w:rFonts w:ascii="仿宋" w:hAnsi="仿宋" w:eastAsia="仿宋" w:cs="仿宋"/>
          <w:color w:val="auto"/>
          <w:sz w:val="28"/>
          <w:szCs w:val="28"/>
          <w:highlight w:val="none"/>
        </w:rPr>
      </w:pPr>
      <w:bookmarkStart w:id="31" w:name="_Toc504549928"/>
      <w:r>
        <w:rPr>
          <w:rFonts w:hint="eastAsia" w:ascii="仿宋" w:hAnsi="仿宋" w:eastAsia="仿宋" w:cs="仿宋"/>
          <w:color w:val="auto"/>
          <w:sz w:val="28"/>
          <w:szCs w:val="28"/>
          <w:highlight w:val="none"/>
        </w:rPr>
        <w:t>投标人（盖电子公章）：</w:t>
      </w:r>
    </w:p>
    <w:p w14:paraId="0C33733D">
      <w:pPr>
        <w:snapToGrid w:val="0"/>
        <w:spacing w:line="360" w:lineRule="auto"/>
        <w:rPr>
          <w:rFonts w:ascii="仿宋" w:hAnsi="仿宋" w:eastAsia="仿宋" w:cs="仿宋"/>
          <w:color w:val="auto"/>
          <w:sz w:val="28"/>
          <w:szCs w:val="28"/>
          <w:highlight w:val="none"/>
        </w:rPr>
      </w:pPr>
    </w:p>
    <w:p w14:paraId="05633C17">
      <w:pPr>
        <w:pStyle w:val="26"/>
        <w:spacing w:line="520" w:lineRule="exact"/>
        <w:ind w:firstLine="280" w:firstLineChars="100"/>
        <w:rPr>
          <w:rFonts w:ascii="仿宋" w:hAnsi="仿宋" w:eastAsia="仿宋" w:cs="仿宋"/>
          <w:color w:val="auto"/>
          <w:kern w:val="2"/>
          <w:sz w:val="28"/>
          <w:szCs w:val="28"/>
          <w:highlight w:val="none"/>
        </w:rPr>
      </w:pPr>
      <w:r>
        <w:rPr>
          <w:rFonts w:hint="eastAsia" w:ascii="仿宋" w:hAnsi="仿宋" w:eastAsia="仿宋" w:cs="仿宋"/>
          <w:color w:val="auto"/>
          <w:kern w:val="2"/>
          <w:sz w:val="28"/>
          <w:szCs w:val="28"/>
          <w:highlight w:val="none"/>
        </w:rPr>
        <w:t>日期：</w:t>
      </w:r>
    </w:p>
    <w:p w14:paraId="49FB2ABC">
      <w:pPr>
        <w:spacing w:line="500" w:lineRule="exact"/>
        <w:jc w:val="center"/>
        <w:rPr>
          <w:rFonts w:ascii="仿宋" w:hAnsi="仿宋" w:eastAsia="仿宋" w:cs="仿宋"/>
          <w:b/>
          <w:color w:val="auto"/>
          <w:kern w:val="0"/>
          <w:sz w:val="28"/>
          <w:szCs w:val="28"/>
          <w:highlight w:val="none"/>
        </w:rPr>
      </w:pPr>
    </w:p>
    <w:p w14:paraId="34974418">
      <w:pPr>
        <w:spacing w:line="500" w:lineRule="exact"/>
        <w:jc w:val="center"/>
        <w:rPr>
          <w:rFonts w:ascii="仿宋" w:hAnsi="仿宋" w:eastAsia="仿宋" w:cs="仿宋"/>
          <w:b/>
          <w:color w:val="auto"/>
          <w:kern w:val="0"/>
          <w:sz w:val="28"/>
          <w:szCs w:val="28"/>
          <w:highlight w:val="none"/>
        </w:rPr>
      </w:pPr>
    </w:p>
    <w:bookmarkEnd w:id="31"/>
    <w:p w14:paraId="5FEF2247">
      <w:pPr>
        <w:pStyle w:val="4"/>
        <w:jc w:val="center"/>
        <w:rPr>
          <w:color w:val="auto"/>
          <w:highlight w:val="none"/>
        </w:rPr>
      </w:pPr>
      <w:bookmarkStart w:id="32" w:name="_Toc66087246"/>
      <w:bookmarkStart w:id="33" w:name="_Toc6088"/>
      <w:r>
        <w:rPr>
          <w:rFonts w:hint="eastAsia"/>
          <w:color w:val="auto"/>
          <w:highlight w:val="none"/>
        </w:rPr>
        <w:t>第六章</w:t>
      </w:r>
      <w:bookmarkEnd w:id="32"/>
      <w:r>
        <w:rPr>
          <w:rFonts w:hint="eastAsia"/>
          <w:color w:val="auto"/>
          <w:highlight w:val="none"/>
        </w:rPr>
        <w:t>采购合同（范本）</w:t>
      </w:r>
      <w:bookmarkEnd w:id="33"/>
    </w:p>
    <w:p w14:paraId="6F534D12">
      <w:pPr>
        <w:wordWrap w:val="0"/>
        <w:spacing w:line="900" w:lineRule="exact"/>
        <w:jc w:val="center"/>
        <w:rPr>
          <w:rFonts w:ascii="仿宋" w:hAnsi="仿宋" w:eastAsia="仿宋" w:cs="仿宋"/>
          <w:b/>
          <w:color w:val="auto"/>
          <w:sz w:val="44"/>
          <w:szCs w:val="44"/>
          <w:highlight w:val="none"/>
        </w:rPr>
      </w:pPr>
      <w:r>
        <w:rPr>
          <w:rFonts w:hint="eastAsia" w:ascii="仿宋" w:hAnsi="仿宋" w:eastAsia="仿宋" w:cs="仿宋"/>
          <w:b/>
          <w:color w:val="auto"/>
          <w:sz w:val="44"/>
          <w:szCs w:val="44"/>
          <w:highlight w:val="none"/>
        </w:rPr>
        <w:br w:type="page"/>
      </w:r>
    </w:p>
    <w:p w14:paraId="57EB404C">
      <w:pPr>
        <w:wordWrap w:val="0"/>
        <w:spacing w:line="360" w:lineRule="auto"/>
        <w:rPr>
          <w:rFonts w:ascii="黑体" w:hAnsi="黑体" w:eastAsia="黑体" w:cs="黑体"/>
          <w:bCs/>
          <w:color w:val="auto"/>
          <w:sz w:val="28"/>
          <w:szCs w:val="28"/>
          <w:highlight w:val="none"/>
        </w:rPr>
      </w:pPr>
      <w:r>
        <w:rPr>
          <w:rFonts w:hint="eastAsia" w:ascii="黑体" w:hAnsi="黑体" w:eastAsia="黑体" w:cs="黑体"/>
          <w:bCs/>
          <w:color w:val="auto"/>
          <w:sz w:val="28"/>
          <w:szCs w:val="28"/>
          <w:highlight w:val="none"/>
        </w:rPr>
        <w:t>合同编号：</w:t>
      </w:r>
    </w:p>
    <w:p w14:paraId="49E430BB">
      <w:pPr>
        <w:wordWrap w:val="0"/>
        <w:spacing w:line="360" w:lineRule="auto"/>
        <w:rPr>
          <w:rFonts w:ascii="黑体" w:hAnsi="黑体" w:eastAsia="黑体" w:cs="黑体"/>
          <w:bCs/>
          <w:color w:val="auto"/>
          <w:sz w:val="28"/>
          <w:szCs w:val="28"/>
          <w:highlight w:val="none"/>
        </w:rPr>
      </w:pPr>
      <w:r>
        <w:rPr>
          <w:rFonts w:hint="eastAsia" w:ascii="黑体" w:hAnsi="黑体" w:eastAsia="黑体" w:cs="黑体"/>
          <w:bCs/>
          <w:color w:val="auto"/>
          <w:sz w:val="28"/>
          <w:szCs w:val="28"/>
          <w:highlight w:val="none"/>
        </w:rPr>
        <w:t>采购编号：</w:t>
      </w:r>
    </w:p>
    <w:p w14:paraId="002551D3">
      <w:pPr>
        <w:spacing w:line="360" w:lineRule="auto"/>
        <w:rPr>
          <w:rFonts w:ascii="黑体" w:hAnsi="黑体" w:eastAsia="黑体" w:cs="黑体"/>
          <w:color w:val="auto"/>
          <w:highlight w:val="none"/>
        </w:rPr>
      </w:pPr>
    </w:p>
    <w:p w14:paraId="70705B7C">
      <w:pPr>
        <w:pStyle w:val="28"/>
        <w:spacing w:line="360" w:lineRule="auto"/>
        <w:rPr>
          <w:rFonts w:ascii="黑体" w:hAnsi="黑体" w:eastAsia="黑体" w:cs="黑体"/>
          <w:color w:val="auto"/>
          <w:highlight w:val="none"/>
        </w:rPr>
      </w:pPr>
    </w:p>
    <w:p w14:paraId="4F4F45EC">
      <w:pPr>
        <w:pStyle w:val="28"/>
        <w:spacing w:line="360" w:lineRule="auto"/>
        <w:rPr>
          <w:rFonts w:ascii="黑体" w:hAnsi="黑体" w:eastAsia="黑体" w:cs="黑体"/>
          <w:color w:val="auto"/>
          <w:highlight w:val="none"/>
        </w:rPr>
      </w:pPr>
    </w:p>
    <w:p w14:paraId="375B9F71">
      <w:pPr>
        <w:spacing w:line="360" w:lineRule="auto"/>
        <w:rPr>
          <w:rFonts w:ascii="黑体" w:hAnsi="黑体" w:eastAsia="黑体" w:cs="黑体"/>
          <w:color w:val="auto"/>
          <w:highlight w:val="none"/>
        </w:rPr>
      </w:pPr>
    </w:p>
    <w:p w14:paraId="20A197CC">
      <w:pPr>
        <w:tabs>
          <w:tab w:val="left" w:pos="1943"/>
        </w:tabs>
        <w:spacing w:line="360" w:lineRule="auto"/>
        <w:rPr>
          <w:rFonts w:ascii="黑体" w:hAnsi="黑体" w:eastAsia="黑体" w:cs="黑体"/>
          <w:color w:val="auto"/>
          <w:highlight w:val="none"/>
        </w:rPr>
      </w:pPr>
      <w:r>
        <w:rPr>
          <w:rFonts w:ascii="黑体" w:hAnsi="黑体" w:eastAsia="黑体" w:cs="黑体"/>
          <w:color w:val="auto"/>
          <w:highlight w:val="none"/>
        </w:rPr>
        <w:tab/>
      </w:r>
    </w:p>
    <w:p w14:paraId="2285D2BD">
      <w:pPr>
        <w:pStyle w:val="28"/>
        <w:rPr>
          <w:color w:val="auto"/>
          <w:highlight w:val="none"/>
        </w:rPr>
      </w:pPr>
    </w:p>
    <w:p w14:paraId="6C0FD5DA">
      <w:pPr>
        <w:spacing w:line="360" w:lineRule="auto"/>
        <w:jc w:val="center"/>
        <w:rPr>
          <w:rFonts w:ascii="黑体" w:hAnsi="黑体" w:eastAsia="黑体" w:cs="黑体"/>
          <w:color w:val="auto"/>
          <w:sz w:val="52"/>
          <w:szCs w:val="52"/>
          <w:highlight w:val="none"/>
        </w:rPr>
      </w:pPr>
      <w:r>
        <w:rPr>
          <w:rFonts w:hint="eastAsia" w:ascii="黑体" w:hAnsi="黑体" w:eastAsia="黑体" w:cs="黑体"/>
          <w:b/>
          <w:color w:val="auto"/>
          <w:sz w:val="52"/>
          <w:szCs w:val="52"/>
          <w:highlight w:val="none"/>
        </w:rPr>
        <w:t>工程检测服务合同</w:t>
      </w:r>
    </w:p>
    <w:p w14:paraId="0AD5EACE">
      <w:pPr>
        <w:wordWrap w:val="0"/>
        <w:spacing w:line="360" w:lineRule="auto"/>
        <w:jc w:val="center"/>
        <w:rPr>
          <w:rFonts w:ascii="黑体" w:hAnsi="黑体" w:eastAsia="黑体" w:cs="黑体"/>
          <w:b/>
          <w:bCs/>
          <w:color w:val="auto"/>
          <w:sz w:val="44"/>
          <w:szCs w:val="44"/>
          <w:highlight w:val="none"/>
        </w:rPr>
      </w:pPr>
      <w:r>
        <w:rPr>
          <w:rFonts w:hint="eastAsia" w:ascii="黑体" w:hAnsi="黑体" w:eastAsia="黑体" w:cs="黑体"/>
          <w:b/>
          <w:bCs/>
          <w:color w:val="auto"/>
          <w:sz w:val="44"/>
          <w:szCs w:val="44"/>
          <w:highlight w:val="none"/>
        </w:rPr>
        <w:t>（威海电视观光塔文旅项目检测鉴定服务）</w:t>
      </w:r>
    </w:p>
    <w:p w14:paraId="72749732">
      <w:pPr>
        <w:spacing w:line="360" w:lineRule="auto"/>
        <w:jc w:val="center"/>
        <w:rPr>
          <w:rFonts w:ascii="黑体" w:hAnsi="黑体" w:eastAsia="黑体" w:cs="黑体"/>
          <w:color w:val="auto"/>
          <w:sz w:val="28"/>
          <w:szCs w:val="28"/>
          <w:highlight w:val="none"/>
        </w:rPr>
      </w:pPr>
    </w:p>
    <w:p w14:paraId="61845506">
      <w:pPr>
        <w:spacing w:line="360" w:lineRule="auto"/>
        <w:jc w:val="center"/>
        <w:rPr>
          <w:rFonts w:ascii="黑体" w:hAnsi="黑体" w:eastAsia="黑体" w:cs="黑体"/>
          <w:color w:val="auto"/>
          <w:highlight w:val="none"/>
        </w:rPr>
      </w:pPr>
    </w:p>
    <w:p w14:paraId="7A5CF267">
      <w:pPr>
        <w:spacing w:line="360" w:lineRule="auto"/>
        <w:jc w:val="center"/>
        <w:rPr>
          <w:rFonts w:ascii="黑体" w:hAnsi="黑体" w:eastAsia="黑体" w:cs="黑体"/>
          <w:color w:val="auto"/>
          <w:highlight w:val="none"/>
        </w:rPr>
      </w:pPr>
    </w:p>
    <w:p w14:paraId="22D084BD">
      <w:pPr>
        <w:spacing w:line="360" w:lineRule="auto"/>
        <w:jc w:val="center"/>
        <w:rPr>
          <w:rFonts w:ascii="黑体" w:hAnsi="黑体" w:eastAsia="黑体" w:cs="黑体"/>
          <w:color w:val="auto"/>
          <w:highlight w:val="none"/>
        </w:rPr>
      </w:pPr>
    </w:p>
    <w:p w14:paraId="459A3FEC">
      <w:pPr>
        <w:pStyle w:val="28"/>
        <w:spacing w:line="360" w:lineRule="auto"/>
        <w:rPr>
          <w:rFonts w:ascii="黑体" w:hAnsi="黑体" w:eastAsia="黑体" w:cs="黑体"/>
          <w:color w:val="auto"/>
          <w:highlight w:val="none"/>
        </w:rPr>
      </w:pPr>
    </w:p>
    <w:p w14:paraId="4EC9C2B5">
      <w:pPr>
        <w:pStyle w:val="28"/>
        <w:spacing w:line="360" w:lineRule="auto"/>
        <w:rPr>
          <w:rFonts w:ascii="黑体" w:hAnsi="黑体" w:eastAsia="黑体" w:cs="黑体"/>
          <w:color w:val="auto"/>
          <w:highlight w:val="none"/>
        </w:rPr>
      </w:pPr>
    </w:p>
    <w:p w14:paraId="11C91738">
      <w:pPr>
        <w:pStyle w:val="28"/>
        <w:spacing w:line="360" w:lineRule="auto"/>
        <w:rPr>
          <w:rFonts w:ascii="黑体" w:hAnsi="黑体" w:eastAsia="黑体" w:cs="黑体"/>
          <w:color w:val="auto"/>
          <w:highlight w:val="none"/>
        </w:rPr>
      </w:pPr>
    </w:p>
    <w:p w14:paraId="7CE71163">
      <w:pPr>
        <w:wordWrap w:val="0"/>
        <w:spacing w:line="360" w:lineRule="auto"/>
        <w:ind w:firstLine="1280" w:firstLineChars="400"/>
        <w:rPr>
          <w:rFonts w:ascii="黑体" w:hAnsi="黑体" w:eastAsia="黑体" w:cs="黑体"/>
          <w:bCs/>
          <w:color w:val="auto"/>
          <w:sz w:val="32"/>
          <w:szCs w:val="32"/>
          <w:highlight w:val="none"/>
        </w:rPr>
      </w:pPr>
    </w:p>
    <w:p w14:paraId="47E1BCC0">
      <w:pPr>
        <w:wordWrap w:val="0"/>
        <w:spacing w:line="360" w:lineRule="auto"/>
        <w:ind w:firstLine="1280" w:firstLineChars="400"/>
        <w:rPr>
          <w:rFonts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甲方（全称）：威海市环翠区环晟商业经营管理有限公司</w:t>
      </w:r>
    </w:p>
    <w:p w14:paraId="5DE84CC0">
      <w:pPr>
        <w:wordWrap w:val="0"/>
        <w:spacing w:line="360" w:lineRule="auto"/>
        <w:ind w:firstLine="1280" w:firstLineChars="400"/>
        <w:rPr>
          <w:rFonts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乙方（全称）：</w:t>
      </w:r>
    </w:p>
    <w:p w14:paraId="783670EC">
      <w:pPr>
        <w:wordWrap w:val="0"/>
        <w:spacing w:line="360" w:lineRule="auto"/>
        <w:ind w:firstLine="1280" w:firstLineChars="400"/>
        <w:rPr>
          <w:rFonts w:ascii="黑体" w:hAnsi="黑体" w:eastAsia="黑体" w:cs="黑体"/>
          <w:bCs/>
          <w:color w:val="auto"/>
          <w:sz w:val="32"/>
          <w:szCs w:val="32"/>
          <w:highlight w:val="none"/>
          <w:u w:val="single"/>
        </w:rPr>
      </w:pPr>
      <w:bookmarkStart w:id="34" w:name="tip_risk_bookmark_1"/>
      <w:r>
        <w:rPr>
          <w:rFonts w:hint="eastAsia" w:ascii="黑体" w:hAnsi="黑体" w:eastAsia="黑体" w:cs="黑体"/>
          <w:bCs/>
          <w:color w:val="auto"/>
          <w:sz w:val="32"/>
          <w:szCs w:val="32"/>
          <w:highlight w:val="none"/>
        </w:rPr>
        <w:t>签约时间：年月日</w:t>
      </w:r>
      <w:bookmarkEnd w:id="34"/>
    </w:p>
    <w:p w14:paraId="57EFED5E">
      <w:pPr>
        <w:spacing w:line="360" w:lineRule="auto"/>
        <w:jc w:val="center"/>
        <w:rPr>
          <w:rFonts w:ascii="黑体" w:hAnsi="黑体" w:eastAsia="黑体" w:cs="黑体"/>
          <w:color w:val="auto"/>
          <w:highlight w:val="none"/>
        </w:rPr>
      </w:pPr>
    </w:p>
    <w:p w14:paraId="3915F86C">
      <w:pPr>
        <w:pStyle w:val="28"/>
        <w:rPr>
          <w:color w:val="auto"/>
          <w:highlight w:val="none"/>
        </w:rPr>
      </w:pPr>
    </w:p>
    <w:p w14:paraId="628FE995">
      <w:pPr>
        <w:spacing w:line="360" w:lineRule="auto"/>
        <w:jc w:val="center"/>
        <w:rPr>
          <w:rFonts w:ascii="宋体" w:hAnsi="宋体"/>
          <w:b/>
          <w:color w:val="auto"/>
          <w:sz w:val="36"/>
          <w:szCs w:val="36"/>
          <w:highlight w:val="none"/>
        </w:rPr>
      </w:pPr>
      <w:r>
        <w:rPr>
          <w:rFonts w:hint="eastAsia" w:ascii="黑体" w:hAnsi="黑体" w:eastAsia="黑体" w:cs="黑体"/>
          <w:b/>
          <w:color w:val="auto"/>
          <w:sz w:val="44"/>
          <w:szCs w:val="44"/>
          <w:highlight w:val="none"/>
        </w:rPr>
        <w:t>工程检测鉴定服务合同</w:t>
      </w:r>
    </w:p>
    <w:p w14:paraId="35D9068B">
      <w:pPr>
        <w:wordWrap w:val="0"/>
        <w:spacing w:line="360" w:lineRule="auto"/>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甲方：</w:t>
      </w:r>
      <w:r>
        <w:rPr>
          <w:rFonts w:hint="eastAsia" w:ascii="黑体" w:hAnsi="黑体" w:eastAsia="黑体" w:cs="黑体"/>
          <w:bCs/>
          <w:color w:val="auto"/>
          <w:sz w:val="32"/>
          <w:szCs w:val="32"/>
          <w:highlight w:val="none"/>
        </w:rPr>
        <w:t>威海市环翠区环晟商业经营管理有限公司</w:t>
      </w:r>
    </w:p>
    <w:p w14:paraId="65881F17">
      <w:pPr>
        <w:wordWrap w:val="0"/>
        <w:spacing w:line="360" w:lineRule="auto"/>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联系人：</w:t>
      </w:r>
    </w:p>
    <w:p w14:paraId="7844D01B">
      <w:pPr>
        <w:wordWrap w:val="0"/>
        <w:spacing w:line="360" w:lineRule="auto"/>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电话：</w:t>
      </w:r>
    </w:p>
    <w:p w14:paraId="32ECFB1A">
      <w:pPr>
        <w:wordWrap w:val="0"/>
        <w:spacing w:line="360" w:lineRule="auto"/>
        <w:rPr>
          <w:rFonts w:ascii="黑体" w:hAnsi="黑体" w:eastAsia="黑体" w:cs="黑体"/>
          <w:color w:val="auto"/>
          <w:sz w:val="30"/>
          <w:szCs w:val="30"/>
          <w:highlight w:val="none"/>
        </w:rPr>
      </w:pPr>
    </w:p>
    <w:p w14:paraId="056A1219">
      <w:pPr>
        <w:wordWrap w:val="0"/>
        <w:spacing w:line="360" w:lineRule="auto"/>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乙方：</w:t>
      </w:r>
    </w:p>
    <w:p w14:paraId="2E59AEE4">
      <w:pPr>
        <w:wordWrap w:val="0"/>
        <w:spacing w:line="360" w:lineRule="auto"/>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联系人：</w:t>
      </w:r>
    </w:p>
    <w:p w14:paraId="2BB88860">
      <w:pPr>
        <w:pStyle w:val="58"/>
        <w:wordWrap w:val="0"/>
        <w:spacing w:line="360" w:lineRule="auto"/>
        <w:jc w:val="both"/>
        <w:rPr>
          <w:rFonts w:ascii="宋体_x0006_." w:eastAsia="宋体_x0006_." w:cs="宋体_x0006_."/>
          <w:color w:val="auto"/>
          <w:sz w:val="23"/>
          <w:szCs w:val="23"/>
          <w:highlight w:val="none"/>
        </w:rPr>
      </w:pPr>
      <w:r>
        <w:rPr>
          <w:rFonts w:hint="eastAsia" w:ascii="黑体" w:hAnsi="黑体" w:eastAsia="黑体" w:cs="黑体"/>
          <w:color w:val="auto"/>
          <w:sz w:val="30"/>
          <w:szCs w:val="30"/>
          <w:highlight w:val="none"/>
        </w:rPr>
        <w:t>电话：</w:t>
      </w:r>
    </w:p>
    <w:p w14:paraId="73D631D5">
      <w:pPr>
        <w:spacing w:line="360" w:lineRule="auto"/>
        <w:rPr>
          <w:rFonts w:ascii="宋体" w:hAnsi="宋体"/>
          <w:color w:val="auto"/>
          <w:highlight w:val="none"/>
        </w:rPr>
      </w:pPr>
    </w:p>
    <w:p w14:paraId="78C61C41">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根据《中华人民共和国民法典》及国家有关法规规定，结合本工程的具体情况，遵循平等、自愿、公平和诚实信用的原则，双方协商一致，签订本合同，共同遵守。</w:t>
      </w:r>
    </w:p>
    <w:p w14:paraId="172ED6BD">
      <w:pPr>
        <w:spacing w:beforeLines="50" w:line="360" w:lineRule="auto"/>
        <w:ind w:firstLine="560" w:firstLineChars="200"/>
        <w:rPr>
          <w:rFonts w:ascii="黑体" w:hAnsi="黑体" w:eastAsia="黑体" w:cs="黑体"/>
          <w:bCs/>
          <w:color w:val="auto"/>
          <w:sz w:val="28"/>
          <w:szCs w:val="28"/>
          <w:highlight w:val="none"/>
        </w:rPr>
      </w:pPr>
      <w:r>
        <w:rPr>
          <w:rFonts w:hint="eastAsia" w:ascii="黑体" w:hAnsi="黑体" w:eastAsia="黑体" w:cs="黑体"/>
          <w:bCs/>
          <w:color w:val="auto"/>
          <w:sz w:val="28"/>
          <w:szCs w:val="28"/>
          <w:highlight w:val="none"/>
        </w:rPr>
        <w:t>第一条工程概况</w:t>
      </w:r>
    </w:p>
    <w:p w14:paraId="2F899038">
      <w:pPr>
        <w:spacing w:line="360" w:lineRule="auto"/>
        <w:ind w:firstLine="560" w:firstLineChars="200"/>
        <w:rPr>
          <w:rFonts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1.工程名称：</w:t>
      </w:r>
      <w:r>
        <w:rPr>
          <w:rFonts w:hint="eastAsia" w:ascii="仿宋_GB2312" w:hAnsi="仿宋_GB2312" w:eastAsia="仿宋_GB2312" w:cs="仿宋_GB2312"/>
          <w:color w:val="auto"/>
          <w:sz w:val="28"/>
          <w:szCs w:val="28"/>
          <w:highlight w:val="none"/>
          <w:u w:val="single"/>
        </w:rPr>
        <w:t>威海电视观光塔文旅项目检测鉴定服务。</w:t>
      </w:r>
    </w:p>
    <w:p w14:paraId="1C529DDE">
      <w:pPr>
        <w:spacing w:line="360" w:lineRule="auto"/>
        <w:ind w:firstLine="560" w:firstLineChars="200"/>
        <w:rPr>
          <w:rFonts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2.工程地点：</w:t>
      </w:r>
      <w:r>
        <w:rPr>
          <w:rFonts w:hint="eastAsia" w:ascii="仿宋_GB2312" w:hAnsi="仿宋_GB2312" w:eastAsia="仿宋_GB2312" w:cs="仿宋_GB2312"/>
          <w:color w:val="auto"/>
          <w:sz w:val="28"/>
          <w:szCs w:val="28"/>
          <w:highlight w:val="none"/>
          <w:u w:val="single"/>
        </w:rPr>
        <w:t>威海市环翠区</w:t>
      </w:r>
    </w:p>
    <w:p w14:paraId="365923AB">
      <w:pPr>
        <w:spacing w:line="360" w:lineRule="auto"/>
        <w:ind w:firstLine="560" w:firstLineChars="200"/>
        <w:rPr>
          <w:rFonts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3.</w:t>
      </w:r>
      <w:bookmarkStart w:id="35" w:name="tip_risk_bookmark_2"/>
      <w:r>
        <w:rPr>
          <w:rFonts w:hint="eastAsia" w:ascii="仿宋_GB2312" w:hAnsi="仿宋_GB2312" w:eastAsia="仿宋_GB2312" w:cs="仿宋_GB2312"/>
          <w:color w:val="auto"/>
          <w:sz w:val="28"/>
          <w:szCs w:val="28"/>
          <w:highlight w:val="none"/>
        </w:rPr>
        <w:t>工程规模：</w:t>
      </w:r>
      <w:r>
        <w:rPr>
          <w:rFonts w:hint="eastAsia" w:ascii="仿宋_GB2312" w:hAnsi="仿宋_GB2312" w:eastAsia="仿宋_GB2312" w:cs="仿宋_GB2312"/>
          <w:color w:val="auto"/>
          <w:sz w:val="28"/>
          <w:szCs w:val="28"/>
          <w:highlight w:val="none"/>
          <w:u w:val="single"/>
        </w:rPr>
        <w:t>本项目包括1座电视调频塔及2栋多层附房。电视调频塔总高约122.9m，钢结构，建筑面积1296</w:t>
      </w:r>
      <w:r>
        <w:rPr>
          <w:rFonts w:hint="eastAsia" w:ascii="Segoe UI Symbol" w:hAnsi="Segoe UI Symbol" w:eastAsia="Segoe UI Symbol" w:cs="Segoe UI Symbol"/>
          <w:color w:val="auto"/>
          <w:sz w:val="28"/>
          <w:szCs w:val="28"/>
          <w:highlight w:val="none"/>
          <w:u w:val="single"/>
        </w:rPr>
        <w:t>㎡</w:t>
      </w:r>
      <w:r>
        <w:rPr>
          <w:rFonts w:hint="eastAsia" w:ascii="仿宋_GB2312" w:hAnsi="仿宋_GB2312" w:eastAsia="仿宋_GB2312" w:cs="仿宋_GB2312"/>
          <w:color w:val="auto"/>
          <w:sz w:val="28"/>
          <w:szCs w:val="28"/>
          <w:highlight w:val="none"/>
          <w:u w:val="single"/>
        </w:rPr>
        <w:t>。2栋附房均为2层砖混结构，建筑面积分别约为238</w:t>
      </w:r>
      <w:r>
        <w:rPr>
          <w:rFonts w:hint="eastAsia" w:ascii="Segoe UI Symbol" w:hAnsi="Segoe UI Symbol" w:eastAsia="Segoe UI Symbol" w:cs="Segoe UI Symbol"/>
          <w:color w:val="auto"/>
          <w:sz w:val="28"/>
          <w:szCs w:val="28"/>
          <w:highlight w:val="none"/>
          <w:u w:val="single"/>
        </w:rPr>
        <w:t>㎡</w:t>
      </w:r>
      <w:r>
        <w:rPr>
          <w:rFonts w:hint="eastAsia" w:ascii="仿宋_GB2312" w:hAnsi="仿宋_GB2312" w:eastAsia="仿宋_GB2312" w:cs="仿宋_GB2312"/>
          <w:color w:val="auto"/>
          <w:sz w:val="28"/>
          <w:szCs w:val="28"/>
          <w:highlight w:val="none"/>
          <w:u w:val="single"/>
        </w:rPr>
        <w:t>、540</w:t>
      </w:r>
      <w:r>
        <w:rPr>
          <w:rFonts w:hint="eastAsia" w:ascii="Segoe UI Symbol" w:hAnsi="Segoe UI Symbol" w:eastAsia="Segoe UI Symbol" w:cs="Segoe UI Symbol"/>
          <w:color w:val="auto"/>
          <w:sz w:val="28"/>
          <w:szCs w:val="28"/>
          <w:highlight w:val="none"/>
          <w:u w:val="single"/>
        </w:rPr>
        <w:t>㎡</w:t>
      </w:r>
      <w:r>
        <w:rPr>
          <w:rFonts w:hint="eastAsia" w:ascii="仿宋_GB2312" w:hAnsi="仿宋_GB2312" w:eastAsia="仿宋_GB2312" w:cs="仿宋_GB2312"/>
          <w:color w:val="auto"/>
          <w:sz w:val="28"/>
          <w:szCs w:val="28"/>
          <w:highlight w:val="none"/>
          <w:u w:val="single"/>
        </w:rPr>
        <w:t>。</w:t>
      </w:r>
      <w:bookmarkEnd w:id="35"/>
    </w:p>
    <w:p w14:paraId="5769754A">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w:t>
      </w:r>
      <w:bookmarkStart w:id="36" w:name="auto_fouce_3"/>
      <w:r>
        <w:rPr>
          <w:rFonts w:hint="eastAsia" w:ascii="仿宋_GB2312" w:hAnsi="仿宋_GB2312" w:eastAsia="仿宋_GB2312" w:cs="仿宋_GB2312"/>
          <w:color w:val="auto"/>
          <w:sz w:val="28"/>
          <w:szCs w:val="28"/>
          <w:highlight w:val="none"/>
        </w:rPr>
        <w:t>检测内容：</w:t>
      </w:r>
      <w:bookmarkEnd w:id="36"/>
      <w:r>
        <w:rPr>
          <w:rFonts w:hint="eastAsia" w:ascii="仿宋_GB2312" w:hAnsi="仿宋_GB2312" w:eastAsia="仿宋_GB2312" w:cs="仿宋_GB2312"/>
          <w:color w:val="auto"/>
          <w:sz w:val="28"/>
          <w:szCs w:val="28"/>
          <w:highlight w:val="none"/>
          <w:u w:val="single"/>
        </w:rPr>
        <w:t>本项目包含对威海电视观光塔整体工程进行检测鉴定工作。负责对建筑的地基基础、上部承重结构、节点连接、防腐涂层、围护结构等进行全面的安全性检测与鉴定，并对改造可行性进行分析，能为后续改造设计提供依据，满足项目当地图纸审查机构的要求。</w:t>
      </w:r>
    </w:p>
    <w:p w14:paraId="36A8A8B7">
      <w:pPr>
        <w:spacing w:beforeLines="50" w:line="360" w:lineRule="auto"/>
        <w:ind w:firstLine="560" w:firstLineChars="200"/>
        <w:rPr>
          <w:rFonts w:ascii="黑体" w:hAnsi="黑体" w:eastAsia="黑体" w:cs="黑体"/>
          <w:bCs/>
          <w:color w:val="auto"/>
          <w:sz w:val="28"/>
          <w:szCs w:val="28"/>
          <w:highlight w:val="none"/>
        </w:rPr>
      </w:pPr>
      <w:r>
        <w:rPr>
          <w:rFonts w:hint="eastAsia" w:ascii="黑体" w:hAnsi="黑体" w:eastAsia="黑体" w:cs="黑体"/>
          <w:bCs/>
          <w:color w:val="auto"/>
          <w:sz w:val="28"/>
          <w:szCs w:val="28"/>
          <w:highlight w:val="none"/>
        </w:rPr>
        <w:t>第二条工期及成果报告</w:t>
      </w:r>
    </w:p>
    <w:p w14:paraId="13E4795E">
      <w:pPr>
        <w:wordWrap w:val="0"/>
        <w:snapToGrid w:val="0"/>
        <w:spacing w:line="360" w:lineRule="auto"/>
        <w:ind w:firstLine="420" w:firstLineChars="15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bookmarkStart w:id="37" w:name="tip_risk_bookmark_4"/>
      <w:r>
        <w:rPr>
          <w:rFonts w:hint="eastAsia" w:ascii="仿宋_GB2312" w:hAnsi="仿宋_GB2312" w:eastAsia="仿宋_GB2312" w:cs="仿宋_GB2312"/>
          <w:color w:val="auto"/>
          <w:sz w:val="28"/>
          <w:szCs w:val="28"/>
          <w:highlight w:val="none"/>
        </w:rPr>
        <w:t>检测鉴定服务周期：自年月日始，至检测鉴定服务完成。（以甲方下达的开工通知时间为准）</w:t>
      </w:r>
      <w:bookmarkEnd w:id="37"/>
    </w:p>
    <w:p w14:paraId="2640F075">
      <w:pPr>
        <w:wordWrap w:val="0"/>
        <w:snapToGrid w:val="0"/>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bookmarkStart w:id="38" w:name="tip_risk_bookmark_5"/>
      <w:r>
        <w:rPr>
          <w:rFonts w:hint="eastAsia" w:ascii="仿宋_GB2312" w:hAnsi="仿宋_GB2312" w:eastAsia="仿宋_GB2312" w:cs="仿宋_GB2312"/>
          <w:color w:val="auto"/>
          <w:sz w:val="28"/>
          <w:szCs w:val="28"/>
          <w:highlight w:val="none"/>
        </w:rPr>
        <w:t>检测鉴定总日历天数天。</w:t>
      </w:r>
      <w:bookmarkEnd w:id="38"/>
    </w:p>
    <w:p w14:paraId="12659B62">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w:t>
      </w:r>
      <w:bookmarkStart w:id="39" w:name="auto_fouce_6"/>
      <w:r>
        <w:rPr>
          <w:rFonts w:hint="eastAsia" w:ascii="仿宋_GB2312" w:hAnsi="仿宋_GB2312" w:eastAsia="仿宋_GB2312" w:cs="仿宋_GB2312"/>
          <w:color w:val="auto"/>
          <w:sz w:val="28"/>
          <w:szCs w:val="28"/>
          <w:highlight w:val="none"/>
        </w:rPr>
        <w:t>所有检测鉴定报告（含初步报告）的提交时间必须满足本项目施工现场检验和验收的时间要求，检测完成后7日内提供正式报告一式四份。</w:t>
      </w:r>
      <w:bookmarkEnd w:id="39"/>
    </w:p>
    <w:p w14:paraId="40985AEF">
      <w:pPr>
        <w:spacing w:beforeLines="50" w:line="360" w:lineRule="auto"/>
        <w:ind w:firstLine="560" w:firstLineChars="200"/>
        <w:rPr>
          <w:rFonts w:ascii="黑体" w:hAnsi="黑体" w:eastAsia="黑体" w:cs="黑体"/>
          <w:bCs/>
          <w:color w:val="auto"/>
          <w:sz w:val="28"/>
          <w:szCs w:val="28"/>
          <w:highlight w:val="none"/>
        </w:rPr>
      </w:pPr>
      <w:r>
        <w:rPr>
          <w:rFonts w:hint="eastAsia" w:ascii="黑体" w:hAnsi="黑体" w:eastAsia="黑体" w:cs="黑体"/>
          <w:bCs/>
          <w:color w:val="auto"/>
          <w:sz w:val="28"/>
          <w:szCs w:val="28"/>
          <w:highlight w:val="none"/>
        </w:rPr>
        <w:t>第三条质量标准</w:t>
      </w:r>
    </w:p>
    <w:p w14:paraId="700AE130">
      <w:pPr>
        <w:pStyle w:val="28"/>
        <w:rPr>
          <w:rFonts w:ascii="仿宋_GB2312" w:hAnsi="仿宋_GB2312" w:eastAsia="仿宋_GB2312" w:cs="仿宋_GB2312"/>
          <w:color w:val="auto"/>
          <w:szCs w:val="28"/>
          <w:highlight w:val="none"/>
        </w:rPr>
      </w:pPr>
      <w:bookmarkStart w:id="40" w:name="tip_risk_bookmark_7"/>
      <w:r>
        <w:rPr>
          <w:rFonts w:hint="eastAsia" w:ascii="仿宋_GB2312" w:hAnsi="仿宋_GB2312" w:eastAsia="仿宋_GB2312" w:cs="仿宋_GB2312"/>
          <w:color w:val="auto"/>
          <w:szCs w:val="28"/>
          <w:highlight w:val="none"/>
        </w:rPr>
        <w:t>按招标文件要求及乙方投标文件承诺执行。</w:t>
      </w:r>
      <w:bookmarkEnd w:id="40"/>
    </w:p>
    <w:p w14:paraId="1D6BF593">
      <w:pPr>
        <w:spacing w:beforeLines="50" w:line="360" w:lineRule="auto"/>
        <w:ind w:firstLine="560" w:firstLineChars="200"/>
        <w:rPr>
          <w:rFonts w:ascii="黑体" w:hAnsi="黑体" w:eastAsia="黑体" w:cs="黑体"/>
          <w:bCs/>
          <w:color w:val="auto"/>
          <w:sz w:val="28"/>
          <w:szCs w:val="28"/>
          <w:highlight w:val="none"/>
        </w:rPr>
      </w:pPr>
      <w:r>
        <w:rPr>
          <w:rFonts w:hint="eastAsia" w:ascii="黑体" w:hAnsi="黑体" w:eastAsia="黑体" w:cs="黑体"/>
          <w:bCs/>
          <w:color w:val="auto"/>
          <w:sz w:val="28"/>
          <w:szCs w:val="28"/>
          <w:highlight w:val="none"/>
        </w:rPr>
        <w:t>第四条检测鉴定费用和支付方式</w:t>
      </w:r>
    </w:p>
    <w:p w14:paraId="7AF86148">
      <w:pPr>
        <w:pStyle w:val="28"/>
        <w:spacing w:line="360" w:lineRule="auto"/>
        <w:ind w:firstLine="560" w:firstLineChars="200"/>
        <w:rPr>
          <w:rFonts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1.</w:t>
      </w:r>
      <w:bookmarkStart w:id="41" w:name="tip_risk_bookmark_9"/>
      <w:bookmarkStart w:id="42" w:name="tip_risk_bookmark_8"/>
      <w:r>
        <w:rPr>
          <w:rFonts w:hint="eastAsia" w:ascii="仿宋_GB2312" w:hAnsi="仿宋_GB2312" w:eastAsia="仿宋_GB2312" w:cs="仿宋_GB2312"/>
          <w:color w:val="auto"/>
          <w:szCs w:val="28"/>
          <w:highlight w:val="none"/>
        </w:rPr>
        <w:t>签约酬金（大写）：（</w:t>
      </w:r>
      <w:r>
        <w:rPr>
          <w:rFonts w:hint="eastAsia" w:ascii="宋体" w:hAnsi="宋体" w:cs="宋体"/>
          <w:color w:val="auto"/>
          <w:szCs w:val="28"/>
          <w:highlight w:val="none"/>
          <w:u w:val="single"/>
        </w:rPr>
        <w:t>¥</w:t>
      </w:r>
      <w:r>
        <w:rPr>
          <w:rFonts w:hint="eastAsia" w:ascii="仿宋_GB2312" w:hAnsi="仿宋_GB2312" w:eastAsia="仿宋_GB2312" w:cs="仿宋_GB2312"/>
          <w:color w:val="auto"/>
          <w:szCs w:val="28"/>
          <w:highlight w:val="none"/>
          <w:u w:val="single"/>
        </w:rPr>
        <w:t>元</w:t>
      </w:r>
      <w:r>
        <w:rPr>
          <w:rFonts w:hint="eastAsia" w:ascii="仿宋_GB2312" w:hAnsi="仿宋_GB2312" w:eastAsia="仿宋_GB2312" w:cs="仿宋_GB2312"/>
          <w:color w:val="auto"/>
          <w:szCs w:val="28"/>
          <w:highlight w:val="none"/>
        </w:rPr>
        <w:t>）；</w:t>
      </w:r>
      <w:bookmarkEnd w:id="41"/>
    </w:p>
    <w:p w14:paraId="79AFCDB7">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不含税金额为（大写）：（</w:t>
      </w:r>
      <w:r>
        <w:rPr>
          <w:rFonts w:hint="eastAsia" w:ascii="宋体" w:hAnsi="宋体" w:cs="宋体"/>
          <w:color w:val="auto"/>
          <w:sz w:val="28"/>
          <w:szCs w:val="28"/>
          <w:highlight w:val="none"/>
          <w:u w:val="single"/>
        </w:rPr>
        <w:t>¥</w:t>
      </w:r>
      <w:r>
        <w:rPr>
          <w:rFonts w:hint="eastAsia" w:ascii="仿宋_GB2312" w:hAnsi="仿宋_GB2312" w:eastAsia="仿宋_GB2312" w:cs="仿宋_GB2312"/>
          <w:color w:val="auto"/>
          <w:sz w:val="28"/>
          <w:szCs w:val="28"/>
          <w:highlight w:val="none"/>
          <w:u w:val="single"/>
        </w:rPr>
        <w:t>元</w:t>
      </w:r>
      <w:r>
        <w:rPr>
          <w:rFonts w:hint="eastAsia" w:ascii="仿宋_GB2312" w:hAnsi="仿宋_GB2312" w:eastAsia="仿宋_GB2312" w:cs="仿宋_GB2312"/>
          <w:color w:val="auto"/>
          <w:sz w:val="28"/>
          <w:szCs w:val="28"/>
          <w:highlight w:val="none"/>
        </w:rPr>
        <w:t>）。</w:t>
      </w:r>
      <w:bookmarkEnd w:id="42"/>
    </w:p>
    <w:p w14:paraId="5A121CBA">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bookmarkStart w:id="43" w:name="auto_fouce_10"/>
      <w:r>
        <w:rPr>
          <w:rFonts w:hint="eastAsia" w:ascii="仿宋_GB2312" w:hAnsi="仿宋_GB2312" w:eastAsia="仿宋_GB2312" w:cs="仿宋_GB2312"/>
          <w:color w:val="auto"/>
          <w:sz w:val="28"/>
          <w:szCs w:val="28"/>
          <w:highlight w:val="none"/>
        </w:rPr>
        <w:t>最终结算金额以甲方委托的造价咨询机构出具的结算报告为准，乙方承诺认可该造价咨询机构出具的结算报告。乙方若对结算报告有异议，应于收到报告之日起7个工作日内以书面形式向甲方提出并附相关佐证材料，逾期未提出的，视为乙方完全认可结算报告内容，不得再提出任何异议。</w:t>
      </w:r>
      <w:bookmarkEnd w:id="43"/>
    </w:p>
    <w:p w14:paraId="1D920B16">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w:t>
      </w:r>
      <w:bookmarkStart w:id="44" w:name="auto_fouce_11"/>
      <w:r>
        <w:rPr>
          <w:rFonts w:hint="eastAsia" w:ascii="仿宋_GB2312" w:hAnsi="仿宋_GB2312" w:eastAsia="仿宋_GB2312" w:cs="仿宋_GB2312"/>
          <w:color w:val="auto"/>
          <w:sz w:val="28"/>
          <w:szCs w:val="28"/>
          <w:highlight w:val="none"/>
        </w:rPr>
        <w:t>支付方式：</w:t>
      </w:r>
      <w:bookmarkEnd w:id="44"/>
      <w:r>
        <w:rPr>
          <w:rFonts w:hint="eastAsia" w:ascii="仿宋_GB2312" w:hAnsi="仿宋_GB2312" w:eastAsia="仿宋_GB2312" w:cs="仿宋_GB2312"/>
          <w:color w:val="auto"/>
          <w:sz w:val="28"/>
          <w:szCs w:val="28"/>
          <w:highlight w:val="none"/>
        </w:rPr>
        <w:t>签订服务合同后甲方支付30%预付款，全部服务完成并经甲方验收合格后支付合同总价的50%，经甲方委托的造价咨询机构审定并出具正式报告后支付合同总价的10%，余款10%留作质保金，检测鉴定项目所属工程整体竣工验收合格后无息付清。</w:t>
      </w:r>
    </w:p>
    <w:p w14:paraId="6DA63EB3">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付款前，乙方应提供符合要求的增值税专用发票，甲方可以选择以人民币或银行承兑汇票等方式付款，如乙方逾期提供支付单据，甲方可顺延付款且不承担任何逾期付款违约责任。</w:t>
      </w:r>
    </w:p>
    <w:p w14:paraId="26F68561">
      <w:pPr>
        <w:spacing w:beforeLines="50" w:line="360" w:lineRule="auto"/>
        <w:ind w:firstLine="560" w:firstLineChars="200"/>
        <w:rPr>
          <w:rFonts w:ascii="黑体" w:hAnsi="黑体" w:eastAsia="黑体" w:cs="黑体"/>
          <w:color w:val="auto"/>
          <w:sz w:val="28"/>
          <w:szCs w:val="28"/>
          <w:highlight w:val="none"/>
        </w:rPr>
      </w:pPr>
      <w:bookmarkStart w:id="45" w:name="_Toc371489387"/>
      <w:r>
        <w:rPr>
          <w:rFonts w:hint="eastAsia" w:ascii="黑体" w:hAnsi="黑体" w:eastAsia="黑体" w:cs="黑体"/>
          <w:color w:val="auto"/>
          <w:sz w:val="28"/>
          <w:szCs w:val="28"/>
          <w:highlight w:val="none"/>
        </w:rPr>
        <w:t>第五条组成本合同的文件</w:t>
      </w:r>
      <w:bookmarkEnd w:id="45"/>
    </w:p>
    <w:p w14:paraId="7345ACAB">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1.本合同书；</w:t>
      </w:r>
    </w:p>
    <w:p w14:paraId="6043679B">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2.中标通知书/成交通知书（如果有）；</w:t>
      </w:r>
    </w:p>
    <w:p w14:paraId="0BFB1087">
      <w:pPr>
        <w:spacing w:line="360" w:lineRule="auto"/>
        <w:ind w:firstLine="560" w:firstLineChars="200"/>
        <w:rPr>
          <w:rFonts w:ascii="仿宋_GB2312" w:hAnsi="仿宋_GB2312" w:eastAsia="仿宋_GB2312" w:cs="仿宋_GB2312"/>
          <w:iCs/>
          <w:color w:val="auto"/>
          <w:sz w:val="28"/>
          <w:szCs w:val="28"/>
          <w:highlight w:val="none"/>
        </w:rPr>
      </w:pPr>
      <w:r>
        <w:rPr>
          <w:rFonts w:hint="eastAsia" w:ascii="仿宋_GB2312" w:hAnsi="仿宋_GB2312" w:eastAsia="仿宋_GB2312" w:cs="仿宋_GB2312"/>
          <w:color w:val="auto"/>
          <w:sz w:val="28"/>
          <w:szCs w:val="28"/>
          <w:highlight w:val="none"/>
        </w:rPr>
        <w:t>3.招投标文件及其附件/磋商文件、响应文件及其附件（如果有）；</w:t>
      </w:r>
    </w:p>
    <w:p w14:paraId="1140188B">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4.标准、规范及有关技术文件；</w:t>
      </w:r>
    </w:p>
    <w:p w14:paraId="0822366A">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5.双方依法签订的补充协议。</w:t>
      </w:r>
    </w:p>
    <w:p w14:paraId="14E9572F">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上述各项合同文件包括合同当事人就该项合同文件所作出的补充和修改，属于同一类内容的文件，应以最新签署的为准。</w:t>
      </w:r>
    </w:p>
    <w:p w14:paraId="1D7B1BA7">
      <w:pPr>
        <w:spacing w:beforeLines="50" w:line="360" w:lineRule="auto"/>
        <w:ind w:firstLine="560" w:firstLineChars="200"/>
        <w:rPr>
          <w:rFonts w:ascii="黑体" w:hAnsi="黑体" w:eastAsia="黑体" w:cs="黑体"/>
          <w:bCs/>
          <w:color w:val="auto"/>
          <w:sz w:val="28"/>
          <w:szCs w:val="28"/>
          <w:highlight w:val="none"/>
        </w:rPr>
      </w:pPr>
      <w:r>
        <w:rPr>
          <w:rFonts w:hint="eastAsia" w:ascii="黑体" w:hAnsi="黑体" w:eastAsia="黑体" w:cs="黑体"/>
          <w:bCs/>
          <w:color w:val="auto"/>
          <w:sz w:val="28"/>
          <w:szCs w:val="28"/>
          <w:highlight w:val="none"/>
        </w:rPr>
        <w:t>第六条甲方权利义务</w:t>
      </w:r>
    </w:p>
    <w:p w14:paraId="68BA0CA8">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w:t>
      </w:r>
      <w:bookmarkStart w:id="46" w:name="auto_fouce_12"/>
      <w:r>
        <w:rPr>
          <w:rFonts w:hint="eastAsia" w:ascii="仿宋_GB2312" w:hAnsi="仿宋_GB2312" w:eastAsia="仿宋_GB2312" w:cs="仿宋_GB2312"/>
          <w:color w:val="auto"/>
          <w:sz w:val="28"/>
          <w:szCs w:val="28"/>
          <w:highlight w:val="none"/>
        </w:rPr>
        <w:t>及时提供甲方持有的、与本次约定检测鉴定事项相关的必要资料。</w:t>
      </w:r>
      <w:bookmarkEnd w:id="46"/>
    </w:p>
    <w:p w14:paraId="3261DC09">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bookmarkStart w:id="47" w:name="auto_fouce_13"/>
      <w:r>
        <w:rPr>
          <w:rFonts w:hint="eastAsia" w:ascii="仿宋_GB2312" w:hAnsi="仿宋_GB2312" w:eastAsia="仿宋_GB2312" w:cs="仿宋_GB2312"/>
          <w:color w:val="auto"/>
          <w:sz w:val="28"/>
          <w:szCs w:val="28"/>
          <w:highlight w:val="none"/>
        </w:rPr>
        <w:t>保证乙方检测鉴定人员顺利进入现场工作，并为乙方检测鉴定人员进入现场开展合同约定的检测工作提供必要协助，乙方开展检测鉴定所需的全部设备、工具、耗材等均由乙方自行筹备承担。</w:t>
      </w:r>
    </w:p>
    <w:bookmarkEnd w:id="47"/>
    <w:p w14:paraId="4E013ED2">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w:t>
      </w:r>
      <w:bookmarkStart w:id="48" w:name="auto_fouce_14"/>
      <w:r>
        <w:rPr>
          <w:rFonts w:hint="eastAsia" w:ascii="仿宋_GB2312" w:hAnsi="仿宋_GB2312" w:eastAsia="仿宋_GB2312" w:cs="仿宋_GB2312"/>
          <w:color w:val="auto"/>
          <w:sz w:val="28"/>
          <w:szCs w:val="28"/>
          <w:highlight w:val="none"/>
        </w:rPr>
        <w:t>对于不称职的检测鉴定人员，甲方有权要求更换，乙方必须在3日内更换。乙方如未能按时更换，每人每次应向甲方支付5000元违约金，并承担给甲方造成的一切损失。乙方无正当理由拒绝更换的，每出现一次，应向甲方支付50000元违约金，并承担给甲方造成的一切损失。</w:t>
      </w:r>
      <w:bookmarkEnd w:id="48"/>
    </w:p>
    <w:p w14:paraId="1B33C503">
      <w:pPr>
        <w:pStyle w:val="28"/>
        <w:ind w:firstLine="560" w:firstLineChars="200"/>
        <w:rPr>
          <w:rFonts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4.有权对检测鉴定成果进行验收。</w:t>
      </w:r>
    </w:p>
    <w:p w14:paraId="585165FA">
      <w:pPr>
        <w:spacing w:beforeLines="50" w:line="360" w:lineRule="auto"/>
        <w:ind w:firstLine="560" w:firstLineChars="200"/>
        <w:rPr>
          <w:rFonts w:ascii="黑体" w:hAnsi="黑体" w:eastAsia="黑体" w:cs="黑体"/>
          <w:bCs/>
          <w:color w:val="auto"/>
          <w:sz w:val="28"/>
          <w:szCs w:val="28"/>
          <w:highlight w:val="none"/>
        </w:rPr>
      </w:pPr>
      <w:r>
        <w:rPr>
          <w:rFonts w:hint="eastAsia" w:ascii="黑体" w:hAnsi="黑体" w:eastAsia="黑体" w:cs="黑体"/>
          <w:bCs/>
          <w:color w:val="auto"/>
          <w:sz w:val="28"/>
          <w:szCs w:val="28"/>
          <w:highlight w:val="none"/>
        </w:rPr>
        <w:t>第七条乙方权利义务</w:t>
      </w:r>
    </w:p>
    <w:p w14:paraId="44C04E80">
      <w:pPr>
        <w:pStyle w:val="2"/>
        <w:ind w:firstLine="840" w:firstLineChars="300"/>
        <w:rPr>
          <w:color w:val="auto"/>
          <w:highlight w:val="none"/>
        </w:rPr>
      </w:pPr>
      <w:r>
        <w:rPr>
          <w:rFonts w:hint="eastAsia" w:ascii="仿宋_GB2312" w:hAnsi="仿宋_GB2312" w:eastAsia="仿宋_GB2312" w:cs="仿宋_GB2312"/>
          <w:color w:val="auto"/>
          <w:sz w:val="28"/>
          <w:szCs w:val="28"/>
          <w:highlight w:val="none"/>
        </w:rPr>
        <w:t>1.乙方严格按照有关技术规范、标准及合同约定开展检测鉴定工作，按时将检测的数据和最终结果以检测鉴定报告的形式交予甲方，并对提交的检测报告的质量负责。</w:t>
      </w:r>
      <w:bookmarkStart w:id="49" w:name="auto_fouce_15"/>
      <w:bookmarkEnd w:id="49"/>
      <w:r>
        <w:rPr>
          <w:rFonts w:hint="eastAsia" w:ascii="仿宋_GB2312" w:hAnsi="仿宋_GB2312" w:eastAsia="仿宋_GB2312" w:cs="仿宋_GB2312"/>
          <w:color w:val="auto"/>
          <w:kern w:val="2"/>
          <w:sz w:val="28"/>
          <w:szCs w:val="28"/>
          <w:highlight w:val="none"/>
        </w:rPr>
        <w:t>本次检测鉴定过程中形成的全部原始数据、中间成果、衍生数据及相关知识产权均归甲方独家所有，乙方不得擅自留存、复制、使用或向任何第三方泄露。</w:t>
      </w:r>
    </w:p>
    <w:p w14:paraId="5E3324A3">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2.乙方应保证检测鉴定结果的真实性、科学性、完整性、准确性，试验检测如发生不合格项，应第一时间通知甲方。</w:t>
      </w:r>
    </w:p>
    <w:p w14:paraId="0E44A8F4">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w:t>
      </w:r>
      <w:bookmarkStart w:id="50" w:name="auto_fouce_17"/>
      <w:r>
        <w:rPr>
          <w:rFonts w:hint="eastAsia" w:ascii="仿宋_GB2312" w:hAnsi="仿宋_GB2312" w:eastAsia="仿宋_GB2312" w:cs="仿宋_GB2312"/>
          <w:color w:val="auto"/>
          <w:sz w:val="28"/>
          <w:szCs w:val="28"/>
          <w:highlight w:val="none"/>
        </w:rPr>
        <w:t>乙方对于甲方提供的资料应妥善保管，用后及时全部归还。在此期间如果有遗失，乙方负全部责任。对于本合同项下的图纸、检测成果及技术资料，乙方有永久保密义务，除非相关信息已被合法公开。乙方仅可为履行本合同之目的使用该等资料，未经甲方书面同意，不得向任何第三人提供、泄露或用于其他任何用途。</w:t>
      </w:r>
      <w:bookmarkEnd w:id="50"/>
    </w:p>
    <w:p w14:paraId="0FA546E4">
      <w:pPr>
        <w:pStyle w:val="28"/>
        <w:ind w:firstLine="560" w:firstLineChars="200"/>
        <w:rPr>
          <w:rFonts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4.对于甲方提出的有关检测鉴定结果的疑问，乙方及时进行解释、复核。如复核后仍不符合合同要求的，甲方有权委托第三方机构开展检测鉴定，产生的全部费用由乙方承担。</w:t>
      </w:r>
    </w:p>
    <w:p w14:paraId="634C5808">
      <w:pPr>
        <w:snapToGrid w:val="0"/>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w:t>
      </w:r>
      <w:bookmarkStart w:id="51" w:name="auto_fouce_19"/>
      <w:r>
        <w:rPr>
          <w:rFonts w:hint="eastAsia" w:ascii="仿宋_GB2312" w:hAnsi="仿宋_GB2312" w:eastAsia="仿宋_GB2312" w:cs="仿宋_GB2312"/>
          <w:color w:val="auto"/>
          <w:sz w:val="28"/>
          <w:szCs w:val="28"/>
          <w:highlight w:val="none"/>
        </w:rPr>
        <w:t>乙方应加强自身的安全管理，若在工程承包范围内发生安全事故由乙方负责，因此发生的人身伤害、财产损失等由乙方自行承担一切法律责任及经济损失。</w:t>
      </w:r>
      <w:bookmarkEnd w:id="51"/>
    </w:p>
    <w:p w14:paraId="349B2A2E">
      <w:pPr>
        <w:spacing w:beforeLines="50" w:line="360" w:lineRule="auto"/>
        <w:ind w:firstLine="560" w:firstLineChars="200"/>
        <w:rPr>
          <w:rFonts w:ascii="黑体" w:hAnsi="黑体" w:eastAsia="黑体" w:cs="黑体"/>
          <w:bCs/>
          <w:color w:val="auto"/>
          <w:sz w:val="28"/>
          <w:szCs w:val="28"/>
          <w:highlight w:val="none"/>
        </w:rPr>
      </w:pPr>
      <w:r>
        <w:rPr>
          <w:rFonts w:hint="eastAsia" w:ascii="黑体" w:hAnsi="黑体" w:eastAsia="黑体" w:cs="黑体"/>
          <w:bCs/>
          <w:color w:val="auto"/>
          <w:sz w:val="28"/>
          <w:szCs w:val="28"/>
          <w:highlight w:val="none"/>
        </w:rPr>
        <w:t>第八条违约责任</w:t>
      </w:r>
    </w:p>
    <w:p w14:paraId="78E10836">
      <w:pPr>
        <w:spacing w:line="360" w:lineRule="auto"/>
        <w:ind w:firstLine="560"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1.由于甲方原因未能按期发出开工、复工通知，造成乙方停工、窝工的，检测工期顺延，但甲方无需承担由此延误的工期和（或）增加的费用，且甲方无需支付乙方增加的费用。</w:t>
      </w:r>
    </w:p>
    <w:p w14:paraId="11438100">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bookmarkStart w:id="52" w:name="auto_fouce_21"/>
      <w:r>
        <w:rPr>
          <w:rFonts w:hint="eastAsia" w:ascii="仿宋_GB2312" w:hAnsi="仿宋_GB2312" w:eastAsia="仿宋_GB2312" w:cs="仿宋_GB2312"/>
          <w:color w:val="auto"/>
          <w:sz w:val="28"/>
          <w:szCs w:val="28"/>
          <w:highlight w:val="none"/>
        </w:rPr>
        <w:t>乙方检测鉴定不符合规定或合同约定，乙方应负责补检，若乙方未能补充完善，需另委托其他单位时，乙方应承担全部检测费用。</w:t>
      </w:r>
      <w:bookmarkEnd w:id="52"/>
    </w:p>
    <w:p w14:paraId="4AC1F8AE">
      <w:pPr>
        <w:spacing w:line="360" w:lineRule="auto"/>
        <w:ind w:firstLine="562"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
          <w:color w:val="auto"/>
          <w:sz w:val="28"/>
          <w:szCs w:val="28"/>
          <w:highlight w:val="none"/>
        </w:rPr>
        <w:t>3.</w:t>
      </w:r>
      <w:bookmarkStart w:id="53" w:name="auto_fouce_22"/>
      <w:r>
        <w:rPr>
          <w:rFonts w:hint="eastAsia" w:ascii="仿宋_GB2312" w:hAnsi="仿宋_GB2312" w:eastAsia="仿宋_GB2312" w:cs="仿宋_GB2312"/>
          <w:bCs/>
          <w:color w:val="auto"/>
          <w:sz w:val="28"/>
          <w:szCs w:val="28"/>
          <w:highlight w:val="none"/>
        </w:rPr>
        <w:t>乙方存在下列情形，除应负法律责任和免收检测鉴定费外，还应按照检测鉴定费用的30%向甲方支付违约金，给甲方造成损失的赔偿由此给甲方、施工方造成的全部损失（包括直接损失与间接损失，以及甲方因此丧失的预期利益），包括但不限于甲方、施工方的经济损失、违约金、对第三方的赔付或相关部门的罚款及甲方因此而支付的审计费、评估费、律师费、保全担保费、诉讼费、差旅费等全部费用</w:t>
      </w:r>
      <w:bookmarkEnd w:id="53"/>
      <w:r>
        <w:rPr>
          <w:rFonts w:hint="eastAsia" w:ascii="仿宋_GB2312" w:hAnsi="仿宋_GB2312" w:eastAsia="仿宋_GB2312" w:cs="仿宋_GB2312"/>
          <w:bCs/>
          <w:color w:val="auto"/>
          <w:sz w:val="28"/>
          <w:szCs w:val="28"/>
          <w:highlight w:val="none"/>
        </w:rPr>
        <w:t>，以及因乙方前述违约行为导致甲方项目工期延误、运营推迟产生的全部损失。</w:t>
      </w:r>
    </w:p>
    <w:p w14:paraId="2CC625C6">
      <w:pPr>
        <w:spacing w:line="360" w:lineRule="auto"/>
        <w:ind w:firstLine="560"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（1）未按照相关法律法规、行业标准及合同约定履行职责；</w:t>
      </w:r>
    </w:p>
    <w:p w14:paraId="36B04055">
      <w:pPr>
        <w:spacing w:line="360" w:lineRule="auto"/>
        <w:ind w:firstLine="560"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（2）检测鉴定结果不准确、不完整；</w:t>
      </w:r>
    </w:p>
    <w:p w14:paraId="3ED80E21">
      <w:pPr>
        <w:spacing w:line="360" w:lineRule="auto"/>
        <w:ind w:firstLine="560" w:firstLineChars="20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（3）因检测鉴定质量问题引发工程质量、安全事故或其他纠纷等的；</w:t>
      </w:r>
    </w:p>
    <w:p w14:paraId="063CADC0">
      <w:pPr>
        <w:pStyle w:val="28"/>
        <w:ind w:firstLine="560" w:firstLineChars="200"/>
        <w:rPr>
          <w:bCs/>
          <w:color w:val="auto"/>
          <w:highlight w:val="none"/>
        </w:rPr>
      </w:pPr>
      <w:r>
        <w:rPr>
          <w:rFonts w:hint="eastAsia" w:ascii="仿宋_GB2312" w:hAnsi="仿宋_GB2312" w:eastAsia="仿宋_GB2312" w:cs="仿宋_GB2312"/>
          <w:bCs/>
          <w:color w:val="auto"/>
          <w:szCs w:val="28"/>
          <w:highlight w:val="none"/>
        </w:rPr>
        <w:t>（4）乙方转包、分包本检测鉴定服务，或存在借用资质情形的。</w:t>
      </w:r>
    </w:p>
    <w:p w14:paraId="6426B9FD">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w:t>
      </w:r>
      <w:bookmarkStart w:id="54" w:name="auto_fouce_23"/>
      <w:r>
        <w:rPr>
          <w:rFonts w:hint="eastAsia" w:ascii="仿宋_GB2312" w:hAnsi="仿宋_GB2312" w:eastAsia="仿宋_GB2312" w:cs="仿宋_GB2312"/>
          <w:color w:val="auto"/>
          <w:sz w:val="28"/>
          <w:szCs w:val="28"/>
          <w:highlight w:val="none"/>
        </w:rPr>
        <w:t>由于乙方原因未按合同规定时间（日期）提交检测鉴定报告，每逾期一日，按照检测费用的0.5‰向甲方交纳违约金；逾期超过15日，甲方有权解除合同，不支付检测费用且乙方还应按签约酬金的30%向甲方承担惩罚性违约责任。</w:t>
      </w:r>
      <w:bookmarkEnd w:id="54"/>
    </w:p>
    <w:p w14:paraId="1DF1597F">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bCs/>
          <w:color w:val="auto"/>
          <w:sz w:val="28"/>
          <w:szCs w:val="28"/>
          <w:highlight w:val="none"/>
        </w:rPr>
        <w:t>5.</w:t>
      </w:r>
      <w:bookmarkStart w:id="55" w:name="auto_fouce_24"/>
      <w:r>
        <w:rPr>
          <w:rFonts w:hint="eastAsia" w:ascii="仿宋_GB2312" w:hAnsi="仿宋_GB2312" w:eastAsia="仿宋_GB2312" w:cs="仿宋_GB2312"/>
          <w:color w:val="auto"/>
          <w:sz w:val="28"/>
          <w:szCs w:val="28"/>
          <w:highlight w:val="none"/>
        </w:rPr>
        <w:t>合同履行期间，由于工程停建而终止合同或甲方要求解除合同时，甲方不承担违约责任，已进行检测鉴定工作的，按照实际完成检测鉴定工作量，经审定后支付检测鉴定费用。</w:t>
      </w:r>
      <w:bookmarkEnd w:id="55"/>
    </w:p>
    <w:p w14:paraId="14571C67">
      <w:pPr>
        <w:spacing w:line="360" w:lineRule="auto"/>
        <w:ind w:firstLine="57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乙方承担由于本工程所用的或本工程有关的任何设备、材料或物资等造成的他人人身伤害、财产损失等全部的赔偿责任；乙方保证甲方免于承担前述事件的赔偿责任及因此引起的索赔与诉讼；如因此造成甲方的一切损失（包括但不限于赔偿、诉讼、律师等所有费用）均由乙方承担。</w:t>
      </w:r>
    </w:p>
    <w:p w14:paraId="1FF8E91D">
      <w:pPr>
        <w:pStyle w:val="8"/>
        <w:tabs>
          <w:tab w:val="clear" w:pos="992"/>
          <w:tab w:val="clear" w:pos="1134"/>
        </w:tabs>
        <w:spacing w:beforeLines="50" w:after="0"/>
        <w:ind w:left="781" w:leftChars="300" w:hanging="151" w:hangingChars="54"/>
        <w:rPr>
          <w:rFonts w:ascii="黑体" w:hAnsi="黑体" w:eastAsia="黑体" w:cs="黑体"/>
          <w:b w:val="0"/>
          <w:color w:val="auto"/>
          <w:highlight w:val="none"/>
        </w:rPr>
      </w:pPr>
      <w:bookmarkStart w:id="56" w:name="_Toc422322544"/>
      <w:bookmarkStart w:id="57" w:name="_Toc11561"/>
      <w:bookmarkStart w:id="58" w:name="_Toc23"/>
      <w:bookmarkStart w:id="59" w:name="_Toc419045119"/>
      <w:bookmarkStart w:id="60" w:name="_Toc116989332"/>
      <w:bookmarkStart w:id="61" w:name="_Toc11902"/>
      <w:bookmarkStart w:id="62" w:name="_Toc2344"/>
      <w:bookmarkStart w:id="63" w:name="_Toc30230"/>
      <w:r>
        <w:rPr>
          <w:rFonts w:hint="eastAsia" w:ascii="黑体" w:hAnsi="黑体" w:eastAsia="黑体" w:cs="黑体"/>
          <w:b w:val="0"/>
          <w:color w:val="auto"/>
          <w:highlight w:val="none"/>
        </w:rPr>
        <w:t>第九条合同变更与解除</w:t>
      </w:r>
      <w:bookmarkEnd w:id="56"/>
      <w:bookmarkEnd w:id="57"/>
      <w:bookmarkEnd w:id="58"/>
      <w:bookmarkEnd w:id="59"/>
      <w:bookmarkEnd w:id="60"/>
      <w:bookmarkEnd w:id="61"/>
      <w:bookmarkEnd w:id="62"/>
      <w:bookmarkEnd w:id="63"/>
    </w:p>
    <w:p w14:paraId="564D70DE">
      <w:pPr>
        <w:spacing w:line="360" w:lineRule="auto"/>
        <w:ind w:firstLine="560" w:firstLineChars="200"/>
        <w:rPr>
          <w:rFonts w:ascii="仿宋_GB2312" w:hAnsi="仿宋_GB2312" w:eastAsia="仿宋_GB2312" w:cs="仿宋_GB2312"/>
          <w:color w:val="auto"/>
          <w:sz w:val="28"/>
          <w:szCs w:val="28"/>
          <w:highlight w:val="none"/>
        </w:rPr>
      </w:pPr>
      <w:bookmarkStart w:id="64" w:name="_Toc2233"/>
      <w:bookmarkStart w:id="65" w:name="_Toc422322545"/>
      <w:bookmarkStart w:id="66" w:name="_Toc419045120"/>
      <w:bookmarkStart w:id="67" w:name="_Toc116989333"/>
      <w:bookmarkStart w:id="68" w:name="_Toc4839"/>
      <w:r>
        <w:rPr>
          <w:rFonts w:hint="eastAsia" w:ascii="仿宋_GB2312" w:hAnsi="仿宋_GB2312" w:eastAsia="仿宋_GB2312" w:cs="仿宋_GB2312"/>
          <w:color w:val="auto"/>
          <w:sz w:val="28"/>
          <w:szCs w:val="28"/>
          <w:highlight w:val="none"/>
        </w:rPr>
        <w:t>1.合同变更</w:t>
      </w:r>
      <w:bookmarkEnd w:id="64"/>
      <w:bookmarkEnd w:id="65"/>
      <w:bookmarkEnd w:id="66"/>
      <w:bookmarkEnd w:id="67"/>
      <w:bookmarkEnd w:id="68"/>
      <w:bookmarkStart w:id="69" w:name="auto_fouce_25"/>
      <w:bookmarkStart w:id="70" w:name="_Toc7855"/>
      <w:bookmarkStart w:id="71" w:name="_Toc6128"/>
      <w:bookmarkStart w:id="72" w:name="_Toc422322546"/>
      <w:bookmarkStart w:id="73" w:name="_Toc116989334"/>
    </w:p>
    <w:p w14:paraId="009AC4F5">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检测工作如遇特殊情况（设计变更、工作量变化、不可抗力影响以及非乙方原因造成的停工、窝工等）时，工期顺延，但甲方无需承担由此延误的工期和（或）增加的费用，且甲方无需支付乙方增加的费用。</w:t>
      </w:r>
      <w:bookmarkEnd w:id="69"/>
    </w:p>
    <w:p w14:paraId="03C3CFB8">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2.合同解除</w:t>
      </w:r>
    </w:p>
    <w:p w14:paraId="7CB35D7F">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（1）甲方与乙方协商一致，可以解除合同。</w:t>
      </w:r>
    </w:p>
    <w:p w14:paraId="6CBA5D5D">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（2）有下列情形之一的，合同当事人一方或双方可以解除合同：</w:t>
      </w:r>
    </w:p>
    <w:p w14:paraId="49A1C4F1">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1）乙方将本合同约定的检测鉴定服务工作全部或部分转包、分包给他人，或存在借用资质情形的；</w:t>
      </w:r>
    </w:p>
    <w:p w14:paraId="4D9B7FB3">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2）乙方在合同实施过程中，不能满足技术要求或达不到甲方要求的；</w:t>
      </w:r>
    </w:p>
    <w:p w14:paraId="75B4AB70">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3）因不可抗力致使合同无法履行的；</w:t>
      </w:r>
    </w:p>
    <w:p w14:paraId="2332DBB6">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4）因一方违约致使合同无法实际履行或实际履行已无必要；</w:t>
      </w:r>
    </w:p>
    <w:p w14:paraId="280F779A">
      <w:pPr>
        <w:spacing w:line="360" w:lineRule="auto"/>
        <w:ind w:firstLine="560" w:firstLineChars="200"/>
        <w:rPr>
          <w:rFonts w:ascii="仿宋_GB2312" w:hAnsi="仿宋_GB2312" w:eastAsia="仿宋_GB2312" w:cs="仿宋_GB2312"/>
          <w:color w:val="auto"/>
          <w:sz w:val="28"/>
          <w:szCs w:val="28"/>
          <w:highlight w:val="none"/>
        </w:rPr>
      </w:pPr>
      <w:bookmarkStart w:id="74" w:name="auto_fouce_26"/>
      <w:r>
        <w:rPr>
          <w:rFonts w:hint="eastAsia" w:ascii="仿宋_GB2312" w:hAnsi="仿宋_GB2312" w:eastAsia="仿宋_GB2312" w:cs="仿宋_GB2312"/>
          <w:color w:val="auto"/>
          <w:sz w:val="28"/>
          <w:szCs w:val="28"/>
          <w:highlight w:val="none"/>
        </w:rPr>
        <w:t>5）因本工程项目条件发生重大变化，使合同无法继续履行。</w:t>
      </w:r>
      <w:bookmarkEnd w:id="74"/>
    </w:p>
    <w:p w14:paraId="2D3CB298">
      <w:pPr>
        <w:spacing w:line="360" w:lineRule="auto"/>
        <w:ind w:firstLine="560" w:firstLineChars="200"/>
        <w:rPr>
          <w:rFonts w:ascii="仿宋_GB2312" w:hAnsi="仿宋_GB2312" w:eastAsia="仿宋_GB2312" w:cs="仿宋_GB2312"/>
          <w:color w:val="auto"/>
          <w:sz w:val="28"/>
          <w:szCs w:val="28"/>
          <w:highlight w:val="none"/>
        </w:rPr>
      </w:pPr>
      <w:bookmarkStart w:id="75" w:name="auto_fouce_27"/>
      <w:r>
        <w:rPr>
          <w:rFonts w:hint="eastAsia" w:ascii="仿宋_GB2312" w:hAnsi="仿宋_GB2312" w:eastAsia="仿宋_GB2312" w:cs="仿宋_GB2312"/>
          <w:color w:val="auto"/>
          <w:sz w:val="28"/>
          <w:szCs w:val="28"/>
          <w:highlight w:val="none"/>
        </w:rPr>
        <w:t>因非乙方原因（包含因甲方原因的情形）导致的合同解除，甲方不承担违约责任，且甲方应按照乙方已完成的实际工作量经甲方委托的造价咨询机构审定后支付检测费用。</w:t>
      </w:r>
      <w:bookmarkEnd w:id="75"/>
    </w:p>
    <w:bookmarkEnd w:id="70"/>
    <w:bookmarkEnd w:id="71"/>
    <w:bookmarkEnd w:id="72"/>
    <w:bookmarkEnd w:id="73"/>
    <w:p w14:paraId="1C39EDFC">
      <w:pPr>
        <w:spacing w:beforeLines="50" w:line="360" w:lineRule="auto"/>
        <w:ind w:firstLine="560" w:firstLineChars="200"/>
        <w:rPr>
          <w:rFonts w:ascii="黑体" w:hAnsi="黑体" w:eastAsia="黑体" w:cs="黑体"/>
          <w:bCs/>
          <w:color w:val="auto"/>
          <w:sz w:val="28"/>
          <w:szCs w:val="28"/>
          <w:highlight w:val="none"/>
        </w:rPr>
      </w:pPr>
      <w:r>
        <w:rPr>
          <w:rFonts w:hint="eastAsia" w:ascii="黑体" w:hAnsi="黑体" w:eastAsia="黑体" w:cs="黑体"/>
          <w:bCs/>
          <w:color w:val="auto"/>
          <w:sz w:val="28"/>
          <w:szCs w:val="28"/>
          <w:highlight w:val="none"/>
        </w:rPr>
        <w:t>第十条其他事项</w:t>
      </w:r>
    </w:p>
    <w:p w14:paraId="6E9534CD">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1.本合同发生争议，甲乙双方应及时协商解决，协商或调解不成时，可向</w:t>
      </w:r>
      <w:r>
        <w:rPr>
          <w:rFonts w:hint="eastAsia" w:ascii="仿宋_GB2312" w:hAnsi="仿宋_GB2312" w:eastAsia="仿宋_GB2312" w:cs="仿宋_GB2312"/>
          <w:color w:val="auto"/>
          <w:sz w:val="28"/>
          <w:szCs w:val="28"/>
          <w:highlight w:val="none"/>
          <w:u w:val="single"/>
        </w:rPr>
        <w:t>甲方所在地</w:t>
      </w:r>
      <w:r>
        <w:rPr>
          <w:rFonts w:hint="eastAsia" w:ascii="仿宋_GB2312" w:hAnsi="仿宋_GB2312" w:eastAsia="仿宋_GB2312" w:cs="仿宋_GB2312"/>
          <w:color w:val="auto"/>
          <w:sz w:val="28"/>
          <w:szCs w:val="28"/>
          <w:highlight w:val="none"/>
        </w:rPr>
        <w:t>人民法院诉讼解决。</w:t>
      </w:r>
    </w:p>
    <w:p w14:paraId="31F4EFF2">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w:t>
      </w:r>
      <w:bookmarkStart w:id="76" w:name="auto_fouce_28"/>
      <w:r>
        <w:rPr>
          <w:rFonts w:hint="eastAsia" w:ascii="仿宋_GB2312" w:hAnsi="仿宋_GB2312" w:eastAsia="仿宋_GB2312" w:cs="仿宋_GB2312"/>
          <w:color w:val="auto"/>
          <w:sz w:val="28"/>
          <w:szCs w:val="28"/>
          <w:highlight w:val="none"/>
        </w:rPr>
        <w:t>本合同自</w:t>
      </w:r>
      <w:r>
        <w:rPr>
          <w:rFonts w:hint="eastAsia" w:ascii="仿宋_GB2312" w:hAnsi="仿宋_GB2312" w:eastAsia="仿宋_GB2312" w:cs="仿宋_GB2312"/>
          <w:color w:val="auto"/>
          <w:sz w:val="28"/>
          <w:szCs w:val="28"/>
          <w:highlight w:val="none"/>
          <w:u w:val="single"/>
        </w:rPr>
        <w:t>双方盖章后</w:t>
      </w:r>
      <w:r>
        <w:rPr>
          <w:rFonts w:hint="eastAsia" w:ascii="仿宋_GB2312" w:hAnsi="仿宋_GB2312" w:eastAsia="仿宋_GB2312" w:cs="仿宋_GB2312"/>
          <w:color w:val="auto"/>
          <w:sz w:val="28"/>
          <w:szCs w:val="28"/>
          <w:highlight w:val="none"/>
        </w:rPr>
        <w:t>生效。</w:t>
      </w:r>
      <w:bookmarkEnd w:id="76"/>
    </w:p>
    <w:p w14:paraId="3B6D76EE">
      <w:pPr>
        <w:spacing w:line="360" w:lineRule="auto"/>
        <w:ind w:firstLine="560" w:firstLineChars="20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3.本合同一式</w:t>
      </w:r>
      <w:r>
        <w:rPr>
          <w:rFonts w:hint="eastAsia" w:ascii="仿宋_GB2312" w:hAnsi="仿宋_GB2312" w:eastAsia="仿宋_GB2312" w:cs="仿宋_GB2312"/>
          <w:color w:val="auto"/>
          <w:sz w:val="28"/>
          <w:szCs w:val="28"/>
          <w:highlight w:val="none"/>
          <w:u w:val="single"/>
        </w:rPr>
        <w:t>伍</w:t>
      </w:r>
      <w:r>
        <w:rPr>
          <w:rFonts w:hint="eastAsia" w:ascii="仿宋_GB2312" w:hAnsi="仿宋_GB2312" w:eastAsia="仿宋_GB2312" w:cs="仿宋_GB2312"/>
          <w:color w:val="auto"/>
          <w:sz w:val="28"/>
          <w:szCs w:val="28"/>
          <w:highlight w:val="none"/>
        </w:rPr>
        <w:t>份，具有同等法律效力，甲方</w:t>
      </w:r>
      <w:r>
        <w:rPr>
          <w:rFonts w:hint="eastAsia" w:ascii="仿宋_GB2312" w:hAnsi="仿宋_GB2312" w:eastAsia="仿宋_GB2312" w:cs="仿宋_GB2312"/>
          <w:color w:val="auto"/>
          <w:sz w:val="28"/>
          <w:szCs w:val="28"/>
          <w:highlight w:val="none"/>
          <w:u w:val="single"/>
        </w:rPr>
        <w:t>贰</w:t>
      </w:r>
      <w:r>
        <w:rPr>
          <w:rFonts w:hint="eastAsia" w:ascii="仿宋_GB2312" w:hAnsi="仿宋_GB2312" w:eastAsia="仿宋_GB2312" w:cs="仿宋_GB2312"/>
          <w:color w:val="auto"/>
          <w:sz w:val="28"/>
          <w:szCs w:val="28"/>
          <w:highlight w:val="none"/>
        </w:rPr>
        <w:t>份、乙方</w:t>
      </w:r>
      <w:r>
        <w:rPr>
          <w:rFonts w:hint="eastAsia" w:ascii="仿宋_GB2312" w:hAnsi="仿宋_GB2312" w:eastAsia="仿宋_GB2312" w:cs="仿宋_GB2312"/>
          <w:color w:val="auto"/>
          <w:sz w:val="28"/>
          <w:szCs w:val="28"/>
          <w:highlight w:val="none"/>
          <w:u w:val="single"/>
        </w:rPr>
        <w:t>贰</w:t>
      </w:r>
      <w:r>
        <w:rPr>
          <w:rFonts w:hint="eastAsia" w:ascii="仿宋_GB2312" w:hAnsi="仿宋_GB2312" w:eastAsia="仿宋_GB2312" w:cs="仿宋_GB2312"/>
          <w:color w:val="auto"/>
          <w:sz w:val="28"/>
          <w:szCs w:val="28"/>
          <w:highlight w:val="none"/>
        </w:rPr>
        <w:t>份，招标代理</w:t>
      </w:r>
      <w:r>
        <w:rPr>
          <w:rFonts w:hint="eastAsia" w:ascii="仿宋_GB2312" w:hAnsi="仿宋_GB2312" w:eastAsia="仿宋_GB2312" w:cs="仿宋_GB2312"/>
          <w:color w:val="auto"/>
          <w:sz w:val="28"/>
          <w:szCs w:val="28"/>
          <w:highlight w:val="none"/>
          <w:u w:val="single"/>
        </w:rPr>
        <w:t>壹</w:t>
      </w:r>
      <w:r>
        <w:rPr>
          <w:rFonts w:hint="eastAsia" w:ascii="仿宋_GB2312" w:hAnsi="仿宋_GB2312" w:eastAsia="仿宋_GB2312" w:cs="仿宋_GB2312"/>
          <w:color w:val="auto"/>
          <w:sz w:val="28"/>
          <w:szCs w:val="28"/>
          <w:highlight w:val="none"/>
        </w:rPr>
        <w:t>份。</w:t>
      </w:r>
    </w:p>
    <w:p w14:paraId="1DC32D7C">
      <w:pPr>
        <w:wordWrap w:val="0"/>
        <w:spacing w:line="360" w:lineRule="auto"/>
        <w:rPr>
          <w:rFonts w:ascii="仿宋_GB2312" w:hAnsi="仿宋_GB2312" w:eastAsia="仿宋_GB2312" w:cs="仿宋_GB2312"/>
          <w:color w:val="auto"/>
          <w:sz w:val="28"/>
          <w:szCs w:val="28"/>
          <w:highlight w:val="none"/>
        </w:rPr>
      </w:pPr>
    </w:p>
    <w:p w14:paraId="70597E5E">
      <w:pPr>
        <w:wordWrap w:val="0"/>
        <w:spacing w:line="360" w:lineRule="auto"/>
        <w:rPr>
          <w:color w:val="auto"/>
          <w:highlight w:val="none"/>
        </w:rPr>
      </w:pPr>
      <w:r>
        <w:rPr>
          <w:rFonts w:hint="eastAsia" w:ascii="仿宋_GB2312" w:hAnsi="仿宋_GB2312" w:eastAsia="仿宋_GB2312" w:cs="仿宋_GB2312"/>
          <w:color w:val="auto"/>
          <w:sz w:val="28"/>
          <w:szCs w:val="28"/>
          <w:highlight w:val="none"/>
        </w:rPr>
        <w:t>甲方：(公章)                      乙方：(公章)</w:t>
      </w:r>
    </w:p>
    <w:p w14:paraId="1B516754">
      <w:pPr>
        <w:wordWrap w:val="0"/>
        <w:spacing w:line="360" w:lineRule="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法定代表人或其委托代理人：法定代表人或其委托代理人：</w:t>
      </w:r>
    </w:p>
    <w:p w14:paraId="1EAE28A2">
      <w:pPr>
        <w:wordWrap w:val="0"/>
        <w:spacing w:line="360" w:lineRule="auto"/>
        <w:rPr>
          <w:color w:val="auto"/>
          <w:highlight w:val="none"/>
        </w:rPr>
      </w:pPr>
      <w:r>
        <w:rPr>
          <w:rFonts w:hint="eastAsia" w:ascii="仿宋_GB2312" w:hAnsi="仿宋_GB2312" w:eastAsia="仿宋_GB2312" w:cs="仿宋_GB2312"/>
          <w:color w:val="auto"/>
          <w:sz w:val="28"/>
          <w:szCs w:val="28"/>
          <w:highlight w:val="none"/>
        </w:rPr>
        <w:t>（签字或盖章）（签字或盖章）</w:t>
      </w:r>
    </w:p>
    <w:p w14:paraId="0770BD05">
      <w:pPr>
        <w:wordWrap w:val="0"/>
        <w:spacing w:line="900" w:lineRule="exact"/>
        <w:jc w:val="center"/>
        <w:rPr>
          <w:rFonts w:ascii="宋体" w:hAnsi="宋体"/>
          <w:color w:val="auto"/>
          <w:szCs w:val="21"/>
          <w:highlight w:val="none"/>
        </w:rPr>
      </w:pPr>
      <w:bookmarkStart w:id="77" w:name="tip_risk_bookmark_29"/>
      <w:r>
        <w:rPr>
          <w:rFonts w:hint="eastAsia" w:ascii="仿宋_GB2312" w:hAnsi="仿宋_GB2312" w:eastAsia="仿宋_GB2312" w:cs="仿宋_GB2312"/>
          <w:color w:val="auto"/>
          <w:sz w:val="28"/>
          <w:szCs w:val="28"/>
          <w:highlight w:val="none"/>
        </w:rPr>
        <w:t>日期</w:t>
      </w:r>
      <w:r>
        <w:rPr>
          <w:rFonts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rPr>
        <w:t>月日日期</w:t>
      </w:r>
      <w:r>
        <w:rPr>
          <w:rFonts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rPr>
        <w:t>月日</w:t>
      </w:r>
      <w:bookmarkEnd w:id="77"/>
    </w:p>
    <w:p w14:paraId="431F9076">
      <w:pPr>
        <w:spacing w:line="360" w:lineRule="auto"/>
        <w:jc w:val="center"/>
        <w:rPr>
          <w:rFonts w:ascii="黑体" w:hAnsi="黑体" w:eastAsia="黑体" w:cs="黑体"/>
          <w:b/>
          <w:color w:val="auto"/>
          <w:sz w:val="44"/>
          <w:szCs w:val="44"/>
          <w:highlight w:val="none"/>
        </w:rPr>
      </w:pPr>
    </w:p>
    <w:p w14:paraId="79BC14C0">
      <w:pPr>
        <w:spacing w:line="360" w:lineRule="auto"/>
        <w:jc w:val="center"/>
        <w:rPr>
          <w:rFonts w:ascii="黑体" w:hAnsi="黑体" w:eastAsia="黑体" w:cs="黑体"/>
          <w:b/>
          <w:color w:val="auto"/>
          <w:sz w:val="44"/>
          <w:szCs w:val="44"/>
          <w:highlight w:val="none"/>
        </w:rPr>
      </w:pPr>
    </w:p>
    <w:p w14:paraId="59E60686">
      <w:pPr>
        <w:spacing w:line="360" w:lineRule="auto"/>
        <w:jc w:val="center"/>
        <w:rPr>
          <w:rFonts w:ascii="黑体" w:hAnsi="黑体" w:eastAsia="黑体" w:cs="黑体"/>
          <w:b/>
          <w:color w:val="auto"/>
          <w:sz w:val="44"/>
          <w:szCs w:val="44"/>
          <w:highlight w:val="none"/>
        </w:rPr>
      </w:pPr>
    </w:p>
    <w:p w14:paraId="162C9267">
      <w:pPr>
        <w:spacing w:line="360" w:lineRule="auto"/>
        <w:jc w:val="center"/>
        <w:rPr>
          <w:rFonts w:ascii="黑体" w:hAnsi="黑体" w:eastAsia="黑体" w:cs="黑体"/>
          <w:b/>
          <w:color w:val="auto"/>
          <w:sz w:val="44"/>
          <w:szCs w:val="44"/>
          <w:highlight w:val="none"/>
        </w:rPr>
      </w:pPr>
    </w:p>
    <w:p w14:paraId="1A7D4D93">
      <w:pPr>
        <w:spacing w:line="360" w:lineRule="auto"/>
        <w:rPr>
          <w:rFonts w:ascii="黑体" w:hAnsi="黑体" w:eastAsia="黑体" w:cs="黑体"/>
          <w:b/>
          <w:color w:val="auto"/>
          <w:sz w:val="44"/>
          <w:szCs w:val="44"/>
          <w:highlight w:val="none"/>
        </w:rPr>
      </w:pPr>
    </w:p>
    <w:p w14:paraId="59FD919D">
      <w:pPr>
        <w:widowControl/>
        <w:jc w:val="center"/>
        <w:rPr>
          <w:rFonts w:ascii="黑体" w:hAnsi="黑体" w:eastAsia="黑体" w:cs="黑体"/>
          <w:b/>
          <w:color w:val="auto"/>
          <w:sz w:val="44"/>
          <w:szCs w:val="44"/>
          <w:highlight w:val="none"/>
        </w:rPr>
      </w:pPr>
      <w:r>
        <w:rPr>
          <w:rFonts w:hint="eastAsia" w:ascii="黑体" w:hAnsi="黑体" w:eastAsia="黑体" w:cs="黑体"/>
          <w:b/>
          <w:color w:val="auto"/>
          <w:sz w:val="44"/>
          <w:szCs w:val="44"/>
          <w:highlight w:val="none"/>
        </w:rPr>
        <w:br w:type="page"/>
      </w:r>
      <w:r>
        <w:rPr>
          <w:rFonts w:hint="eastAsia" w:ascii="黑体" w:hAnsi="黑体" w:eastAsia="黑体" w:cs="黑体"/>
          <w:b/>
          <w:color w:val="auto"/>
          <w:sz w:val="44"/>
          <w:szCs w:val="44"/>
          <w:highlight w:val="none"/>
        </w:rPr>
        <w:t>廉洁合作协议</w:t>
      </w:r>
    </w:p>
    <w:p w14:paraId="3700D7B1">
      <w:pPr>
        <w:spacing w:line="360" w:lineRule="auto"/>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甲方：</w:t>
      </w:r>
    </w:p>
    <w:p w14:paraId="3693D879">
      <w:pPr>
        <w:pStyle w:val="28"/>
        <w:ind w:firstLine="403"/>
        <w:rPr>
          <w:rFonts w:ascii="Times New Roman"/>
          <w:color w:val="auto"/>
          <w:sz w:val="21"/>
          <w:highlight w:val="none"/>
        </w:rPr>
      </w:pPr>
    </w:p>
    <w:p w14:paraId="5D581F19">
      <w:pPr>
        <w:spacing w:line="360" w:lineRule="auto"/>
        <w:rPr>
          <w:rFonts w:ascii="黑体" w:hAnsi="黑体" w:eastAsia="黑体" w:cs="黑体"/>
          <w:color w:val="auto"/>
          <w:sz w:val="30"/>
          <w:szCs w:val="30"/>
          <w:highlight w:val="none"/>
        </w:rPr>
      </w:pPr>
      <w:r>
        <w:rPr>
          <w:rFonts w:hint="eastAsia" w:ascii="黑体" w:hAnsi="黑体" w:eastAsia="黑体" w:cs="黑体"/>
          <w:color w:val="auto"/>
          <w:sz w:val="30"/>
          <w:szCs w:val="30"/>
          <w:highlight w:val="none"/>
        </w:rPr>
        <w:t>乙方：</w:t>
      </w:r>
    </w:p>
    <w:p w14:paraId="24BB8946">
      <w:pPr>
        <w:pStyle w:val="2"/>
        <w:spacing w:line="360" w:lineRule="auto"/>
        <w:ind w:left="63" w:right="63" w:firstLine="480" w:firstLineChars="200"/>
        <w:rPr>
          <w:rFonts w:ascii="仿宋_GB2312" w:hAnsi="仿宋_GB2312" w:eastAsia="仿宋_GB2312" w:cs="仿宋_GB2312"/>
          <w:color w:val="auto"/>
          <w:szCs w:val="28"/>
          <w:highlight w:val="none"/>
        </w:rPr>
      </w:pPr>
    </w:p>
    <w:p w14:paraId="7B8179B6">
      <w:pPr>
        <w:pStyle w:val="2"/>
        <w:spacing w:line="360" w:lineRule="auto"/>
        <w:ind w:left="63" w:right="63" w:firstLine="560" w:firstLineChars="200"/>
        <w:rPr>
          <w:rFonts w:ascii="仿宋_GB2312" w:hAnsi="仿宋_GB2312" w:eastAsia="仿宋_GB2312" w:cs="仿宋_GB2312"/>
          <w:color w:val="auto"/>
          <w:spacing w:val="-8"/>
          <w:sz w:val="28"/>
          <w:szCs w:val="32"/>
          <w:highlight w:val="none"/>
        </w:rPr>
      </w:pPr>
      <w:r>
        <w:rPr>
          <w:rFonts w:ascii="仿宋_GB2312" w:hAnsi="仿宋_GB2312" w:eastAsia="仿宋_GB2312" w:cs="仿宋_GB2312"/>
          <w:color w:val="auto"/>
          <w:sz w:val="28"/>
          <w:szCs w:val="32"/>
          <w:highlight w:val="none"/>
        </w:rPr>
        <w:t>甲乙双方针对于</w:t>
      </w:r>
      <w:r>
        <w:rPr>
          <w:rFonts w:ascii="仿宋_GB2312" w:hAnsi="仿宋_GB2312" w:eastAsia="仿宋_GB2312" w:cs="仿宋_GB2312"/>
          <w:color w:val="auto"/>
          <w:spacing w:val="-50"/>
          <w:sz w:val="28"/>
          <w:szCs w:val="32"/>
          <w:highlight w:val="none"/>
        </w:rPr>
        <w:t>：</w:t>
      </w:r>
      <w:r>
        <w:rPr>
          <w:rFonts w:ascii="仿宋_GB2312" w:hAnsi="仿宋_GB2312" w:eastAsia="仿宋_GB2312" w:cs="仿宋_GB2312"/>
          <w:color w:val="auto"/>
          <w:spacing w:val="2"/>
          <w:sz w:val="28"/>
          <w:szCs w:val="32"/>
          <w:highlight w:val="none"/>
          <w:u w:val="single"/>
        </w:rPr>
        <w:t>（项目名称）</w:t>
      </w:r>
      <w:r>
        <w:rPr>
          <w:rFonts w:ascii="仿宋_GB2312" w:hAnsi="仿宋_GB2312" w:eastAsia="仿宋_GB2312" w:cs="仿宋_GB2312"/>
          <w:color w:val="auto"/>
          <w:sz w:val="28"/>
          <w:szCs w:val="32"/>
          <w:highlight w:val="none"/>
        </w:rPr>
        <w:t>,为了加强业务开展期间的廉洁合</w:t>
      </w:r>
      <w:r>
        <w:rPr>
          <w:rFonts w:ascii="仿宋_GB2312" w:hAnsi="仿宋_GB2312" w:eastAsia="仿宋_GB2312" w:cs="仿宋_GB2312"/>
          <w:color w:val="auto"/>
          <w:spacing w:val="2"/>
          <w:sz w:val="28"/>
          <w:szCs w:val="32"/>
          <w:highlight w:val="none"/>
        </w:rPr>
        <w:t>作，甲乙双方经协商签订本协议并作为双方共同</w:t>
      </w:r>
      <w:r>
        <w:rPr>
          <w:rFonts w:ascii="仿宋_GB2312" w:hAnsi="仿宋_GB2312" w:eastAsia="仿宋_GB2312" w:cs="仿宋_GB2312"/>
          <w:color w:val="auto"/>
          <w:spacing w:val="1"/>
          <w:sz w:val="28"/>
          <w:szCs w:val="32"/>
          <w:highlight w:val="none"/>
        </w:rPr>
        <w:t>遵守的廉洁合作行为准</w:t>
      </w:r>
      <w:r>
        <w:rPr>
          <w:rFonts w:ascii="仿宋_GB2312" w:hAnsi="仿宋_GB2312" w:eastAsia="仿宋_GB2312" w:cs="仿宋_GB2312"/>
          <w:color w:val="auto"/>
          <w:spacing w:val="-8"/>
          <w:sz w:val="28"/>
          <w:szCs w:val="32"/>
          <w:highlight w:val="none"/>
        </w:rPr>
        <w:t>则。</w:t>
      </w:r>
    </w:p>
    <w:p w14:paraId="024D3FB9">
      <w:pPr>
        <w:pStyle w:val="2"/>
        <w:spacing w:beforeLines="50" w:line="360" w:lineRule="auto"/>
        <w:ind w:left="63" w:right="63" w:firstLine="539"/>
        <w:rPr>
          <w:rFonts w:ascii="黑体" w:hAnsi="黑体" w:eastAsia="黑体" w:cs="仿宋_GB2312"/>
          <w:color w:val="auto"/>
          <w:sz w:val="28"/>
          <w:szCs w:val="32"/>
          <w:highlight w:val="none"/>
        </w:rPr>
      </w:pPr>
      <w:r>
        <w:rPr>
          <w:rFonts w:ascii="黑体" w:hAnsi="黑体" w:eastAsia="黑体" w:cs="仿宋_GB2312"/>
          <w:color w:val="auto"/>
          <w:sz w:val="28"/>
          <w:szCs w:val="32"/>
          <w:highlight w:val="none"/>
        </w:rPr>
        <w:t>一、甲方责任</w:t>
      </w:r>
    </w:p>
    <w:p w14:paraId="25BA2DA1">
      <w:pPr>
        <w:pStyle w:val="2"/>
        <w:spacing w:line="360" w:lineRule="auto"/>
        <w:ind w:left="63" w:right="63" w:firstLine="540"/>
        <w:rPr>
          <w:rFonts w:ascii="仿宋_GB2312" w:hAnsi="仿宋_GB2312" w:eastAsia="仿宋_GB2312" w:cs="仿宋_GB2312"/>
          <w:color w:val="auto"/>
          <w:sz w:val="28"/>
          <w:szCs w:val="32"/>
          <w:highlight w:val="none"/>
        </w:rPr>
      </w:pPr>
      <w:r>
        <w:rPr>
          <w:rFonts w:ascii="仿宋_GB2312" w:hAnsi="仿宋_GB2312" w:eastAsia="仿宋_GB2312" w:cs="仿宋_GB2312"/>
          <w:color w:val="auto"/>
          <w:sz w:val="28"/>
          <w:szCs w:val="32"/>
          <w:highlight w:val="none"/>
        </w:rPr>
        <w:t>1.向乙方介绍本单位有关廉洁合作管理的各项制度和规定，对本单位相关人员进行廉洁合作教育。</w:t>
      </w:r>
    </w:p>
    <w:p w14:paraId="5CBC6A12">
      <w:pPr>
        <w:pStyle w:val="2"/>
        <w:spacing w:line="360" w:lineRule="auto"/>
        <w:ind w:left="63" w:right="63" w:firstLine="540"/>
        <w:rPr>
          <w:rFonts w:ascii="仿宋_GB2312" w:hAnsi="仿宋_GB2312" w:eastAsia="仿宋_GB2312" w:cs="仿宋_GB2312"/>
          <w:color w:val="auto"/>
          <w:sz w:val="28"/>
          <w:szCs w:val="32"/>
          <w:highlight w:val="none"/>
        </w:rPr>
      </w:pPr>
      <w:r>
        <w:rPr>
          <w:rFonts w:ascii="仿宋_GB2312" w:hAnsi="仿宋_GB2312" w:eastAsia="仿宋_GB2312" w:cs="仿宋_GB2312"/>
          <w:color w:val="auto"/>
          <w:sz w:val="28"/>
          <w:szCs w:val="32"/>
          <w:highlight w:val="none"/>
        </w:rPr>
        <w:t>2.严格遵守本单位有关廉洁合作管理的规定，不得利用职权谋取私利或接受乙方贿赂。</w:t>
      </w:r>
    </w:p>
    <w:p w14:paraId="41E3C115">
      <w:pPr>
        <w:pStyle w:val="2"/>
        <w:spacing w:line="360" w:lineRule="auto"/>
        <w:ind w:left="63" w:right="63" w:firstLine="540"/>
        <w:rPr>
          <w:rFonts w:ascii="仿宋_GB2312" w:hAnsi="仿宋_GB2312" w:eastAsia="仿宋_GB2312" w:cs="仿宋_GB2312"/>
          <w:color w:val="auto"/>
          <w:sz w:val="28"/>
          <w:szCs w:val="32"/>
          <w:highlight w:val="none"/>
        </w:rPr>
      </w:pPr>
      <w:r>
        <w:rPr>
          <w:rFonts w:ascii="仿宋_GB2312" w:hAnsi="仿宋_GB2312" w:eastAsia="仿宋_GB2312" w:cs="仿宋_GB2312"/>
          <w:color w:val="auto"/>
          <w:sz w:val="28"/>
          <w:szCs w:val="32"/>
          <w:highlight w:val="none"/>
        </w:rPr>
        <w:t>3.甲方在业务开展期间发现甲方人员任何形式的索贿受贿行为，均应及时采取措施予以制止，并及时通报乙方。</w:t>
      </w:r>
    </w:p>
    <w:p w14:paraId="2A100891">
      <w:pPr>
        <w:pStyle w:val="2"/>
        <w:spacing w:line="360" w:lineRule="auto"/>
        <w:ind w:left="63" w:right="63" w:firstLine="540"/>
        <w:rPr>
          <w:rFonts w:ascii="仿宋_GB2312" w:hAnsi="仿宋_GB2312" w:eastAsia="仿宋_GB2312" w:cs="仿宋_GB2312"/>
          <w:color w:val="auto"/>
          <w:sz w:val="28"/>
          <w:szCs w:val="32"/>
          <w:highlight w:val="none"/>
        </w:rPr>
      </w:pPr>
      <w:r>
        <w:rPr>
          <w:rFonts w:ascii="仿宋_GB2312" w:hAnsi="仿宋_GB2312" w:eastAsia="仿宋_GB2312" w:cs="仿宋_GB2312"/>
          <w:color w:val="auto"/>
          <w:sz w:val="28"/>
          <w:szCs w:val="32"/>
          <w:highlight w:val="none"/>
        </w:rPr>
        <w:t>4.甲方人员如违反廉洁合作管理制度及本协议规定，甲方应视情节轻重、影响大小给予行政及经济处罚。</w:t>
      </w:r>
    </w:p>
    <w:p w14:paraId="3A68012E">
      <w:pPr>
        <w:pStyle w:val="2"/>
        <w:spacing w:line="360" w:lineRule="auto"/>
        <w:ind w:left="63" w:right="63" w:firstLine="540"/>
        <w:rPr>
          <w:rFonts w:ascii="仿宋_GB2312" w:hAnsi="仿宋_GB2312" w:eastAsia="仿宋_GB2312" w:cs="仿宋_GB2312"/>
          <w:color w:val="auto"/>
          <w:sz w:val="28"/>
          <w:szCs w:val="32"/>
          <w:highlight w:val="none"/>
        </w:rPr>
      </w:pPr>
      <w:r>
        <w:rPr>
          <w:rFonts w:ascii="仿宋_GB2312" w:hAnsi="仿宋_GB2312" w:eastAsia="仿宋_GB2312" w:cs="仿宋_GB2312"/>
          <w:color w:val="auto"/>
          <w:sz w:val="28"/>
          <w:szCs w:val="32"/>
          <w:highlight w:val="none"/>
        </w:rPr>
        <w:t>5.对于乙方举报甲方人员违反廉洁合作规定的情况，甲方应及时进行调查，根据调查情况进行处理。</w:t>
      </w:r>
    </w:p>
    <w:p w14:paraId="61D69429">
      <w:pPr>
        <w:pStyle w:val="2"/>
        <w:spacing w:beforeLines="50" w:line="360" w:lineRule="auto"/>
        <w:ind w:left="63" w:right="63" w:firstLine="539"/>
        <w:rPr>
          <w:rFonts w:ascii="黑体" w:hAnsi="黑体" w:eastAsia="黑体" w:cs="仿宋_GB2312"/>
          <w:color w:val="auto"/>
          <w:sz w:val="28"/>
          <w:szCs w:val="32"/>
          <w:highlight w:val="none"/>
        </w:rPr>
      </w:pPr>
      <w:r>
        <w:rPr>
          <w:rFonts w:ascii="黑体" w:hAnsi="黑体" w:eastAsia="黑体" w:cs="仿宋_GB2312"/>
          <w:color w:val="auto"/>
          <w:sz w:val="28"/>
          <w:szCs w:val="32"/>
          <w:highlight w:val="none"/>
        </w:rPr>
        <w:t>二、乙方责任</w:t>
      </w:r>
    </w:p>
    <w:p w14:paraId="4CCEE159">
      <w:pPr>
        <w:pStyle w:val="2"/>
        <w:spacing w:line="360" w:lineRule="auto"/>
        <w:ind w:left="63" w:right="63" w:firstLine="540"/>
        <w:rPr>
          <w:rFonts w:ascii="仿宋_GB2312" w:hAnsi="仿宋_GB2312" w:eastAsia="仿宋_GB2312" w:cs="仿宋_GB2312"/>
          <w:color w:val="auto"/>
          <w:sz w:val="28"/>
          <w:szCs w:val="32"/>
          <w:highlight w:val="none"/>
        </w:rPr>
      </w:pPr>
      <w:r>
        <w:rPr>
          <w:rFonts w:ascii="仿宋_GB2312" w:hAnsi="仿宋_GB2312" w:eastAsia="仿宋_GB2312" w:cs="仿宋_GB2312"/>
          <w:color w:val="auto"/>
          <w:sz w:val="28"/>
          <w:szCs w:val="32"/>
          <w:highlight w:val="none"/>
        </w:rPr>
        <w:t>1.保证乙方有关人员了解甲方单位有关廉洁合作管理的各项制度及本协议的规定，并遵照执行。</w:t>
      </w:r>
    </w:p>
    <w:p w14:paraId="383B6FB8">
      <w:pPr>
        <w:pStyle w:val="2"/>
        <w:spacing w:line="360" w:lineRule="auto"/>
        <w:ind w:left="63" w:right="63" w:firstLine="540"/>
        <w:rPr>
          <w:rFonts w:ascii="仿宋_GB2312" w:hAnsi="仿宋_GB2312" w:eastAsia="仿宋_GB2312" w:cs="仿宋_GB2312"/>
          <w:color w:val="auto"/>
          <w:sz w:val="28"/>
          <w:szCs w:val="32"/>
          <w:highlight w:val="none"/>
        </w:rPr>
      </w:pPr>
      <w:r>
        <w:rPr>
          <w:rFonts w:ascii="仿宋_GB2312" w:hAnsi="仿宋_GB2312" w:eastAsia="仿宋_GB2312" w:cs="仿宋_GB2312"/>
          <w:color w:val="auto"/>
          <w:sz w:val="28"/>
          <w:szCs w:val="32"/>
          <w:highlight w:val="none"/>
        </w:rPr>
        <w:t>2.不得宴请甲方人员，不得以任何形式赠送实物、现金或礼券。</w:t>
      </w:r>
    </w:p>
    <w:p w14:paraId="164E9855">
      <w:pPr>
        <w:pStyle w:val="2"/>
        <w:spacing w:line="360" w:lineRule="auto"/>
        <w:ind w:left="63" w:right="63" w:firstLine="540"/>
        <w:rPr>
          <w:rFonts w:ascii="仿宋_GB2312" w:hAnsi="仿宋_GB2312" w:eastAsia="仿宋_GB2312" w:cs="仿宋_GB2312"/>
          <w:color w:val="auto"/>
          <w:sz w:val="28"/>
          <w:szCs w:val="32"/>
          <w:highlight w:val="none"/>
        </w:rPr>
      </w:pPr>
      <w:r>
        <w:rPr>
          <w:rFonts w:ascii="仿宋_GB2312" w:hAnsi="仿宋_GB2312" w:eastAsia="仿宋_GB2312" w:cs="仿宋_GB2312"/>
          <w:color w:val="auto"/>
          <w:sz w:val="28"/>
          <w:szCs w:val="32"/>
          <w:highlight w:val="none"/>
        </w:rPr>
        <w:t>3.乙方单位在业务开展期间发现乙方人员任何向甲方人员行贿行为，均应及时采取措施予以制止，并及时通报甲方。</w:t>
      </w:r>
    </w:p>
    <w:p w14:paraId="1E025EC6">
      <w:pPr>
        <w:pStyle w:val="2"/>
        <w:spacing w:line="360" w:lineRule="auto"/>
        <w:ind w:left="63" w:right="63" w:firstLine="540"/>
        <w:rPr>
          <w:rFonts w:ascii="仿宋_GB2312" w:hAnsi="仿宋_GB2312" w:eastAsia="仿宋_GB2312" w:cs="仿宋_GB2312"/>
          <w:color w:val="auto"/>
          <w:sz w:val="28"/>
          <w:szCs w:val="32"/>
          <w:highlight w:val="none"/>
        </w:rPr>
      </w:pPr>
      <w:r>
        <w:rPr>
          <w:rFonts w:ascii="仿宋_GB2312" w:hAnsi="仿宋_GB2312" w:eastAsia="仿宋_GB2312" w:cs="仿宋_GB2312"/>
          <w:color w:val="auto"/>
          <w:sz w:val="28"/>
          <w:szCs w:val="32"/>
          <w:highlight w:val="none"/>
        </w:rPr>
        <w:t>4.有责任接受甲方对乙方在业务开展期间廉洁合作管理执行情况的监督。</w:t>
      </w:r>
    </w:p>
    <w:p w14:paraId="06A69CCA">
      <w:pPr>
        <w:pStyle w:val="2"/>
        <w:spacing w:line="360" w:lineRule="auto"/>
        <w:ind w:left="63" w:right="63" w:firstLine="540"/>
        <w:rPr>
          <w:rFonts w:ascii="仿宋_GB2312" w:hAnsi="仿宋_GB2312" w:eastAsia="仿宋_GB2312" w:cs="仿宋_GB2312"/>
          <w:color w:val="auto"/>
          <w:sz w:val="28"/>
          <w:szCs w:val="32"/>
          <w:highlight w:val="none"/>
        </w:rPr>
      </w:pPr>
      <w:r>
        <w:rPr>
          <w:rFonts w:ascii="仿宋_GB2312" w:hAnsi="仿宋_GB2312" w:eastAsia="仿宋_GB2312" w:cs="仿宋_GB2312"/>
          <w:color w:val="auto"/>
          <w:sz w:val="28"/>
          <w:szCs w:val="32"/>
          <w:highlight w:val="none"/>
        </w:rPr>
        <w:t>5.乙方单位人员有义务就甲方人员任何形式的索贿或受贿行为及时向甲方及有关部门举报；如乙方向甲方人员行贿，或甲方人员向乙方索贿，乙方满足其要求且并未向甲方及有关部门举报的，一经查实，除追回由此给甲方造成的损失外，乙方承诺在合同总价的基础上再让利1%，并对本方知情不报人员进行相应处罚。</w:t>
      </w:r>
    </w:p>
    <w:p w14:paraId="03F95EE7">
      <w:pPr>
        <w:pStyle w:val="2"/>
        <w:spacing w:line="360" w:lineRule="auto"/>
        <w:ind w:left="63" w:right="63" w:firstLine="540"/>
        <w:rPr>
          <w:rFonts w:ascii="仿宋_GB2312" w:hAnsi="仿宋_GB2312" w:eastAsia="仿宋_GB2312" w:cs="仿宋_GB2312"/>
          <w:color w:val="auto"/>
          <w:sz w:val="28"/>
          <w:szCs w:val="32"/>
          <w:highlight w:val="none"/>
        </w:rPr>
      </w:pPr>
      <w:r>
        <w:rPr>
          <w:rFonts w:ascii="仿宋_GB2312" w:hAnsi="仿宋_GB2312" w:eastAsia="仿宋_GB2312" w:cs="仿宋_GB2312"/>
          <w:color w:val="auto"/>
          <w:sz w:val="28"/>
          <w:szCs w:val="32"/>
          <w:highlight w:val="none"/>
        </w:rPr>
        <w:t>6.如因乙方单位及人员在业务开展期间贿赂甲方人员，被有关部门机关立案查处的，甲方有权取消或终止合同的履行，由此给甲方造成的损失由乙方负责赔偿。</w:t>
      </w:r>
    </w:p>
    <w:p w14:paraId="17220EA1">
      <w:pPr>
        <w:pStyle w:val="2"/>
        <w:spacing w:line="360" w:lineRule="auto"/>
        <w:ind w:left="63" w:right="63" w:firstLine="540"/>
        <w:rPr>
          <w:rFonts w:ascii="仿宋_GB2312" w:hAnsi="仿宋_GB2312" w:eastAsia="仿宋_GB2312" w:cs="仿宋_GB2312"/>
          <w:color w:val="auto"/>
          <w:sz w:val="28"/>
          <w:szCs w:val="32"/>
          <w:highlight w:val="none"/>
        </w:rPr>
      </w:pPr>
      <w:r>
        <w:rPr>
          <w:rFonts w:ascii="仿宋_GB2312" w:hAnsi="仿宋_GB2312" w:eastAsia="仿宋_GB2312" w:cs="仿宋_GB2312"/>
          <w:color w:val="auto"/>
          <w:sz w:val="28"/>
          <w:szCs w:val="32"/>
          <w:highlight w:val="none"/>
        </w:rPr>
        <w:t>7.甲方接受乙方实名或匿名投诉，常设举报部门及电话：纪检部门，5628665。</w:t>
      </w:r>
    </w:p>
    <w:p w14:paraId="41B9BB8D">
      <w:pPr>
        <w:pStyle w:val="2"/>
        <w:spacing w:line="360" w:lineRule="auto"/>
        <w:ind w:left="63" w:right="63" w:firstLine="540"/>
        <w:rPr>
          <w:rFonts w:ascii="仿宋_GB2312" w:hAnsi="仿宋_GB2312" w:eastAsia="仿宋_GB2312" w:cs="仿宋_GB2312"/>
          <w:color w:val="auto"/>
          <w:sz w:val="28"/>
          <w:szCs w:val="32"/>
          <w:highlight w:val="none"/>
        </w:rPr>
      </w:pPr>
      <w:r>
        <w:rPr>
          <w:rFonts w:ascii="仿宋_GB2312" w:hAnsi="仿宋_GB2312" w:eastAsia="仿宋_GB2312" w:cs="仿宋_GB2312"/>
          <w:color w:val="auto"/>
          <w:sz w:val="28"/>
          <w:szCs w:val="32"/>
          <w:highlight w:val="none"/>
        </w:rPr>
        <w:t>三、双方业务活动必须坚持公开、公平、公正、诚信、透明的原则，不得为获取不正当的利益，损害国家、集体和对方利益。严格遵守国家关于市场准入、项目招投标、工程建设和市场活动等有关法律、法规、相关政策，以及廉政建设的各项规定。</w:t>
      </w:r>
    </w:p>
    <w:p w14:paraId="3ACE44E9">
      <w:pPr>
        <w:pStyle w:val="2"/>
        <w:spacing w:line="360" w:lineRule="auto"/>
        <w:ind w:left="63" w:right="63" w:firstLine="562" w:firstLineChars="200"/>
        <w:rPr>
          <w:rFonts w:ascii="仿宋_GB2312" w:hAnsi="仿宋_GB2312" w:eastAsia="仿宋_GB2312" w:cs="仿宋_GB2312"/>
          <w:b/>
          <w:color w:val="auto"/>
          <w:sz w:val="28"/>
          <w:szCs w:val="32"/>
          <w:highlight w:val="none"/>
        </w:rPr>
      </w:pPr>
      <w:r>
        <w:rPr>
          <w:rFonts w:ascii="仿宋_GB2312" w:hAnsi="仿宋_GB2312" w:eastAsia="仿宋_GB2312" w:cs="仿宋_GB2312"/>
          <w:b/>
          <w:color w:val="auto"/>
          <w:sz w:val="28"/>
          <w:szCs w:val="32"/>
          <w:highlight w:val="none"/>
        </w:rPr>
        <w:t>四、在本廉洁合作协议中，甲方委托的工程监理公司、造价咨询公司等相关工作人员视为甲方人员，同样应遵守本协议条款。</w:t>
      </w:r>
    </w:p>
    <w:p w14:paraId="181F2E5C">
      <w:pPr>
        <w:pStyle w:val="28"/>
        <w:rPr>
          <w:rFonts w:ascii="仿宋_GB2312" w:hAnsi="仿宋_GB2312" w:eastAsia="仿宋_GB2312" w:cs="仿宋_GB2312"/>
          <w:color w:val="auto"/>
          <w:szCs w:val="28"/>
          <w:highlight w:val="none"/>
        </w:rPr>
      </w:pPr>
    </w:p>
    <w:p w14:paraId="01C5FBD8">
      <w:pPr>
        <w:pStyle w:val="28"/>
        <w:rPr>
          <w:rFonts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（此页无正文，为签章页）</w:t>
      </w:r>
    </w:p>
    <w:p w14:paraId="494AC602">
      <w:pPr>
        <w:pStyle w:val="28"/>
        <w:rPr>
          <w:rFonts w:ascii="仿宋_GB2312" w:hAnsi="仿宋_GB2312" w:eastAsia="仿宋_GB2312" w:cs="仿宋_GB2312"/>
          <w:color w:val="auto"/>
          <w:szCs w:val="28"/>
          <w:highlight w:val="none"/>
        </w:rPr>
      </w:pPr>
    </w:p>
    <w:p w14:paraId="47386316">
      <w:pPr>
        <w:pStyle w:val="28"/>
        <w:rPr>
          <w:rFonts w:ascii="Times New Roman"/>
          <w:color w:val="auto"/>
          <w:highlight w:val="none"/>
        </w:rPr>
      </w:pPr>
    </w:p>
    <w:p w14:paraId="0BE1C0C2">
      <w:pPr>
        <w:wordWrap w:val="0"/>
        <w:spacing w:line="360" w:lineRule="auto"/>
        <w:ind w:firstLine="140" w:firstLineChars="50"/>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甲方：(公章)                      乙方：(公章)</w:t>
      </w:r>
    </w:p>
    <w:p w14:paraId="669155D9">
      <w:pPr>
        <w:wordWrap w:val="0"/>
        <w:spacing w:line="360" w:lineRule="auto"/>
        <w:rPr>
          <w:rFonts w:ascii="仿宋_GB2312" w:hAnsi="仿宋_GB2312" w:eastAsia="仿宋_GB2312" w:cs="仿宋_GB2312"/>
          <w:color w:val="auto"/>
          <w:sz w:val="28"/>
          <w:szCs w:val="28"/>
          <w:highlight w:val="none"/>
        </w:rPr>
      </w:pPr>
    </w:p>
    <w:p w14:paraId="31BBC705">
      <w:pPr>
        <w:wordWrap w:val="0"/>
        <w:spacing w:line="360" w:lineRule="auto"/>
        <w:rPr>
          <w:rFonts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法定代表人或其委托代理人：法定代表人或其委托代理人：（签字或盖章）（签字或盖章）</w:t>
      </w:r>
    </w:p>
    <w:p w14:paraId="47803CCF">
      <w:pPr>
        <w:wordWrap w:val="0"/>
        <w:spacing w:line="360" w:lineRule="auto"/>
        <w:rPr>
          <w:rFonts w:ascii="仿宋_GB2312" w:hAnsi="仿宋_GB2312" w:eastAsia="仿宋_GB2312" w:cs="仿宋_GB2312"/>
          <w:color w:val="auto"/>
          <w:sz w:val="28"/>
          <w:szCs w:val="28"/>
          <w:highlight w:val="none"/>
          <w:u w:val="single"/>
        </w:rPr>
      </w:pPr>
    </w:p>
    <w:p w14:paraId="33D483BA">
      <w:pPr>
        <w:pStyle w:val="28"/>
        <w:ind w:firstLine="0" w:firstLineChars="0"/>
        <w:rPr>
          <w:rFonts w:ascii="仿宋_GB2312" w:hAnsi="仿宋_GB2312" w:eastAsia="仿宋_GB2312" w:cs="仿宋_GB2312"/>
          <w:color w:val="auto"/>
          <w:szCs w:val="28"/>
          <w:highlight w:val="none"/>
        </w:rPr>
      </w:pPr>
      <w:r>
        <w:rPr>
          <w:rFonts w:hint="eastAsia" w:ascii="仿宋_GB2312" w:hAnsi="仿宋_GB2312" w:eastAsia="仿宋_GB2312" w:cs="仿宋_GB2312"/>
          <w:color w:val="auto"/>
          <w:szCs w:val="28"/>
          <w:highlight w:val="none"/>
        </w:rPr>
        <w:t>日期：年月日日期：年月日</w:t>
      </w:r>
    </w:p>
    <w:p w14:paraId="503987B1">
      <w:pPr>
        <w:pStyle w:val="2"/>
        <w:spacing w:line="360" w:lineRule="auto"/>
        <w:ind w:left="63" w:right="63" w:firstLine="482" w:firstLineChars="200"/>
        <w:rPr>
          <w:rFonts w:ascii="仿宋_GB2312" w:hAnsi="仿宋_GB2312" w:eastAsia="仿宋_GB2312" w:cs="仿宋_GB2312"/>
          <w:b/>
          <w:color w:val="auto"/>
          <w:szCs w:val="28"/>
          <w:highlight w:val="none"/>
        </w:rPr>
      </w:pPr>
    </w:p>
    <w:p w14:paraId="01BFAB8F">
      <w:pPr>
        <w:wordWrap w:val="0"/>
        <w:spacing w:line="900" w:lineRule="exact"/>
        <w:jc w:val="center"/>
        <w:rPr>
          <w:rFonts w:ascii="宋体" w:hAnsi="宋体"/>
          <w:b/>
          <w:color w:val="auto"/>
          <w:sz w:val="48"/>
          <w:szCs w:val="52"/>
          <w:highlight w:val="none"/>
        </w:rPr>
      </w:pPr>
    </w:p>
    <w:sectPr>
      <w:headerReference r:id="rId15" w:type="first"/>
      <w:headerReference r:id="rId13" w:type="default"/>
      <w:footerReference r:id="rId16" w:type="default"/>
      <w:headerReference r:id="rId1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创艺繁楷体">
    <w:altName w:val="宋体"/>
    <w:panose1 w:val="00000000000000000000"/>
    <w:charset w:val="86"/>
    <w:family w:val="auto"/>
    <w:pitch w:val="default"/>
    <w:sig w:usb0="00000000" w:usb1="00000000" w:usb2="00000010" w:usb3="00000000" w:csb0="00040000" w:csb1="00000000"/>
  </w:font>
  <w:font w:name="方正楷体简体">
    <w:altName w:val="宋体"/>
    <w:panose1 w:val="00000000000000000000"/>
    <w:charset w:val="00"/>
    <w:family w:val="auto"/>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ˎ̥">
    <w:altName w:val="Arial Unicode MS"/>
    <w:panose1 w:val="00000000000000000000"/>
    <w:charset w:val="00"/>
    <w:family w:val="roman"/>
    <w:pitch w:val="default"/>
    <w:sig w:usb0="00000000" w:usb1="00000000" w:usb2="00000000" w:usb3="00000000" w:csb0="00040001" w:csb1="00000000"/>
  </w:font>
  <w:font w:name="华文中宋">
    <w:panose1 w:val="02010600040101010101"/>
    <w:charset w:val="86"/>
    <w:family w:val="auto"/>
    <w:pitch w:val="default"/>
    <w:sig w:usb0="00000287" w:usb1="080F0000" w:usb2="00000000" w:usb3="00000000" w:csb0="0004009F" w:csb1="DFD70000"/>
  </w:font>
  <w:font w:name="Arial Narrow">
    <w:panose1 w:val="020B0606020202030204"/>
    <w:charset w:val="00"/>
    <w:family w:val="swiss"/>
    <w:pitch w:val="default"/>
    <w:sig w:usb0="00000287" w:usb1="00000800" w:usb2="00000000" w:usb3="00000000" w:csb0="2000009F" w:csb1="DFD70000"/>
  </w:font>
  <w:font w:name="MetaPlusLF">
    <w:altName w:val="Times New Roman"/>
    <w:panose1 w:val="00000000000000000000"/>
    <w:charset w:val="00"/>
    <w:family w:val="auto"/>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Helvetica">
    <w:altName w:val="Arial"/>
    <w:panose1 w:val="020B0604020202020204"/>
    <w:charset w:val="00"/>
    <w:family w:val="swiss"/>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方正中等线简体">
    <w:altName w:val="宋体"/>
    <w:panose1 w:val="00000000000000000000"/>
    <w:charset w:val="86"/>
    <w:family w:val="auto"/>
    <w:pitch w:val="default"/>
    <w:sig w:usb0="00000000" w:usb1="00000000" w:usb2="0000001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仿宋">
    <w:panose1 w:val="02010609060101010101"/>
    <w:charset w:val="86"/>
    <w:family w:val="modern"/>
    <w:pitch w:val="default"/>
    <w:sig w:usb0="800002BF" w:usb1="38CF7CFA" w:usb2="00000016" w:usb3="00000000" w:csb0="00040001" w:csb1="00000000"/>
  </w:font>
  <w:font w:name="Malgun Gothic Semilight">
    <w:panose1 w:val="020B0502040204020203"/>
    <w:charset w:val="86"/>
    <w:family w:val="swiss"/>
    <w:pitch w:val="default"/>
    <w:sig w:usb0="900002AF" w:usb1="01D77CFB" w:usb2="00000012" w:usb3="00000000" w:csb0="203E01BD" w:csb1="D7FF0000"/>
  </w:font>
  <w:font w:name="Segoe UI Symbol">
    <w:panose1 w:val="020B0502040204020203"/>
    <w:charset w:val="00"/>
    <w:family w:val="swiss"/>
    <w:pitch w:val="default"/>
    <w:sig w:usb0="800001E3" w:usb1="1200FFEF" w:usb2="00040000" w:usb3="04000000" w:csb0="00000001" w:csb1="40000000"/>
  </w:font>
  <w:font w:name="MS Mincho">
    <w:panose1 w:val="02020609040205080304"/>
    <w:charset w:val="80"/>
    <w:family w:val="modern"/>
    <w:pitch w:val="default"/>
    <w:sig w:usb0="A00002BF" w:usb1="68C7FCFB" w:usb2="00000010" w:usb3="00000000" w:csb0="4002009F" w:csb1="DFD70000"/>
  </w:font>
  <w:font w:name="宋体_x0006_.">
    <w:altName w:val="宋体"/>
    <w:panose1 w:val="00000000000000000000"/>
    <w:charset w:val="86"/>
    <w:family w:val="roman"/>
    <w:pitch w:val="default"/>
    <w:sig w:usb0="00000000" w:usb1="00000000" w:usb2="00000010" w:usb3="00000000" w:csb0="00040000"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89FD7">
    <w:pPr>
      <w:pStyle w:val="30"/>
      <w:ind w:right="36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E106DA">
    <w:pPr>
      <w:pStyle w:val="30"/>
      <w:ind w:right="360"/>
      <w:rPr>
        <w:sz w:val="24"/>
        <w:szCs w:val="24"/>
      </w:rPr>
    </w:pPr>
    <w:r>
      <w:rPr>
        <w:sz w:val="24"/>
      </w:rPr>
      <w:pict>
        <v:shape id="文本框 9"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An2tj0HQIAABUEAAAOAAAAAAAAAAAAAAAAAC4CAABkcnMvZTJvRG9jLnhtbFBLAQItABQABgAI&#10;AAAAIQBxqtG51wAAAAUBAAAPAAAAAAAAAAAAAAAAAHcEAABkcnMvZG93bnJldi54bWxQSwUGAAAA&#10;AAQABADzAAAAewUAAAAA&#10;">
          <v:path/>
          <v:fill on="f" focussize="0,0"/>
          <v:stroke on="f" weight="0.5pt" joinstyle="miter"/>
          <v:imagedata o:title=""/>
          <o:lock v:ext="edit"/>
          <v:textbox inset="0mm,0mm,0mm,0mm" style="mso-fit-shape-to-text:t;">
            <w:txbxContent>
              <w:p w14:paraId="0CB6815C">
                <w:pPr>
                  <w:pStyle w:val="30"/>
                </w:pPr>
                <w:r>
                  <w:fldChar w:fldCharType="begin"/>
                </w:r>
                <w:r>
                  <w:instrText xml:space="preserve"> PAGE  \* MERGEFORMAT </w:instrText>
                </w:r>
                <w:r>
                  <w:fldChar w:fldCharType="separate"/>
                </w:r>
                <w:r>
                  <w:t>5</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5C857">
    <w:pPr>
      <w:jc w:val="center"/>
    </w:pPr>
    <w:r>
      <w:pict>
        <v:shape id="_x0000_s1027" o:spid="_x0000_s102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">
          <v:path/>
          <v:fill on="f" focussize="0,0"/>
          <v:stroke on="f" weight="0.5pt" joinstyle="miter"/>
          <v:imagedata o:title=""/>
          <o:lock v:ext="edit"/>
          <v:textbox inset="0mm,0mm,0mm,0mm" style="mso-fit-shape-to-text:t;">
            <w:txbxContent>
              <w:p w14:paraId="39229BBF">
                <w:pPr>
                  <w:jc w:val="center"/>
                </w:pPr>
                <w:r>
                  <w:fldChar w:fldCharType="begin"/>
                </w:r>
                <w:r>
                  <w:instrText xml:space="preserve"> PAGE   \* MERGEFORMAT </w:instrText>
                </w:r>
                <w:r>
                  <w:fldChar w:fldCharType="separate"/>
                </w:r>
                <w:r>
                  <w:t>12</w:t>
                </w:r>
                <w:r>
                  <w:rPr>
                    <w:lang w:val="zh-CN"/>
                  </w:rP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3F85F">
    <w:pPr>
      <w:pStyle w:val="30"/>
    </w:pPr>
    <w:r>
      <w:pict>
        <v:shape id="_x0000_s1028" o:spid="_x0000_s1028" o:spt="202" type="#_x0000_t202" style="position:absolute;left:0pt;margin-top:0pt;height:144pt;width:144pt;mso-position-horizontal:center;mso-position-horizontal-relative:margin;mso-wrap-style:none;z-index:25166336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O90TuAfAgAAHAQAAA4AAAAAAAAAAAAAAAAALgIAAGRycy9lMm9Eb2MueG1sUEsBAi0AFAAG&#10;AAgAAAAhAHGq0bnXAAAABQEAAA8AAAAAAAAAAAAAAAAAeQQAAGRycy9kb3ducmV2LnhtbFBLBQYA&#10;AAAABAAEAPMAAAB9BQAAAAA=&#10;">
          <v:path/>
          <v:fill on="f" focussize="0,0"/>
          <v:stroke on="f" weight="0.5pt" joinstyle="miter"/>
          <v:imagedata o:title=""/>
          <o:lock v:ext="edit"/>
          <v:textbox inset="0mm,0mm,0mm,0mm" style="mso-fit-shape-to-text:t;">
            <w:txbxContent>
              <w:p w14:paraId="0EC2A172">
                <w:pPr>
                  <w:pStyle w:val="30"/>
                </w:pPr>
                <w:r>
                  <w:fldChar w:fldCharType="begin"/>
                </w:r>
                <w:r>
                  <w:instrText xml:space="preserve"> PAGE  \* MERGEFORMAT </w:instrText>
                </w:r>
                <w:r>
                  <w:fldChar w:fldCharType="separate"/>
                </w:r>
                <w:r>
                  <w:t>41</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01A0D">
    <w:pPr>
      <w:pStyle w:val="30"/>
      <w:ind w:right="360"/>
    </w:pPr>
    <w:r>
      <w:pict>
        <v:shape id="_x0000_s1029" o:spid="_x0000_s1029"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IXP7bMfAgAAHAQAAA4AAAAAAAAAAAAAAAAALgIAAGRycy9lMm9Eb2MueG1sUEsBAi0AFAAG&#10;AAgAAAAhAHGq0bnXAAAABQEAAA8AAAAAAAAAAAAAAAAAeQQAAGRycy9kb3ducmV2LnhtbFBLBQYA&#10;AAAABAAEAPMAAAB9BQAAAAA=&#10;">
          <v:path/>
          <v:fill on="f" focussize="0,0"/>
          <v:stroke on="f" weight="0.5pt" joinstyle="miter"/>
          <v:imagedata o:title=""/>
          <o:lock v:ext="edit"/>
          <v:textbox inset="0mm,0mm,0mm,0mm" style="mso-fit-shape-to-text:t;">
            <w:txbxContent>
              <w:p w14:paraId="6AD90FE2">
                <w:pPr>
                  <w:pStyle w:val="30"/>
                  <w:rPr>
                    <w:rStyle w:val="53"/>
                  </w:rPr>
                </w:pPr>
                <w:r>
                  <w:fldChar w:fldCharType="begin"/>
                </w:r>
                <w:r>
                  <w:rPr>
                    <w:rStyle w:val="53"/>
                  </w:rPr>
                  <w:instrText xml:space="preserve">PAGE  </w:instrText>
                </w:r>
                <w:r>
                  <w:fldChar w:fldCharType="separate"/>
                </w:r>
                <w:r>
                  <w:rPr>
                    <w:rStyle w:val="53"/>
                  </w:rPr>
                  <w:t>55</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10774">
    <w:pPr>
      <w:jc w:val="center"/>
    </w:pPr>
    <w:r>
      <w:pict>
        <v:shape id="文本框 7" o:spid="_x0000_s1030"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">
          <v:path/>
          <v:fill on="f" focussize="0,0"/>
          <v:stroke on="f" weight="0.5pt" joinstyle="miter"/>
          <v:imagedata o:title=""/>
          <o:lock v:ext="edit"/>
          <v:textbox inset="0mm,0mm,0mm,0mm" style="mso-fit-shape-to-text:t;">
            <w:txbxContent>
              <w:p w14:paraId="6D0AD2EE">
                <w:pPr>
                  <w:jc w:val="center"/>
                </w:pPr>
                <w:r>
                  <w:fldChar w:fldCharType="begin"/>
                </w:r>
                <w:r>
                  <w:instrText xml:space="preserve"> PAGE   \* MERGEFORMAT </w:instrText>
                </w:r>
                <w:r>
                  <w:fldChar w:fldCharType="separate"/>
                </w:r>
                <w:r>
                  <w:t>78</w:t>
                </w:r>
                <w:r>
                  <w:rPr>
                    <w:lang w:val="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60D8B">
    <w:pPr>
      <w:pStyle w:val="3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9FA14">
    <w:pPr>
      <w:pStyle w:val="31"/>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74D92">
    <w:r>
      <w:cr/>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1D99C">
    <w:r>
      <w:cr/>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C82006">
    <w:pPr>
      <w:pStyle w:val="31"/>
      <w:pBdr>
        <w:bottom w:val="none" w:color="auto" w:sz="0" w:space="0"/>
      </w:pBdr>
      <w:jc w:val="both"/>
      <w:rPr>
        <w:sz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7F18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DD828">
    <w:pPr>
      <w:pStyle w:val="31"/>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CB426">
    <w:pPr>
      <w:pStyle w:val="3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1"/>
      <w:numFmt w:val="bullet"/>
      <w:pStyle w:val="326"/>
      <w:lvlText w:val=""/>
      <w:lvlJc w:val="left"/>
      <w:pPr>
        <w:tabs>
          <w:tab w:val="left" w:pos="840"/>
        </w:tabs>
        <w:ind w:left="840" w:hanging="420"/>
      </w:pPr>
      <w:rPr>
        <w:rFonts w:hint="default" w:ascii="Wingdings" w:hAnsi="Wingdings" w:cs="Wingdings"/>
        <w:color w:val="auto"/>
      </w:rPr>
    </w:lvl>
    <w:lvl w:ilvl="1" w:tentative="0">
      <w:start w:val="1"/>
      <w:numFmt w:val="bullet"/>
      <w:lvlText w:val=""/>
      <w:lvlJc w:val="left"/>
      <w:pPr>
        <w:tabs>
          <w:tab w:val="left" w:pos="1260"/>
        </w:tabs>
        <w:ind w:left="1260" w:hanging="420"/>
      </w:pPr>
      <w:rPr>
        <w:rFonts w:hint="default" w:ascii="Wingdings" w:hAnsi="Wingdings" w:cs="Wingdings"/>
      </w:rPr>
    </w:lvl>
    <w:lvl w:ilvl="2" w:tentative="0">
      <w:start w:val="1"/>
      <w:numFmt w:val="bullet"/>
      <w:lvlText w:val=""/>
      <w:lvlJc w:val="left"/>
      <w:pPr>
        <w:tabs>
          <w:tab w:val="left" w:pos="1680"/>
        </w:tabs>
        <w:ind w:left="1680" w:hanging="420"/>
      </w:pPr>
      <w:rPr>
        <w:rFonts w:hint="default" w:ascii="Wingdings" w:hAnsi="Wingdings" w:cs="Wingdings"/>
      </w:rPr>
    </w:lvl>
    <w:lvl w:ilvl="3" w:tentative="0">
      <w:start w:val="1"/>
      <w:numFmt w:val="bullet"/>
      <w:lvlText w:val=""/>
      <w:lvlJc w:val="left"/>
      <w:pPr>
        <w:tabs>
          <w:tab w:val="left" w:pos="2100"/>
        </w:tabs>
        <w:ind w:left="2100" w:hanging="420"/>
      </w:pPr>
      <w:rPr>
        <w:rFonts w:hint="default" w:ascii="Wingdings" w:hAnsi="Wingdings" w:cs="Wingdings"/>
      </w:rPr>
    </w:lvl>
    <w:lvl w:ilvl="4" w:tentative="0">
      <w:start w:val="1"/>
      <w:numFmt w:val="bullet"/>
      <w:lvlText w:val=""/>
      <w:lvlJc w:val="left"/>
      <w:pPr>
        <w:tabs>
          <w:tab w:val="left" w:pos="2520"/>
        </w:tabs>
        <w:ind w:left="2520" w:hanging="420"/>
      </w:pPr>
      <w:rPr>
        <w:rFonts w:hint="default" w:ascii="Wingdings" w:hAnsi="Wingdings" w:cs="Wingdings"/>
      </w:rPr>
    </w:lvl>
    <w:lvl w:ilvl="5" w:tentative="0">
      <w:start w:val="1"/>
      <w:numFmt w:val="bullet"/>
      <w:lvlText w:val=""/>
      <w:lvlJc w:val="left"/>
      <w:pPr>
        <w:tabs>
          <w:tab w:val="left" w:pos="2940"/>
        </w:tabs>
        <w:ind w:left="2940" w:hanging="420"/>
      </w:pPr>
      <w:rPr>
        <w:rFonts w:hint="default" w:ascii="Wingdings" w:hAnsi="Wingdings" w:cs="Wingdings"/>
      </w:rPr>
    </w:lvl>
    <w:lvl w:ilvl="6" w:tentative="0">
      <w:start w:val="1"/>
      <w:numFmt w:val="bullet"/>
      <w:lvlText w:val=""/>
      <w:lvlJc w:val="left"/>
      <w:pPr>
        <w:tabs>
          <w:tab w:val="left" w:pos="3360"/>
        </w:tabs>
        <w:ind w:left="3360" w:hanging="420"/>
      </w:pPr>
      <w:rPr>
        <w:rFonts w:hint="default" w:ascii="Wingdings" w:hAnsi="Wingdings" w:cs="Wingdings"/>
      </w:rPr>
    </w:lvl>
    <w:lvl w:ilvl="7" w:tentative="0">
      <w:start w:val="1"/>
      <w:numFmt w:val="bullet"/>
      <w:lvlText w:val=""/>
      <w:lvlJc w:val="left"/>
      <w:pPr>
        <w:tabs>
          <w:tab w:val="left" w:pos="3780"/>
        </w:tabs>
        <w:ind w:left="3780" w:hanging="420"/>
      </w:pPr>
      <w:rPr>
        <w:rFonts w:hint="default" w:ascii="Wingdings" w:hAnsi="Wingdings" w:cs="Wingdings"/>
      </w:rPr>
    </w:lvl>
    <w:lvl w:ilvl="8" w:tentative="0">
      <w:start w:val="1"/>
      <w:numFmt w:val="bullet"/>
      <w:lvlText w:val=""/>
      <w:lvlJc w:val="left"/>
      <w:pPr>
        <w:tabs>
          <w:tab w:val="left" w:pos="4200"/>
        </w:tabs>
        <w:ind w:left="4200" w:hanging="420"/>
      </w:pPr>
      <w:rPr>
        <w:rFonts w:hint="default" w:ascii="Wingdings" w:hAnsi="Wingdings" w:cs="Wingdings"/>
      </w:rPr>
    </w:lvl>
  </w:abstractNum>
  <w:abstractNum w:abstractNumId="1">
    <w:nsid w:val="204A74A4"/>
    <w:multiLevelType w:val="multilevel"/>
    <w:tmpl w:val="204A74A4"/>
    <w:lvl w:ilvl="0" w:tentative="0">
      <w:start w:val="1"/>
      <w:numFmt w:val="decimal"/>
      <w:pStyle w:val="344"/>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
    <w:nsid w:val="45CDA8A7"/>
    <w:multiLevelType w:val="singleLevel"/>
    <w:tmpl w:val="45CDA8A7"/>
    <w:lvl w:ilvl="0" w:tentative="0">
      <w:start w:val="1"/>
      <w:numFmt w:val="decimal"/>
      <w:suff w:val="nothing"/>
      <w:lvlText w:val="%1、"/>
      <w:lvlJc w:val="left"/>
    </w:lvl>
  </w:abstractNum>
  <w:abstractNum w:abstractNumId="3">
    <w:nsid w:val="5602973F"/>
    <w:multiLevelType w:val="singleLevel"/>
    <w:tmpl w:val="5602973F"/>
    <w:lvl w:ilvl="0" w:tentative="0">
      <w:start w:val="11"/>
      <w:numFmt w:val="decimal"/>
      <w:pStyle w:val="241"/>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hideSpellingError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U3M2JmYTdkOTNlODNjMzQ0ZjU2YzFkYTAyMTMyNmYifQ=="/>
  </w:docVars>
  <w:rsids>
    <w:rsidRoot w:val="00E729D8"/>
    <w:rsid w:val="00001D82"/>
    <w:rsid w:val="000048B3"/>
    <w:rsid w:val="00006356"/>
    <w:rsid w:val="000128A4"/>
    <w:rsid w:val="00023322"/>
    <w:rsid w:val="00023B25"/>
    <w:rsid w:val="00030397"/>
    <w:rsid w:val="00031F2F"/>
    <w:rsid w:val="00034384"/>
    <w:rsid w:val="000357AB"/>
    <w:rsid w:val="000375DC"/>
    <w:rsid w:val="00041DA8"/>
    <w:rsid w:val="00057E1C"/>
    <w:rsid w:val="00060418"/>
    <w:rsid w:val="00064C70"/>
    <w:rsid w:val="00065098"/>
    <w:rsid w:val="00070949"/>
    <w:rsid w:val="00071AAD"/>
    <w:rsid w:val="000743C9"/>
    <w:rsid w:val="00074FB6"/>
    <w:rsid w:val="0007754D"/>
    <w:rsid w:val="00082AAE"/>
    <w:rsid w:val="000848C7"/>
    <w:rsid w:val="00084C24"/>
    <w:rsid w:val="00085CF6"/>
    <w:rsid w:val="000869CA"/>
    <w:rsid w:val="00086B8A"/>
    <w:rsid w:val="00087025"/>
    <w:rsid w:val="000874E3"/>
    <w:rsid w:val="00087849"/>
    <w:rsid w:val="00096FF4"/>
    <w:rsid w:val="00097418"/>
    <w:rsid w:val="000A3CCE"/>
    <w:rsid w:val="000A5BAB"/>
    <w:rsid w:val="000A6290"/>
    <w:rsid w:val="000B3B0E"/>
    <w:rsid w:val="000B486F"/>
    <w:rsid w:val="000C13B8"/>
    <w:rsid w:val="000C329D"/>
    <w:rsid w:val="000C3E17"/>
    <w:rsid w:val="000C3F20"/>
    <w:rsid w:val="000C4D4D"/>
    <w:rsid w:val="000D0129"/>
    <w:rsid w:val="000D0A5D"/>
    <w:rsid w:val="000D26FA"/>
    <w:rsid w:val="000D35BF"/>
    <w:rsid w:val="000E14BC"/>
    <w:rsid w:val="000E1BD1"/>
    <w:rsid w:val="000E6A6F"/>
    <w:rsid w:val="000E7E84"/>
    <w:rsid w:val="000F5053"/>
    <w:rsid w:val="000F5FCE"/>
    <w:rsid w:val="000F6D10"/>
    <w:rsid w:val="000F7719"/>
    <w:rsid w:val="001015F2"/>
    <w:rsid w:val="00102F99"/>
    <w:rsid w:val="00104FE5"/>
    <w:rsid w:val="001109A2"/>
    <w:rsid w:val="00112C75"/>
    <w:rsid w:val="00113EB3"/>
    <w:rsid w:val="00114730"/>
    <w:rsid w:val="00117849"/>
    <w:rsid w:val="001203B8"/>
    <w:rsid w:val="00121B93"/>
    <w:rsid w:val="00123B7C"/>
    <w:rsid w:val="0012750E"/>
    <w:rsid w:val="00132157"/>
    <w:rsid w:val="001371BA"/>
    <w:rsid w:val="0014769E"/>
    <w:rsid w:val="00147C5D"/>
    <w:rsid w:val="001519FC"/>
    <w:rsid w:val="00155F50"/>
    <w:rsid w:val="00163636"/>
    <w:rsid w:val="00182245"/>
    <w:rsid w:val="001838E7"/>
    <w:rsid w:val="00185CC3"/>
    <w:rsid w:val="00187941"/>
    <w:rsid w:val="00193396"/>
    <w:rsid w:val="001937E5"/>
    <w:rsid w:val="00195660"/>
    <w:rsid w:val="001A43C1"/>
    <w:rsid w:val="001A7B24"/>
    <w:rsid w:val="001B2F46"/>
    <w:rsid w:val="001C4B86"/>
    <w:rsid w:val="001C77B5"/>
    <w:rsid w:val="001C7B60"/>
    <w:rsid w:val="001D0279"/>
    <w:rsid w:val="001D0486"/>
    <w:rsid w:val="001D318E"/>
    <w:rsid w:val="001D4250"/>
    <w:rsid w:val="001E5761"/>
    <w:rsid w:val="001E68F1"/>
    <w:rsid w:val="001F1C29"/>
    <w:rsid w:val="001F3F47"/>
    <w:rsid w:val="001F563B"/>
    <w:rsid w:val="001F615B"/>
    <w:rsid w:val="001F6E25"/>
    <w:rsid w:val="00201CE5"/>
    <w:rsid w:val="00202B29"/>
    <w:rsid w:val="00205B32"/>
    <w:rsid w:val="00214B46"/>
    <w:rsid w:val="00214FB0"/>
    <w:rsid w:val="0022205A"/>
    <w:rsid w:val="00223901"/>
    <w:rsid w:val="00223DB6"/>
    <w:rsid w:val="00225A7F"/>
    <w:rsid w:val="00232B2E"/>
    <w:rsid w:val="00237DA4"/>
    <w:rsid w:val="00240096"/>
    <w:rsid w:val="002407A2"/>
    <w:rsid w:val="002415D6"/>
    <w:rsid w:val="00245F9C"/>
    <w:rsid w:val="002468FE"/>
    <w:rsid w:val="0024795F"/>
    <w:rsid w:val="00247EFC"/>
    <w:rsid w:val="00250003"/>
    <w:rsid w:val="00252B3D"/>
    <w:rsid w:val="00253575"/>
    <w:rsid w:val="00254195"/>
    <w:rsid w:val="00254A5A"/>
    <w:rsid w:val="00255C0E"/>
    <w:rsid w:val="0025766A"/>
    <w:rsid w:val="00257CF6"/>
    <w:rsid w:val="00262FD5"/>
    <w:rsid w:val="0026462A"/>
    <w:rsid w:val="0026722E"/>
    <w:rsid w:val="00267D57"/>
    <w:rsid w:val="00271E09"/>
    <w:rsid w:val="00273E6F"/>
    <w:rsid w:val="00273E75"/>
    <w:rsid w:val="0027756F"/>
    <w:rsid w:val="002777CD"/>
    <w:rsid w:val="00282FEF"/>
    <w:rsid w:val="00286370"/>
    <w:rsid w:val="002951F9"/>
    <w:rsid w:val="00295F69"/>
    <w:rsid w:val="002A0A41"/>
    <w:rsid w:val="002A1325"/>
    <w:rsid w:val="002A4371"/>
    <w:rsid w:val="002A5915"/>
    <w:rsid w:val="002B50A1"/>
    <w:rsid w:val="002B79B2"/>
    <w:rsid w:val="002C108C"/>
    <w:rsid w:val="002C2B99"/>
    <w:rsid w:val="002C7CFE"/>
    <w:rsid w:val="002D06CB"/>
    <w:rsid w:val="002D685D"/>
    <w:rsid w:val="002E14F8"/>
    <w:rsid w:val="002E2D90"/>
    <w:rsid w:val="002E445B"/>
    <w:rsid w:val="002E4551"/>
    <w:rsid w:val="002F18DD"/>
    <w:rsid w:val="002F20B4"/>
    <w:rsid w:val="002F5E0F"/>
    <w:rsid w:val="002F71EE"/>
    <w:rsid w:val="003002A9"/>
    <w:rsid w:val="00301A81"/>
    <w:rsid w:val="00303670"/>
    <w:rsid w:val="00303F55"/>
    <w:rsid w:val="003044E5"/>
    <w:rsid w:val="00314D1E"/>
    <w:rsid w:val="00323F1D"/>
    <w:rsid w:val="003240C8"/>
    <w:rsid w:val="00327786"/>
    <w:rsid w:val="003306C0"/>
    <w:rsid w:val="0033503B"/>
    <w:rsid w:val="00337688"/>
    <w:rsid w:val="0034262D"/>
    <w:rsid w:val="003517BF"/>
    <w:rsid w:val="00351CDE"/>
    <w:rsid w:val="00353569"/>
    <w:rsid w:val="00353974"/>
    <w:rsid w:val="00354B36"/>
    <w:rsid w:val="003573F1"/>
    <w:rsid w:val="0036279E"/>
    <w:rsid w:val="00362FF4"/>
    <w:rsid w:val="003657D9"/>
    <w:rsid w:val="00365DAF"/>
    <w:rsid w:val="00371A90"/>
    <w:rsid w:val="00371AA0"/>
    <w:rsid w:val="003724AE"/>
    <w:rsid w:val="003734F4"/>
    <w:rsid w:val="003738C2"/>
    <w:rsid w:val="00376341"/>
    <w:rsid w:val="0038088A"/>
    <w:rsid w:val="0038146B"/>
    <w:rsid w:val="00384B63"/>
    <w:rsid w:val="00385080"/>
    <w:rsid w:val="0038613F"/>
    <w:rsid w:val="00387477"/>
    <w:rsid w:val="003874C3"/>
    <w:rsid w:val="0039189D"/>
    <w:rsid w:val="00391C12"/>
    <w:rsid w:val="003A08C0"/>
    <w:rsid w:val="003A3CE8"/>
    <w:rsid w:val="003A40F3"/>
    <w:rsid w:val="003A4E36"/>
    <w:rsid w:val="003A7DEC"/>
    <w:rsid w:val="003B11B6"/>
    <w:rsid w:val="003B2C89"/>
    <w:rsid w:val="003C0AE8"/>
    <w:rsid w:val="003C22AA"/>
    <w:rsid w:val="003C2EA2"/>
    <w:rsid w:val="003D0986"/>
    <w:rsid w:val="003D1F45"/>
    <w:rsid w:val="003E0D55"/>
    <w:rsid w:val="003E0EBA"/>
    <w:rsid w:val="003E1750"/>
    <w:rsid w:val="003E368A"/>
    <w:rsid w:val="003E4B37"/>
    <w:rsid w:val="003E51F6"/>
    <w:rsid w:val="003F0286"/>
    <w:rsid w:val="003F31E9"/>
    <w:rsid w:val="00402955"/>
    <w:rsid w:val="0040352A"/>
    <w:rsid w:val="00405BB2"/>
    <w:rsid w:val="00406D05"/>
    <w:rsid w:val="0041267B"/>
    <w:rsid w:val="004135A9"/>
    <w:rsid w:val="00414AB4"/>
    <w:rsid w:val="00414FBB"/>
    <w:rsid w:val="00415B2C"/>
    <w:rsid w:val="00416391"/>
    <w:rsid w:val="00421BF8"/>
    <w:rsid w:val="00423029"/>
    <w:rsid w:val="004230C4"/>
    <w:rsid w:val="00423D11"/>
    <w:rsid w:val="00425C12"/>
    <w:rsid w:val="004325AE"/>
    <w:rsid w:val="00432685"/>
    <w:rsid w:val="00441AD8"/>
    <w:rsid w:val="00445FDD"/>
    <w:rsid w:val="0045594D"/>
    <w:rsid w:val="00457C86"/>
    <w:rsid w:val="00461F13"/>
    <w:rsid w:val="00462807"/>
    <w:rsid w:val="00463001"/>
    <w:rsid w:val="00463993"/>
    <w:rsid w:val="004668A1"/>
    <w:rsid w:val="004670CD"/>
    <w:rsid w:val="004671D2"/>
    <w:rsid w:val="0047091C"/>
    <w:rsid w:val="004720DE"/>
    <w:rsid w:val="00474E14"/>
    <w:rsid w:val="00475028"/>
    <w:rsid w:val="00482D90"/>
    <w:rsid w:val="00485690"/>
    <w:rsid w:val="00490CBE"/>
    <w:rsid w:val="0049473A"/>
    <w:rsid w:val="0049487A"/>
    <w:rsid w:val="00494DB7"/>
    <w:rsid w:val="004960D6"/>
    <w:rsid w:val="00497E32"/>
    <w:rsid w:val="004A0C02"/>
    <w:rsid w:val="004A1921"/>
    <w:rsid w:val="004A2B14"/>
    <w:rsid w:val="004A4DC4"/>
    <w:rsid w:val="004A6D32"/>
    <w:rsid w:val="004B22B4"/>
    <w:rsid w:val="004B3D4F"/>
    <w:rsid w:val="004B76B6"/>
    <w:rsid w:val="004C73A6"/>
    <w:rsid w:val="004D1344"/>
    <w:rsid w:val="004D389E"/>
    <w:rsid w:val="004D50D4"/>
    <w:rsid w:val="004D5C21"/>
    <w:rsid w:val="004D5EEE"/>
    <w:rsid w:val="004E076E"/>
    <w:rsid w:val="004E4D58"/>
    <w:rsid w:val="004E562A"/>
    <w:rsid w:val="004F3C91"/>
    <w:rsid w:val="004F5588"/>
    <w:rsid w:val="004F5762"/>
    <w:rsid w:val="004F620D"/>
    <w:rsid w:val="004F6319"/>
    <w:rsid w:val="004F7290"/>
    <w:rsid w:val="00504188"/>
    <w:rsid w:val="00504AE9"/>
    <w:rsid w:val="0050722D"/>
    <w:rsid w:val="00510D89"/>
    <w:rsid w:val="00512973"/>
    <w:rsid w:val="00512B71"/>
    <w:rsid w:val="00512E86"/>
    <w:rsid w:val="00513F6B"/>
    <w:rsid w:val="005150F2"/>
    <w:rsid w:val="005203F6"/>
    <w:rsid w:val="0052182E"/>
    <w:rsid w:val="0053114B"/>
    <w:rsid w:val="00535713"/>
    <w:rsid w:val="00535E75"/>
    <w:rsid w:val="00535F94"/>
    <w:rsid w:val="0054101A"/>
    <w:rsid w:val="00541454"/>
    <w:rsid w:val="00541726"/>
    <w:rsid w:val="00543FD6"/>
    <w:rsid w:val="0054461B"/>
    <w:rsid w:val="005465ED"/>
    <w:rsid w:val="0055106D"/>
    <w:rsid w:val="00552423"/>
    <w:rsid w:val="00552D50"/>
    <w:rsid w:val="00553CD0"/>
    <w:rsid w:val="0056073B"/>
    <w:rsid w:val="00561388"/>
    <w:rsid w:val="00566784"/>
    <w:rsid w:val="00570032"/>
    <w:rsid w:val="00570D10"/>
    <w:rsid w:val="00570FF7"/>
    <w:rsid w:val="00572804"/>
    <w:rsid w:val="00575623"/>
    <w:rsid w:val="00575895"/>
    <w:rsid w:val="00576293"/>
    <w:rsid w:val="005779FF"/>
    <w:rsid w:val="005856EF"/>
    <w:rsid w:val="00592F5D"/>
    <w:rsid w:val="00595690"/>
    <w:rsid w:val="0059660E"/>
    <w:rsid w:val="005A041A"/>
    <w:rsid w:val="005A0B38"/>
    <w:rsid w:val="005A11E5"/>
    <w:rsid w:val="005A2ED7"/>
    <w:rsid w:val="005A342C"/>
    <w:rsid w:val="005A359A"/>
    <w:rsid w:val="005A645F"/>
    <w:rsid w:val="005A69D9"/>
    <w:rsid w:val="005A7A12"/>
    <w:rsid w:val="005A7A81"/>
    <w:rsid w:val="005B1C6B"/>
    <w:rsid w:val="005B23D9"/>
    <w:rsid w:val="005B32FB"/>
    <w:rsid w:val="005B3823"/>
    <w:rsid w:val="005B4112"/>
    <w:rsid w:val="005B4C91"/>
    <w:rsid w:val="005C1B7F"/>
    <w:rsid w:val="005C30FC"/>
    <w:rsid w:val="005C4A8A"/>
    <w:rsid w:val="005C56CB"/>
    <w:rsid w:val="005C5F3E"/>
    <w:rsid w:val="005C6B43"/>
    <w:rsid w:val="005C78F3"/>
    <w:rsid w:val="005D3305"/>
    <w:rsid w:val="005D3BF2"/>
    <w:rsid w:val="005D5755"/>
    <w:rsid w:val="005E2C33"/>
    <w:rsid w:val="005E4451"/>
    <w:rsid w:val="005E7189"/>
    <w:rsid w:val="005F3052"/>
    <w:rsid w:val="00602F33"/>
    <w:rsid w:val="00611063"/>
    <w:rsid w:val="00614328"/>
    <w:rsid w:val="006163C0"/>
    <w:rsid w:val="0061723E"/>
    <w:rsid w:val="00617B97"/>
    <w:rsid w:val="006279F2"/>
    <w:rsid w:val="00634CED"/>
    <w:rsid w:val="0063531F"/>
    <w:rsid w:val="0063744D"/>
    <w:rsid w:val="00637B4F"/>
    <w:rsid w:val="00637C0E"/>
    <w:rsid w:val="00637F04"/>
    <w:rsid w:val="0064217E"/>
    <w:rsid w:val="00644562"/>
    <w:rsid w:val="00645A45"/>
    <w:rsid w:val="00645F98"/>
    <w:rsid w:val="00647FAC"/>
    <w:rsid w:val="00650EC4"/>
    <w:rsid w:val="00651B7A"/>
    <w:rsid w:val="0065578D"/>
    <w:rsid w:val="006576EE"/>
    <w:rsid w:val="00657C8B"/>
    <w:rsid w:val="006600F8"/>
    <w:rsid w:val="006633F7"/>
    <w:rsid w:val="006650FE"/>
    <w:rsid w:val="006660C8"/>
    <w:rsid w:val="0067195F"/>
    <w:rsid w:val="00671F08"/>
    <w:rsid w:val="00674DC8"/>
    <w:rsid w:val="00675712"/>
    <w:rsid w:val="00677C9D"/>
    <w:rsid w:val="006831B9"/>
    <w:rsid w:val="0068348F"/>
    <w:rsid w:val="00683FF3"/>
    <w:rsid w:val="006869FB"/>
    <w:rsid w:val="00690B5C"/>
    <w:rsid w:val="0069518B"/>
    <w:rsid w:val="0069532B"/>
    <w:rsid w:val="006971C1"/>
    <w:rsid w:val="00697206"/>
    <w:rsid w:val="006A01C1"/>
    <w:rsid w:val="006A504D"/>
    <w:rsid w:val="006B0AAA"/>
    <w:rsid w:val="006B1F92"/>
    <w:rsid w:val="006B5BF6"/>
    <w:rsid w:val="006B7B2B"/>
    <w:rsid w:val="006B7DB0"/>
    <w:rsid w:val="006C13B5"/>
    <w:rsid w:val="006C2062"/>
    <w:rsid w:val="006C6839"/>
    <w:rsid w:val="006D0DC3"/>
    <w:rsid w:val="006D0E9B"/>
    <w:rsid w:val="006D1CB5"/>
    <w:rsid w:val="006D1F31"/>
    <w:rsid w:val="006D353F"/>
    <w:rsid w:val="006D4BD7"/>
    <w:rsid w:val="006D5CE4"/>
    <w:rsid w:val="006D5DEC"/>
    <w:rsid w:val="006E063A"/>
    <w:rsid w:val="006E18EA"/>
    <w:rsid w:val="006E28CA"/>
    <w:rsid w:val="006F3301"/>
    <w:rsid w:val="006F5D4E"/>
    <w:rsid w:val="006F7B1D"/>
    <w:rsid w:val="007051ED"/>
    <w:rsid w:val="00707C0B"/>
    <w:rsid w:val="00707CF2"/>
    <w:rsid w:val="00712268"/>
    <w:rsid w:val="00716C6A"/>
    <w:rsid w:val="00720521"/>
    <w:rsid w:val="00720A69"/>
    <w:rsid w:val="0072628F"/>
    <w:rsid w:val="00726FE2"/>
    <w:rsid w:val="00727E9C"/>
    <w:rsid w:val="00731700"/>
    <w:rsid w:val="00734A6B"/>
    <w:rsid w:val="00735936"/>
    <w:rsid w:val="0074092A"/>
    <w:rsid w:val="007432BE"/>
    <w:rsid w:val="007441BC"/>
    <w:rsid w:val="00745869"/>
    <w:rsid w:val="00747ED9"/>
    <w:rsid w:val="00750158"/>
    <w:rsid w:val="007504C9"/>
    <w:rsid w:val="0075182B"/>
    <w:rsid w:val="00753AA7"/>
    <w:rsid w:val="0075526E"/>
    <w:rsid w:val="00757201"/>
    <w:rsid w:val="00760FE3"/>
    <w:rsid w:val="00762320"/>
    <w:rsid w:val="007633E7"/>
    <w:rsid w:val="00766B60"/>
    <w:rsid w:val="0077017C"/>
    <w:rsid w:val="0077136C"/>
    <w:rsid w:val="00777CB0"/>
    <w:rsid w:val="00781522"/>
    <w:rsid w:val="007832DF"/>
    <w:rsid w:val="007842E1"/>
    <w:rsid w:val="00787AEF"/>
    <w:rsid w:val="00790801"/>
    <w:rsid w:val="00791455"/>
    <w:rsid w:val="00794917"/>
    <w:rsid w:val="00795313"/>
    <w:rsid w:val="00797ABD"/>
    <w:rsid w:val="007A2A16"/>
    <w:rsid w:val="007A3271"/>
    <w:rsid w:val="007A3F45"/>
    <w:rsid w:val="007A7509"/>
    <w:rsid w:val="007B07B0"/>
    <w:rsid w:val="007B58F8"/>
    <w:rsid w:val="007B76DA"/>
    <w:rsid w:val="007E0339"/>
    <w:rsid w:val="007E0F39"/>
    <w:rsid w:val="007E51AF"/>
    <w:rsid w:val="007F1AD9"/>
    <w:rsid w:val="007F36D4"/>
    <w:rsid w:val="007F7EAC"/>
    <w:rsid w:val="0080085B"/>
    <w:rsid w:val="00806319"/>
    <w:rsid w:val="00812225"/>
    <w:rsid w:val="0081508D"/>
    <w:rsid w:val="008204BD"/>
    <w:rsid w:val="00822E5D"/>
    <w:rsid w:val="008248FC"/>
    <w:rsid w:val="00825D01"/>
    <w:rsid w:val="008300D8"/>
    <w:rsid w:val="00830CA8"/>
    <w:rsid w:val="008412FB"/>
    <w:rsid w:val="0084175F"/>
    <w:rsid w:val="00841F63"/>
    <w:rsid w:val="00845360"/>
    <w:rsid w:val="0084782D"/>
    <w:rsid w:val="00847EF6"/>
    <w:rsid w:val="00852469"/>
    <w:rsid w:val="00853738"/>
    <w:rsid w:val="00860441"/>
    <w:rsid w:val="00862458"/>
    <w:rsid w:val="0086404A"/>
    <w:rsid w:val="00864FD6"/>
    <w:rsid w:val="00867096"/>
    <w:rsid w:val="00873DB0"/>
    <w:rsid w:val="008776BD"/>
    <w:rsid w:val="00877984"/>
    <w:rsid w:val="008821E2"/>
    <w:rsid w:val="00883B06"/>
    <w:rsid w:val="00884297"/>
    <w:rsid w:val="00886472"/>
    <w:rsid w:val="0088739D"/>
    <w:rsid w:val="00890101"/>
    <w:rsid w:val="0089136D"/>
    <w:rsid w:val="00893E13"/>
    <w:rsid w:val="008A484B"/>
    <w:rsid w:val="008A4B82"/>
    <w:rsid w:val="008C31A6"/>
    <w:rsid w:val="008C331D"/>
    <w:rsid w:val="008C56A1"/>
    <w:rsid w:val="008C6D57"/>
    <w:rsid w:val="008D419B"/>
    <w:rsid w:val="008E35A2"/>
    <w:rsid w:val="008F331E"/>
    <w:rsid w:val="008F5AA6"/>
    <w:rsid w:val="008F5DD4"/>
    <w:rsid w:val="008F6653"/>
    <w:rsid w:val="009006DC"/>
    <w:rsid w:val="0090202F"/>
    <w:rsid w:val="00907C6A"/>
    <w:rsid w:val="00911E37"/>
    <w:rsid w:val="0091469E"/>
    <w:rsid w:val="00915111"/>
    <w:rsid w:val="00915812"/>
    <w:rsid w:val="0091685E"/>
    <w:rsid w:val="00917A60"/>
    <w:rsid w:val="0092697B"/>
    <w:rsid w:val="00926C26"/>
    <w:rsid w:val="00930527"/>
    <w:rsid w:val="0093342D"/>
    <w:rsid w:val="009508FA"/>
    <w:rsid w:val="00953EDF"/>
    <w:rsid w:val="00957611"/>
    <w:rsid w:val="00967E4A"/>
    <w:rsid w:val="00972B27"/>
    <w:rsid w:val="00972CA4"/>
    <w:rsid w:val="00972DB7"/>
    <w:rsid w:val="00973AD0"/>
    <w:rsid w:val="00974364"/>
    <w:rsid w:val="009764E5"/>
    <w:rsid w:val="00977398"/>
    <w:rsid w:val="00980033"/>
    <w:rsid w:val="00981D8E"/>
    <w:rsid w:val="009835C0"/>
    <w:rsid w:val="00983981"/>
    <w:rsid w:val="0098489D"/>
    <w:rsid w:val="00984E46"/>
    <w:rsid w:val="00985149"/>
    <w:rsid w:val="0099075C"/>
    <w:rsid w:val="00990D71"/>
    <w:rsid w:val="00991AE6"/>
    <w:rsid w:val="00992C4A"/>
    <w:rsid w:val="009A5E02"/>
    <w:rsid w:val="009B2444"/>
    <w:rsid w:val="009B49D5"/>
    <w:rsid w:val="009B7206"/>
    <w:rsid w:val="009C026A"/>
    <w:rsid w:val="009C2993"/>
    <w:rsid w:val="009D4400"/>
    <w:rsid w:val="009D5C8C"/>
    <w:rsid w:val="009D7D52"/>
    <w:rsid w:val="009E317D"/>
    <w:rsid w:val="009F0535"/>
    <w:rsid w:val="009F10AE"/>
    <w:rsid w:val="009F1726"/>
    <w:rsid w:val="009F4AB5"/>
    <w:rsid w:val="009F5754"/>
    <w:rsid w:val="00A00B93"/>
    <w:rsid w:val="00A01E53"/>
    <w:rsid w:val="00A0327E"/>
    <w:rsid w:val="00A03341"/>
    <w:rsid w:val="00A03857"/>
    <w:rsid w:val="00A05B81"/>
    <w:rsid w:val="00A11303"/>
    <w:rsid w:val="00A12E7B"/>
    <w:rsid w:val="00A13007"/>
    <w:rsid w:val="00A13F71"/>
    <w:rsid w:val="00A200D1"/>
    <w:rsid w:val="00A27718"/>
    <w:rsid w:val="00A27E15"/>
    <w:rsid w:val="00A3108A"/>
    <w:rsid w:val="00A32B56"/>
    <w:rsid w:val="00A4131A"/>
    <w:rsid w:val="00A41779"/>
    <w:rsid w:val="00A424D3"/>
    <w:rsid w:val="00A44D5F"/>
    <w:rsid w:val="00A47C31"/>
    <w:rsid w:val="00A51B96"/>
    <w:rsid w:val="00A5743B"/>
    <w:rsid w:val="00A61A9D"/>
    <w:rsid w:val="00A626CE"/>
    <w:rsid w:val="00A63B66"/>
    <w:rsid w:val="00A6476A"/>
    <w:rsid w:val="00A66E76"/>
    <w:rsid w:val="00A70B9F"/>
    <w:rsid w:val="00A71209"/>
    <w:rsid w:val="00A73279"/>
    <w:rsid w:val="00A735EB"/>
    <w:rsid w:val="00A73F22"/>
    <w:rsid w:val="00A85132"/>
    <w:rsid w:val="00A85160"/>
    <w:rsid w:val="00A8735D"/>
    <w:rsid w:val="00A925EC"/>
    <w:rsid w:val="00A9671D"/>
    <w:rsid w:val="00AA00CD"/>
    <w:rsid w:val="00AA0936"/>
    <w:rsid w:val="00AA557E"/>
    <w:rsid w:val="00AA6349"/>
    <w:rsid w:val="00AB096C"/>
    <w:rsid w:val="00AB51F5"/>
    <w:rsid w:val="00AC0521"/>
    <w:rsid w:val="00AD1DEA"/>
    <w:rsid w:val="00AD64E0"/>
    <w:rsid w:val="00AD7616"/>
    <w:rsid w:val="00AE57EA"/>
    <w:rsid w:val="00AE7E59"/>
    <w:rsid w:val="00AF0DE3"/>
    <w:rsid w:val="00AF13C9"/>
    <w:rsid w:val="00AF31A2"/>
    <w:rsid w:val="00AF4A51"/>
    <w:rsid w:val="00AF7011"/>
    <w:rsid w:val="00B03D1E"/>
    <w:rsid w:val="00B12248"/>
    <w:rsid w:val="00B13E38"/>
    <w:rsid w:val="00B15225"/>
    <w:rsid w:val="00B1776D"/>
    <w:rsid w:val="00B17C8F"/>
    <w:rsid w:val="00B20721"/>
    <w:rsid w:val="00B21FB3"/>
    <w:rsid w:val="00B22F9B"/>
    <w:rsid w:val="00B23DD0"/>
    <w:rsid w:val="00B240F6"/>
    <w:rsid w:val="00B2522E"/>
    <w:rsid w:val="00B26F72"/>
    <w:rsid w:val="00B2786C"/>
    <w:rsid w:val="00B27D7C"/>
    <w:rsid w:val="00B32FE7"/>
    <w:rsid w:val="00B36EBC"/>
    <w:rsid w:val="00B40F08"/>
    <w:rsid w:val="00B40F7E"/>
    <w:rsid w:val="00B433B5"/>
    <w:rsid w:val="00B458A0"/>
    <w:rsid w:val="00B45A8F"/>
    <w:rsid w:val="00B469E5"/>
    <w:rsid w:val="00B47726"/>
    <w:rsid w:val="00B478B9"/>
    <w:rsid w:val="00B55DCF"/>
    <w:rsid w:val="00B560CC"/>
    <w:rsid w:val="00B56867"/>
    <w:rsid w:val="00B56FCE"/>
    <w:rsid w:val="00B57575"/>
    <w:rsid w:val="00B57B4D"/>
    <w:rsid w:val="00B60E2D"/>
    <w:rsid w:val="00B61B81"/>
    <w:rsid w:val="00B62788"/>
    <w:rsid w:val="00B655F1"/>
    <w:rsid w:val="00B7097B"/>
    <w:rsid w:val="00B72FFF"/>
    <w:rsid w:val="00B735DA"/>
    <w:rsid w:val="00B73E43"/>
    <w:rsid w:val="00B7483A"/>
    <w:rsid w:val="00B778B6"/>
    <w:rsid w:val="00B778D5"/>
    <w:rsid w:val="00B779FC"/>
    <w:rsid w:val="00B82299"/>
    <w:rsid w:val="00B8535B"/>
    <w:rsid w:val="00B856D3"/>
    <w:rsid w:val="00B872AE"/>
    <w:rsid w:val="00B90435"/>
    <w:rsid w:val="00B91CE9"/>
    <w:rsid w:val="00B923E0"/>
    <w:rsid w:val="00B92669"/>
    <w:rsid w:val="00B947C1"/>
    <w:rsid w:val="00B94D7A"/>
    <w:rsid w:val="00BA029D"/>
    <w:rsid w:val="00BA10F0"/>
    <w:rsid w:val="00BA788B"/>
    <w:rsid w:val="00BB0D01"/>
    <w:rsid w:val="00BB1CC3"/>
    <w:rsid w:val="00BB40C4"/>
    <w:rsid w:val="00BB5BBD"/>
    <w:rsid w:val="00BB5CFB"/>
    <w:rsid w:val="00BB6DBD"/>
    <w:rsid w:val="00BB6FD2"/>
    <w:rsid w:val="00BB7605"/>
    <w:rsid w:val="00BC4966"/>
    <w:rsid w:val="00BC6446"/>
    <w:rsid w:val="00BD5EEC"/>
    <w:rsid w:val="00BD65BC"/>
    <w:rsid w:val="00BE07A8"/>
    <w:rsid w:val="00BE0CA5"/>
    <w:rsid w:val="00BE1C7C"/>
    <w:rsid w:val="00BE54EA"/>
    <w:rsid w:val="00BE57E9"/>
    <w:rsid w:val="00BE6190"/>
    <w:rsid w:val="00BE73F5"/>
    <w:rsid w:val="00BF0B2C"/>
    <w:rsid w:val="00BF0F44"/>
    <w:rsid w:val="00BF281F"/>
    <w:rsid w:val="00BF3232"/>
    <w:rsid w:val="00BF4F9F"/>
    <w:rsid w:val="00C015E9"/>
    <w:rsid w:val="00C01F49"/>
    <w:rsid w:val="00C0422B"/>
    <w:rsid w:val="00C045F1"/>
    <w:rsid w:val="00C048E4"/>
    <w:rsid w:val="00C04F9B"/>
    <w:rsid w:val="00C052A0"/>
    <w:rsid w:val="00C05B0B"/>
    <w:rsid w:val="00C06D6A"/>
    <w:rsid w:val="00C07C2F"/>
    <w:rsid w:val="00C07CF5"/>
    <w:rsid w:val="00C10B4F"/>
    <w:rsid w:val="00C12EC5"/>
    <w:rsid w:val="00C131C6"/>
    <w:rsid w:val="00C15C6A"/>
    <w:rsid w:val="00C21E6C"/>
    <w:rsid w:val="00C2333B"/>
    <w:rsid w:val="00C25874"/>
    <w:rsid w:val="00C25DF1"/>
    <w:rsid w:val="00C26C18"/>
    <w:rsid w:val="00C2737F"/>
    <w:rsid w:val="00C27481"/>
    <w:rsid w:val="00C346F4"/>
    <w:rsid w:val="00C36573"/>
    <w:rsid w:val="00C435BF"/>
    <w:rsid w:val="00C5290E"/>
    <w:rsid w:val="00C60BD4"/>
    <w:rsid w:val="00C62D42"/>
    <w:rsid w:val="00C62EA9"/>
    <w:rsid w:val="00C639ED"/>
    <w:rsid w:val="00C65364"/>
    <w:rsid w:val="00C66C83"/>
    <w:rsid w:val="00C71E63"/>
    <w:rsid w:val="00C737B1"/>
    <w:rsid w:val="00C74DB8"/>
    <w:rsid w:val="00C811F6"/>
    <w:rsid w:val="00C83AFA"/>
    <w:rsid w:val="00C842F5"/>
    <w:rsid w:val="00C856B5"/>
    <w:rsid w:val="00C87D95"/>
    <w:rsid w:val="00C90D71"/>
    <w:rsid w:val="00C91055"/>
    <w:rsid w:val="00C94FB1"/>
    <w:rsid w:val="00C95790"/>
    <w:rsid w:val="00C963AB"/>
    <w:rsid w:val="00CA13B7"/>
    <w:rsid w:val="00CA368E"/>
    <w:rsid w:val="00CB0B10"/>
    <w:rsid w:val="00CB1CD5"/>
    <w:rsid w:val="00CB4AF2"/>
    <w:rsid w:val="00CB4E35"/>
    <w:rsid w:val="00CB5DC1"/>
    <w:rsid w:val="00CB7F89"/>
    <w:rsid w:val="00CC0A22"/>
    <w:rsid w:val="00CC2387"/>
    <w:rsid w:val="00CC32ED"/>
    <w:rsid w:val="00CC603A"/>
    <w:rsid w:val="00CD1216"/>
    <w:rsid w:val="00CD4372"/>
    <w:rsid w:val="00CD5E47"/>
    <w:rsid w:val="00CD7585"/>
    <w:rsid w:val="00CE09EA"/>
    <w:rsid w:val="00CE2F63"/>
    <w:rsid w:val="00CE6917"/>
    <w:rsid w:val="00CF1A46"/>
    <w:rsid w:val="00CF7246"/>
    <w:rsid w:val="00CF770A"/>
    <w:rsid w:val="00CF7BEF"/>
    <w:rsid w:val="00D01B3D"/>
    <w:rsid w:val="00D049D5"/>
    <w:rsid w:val="00D12C32"/>
    <w:rsid w:val="00D12C41"/>
    <w:rsid w:val="00D14130"/>
    <w:rsid w:val="00D1459C"/>
    <w:rsid w:val="00D17967"/>
    <w:rsid w:val="00D201CC"/>
    <w:rsid w:val="00D203CE"/>
    <w:rsid w:val="00D2394A"/>
    <w:rsid w:val="00D23B14"/>
    <w:rsid w:val="00D25DA2"/>
    <w:rsid w:val="00D26394"/>
    <w:rsid w:val="00D30761"/>
    <w:rsid w:val="00D33FEB"/>
    <w:rsid w:val="00D35C2D"/>
    <w:rsid w:val="00D36B41"/>
    <w:rsid w:val="00D37A20"/>
    <w:rsid w:val="00D41078"/>
    <w:rsid w:val="00D43EE2"/>
    <w:rsid w:val="00D4493E"/>
    <w:rsid w:val="00D44FD4"/>
    <w:rsid w:val="00D457B8"/>
    <w:rsid w:val="00D46640"/>
    <w:rsid w:val="00D46BF3"/>
    <w:rsid w:val="00D51C51"/>
    <w:rsid w:val="00D645A2"/>
    <w:rsid w:val="00D65B3F"/>
    <w:rsid w:val="00D66373"/>
    <w:rsid w:val="00D663CD"/>
    <w:rsid w:val="00D70125"/>
    <w:rsid w:val="00D73830"/>
    <w:rsid w:val="00D746F4"/>
    <w:rsid w:val="00D76255"/>
    <w:rsid w:val="00D82F5B"/>
    <w:rsid w:val="00D833F1"/>
    <w:rsid w:val="00D93957"/>
    <w:rsid w:val="00D9540A"/>
    <w:rsid w:val="00D96186"/>
    <w:rsid w:val="00D963D9"/>
    <w:rsid w:val="00DA1BC5"/>
    <w:rsid w:val="00DA377A"/>
    <w:rsid w:val="00DA3955"/>
    <w:rsid w:val="00DC1836"/>
    <w:rsid w:val="00DC3843"/>
    <w:rsid w:val="00DC64F6"/>
    <w:rsid w:val="00DC7760"/>
    <w:rsid w:val="00DC7EE4"/>
    <w:rsid w:val="00DD0B4F"/>
    <w:rsid w:val="00DD206C"/>
    <w:rsid w:val="00DD2C3D"/>
    <w:rsid w:val="00DD3487"/>
    <w:rsid w:val="00DD63DD"/>
    <w:rsid w:val="00DE0860"/>
    <w:rsid w:val="00DE1E05"/>
    <w:rsid w:val="00DE1FCB"/>
    <w:rsid w:val="00DE2B5F"/>
    <w:rsid w:val="00DE315D"/>
    <w:rsid w:val="00DE3DD7"/>
    <w:rsid w:val="00DE3FBF"/>
    <w:rsid w:val="00DE6EF1"/>
    <w:rsid w:val="00DF3C89"/>
    <w:rsid w:val="00DF42DD"/>
    <w:rsid w:val="00DF474A"/>
    <w:rsid w:val="00DF67A2"/>
    <w:rsid w:val="00E03689"/>
    <w:rsid w:val="00E107F4"/>
    <w:rsid w:val="00E10D14"/>
    <w:rsid w:val="00E1143C"/>
    <w:rsid w:val="00E16F11"/>
    <w:rsid w:val="00E22A1E"/>
    <w:rsid w:val="00E257BD"/>
    <w:rsid w:val="00E26DCA"/>
    <w:rsid w:val="00E3237E"/>
    <w:rsid w:val="00E32B1F"/>
    <w:rsid w:val="00E416C1"/>
    <w:rsid w:val="00E418D2"/>
    <w:rsid w:val="00E429F8"/>
    <w:rsid w:val="00E507B0"/>
    <w:rsid w:val="00E50CCB"/>
    <w:rsid w:val="00E50FD8"/>
    <w:rsid w:val="00E51F0C"/>
    <w:rsid w:val="00E521F1"/>
    <w:rsid w:val="00E64326"/>
    <w:rsid w:val="00E66DDB"/>
    <w:rsid w:val="00E729D8"/>
    <w:rsid w:val="00E72EC2"/>
    <w:rsid w:val="00E76FCE"/>
    <w:rsid w:val="00E77841"/>
    <w:rsid w:val="00E77CA9"/>
    <w:rsid w:val="00E82694"/>
    <w:rsid w:val="00E84B8D"/>
    <w:rsid w:val="00E8658C"/>
    <w:rsid w:val="00E86CCD"/>
    <w:rsid w:val="00E9267F"/>
    <w:rsid w:val="00E92CD9"/>
    <w:rsid w:val="00E95ACD"/>
    <w:rsid w:val="00E96DD4"/>
    <w:rsid w:val="00EA3FB1"/>
    <w:rsid w:val="00EA4F38"/>
    <w:rsid w:val="00EC1DDE"/>
    <w:rsid w:val="00EC3783"/>
    <w:rsid w:val="00ED1C40"/>
    <w:rsid w:val="00ED3F24"/>
    <w:rsid w:val="00ED4049"/>
    <w:rsid w:val="00ED6EDC"/>
    <w:rsid w:val="00EE4028"/>
    <w:rsid w:val="00EE43C4"/>
    <w:rsid w:val="00EF356F"/>
    <w:rsid w:val="00EF3B8A"/>
    <w:rsid w:val="00EF6210"/>
    <w:rsid w:val="00EF6B4C"/>
    <w:rsid w:val="00EF6EE6"/>
    <w:rsid w:val="00F00AD3"/>
    <w:rsid w:val="00F029C2"/>
    <w:rsid w:val="00F02F39"/>
    <w:rsid w:val="00F035A0"/>
    <w:rsid w:val="00F04613"/>
    <w:rsid w:val="00F046C4"/>
    <w:rsid w:val="00F04B3F"/>
    <w:rsid w:val="00F056C9"/>
    <w:rsid w:val="00F12794"/>
    <w:rsid w:val="00F1552E"/>
    <w:rsid w:val="00F17EB1"/>
    <w:rsid w:val="00F203C7"/>
    <w:rsid w:val="00F237C5"/>
    <w:rsid w:val="00F40E05"/>
    <w:rsid w:val="00F4100A"/>
    <w:rsid w:val="00F41A5C"/>
    <w:rsid w:val="00F4232A"/>
    <w:rsid w:val="00F442A7"/>
    <w:rsid w:val="00F50B64"/>
    <w:rsid w:val="00F54EC0"/>
    <w:rsid w:val="00F55D7D"/>
    <w:rsid w:val="00F5777D"/>
    <w:rsid w:val="00F61217"/>
    <w:rsid w:val="00F62849"/>
    <w:rsid w:val="00F6699F"/>
    <w:rsid w:val="00F74F2D"/>
    <w:rsid w:val="00F75761"/>
    <w:rsid w:val="00F772BC"/>
    <w:rsid w:val="00F80A55"/>
    <w:rsid w:val="00F810ED"/>
    <w:rsid w:val="00F83183"/>
    <w:rsid w:val="00F85EB8"/>
    <w:rsid w:val="00F87ADE"/>
    <w:rsid w:val="00F87BC3"/>
    <w:rsid w:val="00F91AAB"/>
    <w:rsid w:val="00F93000"/>
    <w:rsid w:val="00F94554"/>
    <w:rsid w:val="00F94948"/>
    <w:rsid w:val="00F96492"/>
    <w:rsid w:val="00F97A45"/>
    <w:rsid w:val="00FA0B38"/>
    <w:rsid w:val="00FA0F15"/>
    <w:rsid w:val="00FB020C"/>
    <w:rsid w:val="00FB026B"/>
    <w:rsid w:val="00FB0F80"/>
    <w:rsid w:val="00FB3532"/>
    <w:rsid w:val="00FB4075"/>
    <w:rsid w:val="00FB66AA"/>
    <w:rsid w:val="00FC0B38"/>
    <w:rsid w:val="00FC0FC6"/>
    <w:rsid w:val="00FC1D39"/>
    <w:rsid w:val="00FC6E64"/>
    <w:rsid w:val="00FD35C4"/>
    <w:rsid w:val="00FD4464"/>
    <w:rsid w:val="00FD46F2"/>
    <w:rsid w:val="00FD5A1D"/>
    <w:rsid w:val="00FD5D46"/>
    <w:rsid w:val="00FD73C3"/>
    <w:rsid w:val="00FE16E0"/>
    <w:rsid w:val="00FE56C1"/>
    <w:rsid w:val="00FE7F44"/>
    <w:rsid w:val="00FF1B24"/>
    <w:rsid w:val="00FF27A4"/>
    <w:rsid w:val="00FF6A05"/>
    <w:rsid w:val="011771E5"/>
    <w:rsid w:val="01530024"/>
    <w:rsid w:val="01786691"/>
    <w:rsid w:val="01EE5DFA"/>
    <w:rsid w:val="01F45DA9"/>
    <w:rsid w:val="02492227"/>
    <w:rsid w:val="02520836"/>
    <w:rsid w:val="025C6285"/>
    <w:rsid w:val="02A525D9"/>
    <w:rsid w:val="02AF4456"/>
    <w:rsid w:val="02FE5543"/>
    <w:rsid w:val="030E527F"/>
    <w:rsid w:val="0328637E"/>
    <w:rsid w:val="03B01000"/>
    <w:rsid w:val="04030A83"/>
    <w:rsid w:val="040F3316"/>
    <w:rsid w:val="041B4F8A"/>
    <w:rsid w:val="042E64FC"/>
    <w:rsid w:val="045A48B9"/>
    <w:rsid w:val="04700449"/>
    <w:rsid w:val="04736C5E"/>
    <w:rsid w:val="04B72D3F"/>
    <w:rsid w:val="04D571EB"/>
    <w:rsid w:val="04EC2B90"/>
    <w:rsid w:val="04FB5441"/>
    <w:rsid w:val="055732A5"/>
    <w:rsid w:val="057448C8"/>
    <w:rsid w:val="05A066F0"/>
    <w:rsid w:val="05F8392D"/>
    <w:rsid w:val="060379D3"/>
    <w:rsid w:val="066955E5"/>
    <w:rsid w:val="066B708D"/>
    <w:rsid w:val="06862B05"/>
    <w:rsid w:val="06B34465"/>
    <w:rsid w:val="06BC27A5"/>
    <w:rsid w:val="072A6728"/>
    <w:rsid w:val="07381EF2"/>
    <w:rsid w:val="0742649E"/>
    <w:rsid w:val="07B461C7"/>
    <w:rsid w:val="081F00C1"/>
    <w:rsid w:val="08EC575D"/>
    <w:rsid w:val="090F1CCE"/>
    <w:rsid w:val="092B6A9F"/>
    <w:rsid w:val="09412AAD"/>
    <w:rsid w:val="094D1310"/>
    <w:rsid w:val="097E413B"/>
    <w:rsid w:val="09B50B8B"/>
    <w:rsid w:val="09BC78E4"/>
    <w:rsid w:val="09C5146B"/>
    <w:rsid w:val="09E162A4"/>
    <w:rsid w:val="0A853E31"/>
    <w:rsid w:val="0AB3056B"/>
    <w:rsid w:val="0B0528E4"/>
    <w:rsid w:val="0B715734"/>
    <w:rsid w:val="0B942D8D"/>
    <w:rsid w:val="0BAF7717"/>
    <w:rsid w:val="0BF31E13"/>
    <w:rsid w:val="0C4036EC"/>
    <w:rsid w:val="0CE63AB1"/>
    <w:rsid w:val="0D507A12"/>
    <w:rsid w:val="0D5F1D3D"/>
    <w:rsid w:val="0D7F65A0"/>
    <w:rsid w:val="0E534085"/>
    <w:rsid w:val="0E690DC3"/>
    <w:rsid w:val="0ED0694C"/>
    <w:rsid w:val="0EE828EC"/>
    <w:rsid w:val="0F1D7D7F"/>
    <w:rsid w:val="0F823190"/>
    <w:rsid w:val="0FD51557"/>
    <w:rsid w:val="10263350"/>
    <w:rsid w:val="104043E6"/>
    <w:rsid w:val="10F30977"/>
    <w:rsid w:val="11427629"/>
    <w:rsid w:val="120E06E6"/>
    <w:rsid w:val="1250603C"/>
    <w:rsid w:val="12661D33"/>
    <w:rsid w:val="127D0E25"/>
    <w:rsid w:val="13181021"/>
    <w:rsid w:val="13185508"/>
    <w:rsid w:val="133C273C"/>
    <w:rsid w:val="137A774F"/>
    <w:rsid w:val="138438A4"/>
    <w:rsid w:val="138D1B6A"/>
    <w:rsid w:val="13F37300"/>
    <w:rsid w:val="14053C7E"/>
    <w:rsid w:val="14256C08"/>
    <w:rsid w:val="14261561"/>
    <w:rsid w:val="14895496"/>
    <w:rsid w:val="14DF2EBE"/>
    <w:rsid w:val="14DF2FA9"/>
    <w:rsid w:val="154A4E64"/>
    <w:rsid w:val="156C02E6"/>
    <w:rsid w:val="15770CCD"/>
    <w:rsid w:val="15B507E6"/>
    <w:rsid w:val="15DC304D"/>
    <w:rsid w:val="16023E56"/>
    <w:rsid w:val="160E5C69"/>
    <w:rsid w:val="16D76C07"/>
    <w:rsid w:val="16DC0552"/>
    <w:rsid w:val="17036C40"/>
    <w:rsid w:val="172D1B71"/>
    <w:rsid w:val="175D5BFD"/>
    <w:rsid w:val="17BB3491"/>
    <w:rsid w:val="17D16780"/>
    <w:rsid w:val="17FE3F08"/>
    <w:rsid w:val="181E3159"/>
    <w:rsid w:val="18391948"/>
    <w:rsid w:val="189B5C86"/>
    <w:rsid w:val="18E37943"/>
    <w:rsid w:val="18ED5113"/>
    <w:rsid w:val="195A205E"/>
    <w:rsid w:val="1A8839AA"/>
    <w:rsid w:val="1B2966AC"/>
    <w:rsid w:val="1B370340"/>
    <w:rsid w:val="1B991D8D"/>
    <w:rsid w:val="1C0C7849"/>
    <w:rsid w:val="1C2568D2"/>
    <w:rsid w:val="1C583BA7"/>
    <w:rsid w:val="1C805234"/>
    <w:rsid w:val="1CD163C2"/>
    <w:rsid w:val="1D074057"/>
    <w:rsid w:val="1D1C047C"/>
    <w:rsid w:val="1D7E078F"/>
    <w:rsid w:val="1DAB1D04"/>
    <w:rsid w:val="1DC4319B"/>
    <w:rsid w:val="1DC50652"/>
    <w:rsid w:val="1E1C321D"/>
    <w:rsid w:val="1E7818B9"/>
    <w:rsid w:val="1EAA68F5"/>
    <w:rsid w:val="1F0B44A9"/>
    <w:rsid w:val="1F230404"/>
    <w:rsid w:val="1F324C6B"/>
    <w:rsid w:val="1F3C77DF"/>
    <w:rsid w:val="1F583EDF"/>
    <w:rsid w:val="1FF22A60"/>
    <w:rsid w:val="201F1993"/>
    <w:rsid w:val="203D0308"/>
    <w:rsid w:val="20B37C66"/>
    <w:rsid w:val="20C71C01"/>
    <w:rsid w:val="20DA6A46"/>
    <w:rsid w:val="20E33306"/>
    <w:rsid w:val="21132D8F"/>
    <w:rsid w:val="21487871"/>
    <w:rsid w:val="21614ACD"/>
    <w:rsid w:val="216809B4"/>
    <w:rsid w:val="225A628F"/>
    <w:rsid w:val="22F32E79"/>
    <w:rsid w:val="23100993"/>
    <w:rsid w:val="2314610A"/>
    <w:rsid w:val="23162A21"/>
    <w:rsid w:val="23241EB2"/>
    <w:rsid w:val="233B2967"/>
    <w:rsid w:val="2361111E"/>
    <w:rsid w:val="23A13257"/>
    <w:rsid w:val="23C11349"/>
    <w:rsid w:val="23C17D61"/>
    <w:rsid w:val="240018EE"/>
    <w:rsid w:val="24086C78"/>
    <w:rsid w:val="24771775"/>
    <w:rsid w:val="249E42BF"/>
    <w:rsid w:val="24D41541"/>
    <w:rsid w:val="250F44FF"/>
    <w:rsid w:val="25290DD3"/>
    <w:rsid w:val="25891872"/>
    <w:rsid w:val="25DD0ECD"/>
    <w:rsid w:val="25E3421A"/>
    <w:rsid w:val="262B09F2"/>
    <w:rsid w:val="26414A35"/>
    <w:rsid w:val="264F3F8E"/>
    <w:rsid w:val="26862015"/>
    <w:rsid w:val="2698125C"/>
    <w:rsid w:val="26A872BC"/>
    <w:rsid w:val="26CD24C3"/>
    <w:rsid w:val="26EB2FCD"/>
    <w:rsid w:val="270A6969"/>
    <w:rsid w:val="277F73A8"/>
    <w:rsid w:val="27A35BFA"/>
    <w:rsid w:val="27D9343F"/>
    <w:rsid w:val="282A47E5"/>
    <w:rsid w:val="286B7752"/>
    <w:rsid w:val="287939D4"/>
    <w:rsid w:val="28844C3C"/>
    <w:rsid w:val="28967A97"/>
    <w:rsid w:val="29862CCB"/>
    <w:rsid w:val="29B2424E"/>
    <w:rsid w:val="29D16FBC"/>
    <w:rsid w:val="29F6177F"/>
    <w:rsid w:val="2A151454"/>
    <w:rsid w:val="2A2552F4"/>
    <w:rsid w:val="2B137818"/>
    <w:rsid w:val="2B6760B3"/>
    <w:rsid w:val="2B7462A4"/>
    <w:rsid w:val="2B832704"/>
    <w:rsid w:val="2B9835F7"/>
    <w:rsid w:val="2C44592B"/>
    <w:rsid w:val="2C510D96"/>
    <w:rsid w:val="2CBE7FC6"/>
    <w:rsid w:val="2CD930DF"/>
    <w:rsid w:val="2D3424AC"/>
    <w:rsid w:val="2D7E4A5B"/>
    <w:rsid w:val="2D802502"/>
    <w:rsid w:val="2D8D4039"/>
    <w:rsid w:val="2DA47A7E"/>
    <w:rsid w:val="2DBB7C85"/>
    <w:rsid w:val="2DE67773"/>
    <w:rsid w:val="2EFA0FF5"/>
    <w:rsid w:val="2F0922B4"/>
    <w:rsid w:val="2F5E5B1E"/>
    <w:rsid w:val="2F8310E0"/>
    <w:rsid w:val="31182100"/>
    <w:rsid w:val="31193D8E"/>
    <w:rsid w:val="314828A4"/>
    <w:rsid w:val="31640145"/>
    <w:rsid w:val="31772A2D"/>
    <w:rsid w:val="31EC4815"/>
    <w:rsid w:val="323518A7"/>
    <w:rsid w:val="324D5A3E"/>
    <w:rsid w:val="329B68CF"/>
    <w:rsid w:val="32E20814"/>
    <w:rsid w:val="32F860CE"/>
    <w:rsid w:val="334551ED"/>
    <w:rsid w:val="33B57802"/>
    <w:rsid w:val="34125129"/>
    <w:rsid w:val="342A4E7D"/>
    <w:rsid w:val="34400D83"/>
    <w:rsid w:val="34A22004"/>
    <w:rsid w:val="34F63A27"/>
    <w:rsid w:val="352267DA"/>
    <w:rsid w:val="35822B2E"/>
    <w:rsid w:val="35E82AA6"/>
    <w:rsid w:val="364E44A3"/>
    <w:rsid w:val="36736960"/>
    <w:rsid w:val="367B3A19"/>
    <w:rsid w:val="36813049"/>
    <w:rsid w:val="369D7C28"/>
    <w:rsid w:val="36AA3349"/>
    <w:rsid w:val="36B06074"/>
    <w:rsid w:val="36E5575A"/>
    <w:rsid w:val="3705221B"/>
    <w:rsid w:val="374C6E75"/>
    <w:rsid w:val="37851A4F"/>
    <w:rsid w:val="379544FA"/>
    <w:rsid w:val="3848606D"/>
    <w:rsid w:val="38E6283D"/>
    <w:rsid w:val="39051F45"/>
    <w:rsid w:val="39763D2B"/>
    <w:rsid w:val="399621AA"/>
    <w:rsid w:val="39C56054"/>
    <w:rsid w:val="39D911F4"/>
    <w:rsid w:val="3A5A1BE3"/>
    <w:rsid w:val="3A6F60BB"/>
    <w:rsid w:val="3AD30258"/>
    <w:rsid w:val="3B184B4D"/>
    <w:rsid w:val="3B4429B1"/>
    <w:rsid w:val="3B4C7172"/>
    <w:rsid w:val="3B7512F6"/>
    <w:rsid w:val="3BA1444F"/>
    <w:rsid w:val="3BD4747A"/>
    <w:rsid w:val="3BD53A27"/>
    <w:rsid w:val="3C2E0CC2"/>
    <w:rsid w:val="3C9A5ABD"/>
    <w:rsid w:val="3CDA7EF8"/>
    <w:rsid w:val="3CF54905"/>
    <w:rsid w:val="3D4C43A9"/>
    <w:rsid w:val="3DD67D78"/>
    <w:rsid w:val="3DE86A5C"/>
    <w:rsid w:val="3E29733C"/>
    <w:rsid w:val="3E3832D8"/>
    <w:rsid w:val="3E3A7756"/>
    <w:rsid w:val="3E6D1418"/>
    <w:rsid w:val="3E7621AE"/>
    <w:rsid w:val="3E7A155B"/>
    <w:rsid w:val="3F230146"/>
    <w:rsid w:val="3F283D60"/>
    <w:rsid w:val="3F6562A6"/>
    <w:rsid w:val="3F69003A"/>
    <w:rsid w:val="3FE136B0"/>
    <w:rsid w:val="400520A7"/>
    <w:rsid w:val="40730501"/>
    <w:rsid w:val="40AF6E9D"/>
    <w:rsid w:val="40B317CD"/>
    <w:rsid w:val="41177F1A"/>
    <w:rsid w:val="41382FA6"/>
    <w:rsid w:val="414548C1"/>
    <w:rsid w:val="416E76E4"/>
    <w:rsid w:val="41A207F3"/>
    <w:rsid w:val="41A970CC"/>
    <w:rsid w:val="41C43772"/>
    <w:rsid w:val="41E042FE"/>
    <w:rsid w:val="41F15E7C"/>
    <w:rsid w:val="41FA0CD0"/>
    <w:rsid w:val="423662DB"/>
    <w:rsid w:val="426B42ED"/>
    <w:rsid w:val="42721DFC"/>
    <w:rsid w:val="42BE14E9"/>
    <w:rsid w:val="43177E04"/>
    <w:rsid w:val="4365351A"/>
    <w:rsid w:val="43B22370"/>
    <w:rsid w:val="43F002C3"/>
    <w:rsid w:val="43F05F7D"/>
    <w:rsid w:val="44390F6F"/>
    <w:rsid w:val="444D13EC"/>
    <w:rsid w:val="44C90DDE"/>
    <w:rsid w:val="45361D4E"/>
    <w:rsid w:val="45A05D6E"/>
    <w:rsid w:val="45BE0C6C"/>
    <w:rsid w:val="45BF7D3D"/>
    <w:rsid w:val="46A7095E"/>
    <w:rsid w:val="46D473B9"/>
    <w:rsid w:val="47347A6A"/>
    <w:rsid w:val="4775715E"/>
    <w:rsid w:val="47851326"/>
    <w:rsid w:val="47AF6745"/>
    <w:rsid w:val="47F86A6D"/>
    <w:rsid w:val="480358FE"/>
    <w:rsid w:val="482D6226"/>
    <w:rsid w:val="48897F0E"/>
    <w:rsid w:val="48AF5670"/>
    <w:rsid w:val="492619AB"/>
    <w:rsid w:val="496E5ADF"/>
    <w:rsid w:val="49752488"/>
    <w:rsid w:val="497C050D"/>
    <w:rsid w:val="4A035EF9"/>
    <w:rsid w:val="4A425B49"/>
    <w:rsid w:val="4A4F27DB"/>
    <w:rsid w:val="4A6251F4"/>
    <w:rsid w:val="4B4C441D"/>
    <w:rsid w:val="4B8C1FAF"/>
    <w:rsid w:val="4C3134E9"/>
    <w:rsid w:val="4C4618E3"/>
    <w:rsid w:val="4C84756A"/>
    <w:rsid w:val="4CA011E0"/>
    <w:rsid w:val="4CCA2013"/>
    <w:rsid w:val="4CE934E8"/>
    <w:rsid w:val="4D4701AA"/>
    <w:rsid w:val="4D966FE0"/>
    <w:rsid w:val="4D9F1CB6"/>
    <w:rsid w:val="4DB16896"/>
    <w:rsid w:val="4DE25142"/>
    <w:rsid w:val="4E4E0951"/>
    <w:rsid w:val="4E7F6294"/>
    <w:rsid w:val="4E86700B"/>
    <w:rsid w:val="4E9B719C"/>
    <w:rsid w:val="4F7657D9"/>
    <w:rsid w:val="4FBD2169"/>
    <w:rsid w:val="4FED53B4"/>
    <w:rsid w:val="50210776"/>
    <w:rsid w:val="505D4B37"/>
    <w:rsid w:val="50BF4574"/>
    <w:rsid w:val="5151632E"/>
    <w:rsid w:val="517E516D"/>
    <w:rsid w:val="51C2097B"/>
    <w:rsid w:val="51E50358"/>
    <w:rsid w:val="51FC0323"/>
    <w:rsid w:val="52A07ECE"/>
    <w:rsid w:val="52DD3EE4"/>
    <w:rsid w:val="53011F2C"/>
    <w:rsid w:val="538637FE"/>
    <w:rsid w:val="53AD5ACE"/>
    <w:rsid w:val="53B1315E"/>
    <w:rsid w:val="542B26F5"/>
    <w:rsid w:val="54514DE2"/>
    <w:rsid w:val="54944889"/>
    <w:rsid w:val="54C45268"/>
    <w:rsid w:val="551C2AD4"/>
    <w:rsid w:val="55402FDD"/>
    <w:rsid w:val="55456E11"/>
    <w:rsid w:val="556F7871"/>
    <w:rsid w:val="56246E16"/>
    <w:rsid w:val="56893B68"/>
    <w:rsid w:val="56B10A02"/>
    <w:rsid w:val="56CD3B1D"/>
    <w:rsid w:val="56F4101E"/>
    <w:rsid w:val="56FC4D95"/>
    <w:rsid w:val="571F7978"/>
    <w:rsid w:val="57274D82"/>
    <w:rsid w:val="573A200C"/>
    <w:rsid w:val="57617850"/>
    <w:rsid w:val="57794AFC"/>
    <w:rsid w:val="578636AA"/>
    <w:rsid w:val="57B95C5F"/>
    <w:rsid w:val="5800344D"/>
    <w:rsid w:val="58096831"/>
    <w:rsid w:val="58164938"/>
    <w:rsid w:val="58545E09"/>
    <w:rsid w:val="58A106A5"/>
    <w:rsid w:val="58BE191E"/>
    <w:rsid w:val="58C13A23"/>
    <w:rsid w:val="58D36888"/>
    <w:rsid w:val="59690BBB"/>
    <w:rsid w:val="598C51DB"/>
    <w:rsid w:val="59EB7CEA"/>
    <w:rsid w:val="5A0339F4"/>
    <w:rsid w:val="5A146C55"/>
    <w:rsid w:val="5ABA1064"/>
    <w:rsid w:val="5ABF434B"/>
    <w:rsid w:val="5B20500A"/>
    <w:rsid w:val="5B485D61"/>
    <w:rsid w:val="5B610800"/>
    <w:rsid w:val="5B790444"/>
    <w:rsid w:val="5B81628C"/>
    <w:rsid w:val="5BA05CF8"/>
    <w:rsid w:val="5BD44701"/>
    <w:rsid w:val="5C221EBC"/>
    <w:rsid w:val="5C2372D7"/>
    <w:rsid w:val="5C256B1F"/>
    <w:rsid w:val="5C2625B7"/>
    <w:rsid w:val="5C344714"/>
    <w:rsid w:val="5C6D4ACC"/>
    <w:rsid w:val="5CA62E17"/>
    <w:rsid w:val="5CD7767C"/>
    <w:rsid w:val="5CF70654"/>
    <w:rsid w:val="5D3C796A"/>
    <w:rsid w:val="5D790445"/>
    <w:rsid w:val="5E0041C9"/>
    <w:rsid w:val="5E61739E"/>
    <w:rsid w:val="5ED27470"/>
    <w:rsid w:val="5F7D4EAE"/>
    <w:rsid w:val="601102BD"/>
    <w:rsid w:val="601F480F"/>
    <w:rsid w:val="604D6AEC"/>
    <w:rsid w:val="608C78A5"/>
    <w:rsid w:val="60AB6545"/>
    <w:rsid w:val="60BE1106"/>
    <w:rsid w:val="611B2DC7"/>
    <w:rsid w:val="614606A3"/>
    <w:rsid w:val="616F6D65"/>
    <w:rsid w:val="61854695"/>
    <w:rsid w:val="61CC362F"/>
    <w:rsid w:val="61FA30E3"/>
    <w:rsid w:val="62045198"/>
    <w:rsid w:val="62523757"/>
    <w:rsid w:val="6258427D"/>
    <w:rsid w:val="62702306"/>
    <w:rsid w:val="627D6E40"/>
    <w:rsid w:val="62AD1B5D"/>
    <w:rsid w:val="62D831EA"/>
    <w:rsid w:val="631A22BD"/>
    <w:rsid w:val="6358403E"/>
    <w:rsid w:val="636101AA"/>
    <w:rsid w:val="64024CD4"/>
    <w:rsid w:val="65644C6E"/>
    <w:rsid w:val="65C038CF"/>
    <w:rsid w:val="65C31B4C"/>
    <w:rsid w:val="65E93E92"/>
    <w:rsid w:val="66585523"/>
    <w:rsid w:val="6678372F"/>
    <w:rsid w:val="66861F3F"/>
    <w:rsid w:val="669D1C4E"/>
    <w:rsid w:val="66B92091"/>
    <w:rsid w:val="6712304A"/>
    <w:rsid w:val="67195B33"/>
    <w:rsid w:val="67275CFF"/>
    <w:rsid w:val="674A78CC"/>
    <w:rsid w:val="678C1AD9"/>
    <w:rsid w:val="680D4048"/>
    <w:rsid w:val="684600A7"/>
    <w:rsid w:val="68551635"/>
    <w:rsid w:val="6862042D"/>
    <w:rsid w:val="686F4109"/>
    <w:rsid w:val="687B28D9"/>
    <w:rsid w:val="68A01EBD"/>
    <w:rsid w:val="69150921"/>
    <w:rsid w:val="69757FFD"/>
    <w:rsid w:val="69D018D4"/>
    <w:rsid w:val="6A7257B0"/>
    <w:rsid w:val="6A7975F2"/>
    <w:rsid w:val="6B7154B3"/>
    <w:rsid w:val="6B9017FD"/>
    <w:rsid w:val="6C0D4E83"/>
    <w:rsid w:val="6C4B1E4C"/>
    <w:rsid w:val="6CF10DF6"/>
    <w:rsid w:val="6D237483"/>
    <w:rsid w:val="6D5E708F"/>
    <w:rsid w:val="6D9E3505"/>
    <w:rsid w:val="6DA52003"/>
    <w:rsid w:val="6DAA4831"/>
    <w:rsid w:val="6DC75F22"/>
    <w:rsid w:val="6DC90BD5"/>
    <w:rsid w:val="6DFF4AEC"/>
    <w:rsid w:val="6E0F4232"/>
    <w:rsid w:val="6E210622"/>
    <w:rsid w:val="6E4D563B"/>
    <w:rsid w:val="6E69753F"/>
    <w:rsid w:val="6E740E07"/>
    <w:rsid w:val="6E8B3532"/>
    <w:rsid w:val="6E9D3B2F"/>
    <w:rsid w:val="6F2E7F4C"/>
    <w:rsid w:val="6F3F58CE"/>
    <w:rsid w:val="6F8763D3"/>
    <w:rsid w:val="70421A8F"/>
    <w:rsid w:val="708A2988"/>
    <w:rsid w:val="70951772"/>
    <w:rsid w:val="711840E2"/>
    <w:rsid w:val="71D50F80"/>
    <w:rsid w:val="71E4487F"/>
    <w:rsid w:val="71F1287F"/>
    <w:rsid w:val="71F63FF8"/>
    <w:rsid w:val="725F7971"/>
    <w:rsid w:val="7261499E"/>
    <w:rsid w:val="726C6E9F"/>
    <w:rsid w:val="727F45B3"/>
    <w:rsid w:val="7386598A"/>
    <w:rsid w:val="74074438"/>
    <w:rsid w:val="745F1932"/>
    <w:rsid w:val="747F681C"/>
    <w:rsid w:val="748C0E57"/>
    <w:rsid w:val="74C42AA6"/>
    <w:rsid w:val="74D12C2E"/>
    <w:rsid w:val="74D4227D"/>
    <w:rsid w:val="7564460A"/>
    <w:rsid w:val="75653B58"/>
    <w:rsid w:val="75702903"/>
    <w:rsid w:val="7578614D"/>
    <w:rsid w:val="75A132E3"/>
    <w:rsid w:val="761A41FC"/>
    <w:rsid w:val="762D3A3A"/>
    <w:rsid w:val="76481F50"/>
    <w:rsid w:val="768A0D64"/>
    <w:rsid w:val="76904267"/>
    <w:rsid w:val="76A70DAC"/>
    <w:rsid w:val="76D233A4"/>
    <w:rsid w:val="76DF5C8F"/>
    <w:rsid w:val="76FA1840"/>
    <w:rsid w:val="77A625B4"/>
    <w:rsid w:val="77D24BC4"/>
    <w:rsid w:val="780F7214"/>
    <w:rsid w:val="782612BD"/>
    <w:rsid w:val="78274BB3"/>
    <w:rsid w:val="78637C46"/>
    <w:rsid w:val="787157E0"/>
    <w:rsid w:val="78B813C8"/>
    <w:rsid w:val="78CA4A90"/>
    <w:rsid w:val="78EA5957"/>
    <w:rsid w:val="78EE2C21"/>
    <w:rsid w:val="790544B6"/>
    <w:rsid w:val="79066B33"/>
    <w:rsid w:val="799A0B3D"/>
    <w:rsid w:val="79B83A22"/>
    <w:rsid w:val="7A027AC4"/>
    <w:rsid w:val="7A297050"/>
    <w:rsid w:val="7AEC7BCF"/>
    <w:rsid w:val="7B100AA0"/>
    <w:rsid w:val="7B6840E6"/>
    <w:rsid w:val="7B742640"/>
    <w:rsid w:val="7C552D74"/>
    <w:rsid w:val="7C5B3E48"/>
    <w:rsid w:val="7CBD4C49"/>
    <w:rsid w:val="7D053FF7"/>
    <w:rsid w:val="7D0821F2"/>
    <w:rsid w:val="7D7678C6"/>
    <w:rsid w:val="7DC55605"/>
    <w:rsid w:val="7DFB357A"/>
    <w:rsid w:val="7E5B5CEA"/>
    <w:rsid w:val="7E606730"/>
    <w:rsid w:val="7E8F06D3"/>
    <w:rsid w:val="7EC00DF1"/>
    <w:rsid w:val="7EC305F1"/>
    <w:rsid w:val="7F040C23"/>
    <w:rsid w:val="7F651B7D"/>
    <w:rsid w:val="7F7A3BF4"/>
    <w:rsid w:val="7F7D19AC"/>
    <w:rsid w:val="7FD304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0"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74"/>
    <w:qFormat/>
    <w:uiPriority w:val="0"/>
    <w:pPr>
      <w:keepNext/>
      <w:keepLines/>
      <w:spacing w:before="340" w:after="330" w:line="576" w:lineRule="auto"/>
      <w:outlineLvl w:val="0"/>
    </w:pPr>
    <w:rPr>
      <w:rFonts w:ascii="宋体" w:hAnsi="Courier New"/>
      <w:b/>
      <w:bCs/>
      <w:kern w:val="44"/>
      <w:sz w:val="44"/>
      <w:szCs w:val="44"/>
    </w:rPr>
  </w:style>
  <w:style w:type="paragraph" w:styleId="5">
    <w:name w:val="heading 2"/>
    <w:basedOn w:val="1"/>
    <w:next w:val="1"/>
    <w:link w:val="73"/>
    <w:qFormat/>
    <w:uiPriority w:val="0"/>
    <w:pPr>
      <w:keepNext/>
      <w:keepLines/>
      <w:spacing w:before="260" w:after="260" w:line="415" w:lineRule="auto"/>
      <w:outlineLvl w:val="1"/>
    </w:pPr>
    <w:rPr>
      <w:rFonts w:ascii="Arial" w:hAnsi="Arial" w:eastAsia="黑体"/>
      <w:b/>
      <w:bCs/>
      <w:sz w:val="32"/>
      <w:szCs w:val="32"/>
    </w:rPr>
  </w:style>
  <w:style w:type="paragraph" w:styleId="6">
    <w:name w:val="heading 3"/>
    <w:basedOn w:val="1"/>
    <w:next w:val="1"/>
    <w:link w:val="187"/>
    <w:qFormat/>
    <w:uiPriority w:val="0"/>
    <w:pPr>
      <w:keepNext/>
      <w:keepLines/>
      <w:spacing w:before="260" w:after="260" w:line="415" w:lineRule="auto"/>
      <w:outlineLvl w:val="2"/>
    </w:pPr>
    <w:rPr>
      <w:b/>
      <w:sz w:val="32"/>
      <w:szCs w:val="20"/>
    </w:rPr>
  </w:style>
  <w:style w:type="paragraph" w:styleId="7">
    <w:name w:val="heading 4"/>
    <w:basedOn w:val="1"/>
    <w:next w:val="1"/>
    <w:link w:val="215"/>
    <w:qFormat/>
    <w:uiPriority w:val="0"/>
    <w:pPr>
      <w:keepNext/>
      <w:keepLines/>
      <w:spacing w:before="280" w:after="290" w:line="374" w:lineRule="auto"/>
      <w:outlineLvl w:val="3"/>
    </w:pPr>
    <w:rPr>
      <w:rFonts w:ascii="Arial" w:hAnsi="Arial" w:eastAsia="黑体"/>
      <w:b/>
      <w:sz w:val="28"/>
      <w:szCs w:val="20"/>
    </w:rPr>
  </w:style>
  <w:style w:type="paragraph" w:styleId="8">
    <w:name w:val="heading 5"/>
    <w:basedOn w:val="1"/>
    <w:next w:val="1"/>
    <w:link w:val="225"/>
    <w:qFormat/>
    <w:uiPriority w:val="0"/>
    <w:pPr>
      <w:tabs>
        <w:tab w:val="left" w:pos="992"/>
        <w:tab w:val="left" w:pos="1134"/>
      </w:tabs>
      <w:spacing w:before="280" w:after="290" w:line="360" w:lineRule="auto"/>
      <w:ind w:left="992" w:hanging="992"/>
      <w:outlineLvl w:val="4"/>
    </w:pPr>
    <w:rPr>
      <w:b/>
      <w:bCs/>
      <w:kern w:val="0"/>
      <w:sz w:val="28"/>
      <w:szCs w:val="28"/>
    </w:rPr>
  </w:style>
  <w:style w:type="paragraph" w:styleId="9">
    <w:name w:val="heading 6"/>
    <w:basedOn w:val="1"/>
    <w:next w:val="1"/>
    <w:link w:val="223"/>
    <w:qFormat/>
    <w:uiPriority w:val="0"/>
    <w:pPr>
      <w:keepNext/>
      <w:keepLines/>
      <w:tabs>
        <w:tab w:val="left" w:pos="1134"/>
      </w:tabs>
      <w:spacing w:before="240" w:after="64" w:line="316" w:lineRule="auto"/>
      <w:ind w:left="1134" w:hanging="1134"/>
      <w:outlineLvl w:val="5"/>
    </w:pPr>
    <w:rPr>
      <w:rFonts w:ascii="Arial" w:hAnsi="Arial"/>
      <w:b/>
      <w:bCs/>
      <w:kern w:val="0"/>
      <w:sz w:val="28"/>
      <w:szCs w:val="18"/>
    </w:rPr>
  </w:style>
  <w:style w:type="paragraph" w:styleId="10">
    <w:name w:val="heading 7"/>
    <w:basedOn w:val="1"/>
    <w:next w:val="1"/>
    <w:link w:val="228"/>
    <w:qFormat/>
    <w:uiPriority w:val="0"/>
    <w:pPr>
      <w:keepNext/>
      <w:keepLines/>
      <w:spacing w:before="240" w:after="64" w:line="320" w:lineRule="auto"/>
      <w:outlineLvl w:val="6"/>
    </w:pPr>
    <w:rPr>
      <w:b/>
      <w:bCs/>
      <w:kern w:val="0"/>
      <w:sz w:val="24"/>
    </w:rPr>
  </w:style>
  <w:style w:type="paragraph" w:styleId="11">
    <w:name w:val="heading 8"/>
    <w:basedOn w:val="1"/>
    <w:next w:val="1"/>
    <w:link w:val="197"/>
    <w:qFormat/>
    <w:uiPriority w:val="0"/>
    <w:pPr>
      <w:keepNext/>
      <w:keepLines/>
      <w:spacing w:before="240" w:after="64" w:line="320" w:lineRule="auto"/>
      <w:outlineLvl w:val="7"/>
    </w:pPr>
    <w:rPr>
      <w:rFonts w:ascii="Cambria" w:hAnsi="Cambria"/>
      <w:kern w:val="0"/>
      <w:sz w:val="24"/>
    </w:rPr>
  </w:style>
  <w:style w:type="character" w:default="1" w:styleId="51">
    <w:name w:val="Default Paragraph Font"/>
    <w:semiHidden/>
    <w:unhideWhenUsed/>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82"/>
    <w:qFormat/>
    <w:uiPriority w:val="0"/>
    <w:pPr>
      <w:spacing w:line="420" w:lineRule="auto"/>
    </w:pPr>
    <w:rPr>
      <w:kern w:val="0"/>
      <w:sz w:val="24"/>
    </w:rPr>
  </w:style>
  <w:style w:type="paragraph" w:styleId="3">
    <w:name w:val="Date"/>
    <w:basedOn w:val="1"/>
    <w:next w:val="1"/>
    <w:link w:val="87"/>
    <w:qFormat/>
    <w:uiPriority w:val="0"/>
    <w:rPr>
      <w:rFonts w:ascii="宋体" w:hAnsi="Courier New" w:eastAsia="楷体_GB2312"/>
      <w:sz w:val="32"/>
      <w:szCs w:val="20"/>
    </w:rPr>
  </w:style>
  <w:style w:type="paragraph" w:styleId="12">
    <w:name w:val="toc 7"/>
    <w:basedOn w:val="1"/>
    <w:next w:val="1"/>
    <w:unhideWhenUsed/>
    <w:qFormat/>
    <w:uiPriority w:val="0"/>
    <w:pPr>
      <w:ind w:left="2520" w:leftChars="1200"/>
    </w:pPr>
    <w:rPr>
      <w:szCs w:val="20"/>
    </w:rPr>
  </w:style>
  <w:style w:type="paragraph" w:styleId="13">
    <w:name w:val="List Number 2"/>
    <w:basedOn w:val="1"/>
    <w:qFormat/>
    <w:uiPriority w:val="0"/>
    <w:pPr>
      <w:tabs>
        <w:tab w:val="left" w:pos="780"/>
      </w:tabs>
      <w:ind w:left="840" w:hanging="360"/>
    </w:pPr>
    <w:rPr>
      <w:szCs w:val="20"/>
    </w:rPr>
  </w:style>
  <w:style w:type="paragraph" w:styleId="14">
    <w:name w:val="Normal Indent"/>
    <w:basedOn w:val="1"/>
    <w:next w:val="1"/>
    <w:link w:val="175"/>
    <w:qFormat/>
    <w:uiPriority w:val="0"/>
    <w:pPr>
      <w:ind w:firstLine="420"/>
    </w:pPr>
    <w:rPr>
      <w:rFonts w:ascii="等线" w:hAnsi="等线" w:eastAsia="等线"/>
      <w:szCs w:val="22"/>
    </w:rPr>
  </w:style>
  <w:style w:type="paragraph" w:styleId="15">
    <w:name w:val="caption"/>
    <w:basedOn w:val="1"/>
    <w:next w:val="1"/>
    <w:link w:val="421"/>
    <w:qFormat/>
    <w:uiPriority w:val="0"/>
    <w:rPr>
      <w:rFonts w:ascii="Cambria" w:hAnsi="Cambria" w:eastAsia="黑体"/>
      <w:kern w:val="0"/>
      <w:sz w:val="20"/>
      <w:szCs w:val="20"/>
    </w:rPr>
  </w:style>
  <w:style w:type="paragraph" w:styleId="16">
    <w:name w:val="Document Map"/>
    <w:basedOn w:val="1"/>
    <w:link w:val="132"/>
    <w:qFormat/>
    <w:uiPriority w:val="0"/>
    <w:pPr>
      <w:shd w:val="clear" w:color="auto" w:fill="000080"/>
    </w:pPr>
    <w:rPr>
      <w:rFonts w:ascii="等线" w:hAnsi="等线" w:eastAsia="等线"/>
    </w:rPr>
  </w:style>
  <w:style w:type="paragraph" w:styleId="17">
    <w:name w:val="toa heading"/>
    <w:basedOn w:val="1"/>
    <w:next w:val="1"/>
    <w:qFormat/>
    <w:uiPriority w:val="0"/>
    <w:pPr>
      <w:spacing w:before="120"/>
    </w:pPr>
    <w:rPr>
      <w:rFonts w:ascii="Arial" w:hAnsi="Arial" w:cs="Arial"/>
      <w:sz w:val="24"/>
    </w:rPr>
  </w:style>
  <w:style w:type="paragraph" w:styleId="18">
    <w:name w:val="annotation text"/>
    <w:basedOn w:val="1"/>
    <w:link w:val="78"/>
    <w:qFormat/>
    <w:uiPriority w:val="0"/>
    <w:pPr>
      <w:jc w:val="left"/>
    </w:pPr>
    <w:rPr>
      <w:rFonts w:ascii="Calibri" w:hAnsi="Calibri"/>
    </w:rPr>
  </w:style>
  <w:style w:type="paragraph" w:styleId="19">
    <w:name w:val="Body Text 3"/>
    <w:basedOn w:val="1"/>
    <w:link w:val="313"/>
    <w:qFormat/>
    <w:uiPriority w:val="0"/>
    <w:pPr>
      <w:spacing w:after="120"/>
    </w:pPr>
    <w:rPr>
      <w:sz w:val="16"/>
      <w:szCs w:val="16"/>
    </w:rPr>
  </w:style>
  <w:style w:type="paragraph" w:styleId="20">
    <w:name w:val="Body Text Indent"/>
    <w:basedOn w:val="1"/>
    <w:next w:val="21"/>
    <w:link w:val="84"/>
    <w:qFormat/>
    <w:uiPriority w:val="0"/>
    <w:pPr>
      <w:spacing w:line="440" w:lineRule="exact"/>
      <w:ind w:firstLine="630"/>
    </w:pPr>
    <w:rPr>
      <w:rFonts w:ascii="宋体" w:hAnsi="宋体" w:eastAsia="等线"/>
      <w:sz w:val="28"/>
    </w:rPr>
  </w:style>
  <w:style w:type="paragraph" w:styleId="21">
    <w:name w:val="envelope return"/>
    <w:basedOn w:val="1"/>
    <w:qFormat/>
    <w:uiPriority w:val="0"/>
    <w:pPr>
      <w:snapToGrid w:val="0"/>
      <w:spacing w:line="360" w:lineRule="auto"/>
      <w:ind w:firstLine="200" w:firstLineChars="200"/>
    </w:pPr>
    <w:rPr>
      <w:rFonts w:ascii="Arial" w:hAnsi="Arial" w:cs="Arial"/>
      <w:sz w:val="24"/>
    </w:rPr>
  </w:style>
  <w:style w:type="paragraph" w:styleId="22">
    <w:name w:val="List 2"/>
    <w:basedOn w:val="1"/>
    <w:qFormat/>
    <w:uiPriority w:val="0"/>
    <w:pPr>
      <w:ind w:left="100" w:leftChars="200" w:hanging="200" w:hangingChars="200"/>
      <w:contextualSpacing/>
    </w:pPr>
  </w:style>
  <w:style w:type="paragraph" w:styleId="23">
    <w:name w:val="Block Text"/>
    <w:basedOn w:val="1"/>
    <w:qFormat/>
    <w:uiPriority w:val="0"/>
    <w:pPr>
      <w:widowControl/>
      <w:tabs>
        <w:tab w:val="left" w:pos="284"/>
      </w:tabs>
      <w:ind w:left="788" w:right="-594"/>
    </w:pPr>
    <w:rPr>
      <w:rFonts w:ascii="创艺繁楷体" w:hAnsi="Calibri" w:eastAsia="创艺繁楷体"/>
      <w:szCs w:val="22"/>
    </w:rPr>
  </w:style>
  <w:style w:type="paragraph" w:styleId="24">
    <w:name w:val="toc 5"/>
    <w:basedOn w:val="1"/>
    <w:next w:val="1"/>
    <w:unhideWhenUsed/>
    <w:qFormat/>
    <w:uiPriority w:val="0"/>
    <w:pPr>
      <w:ind w:left="1680" w:leftChars="800"/>
    </w:pPr>
    <w:rPr>
      <w:szCs w:val="20"/>
    </w:rPr>
  </w:style>
  <w:style w:type="paragraph" w:styleId="25">
    <w:name w:val="toc 3"/>
    <w:basedOn w:val="1"/>
    <w:next w:val="1"/>
    <w:unhideWhenUsed/>
    <w:qFormat/>
    <w:uiPriority w:val="0"/>
    <w:pPr>
      <w:ind w:left="840" w:leftChars="400"/>
    </w:pPr>
    <w:rPr>
      <w:szCs w:val="21"/>
    </w:rPr>
  </w:style>
  <w:style w:type="paragraph" w:styleId="26">
    <w:name w:val="Plain Text"/>
    <w:basedOn w:val="1"/>
    <w:next w:val="1"/>
    <w:link w:val="177"/>
    <w:qFormat/>
    <w:uiPriority w:val="0"/>
    <w:rPr>
      <w:rFonts w:ascii="宋体" w:hAnsi="Courier New"/>
      <w:kern w:val="0"/>
      <w:szCs w:val="21"/>
    </w:rPr>
  </w:style>
  <w:style w:type="paragraph" w:styleId="27">
    <w:name w:val="toc 8"/>
    <w:basedOn w:val="1"/>
    <w:next w:val="1"/>
    <w:unhideWhenUsed/>
    <w:qFormat/>
    <w:uiPriority w:val="0"/>
    <w:pPr>
      <w:ind w:left="2940" w:leftChars="1400"/>
    </w:pPr>
    <w:rPr>
      <w:szCs w:val="20"/>
    </w:rPr>
  </w:style>
  <w:style w:type="paragraph" w:styleId="28">
    <w:name w:val="Body Text Indent 2"/>
    <w:basedOn w:val="1"/>
    <w:link w:val="185"/>
    <w:qFormat/>
    <w:uiPriority w:val="0"/>
    <w:pPr>
      <w:tabs>
        <w:tab w:val="left" w:pos="540"/>
      </w:tabs>
      <w:ind w:firstLine="538" w:firstLineChars="192"/>
    </w:pPr>
    <w:rPr>
      <w:rFonts w:ascii="等线" w:hAnsi="等线" w:eastAsia="等线"/>
      <w:sz w:val="28"/>
    </w:rPr>
  </w:style>
  <w:style w:type="paragraph" w:styleId="29">
    <w:name w:val="Balloon Text"/>
    <w:basedOn w:val="1"/>
    <w:link w:val="92"/>
    <w:qFormat/>
    <w:uiPriority w:val="0"/>
    <w:rPr>
      <w:sz w:val="18"/>
      <w:szCs w:val="18"/>
    </w:rPr>
  </w:style>
  <w:style w:type="paragraph" w:styleId="30">
    <w:name w:val="footer"/>
    <w:basedOn w:val="1"/>
    <w:link w:val="61"/>
    <w:unhideWhenUsed/>
    <w:qFormat/>
    <w:uiPriority w:val="99"/>
    <w:pPr>
      <w:tabs>
        <w:tab w:val="center" w:pos="4153"/>
        <w:tab w:val="right" w:pos="8306"/>
      </w:tabs>
      <w:snapToGrid w:val="0"/>
      <w:jc w:val="left"/>
    </w:pPr>
    <w:rPr>
      <w:sz w:val="18"/>
      <w:szCs w:val="18"/>
    </w:rPr>
  </w:style>
  <w:style w:type="paragraph" w:styleId="31">
    <w:name w:val="header"/>
    <w:basedOn w:val="1"/>
    <w:link w:val="60"/>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link w:val="216"/>
    <w:qFormat/>
    <w:uiPriority w:val="39"/>
    <w:pPr>
      <w:tabs>
        <w:tab w:val="right" w:leader="dot" w:pos="8834"/>
      </w:tabs>
      <w:spacing w:before="120" w:after="120"/>
      <w:jc w:val="left"/>
    </w:pPr>
    <w:rPr>
      <w:b/>
      <w:bCs/>
      <w:caps/>
      <w:sz w:val="28"/>
      <w:szCs w:val="28"/>
    </w:rPr>
  </w:style>
  <w:style w:type="paragraph" w:styleId="33">
    <w:name w:val="toc 4"/>
    <w:basedOn w:val="1"/>
    <w:next w:val="1"/>
    <w:unhideWhenUsed/>
    <w:qFormat/>
    <w:uiPriority w:val="0"/>
    <w:pPr>
      <w:ind w:left="1260" w:leftChars="600"/>
    </w:pPr>
    <w:rPr>
      <w:szCs w:val="20"/>
    </w:rPr>
  </w:style>
  <w:style w:type="paragraph" w:styleId="34">
    <w:name w:val="Subtitle"/>
    <w:basedOn w:val="1"/>
    <w:next w:val="1"/>
    <w:link w:val="93"/>
    <w:qFormat/>
    <w:uiPriority w:val="0"/>
    <w:pPr>
      <w:spacing w:before="240" w:after="60" w:line="312" w:lineRule="auto"/>
      <w:jc w:val="center"/>
      <w:outlineLvl w:val="1"/>
    </w:pPr>
    <w:rPr>
      <w:rFonts w:ascii="Cambria" w:hAnsi="Cambria" w:eastAsia="方正楷体简体"/>
      <w:kern w:val="28"/>
      <w:sz w:val="32"/>
      <w:szCs w:val="32"/>
    </w:rPr>
  </w:style>
  <w:style w:type="paragraph" w:styleId="35">
    <w:name w:val="toc 6"/>
    <w:basedOn w:val="1"/>
    <w:next w:val="1"/>
    <w:unhideWhenUsed/>
    <w:qFormat/>
    <w:uiPriority w:val="0"/>
    <w:pPr>
      <w:ind w:left="2100" w:leftChars="1000"/>
    </w:pPr>
    <w:rPr>
      <w:szCs w:val="20"/>
    </w:rPr>
  </w:style>
  <w:style w:type="paragraph" w:styleId="36">
    <w:name w:val="Body Text Indent 3"/>
    <w:basedOn w:val="1"/>
    <w:link w:val="182"/>
    <w:qFormat/>
    <w:uiPriority w:val="0"/>
    <w:pPr>
      <w:ind w:firstLine="420" w:firstLineChars="150"/>
    </w:pPr>
    <w:rPr>
      <w:rFonts w:ascii="等线" w:hAnsi="等线" w:eastAsia="等线"/>
      <w:sz w:val="28"/>
    </w:rPr>
  </w:style>
  <w:style w:type="paragraph" w:styleId="37">
    <w:name w:val="toc 2"/>
    <w:basedOn w:val="1"/>
    <w:next w:val="1"/>
    <w:qFormat/>
    <w:uiPriority w:val="39"/>
    <w:pPr>
      <w:ind w:left="420" w:leftChars="200"/>
    </w:pPr>
    <w:rPr>
      <w:szCs w:val="21"/>
    </w:rPr>
  </w:style>
  <w:style w:type="paragraph" w:styleId="38">
    <w:name w:val="toc 9"/>
    <w:basedOn w:val="1"/>
    <w:next w:val="1"/>
    <w:unhideWhenUsed/>
    <w:qFormat/>
    <w:uiPriority w:val="0"/>
    <w:pPr>
      <w:ind w:left="3360" w:leftChars="1600"/>
    </w:pPr>
    <w:rPr>
      <w:szCs w:val="20"/>
    </w:rPr>
  </w:style>
  <w:style w:type="paragraph" w:styleId="39">
    <w:name w:val="Body Text 2"/>
    <w:basedOn w:val="1"/>
    <w:link w:val="246"/>
    <w:qFormat/>
    <w:uiPriority w:val="0"/>
    <w:pPr>
      <w:spacing w:line="200" w:lineRule="exact"/>
      <w:jc w:val="center"/>
    </w:pPr>
    <w:rPr>
      <w:rFonts w:ascii="宋体" w:hAnsi="宋体"/>
      <w:color w:val="000000"/>
      <w:sz w:val="18"/>
      <w:szCs w:val="18"/>
    </w:rPr>
  </w:style>
  <w:style w:type="paragraph" w:styleId="40">
    <w:name w:val="HTML Preformatted"/>
    <w:basedOn w:val="1"/>
    <w:link w:val="24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1">
    <w:name w:val="Normal (Web)"/>
    <w:basedOn w:val="1"/>
    <w:qFormat/>
    <w:uiPriority w:val="0"/>
    <w:pPr>
      <w:widowControl/>
      <w:spacing w:before="240" w:after="240"/>
      <w:jc w:val="left"/>
    </w:pPr>
    <w:rPr>
      <w:rFonts w:ascii="宋体" w:hAnsi="宋体" w:cs="宋体"/>
      <w:kern w:val="0"/>
      <w:sz w:val="24"/>
    </w:rPr>
  </w:style>
  <w:style w:type="paragraph" w:styleId="42">
    <w:name w:val="index 1"/>
    <w:basedOn w:val="1"/>
    <w:next w:val="1"/>
    <w:qFormat/>
    <w:uiPriority w:val="0"/>
    <w:pPr>
      <w:widowControl/>
      <w:jc w:val="left"/>
    </w:pPr>
    <w:rPr>
      <w:rFonts w:ascii="Arial" w:hAnsi="Arial" w:cs="Arial"/>
      <w:b/>
      <w:bCs/>
      <w:kern w:val="0"/>
      <w:sz w:val="17"/>
      <w:szCs w:val="20"/>
      <w:lang w:eastAsia="en-US"/>
    </w:rPr>
  </w:style>
  <w:style w:type="paragraph" w:styleId="43">
    <w:name w:val="Title"/>
    <w:basedOn w:val="1"/>
    <w:next w:val="1"/>
    <w:link w:val="96"/>
    <w:qFormat/>
    <w:uiPriority w:val="0"/>
    <w:pPr>
      <w:spacing w:before="240" w:after="60"/>
      <w:jc w:val="center"/>
      <w:outlineLvl w:val="0"/>
    </w:pPr>
    <w:rPr>
      <w:rFonts w:ascii="Cambria" w:hAnsi="Cambria"/>
      <w:b/>
      <w:bCs/>
      <w:sz w:val="32"/>
      <w:szCs w:val="32"/>
    </w:rPr>
  </w:style>
  <w:style w:type="paragraph" w:styleId="44">
    <w:name w:val="annotation subject"/>
    <w:basedOn w:val="20"/>
    <w:next w:val="20"/>
    <w:link w:val="80"/>
    <w:qFormat/>
    <w:uiPriority w:val="0"/>
    <w:rPr>
      <w:rFonts w:ascii="等线" w:hAnsi="等线"/>
      <w:b/>
      <w:bCs/>
    </w:rPr>
  </w:style>
  <w:style w:type="paragraph" w:styleId="45">
    <w:name w:val="Body Text First Indent"/>
    <w:basedOn w:val="46"/>
    <w:link w:val="350"/>
    <w:qFormat/>
    <w:uiPriority w:val="0"/>
    <w:pPr>
      <w:tabs>
        <w:tab w:val="left" w:pos="420"/>
      </w:tabs>
      <w:spacing w:after="120" w:line="240" w:lineRule="auto"/>
      <w:ind w:firstLine="420" w:firstLineChars="100"/>
    </w:pPr>
  </w:style>
  <w:style w:type="paragraph" w:customStyle="1" w:styleId="46">
    <w:name w:val="正文要点"/>
    <w:basedOn w:val="1"/>
    <w:next w:val="47"/>
    <w:link w:val="103"/>
    <w:qFormat/>
    <w:uiPriority w:val="0"/>
    <w:pPr>
      <w:tabs>
        <w:tab w:val="left" w:pos="420"/>
      </w:tabs>
      <w:spacing w:line="360" w:lineRule="auto"/>
      <w:ind w:left="840" w:hanging="420"/>
    </w:pPr>
    <w:rPr>
      <w:szCs w:val="21"/>
    </w:rPr>
  </w:style>
  <w:style w:type="paragraph" w:customStyle="1" w:styleId="47">
    <w:name w:val="正文要点内容"/>
    <w:basedOn w:val="46"/>
    <w:link w:val="102"/>
    <w:qFormat/>
    <w:uiPriority w:val="0"/>
    <w:pPr>
      <w:tabs>
        <w:tab w:val="left" w:pos="840"/>
        <w:tab w:val="clear" w:pos="420"/>
      </w:tabs>
      <w:ind w:left="400" w:leftChars="400" w:firstLine="200" w:firstLineChars="200"/>
    </w:pPr>
  </w:style>
  <w:style w:type="paragraph" w:styleId="48">
    <w:name w:val="Body Text First Indent 2"/>
    <w:basedOn w:val="20"/>
    <w:next w:val="1"/>
    <w:qFormat/>
    <w:uiPriority w:val="0"/>
    <w:pPr>
      <w:spacing w:after="120" w:line="240" w:lineRule="auto"/>
      <w:ind w:left="420" w:leftChars="200" w:firstLine="420" w:firstLineChars="200"/>
    </w:pPr>
    <w:rPr>
      <w:sz w:val="21"/>
    </w:rPr>
  </w:style>
  <w:style w:type="table" w:styleId="50">
    <w:name w:val="Table Grid"/>
    <w:basedOn w:val="4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
  </w:style>
  <w:style w:type="character" w:styleId="52">
    <w:name w:val="Strong"/>
    <w:qFormat/>
    <w:uiPriority w:val="0"/>
    <w:rPr>
      <w:b/>
      <w:bCs/>
    </w:rPr>
  </w:style>
  <w:style w:type="character" w:styleId="53">
    <w:name w:val="page number"/>
    <w:basedOn w:val="51"/>
    <w:qFormat/>
    <w:uiPriority w:val="0"/>
    <w:rPr>
      <w:rFonts w:cs="Times New Roman"/>
    </w:rPr>
  </w:style>
  <w:style w:type="character" w:styleId="54">
    <w:name w:val="FollowedHyperlink"/>
    <w:qFormat/>
    <w:uiPriority w:val="0"/>
    <w:rPr>
      <w:color w:val="954F72"/>
      <w:u w:val="single"/>
    </w:rPr>
  </w:style>
  <w:style w:type="character" w:styleId="55">
    <w:name w:val="Emphasis"/>
    <w:qFormat/>
    <w:uiPriority w:val="0"/>
    <w:rPr>
      <w:i/>
    </w:rPr>
  </w:style>
  <w:style w:type="character" w:styleId="56">
    <w:name w:val="Hyperlink"/>
    <w:qFormat/>
    <w:uiPriority w:val="99"/>
    <w:rPr>
      <w:color w:val="0000FF"/>
      <w:u w:val="single"/>
    </w:rPr>
  </w:style>
  <w:style w:type="character" w:styleId="57">
    <w:name w:val="annotation reference"/>
    <w:qFormat/>
    <w:uiPriority w:val="0"/>
    <w:rPr>
      <w:sz w:val="21"/>
      <w:szCs w:val="21"/>
    </w:rPr>
  </w:style>
  <w:style w:type="paragraph" w:customStyle="1" w:styleId="58">
    <w:name w:val="Default"/>
    <w:link w:val="405"/>
    <w:qFormat/>
    <w:uiPriority w:val="0"/>
    <w:pPr>
      <w:widowControl w:val="0"/>
      <w:autoSpaceDE w:val="0"/>
      <w:autoSpaceDN w:val="0"/>
      <w:adjustRightInd w:val="0"/>
    </w:pPr>
    <w:rPr>
      <w:rFonts w:ascii="楷体_GB2312" w:hAnsi="Calibri" w:eastAsia="楷体_GB2312" w:cs="楷体_GB2312"/>
      <w:color w:val="000000"/>
      <w:sz w:val="24"/>
      <w:szCs w:val="24"/>
      <w:lang w:val="en-US" w:eastAsia="zh-CN" w:bidi="ar-SA"/>
    </w:rPr>
  </w:style>
  <w:style w:type="paragraph" w:customStyle="1" w:styleId="59">
    <w:name w:val="大标题"/>
    <w:basedOn w:val="43"/>
    <w:next w:val="48"/>
    <w:qFormat/>
    <w:uiPriority w:val="0"/>
    <w:pPr>
      <w:tabs>
        <w:tab w:val="left" w:pos="795"/>
        <w:tab w:val="center" w:pos="4156"/>
      </w:tabs>
      <w:spacing w:line="360" w:lineRule="auto"/>
      <w:ind w:firstLine="200" w:firstLineChars="200"/>
    </w:pPr>
    <w:rPr>
      <w:rFonts w:ascii="宋体" w:hAnsi="宋体"/>
      <w:bCs w:val="0"/>
      <w:kern w:val="0"/>
      <w:szCs w:val="20"/>
    </w:rPr>
  </w:style>
  <w:style w:type="character" w:customStyle="1" w:styleId="60">
    <w:name w:val="页眉 Char1"/>
    <w:basedOn w:val="51"/>
    <w:link w:val="31"/>
    <w:qFormat/>
    <w:uiPriority w:val="0"/>
    <w:rPr>
      <w:sz w:val="18"/>
      <w:szCs w:val="18"/>
    </w:rPr>
  </w:style>
  <w:style w:type="character" w:customStyle="1" w:styleId="61">
    <w:name w:val="页脚 Char1"/>
    <w:basedOn w:val="51"/>
    <w:link w:val="30"/>
    <w:qFormat/>
    <w:uiPriority w:val="0"/>
    <w:rPr>
      <w:sz w:val="18"/>
      <w:szCs w:val="18"/>
    </w:rPr>
  </w:style>
  <w:style w:type="character" w:customStyle="1" w:styleId="62">
    <w:name w:val="标题 1 字符"/>
    <w:basedOn w:val="51"/>
    <w:qFormat/>
    <w:uiPriority w:val="0"/>
    <w:rPr>
      <w:rFonts w:ascii="Times New Roman" w:hAnsi="Times New Roman" w:eastAsia="宋体" w:cs="Times New Roman"/>
      <w:b/>
      <w:bCs/>
      <w:kern w:val="44"/>
      <w:sz w:val="44"/>
      <w:szCs w:val="44"/>
    </w:rPr>
  </w:style>
  <w:style w:type="character" w:customStyle="1" w:styleId="63">
    <w:name w:val="标题 2 字符"/>
    <w:basedOn w:val="51"/>
    <w:qFormat/>
    <w:uiPriority w:val="0"/>
    <w:rPr>
      <w:rFonts w:asciiTheme="majorHAnsi" w:hAnsiTheme="majorHAnsi" w:eastAsiaTheme="majorEastAsia" w:cstheme="majorBidi"/>
      <w:b/>
      <w:bCs/>
      <w:sz w:val="32"/>
      <w:szCs w:val="32"/>
    </w:rPr>
  </w:style>
  <w:style w:type="character" w:customStyle="1" w:styleId="64">
    <w:name w:val="标题 3 字符"/>
    <w:basedOn w:val="51"/>
    <w:qFormat/>
    <w:uiPriority w:val="0"/>
    <w:rPr>
      <w:rFonts w:ascii="Times New Roman" w:hAnsi="Times New Roman" w:eastAsia="宋体" w:cs="Times New Roman"/>
      <w:b/>
      <w:bCs/>
      <w:sz w:val="32"/>
      <w:szCs w:val="32"/>
    </w:rPr>
  </w:style>
  <w:style w:type="character" w:customStyle="1" w:styleId="65">
    <w:name w:val="标题 4 字符"/>
    <w:basedOn w:val="51"/>
    <w:qFormat/>
    <w:uiPriority w:val="9"/>
    <w:rPr>
      <w:rFonts w:asciiTheme="majorHAnsi" w:hAnsiTheme="majorHAnsi" w:eastAsiaTheme="majorEastAsia" w:cstheme="majorBidi"/>
      <w:b/>
      <w:bCs/>
      <w:sz w:val="28"/>
      <w:szCs w:val="28"/>
    </w:rPr>
  </w:style>
  <w:style w:type="character" w:customStyle="1" w:styleId="66">
    <w:name w:val="标题 5 字符"/>
    <w:basedOn w:val="51"/>
    <w:qFormat/>
    <w:uiPriority w:val="0"/>
    <w:rPr>
      <w:rFonts w:ascii="Times New Roman" w:hAnsi="Times New Roman" w:eastAsia="宋体" w:cs="Times New Roman"/>
      <w:b/>
      <w:bCs/>
      <w:sz w:val="28"/>
      <w:szCs w:val="28"/>
    </w:rPr>
  </w:style>
  <w:style w:type="character" w:customStyle="1" w:styleId="67">
    <w:name w:val="标题 6 字符"/>
    <w:basedOn w:val="51"/>
    <w:qFormat/>
    <w:uiPriority w:val="0"/>
    <w:rPr>
      <w:rFonts w:asciiTheme="majorHAnsi" w:hAnsiTheme="majorHAnsi" w:eastAsiaTheme="majorEastAsia" w:cstheme="majorBidi"/>
      <w:b/>
      <w:bCs/>
      <w:sz w:val="24"/>
      <w:szCs w:val="24"/>
    </w:rPr>
  </w:style>
  <w:style w:type="character" w:customStyle="1" w:styleId="68">
    <w:name w:val="标题 7 字符"/>
    <w:basedOn w:val="51"/>
    <w:qFormat/>
    <w:uiPriority w:val="0"/>
    <w:rPr>
      <w:rFonts w:ascii="Times New Roman" w:hAnsi="Times New Roman" w:eastAsia="宋体" w:cs="Times New Roman"/>
      <w:b/>
      <w:bCs/>
      <w:sz w:val="24"/>
      <w:szCs w:val="24"/>
    </w:rPr>
  </w:style>
  <w:style w:type="character" w:customStyle="1" w:styleId="69">
    <w:name w:val="标题 8 字符"/>
    <w:basedOn w:val="51"/>
    <w:qFormat/>
    <w:uiPriority w:val="0"/>
    <w:rPr>
      <w:rFonts w:asciiTheme="majorHAnsi" w:hAnsiTheme="majorHAnsi" w:eastAsiaTheme="majorEastAsia" w:cstheme="majorBidi"/>
      <w:sz w:val="24"/>
      <w:szCs w:val="24"/>
    </w:rPr>
  </w:style>
  <w:style w:type="character" w:customStyle="1" w:styleId="70">
    <w:name w:val="页眉 字符1"/>
    <w:basedOn w:val="51"/>
    <w:qFormat/>
    <w:uiPriority w:val="0"/>
    <w:rPr>
      <w:kern w:val="2"/>
      <w:sz w:val="18"/>
      <w:szCs w:val="18"/>
    </w:rPr>
  </w:style>
  <w:style w:type="character" w:customStyle="1" w:styleId="71">
    <w:name w:val="页脚 字符1"/>
    <w:basedOn w:val="51"/>
    <w:qFormat/>
    <w:uiPriority w:val="0"/>
    <w:rPr>
      <w:kern w:val="2"/>
      <w:sz w:val="18"/>
      <w:szCs w:val="18"/>
    </w:rPr>
  </w:style>
  <w:style w:type="character" w:customStyle="1" w:styleId="72">
    <w:name w:val="文档结构图 字符"/>
    <w:basedOn w:val="51"/>
    <w:qFormat/>
    <w:uiPriority w:val="0"/>
    <w:rPr>
      <w:rFonts w:ascii="Microsoft YaHei UI" w:hAnsi="Times New Roman" w:eastAsia="Microsoft YaHei UI" w:cs="Times New Roman"/>
      <w:sz w:val="18"/>
      <w:szCs w:val="18"/>
    </w:rPr>
  </w:style>
  <w:style w:type="character" w:customStyle="1" w:styleId="73">
    <w:name w:val="标题 2 Char"/>
    <w:basedOn w:val="51"/>
    <w:link w:val="5"/>
    <w:qFormat/>
    <w:uiPriority w:val="0"/>
    <w:rPr>
      <w:rFonts w:ascii="Arial" w:hAnsi="Arial" w:eastAsia="黑体" w:cs="Times New Roman"/>
      <w:b/>
      <w:bCs/>
      <w:sz w:val="32"/>
      <w:szCs w:val="32"/>
    </w:rPr>
  </w:style>
  <w:style w:type="character" w:customStyle="1" w:styleId="74">
    <w:name w:val="标题 1 Char"/>
    <w:basedOn w:val="51"/>
    <w:link w:val="4"/>
    <w:qFormat/>
    <w:uiPriority w:val="0"/>
    <w:rPr>
      <w:rFonts w:ascii="宋体" w:hAnsi="Courier New" w:eastAsia="宋体" w:cs="Times New Roman"/>
      <w:b/>
      <w:bCs/>
      <w:kern w:val="44"/>
      <w:sz w:val="44"/>
      <w:szCs w:val="44"/>
    </w:rPr>
  </w:style>
  <w:style w:type="character" w:customStyle="1" w:styleId="75">
    <w:name w:val="标题 3 Char"/>
    <w:basedOn w:val="51"/>
    <w:qFormat/>
    <w:uiPriority w:val="0"/>
    <w:rPr>
      <w:b/>
      <w:bCs/>
      <w:kern w:val="2"/>
      <w:sz w:val="32"/>
      <w:szCs w:val="32"/>
    </w:rPr>
  </w:style>
  <w:style w:type="character" w:customStyle="1" w:styleId="76">
    <w:name w:val="标题 4 Char"/>
    <w:basedOn w:val="51"/>
    <w:qFormat/>
    <w:uiPriority w:val="0"/>
    <w:rPr>
      <w:rFonts w:ascii="仿宋_GB2312" w:eastAsia="仿宋_GB2312" w:cs="仿宋_GB2312"/>
      <w:kern w:val="2"/>
      <w:sz w:val="28"/>
      <w:szCs w:val="28"/>
    </w:rPr>
  </w:style>
  <w:style w:type="character" w:customStyle="1" w:styleId="77">
    <w:name w:val="批注文字 字符"/>
    <w:basedOn w:val="51"/>
    <w:qFormat/>
    <w:uiPriority w:val="0"/>
    <w:rPr>
      <w:rFonts w:ascii="Times New Roman" w:hAnsi="Times New Roman" w:eastAsia="宋体" w:cs="Times New Roman"/>
      <w:szCs w:val="24"/>
    </w:rPr>
  </w:style>
  <w:style w:type="character" w:customStyle="1" w:styleId="78">
    <w:name w:val="批注文字 Char1"/>
    <w:basedOn w:val="51"/>
    <w:link w:val="18"/>
    <w:qFormat/>
    <w:uiPriority w:val="0"/>
    <w:rPr>
      <w:rFonts w:ascii="Calibri" w:hAnsi="Calibri" w:eastAsia="宋体" w:cs="Times New Roman"/>
      <w:szCs w:val="24"/>
    </w:rPr>
  </w:style>
  <w:style w:type="character" w:customStyle="1" w:styleId="79">
    <w:name w:val="批注主题 字符"/>
    <w:basedOn w:val="77"/>
    <w:qFormat/>
    <w:uiPriority w:val="0"/>
    <w:rPr>
      <w:rFonts w:ascii="Times New Roman" w:hAnsi="Times New Roman" w:eastAsia="宋体" w:cs="Times New Roman"/>
      <w:b/>
      <w:bCs/>
      <w:szCs w:val="24"/>
    </w:rPr>
  </w:style>
  <w:style w:type="character" w:customStyle="1" w:styleId="80">
    <w:name w:val="批注主题 Char"/>
    <w:basedOn w:val="78"/>
    <w:link w:val="44"/>
    <w:qFormat/>
    <w:uiPriority w:val="0"/>
    <w:rPr>
      <w:rFonts w:ascii="等线" w:hAnsi="等线" w:eastAsia="等线" w:cs="Times New Roman"/>
      <w:b/>
      <w:bCs/>
      <w:sz w:val="28"/>
      <w:szCs w:val="24"/>
    </w:rPr>
  </w:style>
  <w:style w:type="character" w:customStyle="1" w:styleId="81">
    <w:name w:val="正文文本 字符"/>
    <w:basedOn w:val="51"/>
    <w:qFormat/>
    <w:uiPriority w:val="0"/>
    <w:rPr>
      <w:rFonts w:ascii="Times New Roman" w:hAnsi="Times New Roman" w:eastAsia="宋体" w:cs="Times New Roman"/>
      <w:szCs w:val="24"/>
    </w:rPr>
  </w:style>
  <w:style w:type="character" w:customStyle="1" w:styleId="82">
    <w:name w:val="正文文本 Char"/>
    <w:basedOn w:val="51"/>
    <w:link w:val="2"/>
    <w:qFormat/>
    <w:uiPriority w:val="0"/>
    <w:rPr>
      <w:rFonts w:ascii="Times New Roman" w:hAnsi="Times New Roman" w:eastAsia="宋体" w:cs="Times New Roman"/>
      <w:kern w:val="0"/>
      <w:sz w:val="24"/>
      <w:szCs w:val="24"/>
    </w:rPr>
  </w:style>
  <w:style w:type="character" w:customStyle="1" w:styleId="83">
    <w:name w:val="正文文本缩进 字符"/>
    <w:basedOn w:val="51"/>
    <w:qFormat/>
    <w:uiPriority w:val="0"/>
    <w:rPr>
      <w:rFonts w:ascii="Times New Roman" w:hAnsi="Times New Roman" w:eastAsia="宋体" w:cs="Times New Roman"/>
      <w:szCs w:val="24"/>
    </w:rPr>
  </w:style>
  <w:style w:type="character" w:customStyle="1" w:styleId="84">
    <w:name w:val="正文文本缩进 Char"/>
    <w:basedOn w:val="51"/>
    <w:link w:val="20"/>
    <w:qFormat/>
    <w:uiPriority w:val="0"/>
    <w:rPr>
      <w:rFonts w:ascii="宋体" w:hAnsi="宋体" w:eastAsia="等线" w:cs="Times New Roman"/>
      <w:sz w:val="28"/>
      <w:szCs w:val="24"/>
    </w:rPr>
  </w:style>
  <w:style w:type="character" w:customStyle="1" w:styleId="85">
    <w:name w:val="纯文本 字符"/>
    <w:basedOn w:val="51"/>
    <w:qFormat/>
    <w:uiPriority w:val="0"/>
    <w:rPr>
      <w:rFonts w:hAnsi="Courier New" w:cs="Courier New" w:asciiTheme="minorEastAsia"/>
      <w:szCs w:val="24"/>
    </w:rPr>
  </w:style>
  <w:style w:type="character" w:customStyle="1" w:styleId="86">
    <w:name w:val="纯文本 Char"/>
    <w:basedOn w:val="51"/>
    <w:qFormat/>
    <w:uiPriority w:val="0"/>
    <w:rPr>
      <w:rFonts w:ascii="宋体" w:hAnsi="Courier New"/>
      <w:sz w:val="21"/>
      <w:szCs w:val="21"/>
    </w:rPr>
  </w:style>
  <w:style w:type="character" w:customStyle="1" w:styleId="87">
    <w:name w:val="日期 Char1"/>
    <w:basedOn w:val="51"/>
    <w:link w:val="3"/>
    <w:qFormat/>
    <w:uiPriority w:val="0"/>
    <w:rPr>
      <w:rFonts w:ascii="宋体" w:hAnsi="Courier New" w:eastAsia="楷体_GB2312" w:cs="Times New Roman"/>
      <w:sz w:val="32"/>
      <w:szCs w:val="20"/>
    </w:rPr>
  </w:style>
  <w:style w:type="character" w:customStyle="1" w:styleId="88">
    <w:name w:val="日期 Char"/>
    <w:basedOn w:val="51"/>
    <w:qFormat/>
    <w:uiPriority w:val="0"/>
    <w:rPr>
      <w:rFonts w:ascii="宋体" w:hAnsi="Courier New"/>
      <w:sz w:val="21"/>
      <w:szCs w:val="21"/>
    </w:rPr>
  </w:style>
  <w:style w:type="character" w:customStyle="1" w:styleId="89">
    <w:name w:val="正文文本缩进 2 字符"/>
    <w:basedOn w:val="51"/>
    <w:qFormat/>
    <w:uiPriority w:val="0"/>
    <w:rPr>
      <w:rFonts w:ascii="Times New Roman" w:hAnsi="Times New Roman" w:eastAsia="宋体" w:cs="Times New Roman"/>
      <w:szCs w:val="24"/>
    </w:rPr>
  </w:style>
  <w:style w:type="character" w:customStyle="1" w:styleId="90">
    <w:name w:val="正文文本缩进 2 Char"/>
    <w:basedOn w:val="51"/>
    <w:qFormat/>
    <w:uiPriority w:val="0"/>
    <w:rPr>
      <w:sz w:val="24"/>
      <w:szCs w:val="24"/>
    </w:rPr>
  </w:style>
  <w:style w:type="character" w:customStyle="1" w:styleId="91">
    <w:name w:val="批注框文本 字符"/>
    <w:basedOn w:val="51"/>
    <w:qFormat/>
    <w:uiPriority w:val="0"/>
    <w:rPr>
      <w:rFonts w:ascii="Times New Roman" w:hAnsi="Times New Roman" w:eastAsia="宋体" w:cs="Times New Roman"/>
      <w:sz w:val="18"/>
      <w:szCs w:val="18"/>
    </w:rPr>
  </w:style>
  <w:style w:type="character" w:customStyle="1" w:styleId="92">
    <w:name w:val="批注框文本 Char"/>
    <w:basedOn w:val="51"/>
    <w:link w:val="29"/>
    <w:qFormat/>
    <w:uiPriority w:val="0"/>
    <w:rPr>
      <w:rFonts w:ascii="Times New Roman" w:hAnsi="Times New Roman" w:eastAsia="宋体" w:cs="Times New Roman"/>
      <w:sz w:val="18"/>
      <w:szCs w:val="18"/>
    </w:rPr>
  </w:style>
  <w:style w:type="character" w:customStyle="1" w:styleId="93">
    <w:name w:val="副标题 Char"/>
    <w:basedOn w:val="51"/>
    <w:link w:val="34"/>
    <w:qFormat/>
    <w:uiPriority w:val="0"/>
    <w:rPr>
      <w:rFonts w:ascii="Cambria" w:hAnsi="Cambria" w:eastAsia="方正楷体简体" w:cs="Times New Roman"/>
      <w:kern w:val="28"/>
      <w:sz w:val="32"/>
      <w:szCs w:val="32"/>
    </w:rPr>
  </w:style>
  <w:style w:type="character" w:customStyle="1" w:styleId="94">
    <w:name w:val="正文文本缩进 3 字符"/>
    <w:basedOn w:val="51"/>
    <w:qFormat/>
    <w:uiPriority w:val="0"/>
    <w:rPr>
      <w:rFonts w:ascii="Times New Roman" w:hAnsi="Times New Roman" w:eastAsia="宋体" w:cs="Times New Roman"/>
      <w:sz w:val="16"/>
      <w:szCs w:val="16"/>
    </w:rPr>
  </w:style>
  <w:style w:type="character" w:customStyle="1" w:styleId="95">
    <w:name w:val="正文文本缩进 3 Char"/>
    <w:basedOn w:val="51"/>
    <w:qFormat/>
    <w:uiPriority w:val="0"/>
    <w:rPr>
      <w:sz w:val="16"/>
      <w:szCs w:val="16"/>
    </w:rPr>
  </w:style>
  <w:style w:type="character" w:customStyle="1" w:styleId="96">
    <w:name w:val="标题 Char1"/>
    <w:basedOn w:val="51"/>
    <w:link w:val="43"/>
    <w:qFormat/>
    <w:uiPriority w:val="0"/>
    <w:rPr>
      <w:rFonts w:ascii="Cambria" w:hAnsi="Cambria" w:eastAsia="宋体" w:cs="Times New Roman"/>
      <w:b/>
      <w:bCs/>
      <w:sz w:val="32"/>
      <w:szCs w:val="32"/>
    </w:rPr>
  </w:style>
  <w:style w:type="character" w:customStyle="1" w:styleId="97">
    <w:name w:val="标题 Char"/>
    <w:basedOn w:val="51"/>
    <w:qFormat/>
    <w:uiPriority w:val="0"/>
    <w:rPr>
      <w:rFonts w:ascii="Cambria" w:hAnsi="Cambria" w:eastAsia="方正小标宋简体"/>
      <w:b/>
      <w:bCs/>
      <w:kern w:val="2"/>
      <w:sz w:val="32"/>
      <w:szCs w:val="32"/>
    </w:rPr>
  </w:style>
  <w:style w:type="paragraph" w:customStyle="1" w:styleId="98">
    <w:name w:val="Char"/>
    <w:basedOn w:val="1"/>
    <w:qFormat/>
    <w:uiPriority w:val="0"/>
    <w:rPr>
      <w:szCs w:val="21"/>
    </w:rPr>
  </w:style>
  <w:style w:type="paragraph" w:customStyle="1" w:styleId="99">
    <w:name w:val="样式1"/>
    <w:basedOn w:val="1"/>
    <w:link w:val="404"/>
    <w:qFormat/>
    <w:uiPriority w:val="0"/>
    <w:pPr>
      <w:tabs>
        <w:tab w:val="left" w:pos="1674"/>
      </w:tabs>
      <w:adjustRightInd w:val="0"/>
      <w:ind w:left="1674" w:hanging="1125"/>
      <w:textAlignment w:val="baseline"/>
    </w:pPr>
    <w:rPr>
      <w:rFonts w:ascii="宋体" w:hAnsi="宋体" w:cs="宋体"/>
      <w:kern w:val="0"/>
      <w:szCs w:val="21"/>
    </w:rPr>
  </w:style>
  <w:style w:type="paragraph" w:customStyle="1" w:styleId="100">
    <w:name w:val="TOC 标题1"/>
    <w:basedOn w:val="4"/>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01">
    <w:name w:val="默认段落字体 Para Char Char Char Char"/>
    <w:basedOn w:val="1"/>
    <w:qFormat/>
    <w:uiPriority w:val="0"/>
    <w:rPr>
      <w:szCs w:val="21"/>
    </w:rPr>
  </w:style>
  <w:style w:type="character" w:customStyle="1" w:styleId="102">
    <w:name w:val="正文要点内容 Char Char"/>
    <w:basedOn w:val="103"/>
    <w:link w:val="47"/>
    <w:qFormat/>
    <w:locked/>
    <w:uiPriority w:val="0"/>
    <w:rPr>
      <w:rFonts w:ascii="Times New Roman" w:hAnsi="Times New Roman" w:eastAsia="宋体" w:cs="Times New Roman"/>
      <w:szCs w:val="21"/>
    </w:rPr>
  </w:style>
  <w:style w:type="character" w:customStyle="1" w:styleId="103">
    <w:name w:val="正文要点 Char Char"/>
    <w:basedOn w:val="51"/>
    <w:link w:val="46"/>
    <w:qFormat/>
    <w:locked/>
    <w:uiPriority w:val="0"/>
    <w:rPr>
      <w:rFonts w:ascii="Times New Roman" w:hAnsi="Times New Roman" w:eastAsia="宋体" w:cs="Times New Roman"/>
      <w:szCs w:val="21"/>
    </w:rPr>
  </w:style>
  <w:style w:type="paragraph" w:customStyle="1" w:styleId="104">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05">
    <w:name w:val="样式 标题 3h3Level 3 HeadH3Heading 3 - oldlevel_3PIM 3BOD 0s..."/>
    <w:basedOn w:val="6"/>
    <w:qFormat/>
    <w:uiPriority w:val="0"/>
    <w:pPr>
      <w:tabs>
        <w:tab w:val="left" w:pos="0"/>
      </w:tabs>
      <w:adjustRightInd w:val="0"/>
      <w:spacing w:before="0" w:after="0" w:line="500" w:lineRule="exact"/>
      <w:textAlignment w:val="baseline"/>
    </w:pPr>
    <w:rPr>
      <w:kern w:val="0"/>
      <w:sz w:val="28"/>
      <w:szCs w:val="28"/>
    </w:rPr>
  </w:style>
  <w:style w:type="paragraph" w:customStyle="1" w:styleId="106">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07">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08">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09">
    <w:name w:val="无间隔1"/>
    <w:link w:val="110"/>
    <w:qFormat/>
    <w:uiPriority w:val="0"/>
    <w:rPr>
      <w:rFonts w:ascii="Calibri" w:hAnsi="Calibri" w:eastAsia="宋体" w:cs="Calibri"/>
      <w:sz w:val="22"/>
      <w:szCs w:val="22"/>
      <w:lang w:val="en-US" w:eastAsia="zh-CN" w:bidi="ar-SA"/>
    </w:rPr>
  </w:style>
  <w:style w:type="character" w:customStyle="1" w:styleId="110">
    <w:name w:val="无间隔 Char"/>
    <w:basedOn w:val="51"/>
    <w:link w:val="109"/>
    <w:qFormat/>
    <w:locked/>
    <w:uiPriority w:val="0"/>
    <w:rPr>
      <w:rFonts w:ascii="Calibri" w:hAnsi="Calibri" w:eastAsia="宋体" w:cs="Calibri"/>
      <w:kern w:val="0"/>
      <w:sz w:val="22"/>
    </w:rPr>
  </w:style>
  <w:style w:type="paragraph" w:customStyle="1" w:styleId="111">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112">
    <w:name w:val="Char1 Char Char Char"/>
    <w:basedOn w:val="1"/>
    <w:qFormat/>
    <w:uiPriority w:val="0"/>
    <w:rPr>
      <w:rFonts w:eastAsia="仿宋_GB2312"/>
      <w:sz w:val="28"/>
      <w:szCs w:val="28"/>
    </w:rPr>
  </w:style>
  <w:style w:type="paragraph" w:customStyle="1" w:styleId="113">
    <w:name w:val="默认段落字体 Para Char Char Char Char Char Char Char Char Char Char"/>
    <w:basedOn w:val="1"/>
    <w:qFormat/>
    <w:uiPriority w:val="0"/>
    <w:rPr>
      <w:rFonts w:ascii="Tahoma" w:hAnsi="Tahoma" w:cs="Tahoma"/>
      <w:sz w:val="24"/>
    </w:rPr>
  </w:style>
  <w:style w:type="paragraph" w:customStyle="1" w:styleId="114">
    <w:name w:val="修订1"/>
    <w:hidden/>
    <w:qFormat/>
    <w:uiPriority w:val="0"/>
    <w:rPr>
      <w:rFonts w:ascii="Times New Roman" w:hAnsi="Times New Roman" w:eastAsia="宋体" w:cs="Times New Roman"/>
      <w:kern w:val="2"/>
      <w:sz w:val="21"/>
      <w:szCs w:val="21"/>
      <w:lang w:val="en-US" w:eastAsia="zh-CN" w:bidi="ar-SA"/>
    </w:rPr>
  </w:style>
  <w:style w:type="paragraph" w:customStyle="1" w:styleId="115">
    <w:name w:val="列出段落1"/>
    <w:basedOn w:val="1"/>
    <w:link w:val="179"/>
    <w:qFormat/>
    <w:uiPriority w:val="0"/>
    <w:pPr>
      <w:ind w:firstLine="420" w:firstLineChars="200"/>
    </w:pPr>
    <w:rPr>
      <w:szCs w:val="21"/>
    </w:rPr>
  </w:style>
  <w:style w:type="character" w:customStyle="1" w:styleId="116">
    <w:name w:val="Title Char"/>
    <w:qFormat/>
    <w:locked/>
    <w:uiPriority w:val="0"/>
    <w:rPr>
      <w:rFonts w:ascii="Cambria" w:hAnsi="Cambria" w:eastAsia="方正小标宋简体" w:cs="Cambria"/>
      <w:b/>
      <w:bCs/>
      <w:kern w:val="2"/>
      <w:sz w:val="32"/>
      <w:szCs w:val="32"/>
    </w:rPr>
  </w:style>
  <w:style w:type="character" w:customStyle="1" w:styleId="117">
    <w:name w:val="Subtitle Char"/>
    <w:qFormat/>
    <w:locked/>
    <w:uiPriority w:val="0"/>
    <w:rPr>
      <w:rFonts w:ascii="Cambria" w:hAnsi="Cambria" w:eastAsia="方正楷体简体" w:cs="Cambria"/>
      <w:kern w:val="28"/>
      <w:sz w:val="32"/>
      <w:szCs w:val="32"/>
    </w:rPr>
  </w:style>
  <w:style w:type="character" w:customStyle="1" w:styleId="118">
    <w:name w:val="Plain Text Char"/>
    <w:qFormat/>
    <w:locked/>
    <w:uiPriority w:val="0"/>
    <w:rPr>
      <w:rFonts w:ascii="宋体" w:hAnsi="Courier New" w:cs="宋体"/>
      <w:sz w:val="21"/>
      <w:szCs w:val="21"/>
    </w:rPr>
  </w:style>
  <w:style w:type="character" w:customStyle="1" w:styleId="119">
    <w:name w:val="Date Char"/>
    <w:qFormat/>
    <w:locked/>
    <w:uiPriority w:val="0"/>
    <w:rPr>
      <w:rFonts w:ascii="宋体" w:hAnsi="Courier New" w:cs="宋体"/>
      <w:sz w:val="21"/>
      <w:szCs w:val="21"/>
    </w:rPr>
  </w:style>
  <w:style w:type="character" w:customStyle="1" w:styleId="120">
    <w:name w:val="Body Text Indent Char"/>
    <w:qFormat/>
    <w:locked/>
    <w:uiPriority w:val="0"/>
    <w:rPr>
      <w:rFonts w:ascii="仿宋_GB2312" w:hAnsi="Times New Roman" w:eastAsia="仿宋_GB2312" w:cs="仿宋_GB2312"/>
      <w:sz w:val="32"/>
      <w:szCs w:val="32"/>
    </w:rPr>
  </w:style>
  <w:style w:type="character" w:customStyle="1" w:styleId="121">
    <w:name w:val="case31"/>
    <w:basedOn w:val="51"/>
    <w:qFormat/>
    <w:uiPriority w:val="0"/>
    <w:rPr>
      <w:sz w:val="21"/>
      <w:szCs w:val="21"/>
    </w:rPr>
  </w:style>
  <w:style w:type="character" w:customStyle="1" w:styleId="122">
    <w:name w:val="Footer Char"/>
    <w:qFormat/>
    <w:locked/>
    <w:uiPriority w:val="0"/>
    <w:rPr>
      <w:rFonts w:ascii="Times New Roman" w:hAnsi="Times New Roman" w:cs="Times New Roman"/>
      <w:sz w:val="18"/>
      <w:szCs w:val="18"/>
    </w:rPr>
  </w:style>
  <w:style w:type="character" w:customStyle="1" w:styleId="123">
    <w:name w:val="Header Char"/>
    <w:qFormat/>
    <w:locked/>
    <w:uiPriority w:val="0"/>
    <w:rPr>
      <w:rFonts w:ascii="Times New Roman" w:hAnsi="Times New Roman" w:cs="Times New Roman"/>
      <w:sz w:val="18"/>
      <w:szCs w:val="18"/>
    </w:rPr>
  </w:style>
  <w:style w:type="character" w:customStyle="1" w:styleId="124">
    <w:name w:val="Body Text Indent 3 Char"/>
    <w:qFormat/>
    <w:locked/>
    <w:uiPriority w:val="0"/>
    <w:rPr>
      <w:rFonts w:ascii="Times New Roman" w:hAnsi="Times New Roman" w:cs="Times New Roman"/>
      <w:sz w:val="16"/>
      <w:szCs w:val="16"/>
    </w:rPr>
  </w:style>
  <w:style w:type="character" w:customStyle="1" w:styleId="125">
    <w:name w:val="Body Text Char"/>
    <w:qFormat/>
    <w:locked/>
    <w:uiPriority w:val="0"/>
    <w:rPr>
      <w:rFonts w:ascii="Times New Roman" w:hAnsi="Times New Roman" w:cs="Times New Roman"/>
      <w:sz w:val="24"/>
      <w:szCs w:val="24"/>
    </w:rPr>
  </w:style>
  <w:style w:type="character" w:customStyle="1" w:styleId="126">
    <w:name w:val="Body Text Indent 2 Char"/>
    <w:qFormat/>
    <w:locked/>
    <w:uiPriority w:val="0"/>
    <w:rPr>
      <w:rFonts w:ascii="Times New Roman" w:hAnsi="Times New Roman" w:cs="Times New Roman"/>
      <w:sz w:val="24"/>
      <w:szCs w:val="24"/>
    </w:rPr>
  </w:style>
  <w:style w:type="character" w:customStyle="1" w:styleId="127">
    <w:name w:val="Char Char4"/>
    <w:basedOn w:val="51"/>
    <w:qFormat/>
    <w:uiPriority w:val="0"/>
    <w:rPr>
      <w:rFonts w:eastAsia="宋体"/>
      <w:b/>
      <w:bCs/>
      <w:kern w:val="44"/>
      <w:sz w:val="44"/>
      <w:szCs w:val="44"/>
      <w:lang w:val="en-US" w:eastAsia="zh-CN"/>
    </w:rPr>
  </w:style>
  <w:style w:type="character" w:customStyle="1" w:styleId="128">
    <w:name w:val="普通文字 Char"/>
    <w:basedOn w:val="51"/>
    <w:qFormat/>
    <w:uiPriority w:val="0"/>
    <w:rPr>
      <w:rFonts w:ascii="宋体" w:hAnsi="Courier New" w:cs="宋体"/>
      <w:sz w:val="21"/>
      <w:szCs w:val="21"/>
    </w:rPr>
  </w:style>
  <w:style w:type="paragraph" w:styleId="129">
    <w:name w:val="No Spacing"/>
    <w:basedOn w:val="1"/>
    <w:link w:val="321"/>
    <w:qFormat/>
    <w:uiPriority w:val="0"/>
    <w:pPr>
      <w:widowControl/>
      <w:jc w:val="left"/>
    </w:pPr>
    <w:rPr>
      <w:rFonts w:ascii="Calibri" w:hAnsi="Calibri"/>
      <w:kern w:val="0"/>
      <w:sz w:val="22"/>
      <w:szCs w:val="22"/>
      <w:lang w:eastAsia="en-US" w:bidi="en-US"/>
    </w:rPr>
  </w:style>
  <w:style w:type="paragraph" w:customStyle="1" w:styleId="130">
    <w:name w:val="TOC 标题2"/>
    <w:basedOn w:val="4"/>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styleId="131">
    <w:name w:val="List Paragraph"/>
    <w:basedOn w:val="1"/>
    <w:qFormat/>
    <w:uiPriority w:val="0"/>
    <w:pPr>
      <w:widowControl/>
      <w:ind w:left="720"/>
      <w:contextualSpacing/>
      <w:jc w:val="left"/>
    </w:pPr>
    <w:rPr>
      <w:rFonts w:eastAsia="Times New Roman"/>
      <w:kern w:val="0"/>
      <w:sz w:val="24"/>
    </w:rPr>
  </w:style>
  <w:style w:type="character" w:customStyle="1" w:styleId="132">
    <w:name w:val="文档结构图 Char"/>
    <w:basedOn w:val="51"/>
    <w:link w:val="16"/>
    <w:qFormat/>
    <w:uiPriority w:val="0"/>
    <w:rPr>
      <w:rFonts w:ascii="等线" w:hAnsi="等线" w:eastAsia="等线" w:cs="Times New Roman"/>
      <w:szCs w:val="24"/>
      <w:shd w:val="clear" w:color="auto" w:fill="000080"/>
    </w:rPr>
  </w:style>
  <w:style w:type="paragraph" w:customStyle="1" w:styleId="13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4">
    <w:name w:val="font6"/>
    <w:basedOn w:val="1"/>
    <w:qFormat/>
    <w:uiPriority w:val="0"/>
    <w:pPr>
      <w:widowControl/>
      <w:spacing w:before="100" w:beforeAutospacing="1" w:after="100" w:afterAutospacing="1"/>
      <w:jc w:val="left"/>
    </w:pPr>
    <w:rPr>
      <w:kern w:val="0"/>
      <w:szCs w:val="21"/>
    </w:rPr>
  </w:style>
  <w:style w:type="paragraph" w:customStyle="1" w:styleId="135">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36">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37">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38">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39">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0">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41">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42">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3">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144">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45">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46">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4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50">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51">
    <w:name w:val="xl81"/>
    <w:basedOn w:val="1"/>
    <w:qFormat/>
    <w:uiPriority w:val="0"/>
    <w:pPr>
      <w:widowControl/>
      <w:spacing w:before="100" w:beforeAutospacing="1" w:after="100" w:afterAutospacing="1"/>
      <w:jc w:val="left"/>
    </w:pPr>
    <w:rPr>
      <w:rFonts w:ascii="宋体" w:hAnsi="宋体" w:cs="宋体"/>
      <w:kern w:val="0"/>
      <w:szCs w:val="21"/>
    </w:rPr>
  </w:style>
  <w:style w:type="paragraph" w:customStyle="1" w:styleId="15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5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54">
    <w:name w:val="font9"/>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5">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6">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7">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58">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9">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0">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1">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2">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3">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4">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5">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66">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7">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8">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0">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1">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2">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3">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74">
    <w:name w:val="修订2"/>
    <w:link w:val="220"/>
    <w:qFormat/>
    <w:uiPriority w:val="99"/>
    <w:rPr>
      <w:rFonts w:ascii="Times New Roman" w:hAnsi="Times New Roman" w:eastAsia="宋体" w:cs="Times New Roman"/>
      <w:kern w:val="2"/>
      <w:sz w:val="21"/>
      <w:szCs w:val="21"/>
      <w:lang w:val="en-US" w:eastAsia="zh-CN" w:bidi="ar-SA"/>
    </w:rPr>
  </w:style>
  <w:style w:type="character" w:customStyle="1" w:styleId="175">
    <w:name w:val="正文缩进 Char"/>
    <w:link w:val="14"/>
    <w:qFormat/>
    <w:uiPriority w:val="0"/>
    <w:rPr>
      <w:rFonts w:ascii="等线" w:hAnsi="等线" w:eastAsia="等线" w:cs="Times New Roman"/>
    </w:rPr>
  </w:style>
  <w:style w:type="character" w:customStyle="1" w:styleId="176">
    <w:name w:val="列表段落 字符"/>
    <w:qFormat/>
    <w:uiPriority w:val="0"/>
    <w:rPr>
      <w:rFonts w:ascii="Times New Roman" w:hAnsi="Times New Roman" w:eastAsia="宋体" w:cs="Times New Roman"/>
      <w:szCs w:val="21"/>
    </w:rPr>
  </w:style>
  <w:style w:type="character" w:customStyle="1" w:styleId="177">
    <w:name w:val="纯文本 Char1"/>
    <w:link w:val="26"/>
    <w:qFormat/>
    <w:locked/>
    <w:uiPriority w:val="0"/>
    <w:rPr>
      <w:rFonts w:ascii="宋体" w:hAnsi="Courier New" w:eastAsia="宋体" w:cs="Times New Roman"/>
      <w:kern w:val="0"/>
      <w:szCs w:val="21"/>
    </w:rPr>
  </w:style>
  <w:style w:type="character" w:customStyle="1" w:styleId="178">
    <w:name w:val="列出段落 Char"/>
    <w:qFormat/>
    <w:uiPriority w:val="0"/>
    <w:rPr>
      <w:rFonts w:ascii="Calibri" w:hAnsi="Calibri"/>
      <w:kern w:val="2"/>
      <w:sz w:val="21"/>
      <w:szCs w:val="22"/>
    </w:rPr>
  </w:style>
  <w:style w:type="character" w:customStyle="1" w:styleId="179">
    <w:name w:val="列出段落字符"/>
    <w:link w:val="115"/>
    <w:qFormat/>
    <w:locked/>
    <w:uiPriority w:val="0"/>
    <w:rPr>
      <w:rFonts w:ascii="Times New Roman" w:hAnsi="Times New Roman" w:eastAsia="宋体" w:cs="Times New Roman"/>
      <w:szCs w:val="21"/>
    </w:rPr>
  </w:style>
  <w:style w:type="character" w:customStyle="1" w:styleId="180">
    <w:name w:val="style1"/>
    <w:qFormat/>
    <w:uiPriority w:val="0"/>
  </w:style>
  <w:style w:type="character" w:customStyle="1" w:styleId="181">
    <w:name w:val="up"/>
    <w:qFormat/>
    <w:uiPriority w:val="0"/>
  </w:style>
  <w:style w:type="character" w:customStyle="1" w:styleId="182">
    <w:name w:val="正文文本缩进 3 Char1"/>
    <w:link w:val="36"/>
    <w:qFormat/>
    <w:locked/>
    <w:uiPriority w:val="0"/>
    <w:rPr>
      <w:rFonts w:ascii="等线" w:hAnsi="等线" w:eastAsia="等线" w:cs="Times New Roman"/>
      <w:sz w:val="28"/>
      <w:szCs w:val="24"/>
    </w:rPr>
  </w:style>
  <w:style w:type="character" w:customStyle="1" w:styleId="183">
    <w:name w:val="f101"/>
    <w:qFormat/>
    <w:uiPriority w:val="0"/>
    <w:rPr>
      <w:sz w:val="20"/>
      <w:szCs w:val="20"/>
    </w:rPr>
  </w:style>
  <w:style w:type="character" w:customStyle="1" w:styleId="184">
    <w:name w:val="style201"/>
    <w:qFormat/>
    <w:uiPriority w:val="0"/>
    <w:rPr>
      <w:sz w:val="27"/>
      <w:szCs w:val="27"/>
    </w:rPr>
  </w:style>
  <w:style w:type="character" w:customStyle="1" w:styleId="185">
    <w:name w:val="正文文本缩进 2 Char1"/>
    <w:link w:val="28"/>
    <w:qFormat/>
    <w:locked/>
    <w:uiPriority w:val="0"/>
    <w:rPr>
      <w:rFonts w:ascii="等线" w:hAnsi="等线" w:eastAsia="等线" w:cs="Times New Roman"/>
      <w:sz w:val="28"/>
      <w:szCs w:val="24"/>
    </w:rPr>
  </w:style>
  <w:style w:type="character" w:customStyle="1" w:styleId="186">
    <w:name w:val="标题 2 Char Char Char Char Char Char Char Char Char Char Char Char Char Char Char Char Char Char Char Char Char"/>
    <w:qFormat/>
    <w:uiPriority w:val="0"/>
  </w:style>
  <w:style w:type="character" w:customStyle="1" w:styleId="187">
    <w:name w:val="标题 3 Char1"/>
    <w:link w:val="6"/>
    <w:qFormat/>
    <w:uiPriority w:val="0"/>
    <w:rPr>
      <w:rFonts w:ascii="Times New Roman" w:hAnsi="Times New Roman" w:eastAsia="宋体" w:cs="Times New Roman"/>
      <w:b/>
      <w:sz w:val="32"/>
      <w:szCs w:val="20"/>
    </w:rPr>
  </w:style>
  <w:style w:type="character" w:customStyle="1" w:styleId="188">
    <w:name w:val="正文缩进 字符"/>
    <w:qFormat/>
    <w:uiPriority w:val="0"/>
  </w:style>
  <w:style w:type="character" w:customStyle="1" w:styleId="189">
    <w:name w:val="Char Char11"/>
    <w:link w:val="190"/>
    <w:qFormat/>
    <w:uiPriority w:val="0"/>
    <w:rPr>
      <w:sz w:val="24"/>
    </w:rPr>
  </w:style>
  <w:style w:type="paragraph" w:customStyle="1" w:styleId="190">
    <w:name w:val="正文文本缩进 Char Char"/>
    <w:basedOn w:val="1"/>
    <w:link w:val="189"/>
    <w:qFormat/>
    <w:uiPriority w:val="0"/>
    <w:pPr>
      <w:widowControl/>
      <w:spacing w:after="120"/>
      <w:ind w:left="420" w:leftChars="200"/>
      <w:jc w:val="left"/>
    </w:pPr>
    <w:rPr>
      <w:rFonts w:asciiTheme="minorHAnsi" w:hAnsiTheme="minorHAnsi" w:eastAsiaTheme="minorEastAsia" w:cstheme="minorBidi"/>
      <w:sz w:val="24"/>
      <w:szCs w:val="22"/>
    </w:rPr>
  </w:style>
  <w:style w:type="character" w:customStyle="1" w:styleId="191">
    <w:name w:val="标题 2 字符1"/>
    <w:qFormat/>
    <w:uiPriority w:val="0"/>
    <w:rPr>
      <w:rFonts w:ascii="Arial" w:hAnsi="Arial" w:eastAsia="黑体" w:cs="Times New Roman"/>
      <w:b/>
      <w:bCs/>
      <w:sz w:val="32"/>
      <w:szCs w:val="32"/>
    </w:rPr>
  </w:style>
  <w:style w:type="character" w:customStyle="1" w:styleId="192">
    <w:name w:val="Heading 3 Char"/>
    <w:qFormat/>
    <w:locked/>
    <w:uiPriority w:val="0"/>
    <w:rPr>
      <w:rFonts w:cs="Times New Roman"/>
      <w:b/>
      <w:kern w:val="2"/>
      <w:sz w:val="32"/>
    </w:rPr>
  </w:style>
  <w:style w:type="character" w:customStyle="1" w:styleId="193">
    <w:name w:val="style121"/>
    <w:qFormat/>
    <w:uiPriority w:val="0"/>
    <w:rPr>
      <w:b/>
      <w:bCs/>
      <w:color w:val="000000"/>
    </w:rPr>
  </w:style>
  <w:style w:type="character" w:customStyle="1" w:styleId="194">
    <w:name w:val="gray_91"/>
    <w:qFormat/>
    <w:uiPriority w:val="0"/>
    <w:rPr>
      <w:rFonts w:hint="default" w:ascii="ˎ̥" w:hAnsi="ˎ̥"/>
      <w:color w:val="666666"/>
      <w:sz w:val="18"/>
      <w:szCs w:val="18"/>
    </w:rPr>
  </w:style>
  <w:style w:type="character" w:customStyle="1" w:styleId="195">
    <w:name w:val="Char Char9"/>
    <w:qFormat/>
    <w:uiPriority w:val="0"/>
    <w:rPr>
      <w:rFonts w:eastAsia="宋体"/>
      <w:kern w:val="2"/>
      <w:sz w:val="18"/>
      <w:szCs w:val="18"/>
      <w:lang w:val="en-US" w:eastAsia="zh-CN" w:bidi="ar-SA"/>
    </w:rPr>
  </w:style>
  <w:style w:type="character" w:customStyle="1" w:styleId="196">
    <w:name w:val="e1"/>
    <w:qFormat/>
    <w:uiPriority w:val="0"/>
  </w:style>
  <w:style w:type="character" w:customStyle="1" w:styleId="197">
    <w:name w:val="标题 8 Char"/>
    <w:link w:val="11"/>
    <w:qFormat/>
    <w:locked/>
    <w:uiPriority w:val="0"/>
    <w:rPr>
      <w:rFonts w:ascii="Cambria" w:hAnsi="Cambria" w:eastAsia="宋体" w:cs="Times New Roman"/>
      <w:kern w:val="0"/>
      <w:sz w:val="24"/>
      <w:szCs w:val="24"/>
    </w:rPr>
  </w:style>
  <w:style w:type="character" w:customStyle="1" w:styleId="198">
    <w:name w:val="f10b"/>
    <w:qFormat/>
    <w:uiPriority w:val="0"/>
  </w:style>
  <w:style w:type="character" w:customStyle="1" w:styleId="199">
    <w:name w:val="Heading 1 Char"/>
    <w:qFormat/>
    <w:locked/>
    <w:uiPriority w:val="0"/>
    <w:rPr>
      <w:rFonts w:ascii="宋体" w:eastAsia="宋体" w:cs="Times New Roman"/>
      <w:b/>
      <w:kern w:val="44"/>
      <w:sz w:val="32"/>
    </w:rPr>
  </w:style>
  <w:style w:type="character" w:customStyle="1" w:styleId="200">
    <w:name w:val="批注主题 字符1"/>
    <w:qFormat/>
    <w:locked/>
    <w:uiPriority w:val="0"/>
    <w:rPr>
      <w:b/>
      <w:bCs/>
      <w:szCs w:val="24"/>
    </w:rPr>
  </w:style>
  <w:style w:type="character" w:customStyle="1" w:styleId="201">
    <w:name w:val="正文文本 字符1"/>
    <w:qFormat/>
    <w:locked/>
    <w:uiPriority w:val="0"/>
    <w:rPr>
      <w:rFonts w:ascii="宋体" w:hAnsi="宋体"/>
      <w:sz w:val="24"/>
      <w:szCs w:val="24"/>
    </w:rPr>
  </w:style>
  <w:style w:type="character" w:customStyle="1" w:styleId="202">
    <w:name w:val="条款样式 Char"/>
    <w:qFormat/>
    <w:locked/>
    <w:uiPriority w:val="0"/>
    <w:rPr>
      <w:rFonts w:ascii="Calibri" w:hAnsi="Calibri"/>
    </w:rPr>
  </w:style>
  <w:style w:type="character" w:customStyle="1" w:styleId="203">
    <w:name w:val="正文（首行缩进两字） Char"/>
    <w:qFormat/>
    <w:uiPriority w:val="0"/>
    <w:rPr>
      <w:rFonts w:eastAsia="宋体"/>
      <w:kern w:val="2"/>
      <w:sz w:val="21"/>
      <w:lang w:val="en-US" w:eastAsia="zh-CN" w:bidi="ar-SA"/>
    </w:rPr>
  </w:style>
  <w:style w:type="character" w:customStyle="1" w:styleId="204">
    <w:name w:val="ca-8"/>
    <w:qFormat/>
    <w:uiPriority w:val="0"/>
  </w:style>
  <w:style w:type="character" w:customStyle="1" w:styleId="205">
    <w:name w:val="huei12b1"/>
    <w:qFormat/>
    <w:uiPriority w:val="0"/>
    <w:rPr>
      <w:b/>
      <w:bCs/>
      <w:color w:val="333333"/>
      <w:sz w:val="18"/>
      <w:szCs w:val="18"/>
    </w:rPr>
  </w:style>
  <w:style w:type="character" w:customStyle="1" w:styleId="206">
    <w:name w:val="正文文本缩进 字符1"/>
    <w:qFormat/>
    <w:locked/>
    <w:uiPriority w:val="0"/>
    <w:rPr>
      <w:rFonts w:ascii="宋体" w:hAnsi="宋体"/>
      <w:sz w:val="28"/>
      <w:szCs w:val="24"/>
    </w:rPr>
  </w:style>
  <w:style w:type="character" w:customStyle="1" w:styleId="207">
    <w:name w:val="样式 正文首行缩进 + (符号) 宋体1 Char"/>
    <w:link w:val="208"/>
    <w:qFormat/>
    <w:uiPriority w:val="0"/>
    <w:rPr>
      <w:sz w:val="24"/>
    </w:rPr>
  </w:style>
  <w:style w:type="paragraph" w:customStyle="1" w:styleId="208">
    <w:name w:val="样式 正文首行缩进 + (符号) 宋体1"/>
    <w:basedOn w:val="45"/>
    <w:link w:val="207"/>
    <w:qFormat/>
    <w:uiPriority w:val="0"/>
    <w:pPr>
      <w:widowControl/>
      <w:spacing w:line="360" w:lineRule="auto"/>
      <w:ind w:firstLine="200" w:firstLineChars="200"/>
      <w:jc w:val="left"/>
    </w:pPr>
    <w:rPr>
      <w:rFonts w:asciiTheme="minorHAnsi" w:hAnsiTheme="minorHAnsi" w:eastAsiaTheme="minorEastAsia" w:cstheme="minorBidi"/>
      <w:sz w:val="24"/>
      <w:szCs w:val="22"/>
    </w:rPr>
  </w:style>
  <w:style w:type="character" w:customStyle="1" w:styleId="209">
    <w:name w:val="span_paramvalue"/>
    <w:qFormat/>
    <w:uiPriority w:val="0"/>
  </w:style>
  <w:style w:type="character" w:customStyle="1" w:styleId="210">
    <w:name w:val="批注文字 Char"/>
    <w:qFormat/>
    <w:locked/>
    <w:uiPriority w:val="0"/>
    <w:rPr>
      <w:kern w:val="2"/>
      <w:sz w:val="21"/>
      <w:szCs w:val="24"/>
    </w:rPr>
  </w:style>
  <w:style w:type="character" w:customStyle="1" w:styleId="211">
    <w:name w:val="页脚 Char"/>
    <w:qFormat/>
    <w:uiPriority w:val="99"/>
    <w:rPr>
      <w:kern w:val="2"/>
      <w:sz w:val="18"/>
      <w:szCs w:val="18"/>
    </w:rPr>
  </w:style>
  <w:style w:type="character" w:customStyle="1" w:styleId="212">
    <w:name w:val="dash6b63-6587--char"/>
    <w:qFormat/>
    <w:uiPriority w:val="0"/>
  </w:style>
  <w:style w:type="character" w:customStyle="1" w:styleId="213">
    <w:name w:val="普通文字 Char3"/>
    <w:qFormat/>
    <w:uiPriority w:val="0"/>
    <w:rPr>
      <w:rFonts w:ascii="宋体" w:hAnsi="Courier New" w:eastAsia="宋体"/>
      <w:kern w:val="2"/>
      <w:sz w:val="21"/>
      <w:lang w:val="en-US" w:eastAsia="zh-CN" w:bidi="ar-SA"/>
    </w:rPr>
  </w:style>
  <w:style w:type="character" w:customStyle="1" w:styleId="214">
    <w:name w:val="Normal Indent Char"/>
    <w:qFormat/>
    <w:locked/>
    <w:uiPriority w:val="0"/>
    <w:rPr>
      <w:rFonts w:ascii="Times New Roman" w:hAnsi="Times New Roman" w:eastAsia="宋体"/>
      <w:sz w:val="24"/>
    </w:rPr>
  </w:style>
  <w:style w:type="character" w:customStyle="1" w:styleId="215">
    <w:name w:val="标题 4 Char1"/>
    <w:link w:val="7"/>
    <w:qFormat/>
    <w:locked/>
    <w:uiPriority w:val="0"/>
    <w:rPr>
      <w:rFonts w:ascii="Arial" w:hAnsi="Arial" w:eastAsia="黑体" w:cs="Times New Roman"/>
      <w:b/>
      <w:sz w:val="28"/>
      <w:szCs w:val="20"/>
    </w:rPr>
  </w:style>
  <w:style w:type="character" w:customStyle="1" w:styleId="216">
    <w:name w:val="目录 1 Char"/>
    <w:link w:val="32"/>
    <w:qFormat/>
    <w:uiPriority w:val="0"/>
    <w:rPr>
      <w:rFonts w:ascii="Times New Roman" w:hAnsi="Times New Roman" w:eastAsia="宋体" w:cs="Times New Roman"/>
      <w:b/>
      <w:bCs/>
      <w:caps/>
      <w:sz w:val="28"/>
      <w:szCs w:val="28"/>
    </w:rPr>
  </w:style>
  <w:style w:type="character" w:customStyle="1" w:styleId="217">
    <w:name w:val="Heading 2 Char"/>
    <w:qFormat/>
    <w:locked/>
    <w:uiPriority w:val="0"/>
    <w:rPr>
      <w:rFonts w:ascii="华文中宋" w:eastAsia="华文中宋" w:cs="Times New Roman"/>
      <w:b/>
      <w:kern w:val="2"/>
      <w:sz w:val="32"/>
    </w:rPr>
  </w:style>
  <w:style w:type="character" w:customStyle="1" w:styleId="218">
    <w:name w:val="文档结构图 字符1"/>
    <w:qFormat/>
    <w:locked/>
    <w:uiPriority w:val="0"/>
    <w:rPr>
      <w:szCs w:val="24"/>
      <w:shd w:val="clear" w:color="auto" w:fill="000080"/>
    </w:rPr>
  </w:style>
  <w:style w:type="character" w:customStyle="1" w:styleId="219">
    <w:name w:val="普通文字 Char4"/>
    <w:qFormat/>
    <w:uiPriority w:val="0"/>
    <w:rPr>
      <w:rFonts w:ascii="宋体" w:hAnsi="Courier New" w:eastAsia="宋体"/>
      <w:kern w:val="2"/>
      <w:sz w:val="21"/>
      <w:lang w:val="en-US" w:eastAsia="zh-CN" w:bidi="ar-SA"/>
    </w:rPr>
  </w:style>
  <w:style w:type="character" w:customStyle="1" w:styleId="220">
    <w:name w:val="修订 字符"/>
    <w:link w:val="174"/>
    <w:qFormat/>
    <w:uiPriority w:val="0"/>
    <w:rPr>
      <w:rFonts w:ascii="Times New Roman" w:hAnsi="Times New Roman" w:eastAsia="宋体" w:cs="Times New Roman"/>
      <w:szCs w:val="21"/>
    </w:rPr>
  </w:style>
  <w:style w:type="character" w:customStyle="1" w:styleId="221">
    <w:name w:val="ca-11"/>
    <w:qFormat/>
    <w:uiPriority w:val="0"/>
  </w:style>
  <w:style w:type="character" w:customStyle="1" w:styleId="222">
    <w:name w:val="dw41"/>
    <w:qFormat/>
    <w:uiPriority w:val="0"/>
    <w:rPr>
      <w:color w:val="FFFFFF"/>
      <w:sz w:val="18"/>
      <w:szCs w:val="18"/>
      <w:u w:val="none"/>
    </w:rPr>
  </w:style>
  <w:style w:type="character" w:customStyle="1" w:styleId="223">
    <w:name w:val="标题 6 Char"/>
    <w:link w:val="9"/>
    <w:qFormat/>
    <w:locked/>
    <w:uiPriority w:val="0"/>
    <w:rPr>
      <w:rFonts w:ascii="Arial" w:hAnsi="Arial" w:eastAsia="宋体" w:cs="Times New Roman"/>
      <w:b/>
      <w:bCs/>
      <w:kern w:val="0"/>
      <w:sz w:val="28"/>
      <w:szCs w:val="18"/>
    </w:rPr>
  </w:style>
  <w:style w:type="character" w:customStyle="1" w:styleId="224">
    <w:name w:val="unnamed11"/>
    <w:qFormat/>
    <w:uiPriority w:val="0"/>
    <w:rPr>
      <w:sz w:val="18"/>
      <w:szCs w:val="18"/>
    </w:rPr>
  </w:style>
  <w:style w:type="character" w:customStyle="1" w:styleId="225">
    <w:name w:val="标题 5 Char"/>
    <w:link w:val="8"/>
    <w:qFormat/>
    <w:locked/>
    <w:uiPriority w:val="0"/>
    <w:rPr>
      <w:rFonts w:ascii="Times New Roman" w:hAnsi="Times New Roman" w:eastAsia="宋体" w:cs="Times New Roman"/>
      <w:b/>
      <w:bCs/>
      <w:kern w:val="0"/>
      <w:sz w:val="28"/>
      <w:szCs w:val="28"/>
    </w:rPr>
  </w:style>
  <w:style w:type="character" w:customStyle="1" w:styleId="226">
    <w:name w:val="hei12b1"/>
    <w:qFormat/>
    <w:uiPriority w:val="0"/>
    <w:rPr>
      <w:b/>
      <w:bCs/>
      <w:color w:val="000000"/>
      <w:sz w:val="18"/>
      <w:szCs w:val="18"/>
    </w:rPr>
  </w:style>
  <w:style w:type="character" w:customStyle="1" w:styleId="227">
    <w:name w:val="（符号）邀请函中一、"/>
    <w:qFormat/>
    <w:uiPriority w:val="0"/>
    <w:rPr>
      <w:rFonts w:ascii="黑体" w:hAnsi="黑体" w:eastAsia="黑体"/>
      <w:b/>
      <w:sz w:val="24"/>
    </w:rPr>
  </w:style>
  <w:style w:type="character" w:customStyle="1" w:styleId="228">
    <w:name w:val="标题 7 Char"/>
    <w:link w:val="10"/>
    <w:qFormat/>
    <w:locked/>
    <w:uiPriority w:val="0"/>
    <w:rPr>
      <w:rFonts w:ascii="Times New Roman" w:hAnsi="Times New Roman" w:eastAsia="宋体" w:cs="Times New Roman"/>
      <w:b/>
      <w:bCs/>
      <w:kern w:val="0"/>
      <w:sz w:val="24"/>
      <w:szCs w:val="24"/>
    </w:rPr>
  </w:style>
  <w:style w:type="character" w:customStyle="1" w:styleId="229">
    <w:name w:val="Table Text Char"/>
    <w:link w:val="230"/>
    <w:qFormat/>
    <w:uiPriority w:val="0"/>
    <w:rPr>
      <w:snapToGrid w:val="0"/>
      <w:szCs w:val="21"/>
    </w:rPr>
  </w:style>
  <w:style w:type="paragraph" w:customStyle="1" w:styleId="230">
    <w:name w:val="Table Text"/>
    <w:basedOn w:val="1"/>
    <w:link w:val="229"/>
    <w:qFormat/>
    <w:uiPriority w:val="0"/>
    <w:pPr>
      <w:topLinePunct/>
      <w:adjustRightInd w:val="0"/>
      <w:snapToGrid w:val="0"/>
      <w:spacing w:before="80" w:after="80" w:line="240" w:lineRule="atLeast"/>
      <w:jc w:val="left"/>
    </w:pPr>
    <w:rPr>
      <w:rFonts w:asciiTheme="minorHAnsi" w:hAnsiTheme="minorHAnsi" w:eastAsiaTheme="minorEastAsia" w:cstheme="minorBidi"/>
      <w:snapToGrid w:val="0"/>
      <w:szCs w:val="21"/>
    </w:rPr>
  </w:style>
  <w:style w:type="character" w:customStyle="1" w:styleId="231">
    <w:name w:val="Item List Char"/>
    <w:link w:val="232"/>
    <w:qFormat/>
    <w:uiPriority w:val="0"/>
    <w:rPr>
      <w:rFonts w:cs="Arial"/>
      <w:szCs w:val="21"/>
    </w:rPr>
  </w:style>
  <w:style w:type="paragraph" w:customStyle="1" w:styleId="232">
    <w:name w:val="Item List"/>
    <w:basedOn w:val="1"/>
    <w:link w:val="231"/>
    <w:qFormat/>
    <w:uiPriority w:val="0"/>
    <w:pPr>
      <w:widowControl/>
      <w:adjustRightInd w:val="0"/>
      <w:snapToGrid w:val="0"/>
      <w:spacing w:before="80" w:after="80" w:line="240" w:lineRule="atLeast"/>
      <w:ind w:left="2126" w:hanging="425"/>
      <w:jc w:val="left"/>
    </w:pPr>
    <w:rPr>
      <w:rFonts w:cs="Arial" w:asciiTheme="minorHAnsi" w:hAnsiTheme="minorHAnsi" w:eastAsiaTheme="minorEastAsia"/>
      <w:szCs w:val="21"/>
    </w:rPr>
  </w:style>
  <w:style w:type="character" w:customStyle="1" w:styleId="233">
    <w:name w:val="批注框文本 字符1"/>
    <w:qFormat/>
    <w:uiPriority w:val="0"/>
    <w:rPr>
      <w:rFonts w:ascii="Times New Roman" w:hAnsi="Times New Roman" w:eastAsia="宋体" w:cs="Times New Roman"/>
      <w:sz w:val="18"/>
      <w:szCs w:val="18"/>
    </w:rPr>
  </w:style>
  <w:style w:type="character" w:customStyle="1" w:styleId="234">
    <w:name w:val="页眉 Char"/>
    <w:qFormat/>
    <w:uiPriority w:val="0"/>
    <w:rPr>
      <w:kern w:val="2"/>
      <w:sz w:val="18"/>
      <w:szCs w:val="18"/>
    </w:rPr>
  </w:style>
  <w:style w:type="paragraph" w:customStyle="1" w:styleId="235">
    <w:name w:val="表格"/>
    <w:basedOn w:val="1"/>
    <w:qFormat/>
    <w:uiPriority w:val="0"/>
    <w:pPr>
      <w:spacing w:line="400" w:lineRule="exact"/>
    </w:pPr>
    <w:rPr>
      <w:sz w:val="24"/>
    </w:rPr>
  </w:style>
  <w:style w:type="paragraph" w:customStyle="1" w:styleId="236">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37">
    <w:name w:val="10-sinobest-标注（3）"/>
    <w:basedOn w:val="1"/>
    <w:qFormat/>
    <w:uiPriority w:val="0"/>
    <w:pPr>
      <w:tabs>
        <w:tab w:val="left" w:pos="840"/>
      </w:tabs>
      <w:spacing w:line="360" w:lineRule="auto"/>
      <w:ind w:left="501" w:hanging="360"/>
    </w:pPr>
    <w:rPr>
      <w:sz w:val="24"/>
    </w:rPr>
  </w:style>
  <w:style w:type="paragraph" w:customStyle="1" w:styleId="238">
    <w:name w:val="MM Topic 8"/>
    <w:basedOn w:val="11"/>
    <w:next w:val="239"/>
    <w:qFormat/>
    <w:uiPriority w:val="0"/>
    <w:pPr>
      <w:tabs>
        <w:tab w:val="left" w:pos="4394"/>
      </w:tabs>
    </w:pPr>
    <w:rPr>
      <w:rFonts w:ascii="Arial" w:hAnsi="Arial" w:eastAsia="黑体"/>
    </w:rPr>
  </w:style>
  <w:style w:type="paragraph" w:customStyle="1" w:styleId="239">
    <w:name w:val="文章正文"/>
    <w:basedOn w:val="1"/>
    <w:qFormat/>
    <w:uiPriority w:val="0"/>
    <w:pPr>
      <w:spacing w:line="360" w:lineRule="auto"/>
      <w:ind w:firstLine="420"/>
    </w:pPr>
    <w:rPr>
      <w:sz w:val="24"/>
    </w:rPr>
  </w:style>
  <w:style w:type="paragraph" w:customStyle="1" w:styleId="240">
    <w:name w:val="标题 11"/>
    <w:basedOn w:val="1"/>
    <w:next w:val="1"/>
    <w:qFormat/>
    <w:uiPriority w:val="0"/>
    <w:pPr>
      <w:keepNext/>
      <w:keepLines/>
      <w:spacing w:before="340" w:after="330" w:line="578" w:lineRule="auto"/>
      <w:outlineLvl w:val="0"/>
    </w:pPr>
    <w:rPr>
      <w:b/>
      <w:bCs/>
      <w:kern w:val="44"/>
      <w:sz w:val="44"/>
      <w:szCs w:val="44"/>
    </w:rPr>
  </w:style>
  <w:style w:type="paragraph" w:customStyle="1" w:styleId="241">
    <w:name w:val="样式 样式 样式 标题 2 + 宋体 五号 非加粗 黑色 + 段前: 6 磅 段后: 0 磅 行距: 单倍行距 + 段前: 12..."/>
    <w:basedOn w:val="1"/>
    <w:qFormat/>
    <w:uiPriority w:val="0"/>
    <w:pPr>
      <w:keepNext/>
      <w:keepLines/>
      <w:numPr>
        <w:ilvl w:val="0"/>
        <w:numId w:val="1"/>
      </w:numPr>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242">
    <w:name w:val="正文(首行缩进)"/>
    <w:basedOn w:val="1"/>
    <w:qFormat/>
    <w:uiPriority w:val="0"/>
    <w:pPr>
      <w:ind w:firstLine="200" w:firstLineChars="200"/>
    </w:pPr>
    <w:rPr>
      <w:rFonts w:ascii="Arial Narrow" w:hAnsi="Arial Narrow"/>
      <w:szCs w:val="20"/>
    </w:rPr>
  </w:style>
  <w:style w:type="paragraph" w:customStyle="1" w:styleId="243">
    <w:name w:val="默认段落字体 Para Char Char Char Char Char Char Char Char Char Char Char Char Char Char Char1 Char Char Char Char"/>
    <w:basedOn w:val="131"/>
    <w:qFormat/>
    <w:uiPriority w:val="0"/>
    <w:pPr>
      <w:adjustRightInd w:val="0"/>
      <w:spacing w:line="436" w:lineRule="exact"/>
      <w:ind w:left="357"/>
      <w:outlineLvl w:val="3"/>
    </w:pPr>
    <w:rPr>
      <w:rFonts w:ascii="Tahoma" w:hAnsi="Tahoma"/>
      <w:b/>
    </w:rPr>
  </w:style>
  <w:style w:type="paragraph" w:customStyle="1" w:styleId="244">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character" w:customStyle="1" w:styleId="245">
    <w:name w:val="HTML 预设格式 Char"/>
    <w:basedOn w:val="51"/>
    <w:link w:val="40"/>
    <w:qFormat/>
    <w:uiPriority w:val="0"/>
    <w:rPr>
      <w:rFonts w:ascii="宋体" w:hAnsi="宋体" w:eastAsia="宋体" w:cs="宋体"/>
      <w:kern w:val="0"/>
      <w:sz w:val="24"/>
      <w:szCs w:val="24"/>
    </w:rPr>
  </w:style>
  <w:style w:type="character" w:customStyle="1" w:styleId="246">
    <w:name w:val="正文文本 2 Char"/>
    <w:basedOn w:val="51"/>
    <w:link w:val="39"/>
    <w:qFormat/>
    <w:uiPriority w:val="0"/>
    <w:rPr>
      <w:rFonts w:ascii="宋体" w:hAnsi="宋体" w:eastAsia="宋体" w:cs="Times New Roman"/>
      <w:color w:val="000000"/>
      <w:sz w:val="18"/>
      <w:szCs w:val="18"/>
    </w:rPr>
  </w:style>
  <w:style w:type="paragraph" w:customStyle="1" w:styleId="247">
    <w:name w:val="正文空两格"/>
    <w:basedOn w:val="1"/>
    <w:qFormat/>
    <w:uiPriority w:val="0"/>
    <w:pPr>
      <w:widowControl/>
      <w:spacing w:before="120" w:line="300" w:lineRule="auto"/>
      <w:ind w:left="1440" w:hanging="480"/>
    </w:pPr>
    <w:rPr>
      <w:rFonts w:ascii="宋体"/>
      <w:sz w:val="24"/>
      <w:szCs w:val="21"/>
    </w:rPr>
  </w:style>
  <w:style w:type="paragraph" w:customStyle="1" w:styleId="248">
    <w:name w:val="pit正文"/>
    <w:basedOn w:val="1"/>
    <w:qFormat/>
    <w:uiPriority w:val="0"/>
    <w:pPr>
      <w:spacing w:line="400" w:lineRule="exact"/>
    </w:pPr>
    <w:rPr>
      <w:spacing w:val="20"/>
      <w:sz w:val="24"/>
      <w:szCs w:val="20"/>
    </w:rPr>
  </w:style>
  <w:style w:type="paragraph" w:customStyle="1" w:styleId="249">
    <w:name w:val="Char1"/>
    <w:basedOn w:val="1"/>
    <w:qFormat/>
    <w:uiPriority w:val="0"/>
    <w:rPr>
      <w:rFonts w:ascii="Tahoma" w:hAnsi="Tahoma"/>
      <w:sz w:val="24"/>
      <w:szCs w:val="20"/>
    </w:rPr>
  </w:style>
  <w:style w:type="paragraph" w:customStyle="1" w:styleId="250">
    <w:name w:val="tabletext"/>
    <w:basedOn w:val="1"/>
    <w:qFormat/>
    <w:uiPriority w:val="0"/>
    <w:pPr>
      <w:widowControl/>
      <w:spacing w:before="100" w:beforeAutospacing="1" w:after="100" w:afterAutospacing="1"/>
      <w:jc w:val="left"/>
    </w:pPr>
    <w:rPr>
      <w:rFonts w:ascii="宋体" w:hAnsi="宋体" w:cs="宋体"/>
      <w:kern w:val="0"/>
      <w:sz w:val="24"/>
    </w:rPr>
  </w:style>
  <w:style w:type="paragraph" w:customStyle="1" w:styleId="251">
    <w:name w:val="段落正文"/>
    <w:basedOn w:val="1"/>
    <w:link w:val="356"/>
    <w:qFormat/>
    <w:uiPriority w:val="0"/>
    <w:pPr>
      <w:ind w:firstLine="480" w:firstLineChars="200"/>
    </w:pPr>
    <w:rPr>
      <w:rFonts w:ascii="宋体" w:hAnsi="Cambria" w:eastAsia="等线"/>
      <w:szCs w:val="22"/>
    </w:rPr>
  </w:style>
  <w:style w:type="paragraph" w:customStyle="1" w:styleId="252">
    <w:name w:val="标准正文"/>
    <w:basedOn w:val="1"/>
    <w:next w:val="36"/>
    <w:qFormat/>
    <w:uiPriority w:val="0"/>
    <w:pPr>
      <w:spacing w:before="60" w:after="60" w:line="360" w:lineRule="auto"/>
      <w:ind w:firstLine="482"/>
    </w:pPr>
    <w:rPr>
      <w:rFonts w:ascii="宋体" w:hAnsi="宋体" w:cs="宋体"/>
      <w:sz w:val="24"/>
    </w:rPr>
  </w:style>
  <w:style w:type="paragraph" w:customStyle="1" w:styleId="253">
    <w:name w:val="Char Char2"/>
    <w:basedOn w:val="131"/>
    <w:qFormat/>
    <w:uiPriority w:val="0"/>
  </w:style>
  <w:style w:type="paragraph" w:customStyle="1" w:styleId="254">
    <w:name w:val="方案文档"/>
    <w:basedOn w:val="1"/>
    <w:qFormat/>
    <w:uiPriority w:val="0"/>
    <w:pPr>
      <w:spacing w:before="120" w:after="120" w:line="360" w:lineRule="auto"/>
      <w:ind w:firstLine="567"/>
    </w:pPr>
    <w:rPr>
      <w:rFonts w:ascii="Arial" w:hAnsi="Arial"/>
      <w:sz w:val="24"/>
      <w:szCs w:val="20"/>
    </w:rPr>
  </w:style>
  <w:style w:type="paragraph" w:customStyle="1" w:styleId="255">
    <w:name w:val="09正文_wh"/>
    <w:qFormat/>
    <w:uiPriority w:val="0"/>
    <w:pPr>
      <w:spacing w:line="300" w:lineRule="auto"/>
      <w:ind w:firstLine="200" w:firstLineChars="200"/>
      <w:jc w:val="both"/>
    </w:pPr>
    <w:rPr>
      <w:rFonts w:ascii="Times New Roman" w:hAnsi="Times New Roman" w:eastAsia="宋体" w:cs="Times New Roman"/>
      <w:kern w:val="2"/>
      <w:sz w:val="28"/>
      <w:szCs w:val="24"/>
      <w:lang w:val="en-US" w:eastAsia="zh-CN" w:bidi="ar-SA"/>
    </w:rPr>
  </w:style>
  <w:style w:type="paragraph" w:customStyle="1" w:styleId="256">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25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58">
    <w:name w:val="样式 小四 首行缩进:  0.85 厘米 行距: 1.5 倍行距"/>
    <w:basedOn w:val="1"/>
    <w:qFormat/>
    <w:uiPriority w:val="0"/>
    <w:pPr>
      <w:adjustRightInd w:val="0"/>
      <w:spacing w:before="12" w:after="12" w:line="360" w:lineRule="auto"/>
      <w:ind w:firstLine="480" w:firstLineChars="200"/>
      <w:textAlignment w:val="baseline"/>
    </w:pPr>
    <w:rPr>
      <w:rFonts w:ascii="宋体" w:hAnsi="宋体" w:cs="宋体"/>
      <w:kern w:val="0"/>
      <w:sz w:val="24"/>
      <w:szCs w:val="20"/>
    </w:rPr>
  </w:style>
  <w:style w:type="paragraph" w:customStyle="1" w:styleId="259">
    <w:name w:val="表格列样式"/>
    <w:basedOn w:val="1"/>
    <w:qFormat/>
    <w:uiPriority w:val="0"/>
    <w:pPr>
      <w:spacing w:line="360" w:lineRule="auto"/>
      <w:jc w:val="left"/>
    </w:pPr>
    <w:rPr>
      <w:rFonts w:ascii="宋体" w:hAnsi="宋体"/>
      <w:color w:val="000000"/>
      <w:sz w:val="24"/>
      <w:szCs w:val="21"/>
    </w:rPr>
  </w:style>
  <w:style w:type="paragraph" w:customStyle="1" w:styleId="260">
    <w:name w:val="样式 首行缩进:  2 字符"/>
    <w:basedOn w:val="1"/>
    <w:qFormat/>
    <w:uiPriority w:val="0"/>
    <w:pPr>
      <w:spacing w:line="400" w:lineRule="exact"/>
      <w:ind w:firstLine="200" w:firstLineChars="200"/>
    </w:pPr>
    <w:rPr>
      <w:rFonts w:cs="宋体"/>
      <w:sz w:val="24"/>
    </w:rPr>
  </w:style>
  <w:style w:type="paragraph" w:customStyle="1" w:styleId="261">
    <w:name w:val="论文正文"/>
    <w:basedOn w:val="1"/>
    <w:qFormat/>
    <w:uiPriority w:val="0"/>
    <w:pPr>
      <w:spacing w:line="360" w:lineRule="auto"/>
      <w:ind w:firstLine="540" w:firstLineChars="192"/>
    </w:pPr>
    <w:rPr>
      <w:rFonts w:ascii="宋体" w:hAnsi="宋体"/>
      <w:b/>
      <w:bCs/>
      <w:color w:val="000000"/>
      <w:sz w:val="28"/>
      <w:szCs w:val="28"/>
    </w:rPr>
  </w:style>
  <w:style w:type="paragraph" w:customStyle="1" w:styleId="262">
    <w:name w:val="4端"/>
    <w:basedOn w:val="7"/>
    <w:qFormat/>
    <w:uiPriority w:val="0"/>
    <w:pPr>
      <w:tabs>
        <w:tab w:val="left" w:pos="360"/>
      </w:tabs>
      <w:spacing w:before="60" w:after="60" w:line="360" w:lineRule="auto"/>
      <w:ind w:left="630" w:leftChars="300" w:hanging="113"/>
      <w:jc w:val="left"/>
    </w:pPr>
    <w:rPr>
      <w:rFonts w:ascii="宋体" w:hAnsi="宋体" w:eastAsia="仿宋_GB2312" w:cs="宋体"/>
      <w:bCs/>
      <w:szCs w:val="28"/>
    </w:rPr>
  </w:style>
  <w:style w:type="paragraph" w:customStyle="1" w:styleId="26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64">
    <w:name w:val="标准段落"/>
    <w:basedOn w:val="1"/>
    <w:qFormat/>
    <w:uiPriority w:val="0"/>
    <w:pPr>
      <w:topLinePunct/>
      <w:autoSpaceDE w:val="0"/>
      <w:autoSpaceDN w:val="0"/>
      <w:spacing w:line="360" w:lineRule="auto"/>
      <w:ind w:firstLine="560" w:firstLineChars="200"/>
    </w:pPr>
    <w:rPr>
      <w:rFonts w:eastAsia="仿宋_GB2312"/>
      <w:sz w:val="28"/>
      <w:lang w:bidi="th-TH"/>
    </w:rPr>
  </w:style>
  <w:style w:type="paragraph" w:customStyle="1" w:styleId="265">
    <w:name w:val="dash6b63-6587"/>
    <w:basedOn w:val="1"/>
    <w:qFormat/>
    <w:uiPriority w:val="0"/>
    <w:pPr>
      <w:widowControl/>
      <w:spacing w:before="100" w:beforeAutospacing="1" w:after="100" w:afterAutospacing="1"/>
      <w:jc w:val="left"/>
    </w:pPr>
    <w:rPr>
      <w:rFonts w:ascii="宋体" w:hAnsi="宋体"/>
      <w:kern w:val="0"/>
      <w:sz w:val="24"/>
    </w:rPr>
  </w:style>
  <w:style w:type="paragraph" w:customStyle="1" w:styleId="266">
    <w:name w:val="_Style 16"/>
    <w:basedOn w:val="1"/>
    <w:qFormat/>
    <w:uiPriority w:val="0"/>
    <w:pPr>
      <w:spacing w:line="360" w:lineRule="auto"/>
      <w:ind w:firstLine="200" w:firstLineChars="200"/>
    </w:pPr>
    <w:rPr>
      <w:rFonts w:ascii="宋体" w:hAnsi="宋体" w:cs="宋体"/>
      <w:sz w:val="24"/>
    </w:rPr>
  </w:style>
  <w:style w:type="paragraph" w:customStyle="1" w:styleId="267">
    <w:name w:val="正文首行缩进两字符"/>
    <w:basedOn w:val="1"/>
    <w:qFormat/>
    <w:uiPriority w:val="0"/>
    <w:pPr>
      <w:spacing w:line="360" w:lineRule="auto"/>
      <w:ind w:firstLine="200" w:firstLineChars="200"/>
    </w:pPr>
  </w:style>
  <w:style w:type="paragraph" w:customStyle="1" w:styleId="268">
    <w:name w:val="本文正文"/>
    <w:basedOn w:val="1"/>
    <w:qFormat/>
    <w:uiPriority w:val="0"/>
    <w:pPr>
      <w:spacing w:line="360" w:lineRule="auto"/>
      <w:ind w:firstLine="480" w:firstLineChars="200"/>
    </w:pPr>
    <w:rPr>
      <w:rFonts w:ascii="宋体"/>
      <w:bCs/>
      <w:sz w:val="24"/>
    </w:rPr>
  </w:style>
  <w:style w:type="paragraph" w:customStyle="1" w:styleId="269">
    <w:name w:val="pa-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70">
    <w:name w:val="Char Char Char"/>
    <w:basedOn w:val="1"/>
    <w:qFormat/>
    <w:uiPriority w:val="0"/>
    <w:rPr>
      <w:rFonts w:ascii="Tahoma" w:hAnsi="Tahoma"/>
      <w:sz w:val="24"/>
      <w:szCs w:val="20"/>
    </w:rPr>
  </w:style>
  <w:style w:type="paragraph" w:customStyle="1" w:styleId="271">
    <w:name w:val="Char Char Char Char"/>
    <w:basedOn w:val="1"/>
    <w:qFormat/>
    <w:uiPriority w:val="0"/>
    <w:rPr>
      <w:rFonts w:ascii="Tahoma" w:hAnsi="Tahoma"/>
      <w:sz w:val="24"/>
      <w:szCs w:val="20"/>
    </w:rPr>
  </w:style>
  <w:style w:type="paragraph" w:customStyle="1" w:styleId="272">
    <w:name w:val="样式 正文首行缩进 + 宋体 首行缩进:  2 字符"/>
    <w:basedOn w:val="45"/>
    <w:qFormat/>
    <w:uiPriority w:val="0"/>
    <w:pPr>
      <w:widowControl/>
      <w:spacing w:line="360" w:lineRule="auto"/>
      <w:ind w:firstLine="200" w:firstLineChars="200"/>
      <w:jc w:val="left"/>
    </w:pPr>
    <w:rPr>
      <w:rFonts w:ascii="宋体" w:hAnsi="宋体" w:cs="宋体"/>
      <w:kern w:val="0"/>
      <w:sz w:val="24"/>
      <w:szCs w:val="20"/>
    </w:rPr>
  </w:style>
  <w:style w:type="paragraph" w:customStyle="1" w:styleId="273">
    <w:name w:val="样式 正文首行缩进 + 首行缩进:  2 字符1"/>
    <w:basedOn w:val="45"/>
    <w:qFormat/>
    <w:uiPriority w:val="0"/>
    <w:pPr>
      <w:widowControl/>
      <w:spacing w:line="360" w:lineRule="auto"/>
      <w:ind w:firstLine="200" w:firstLineChars="200"/>
      <w:jc w:val="left"/>
    </w:pPr>
    <w:rPr>
      <w:rFonts w:cs="宋体"/>
      <w:kern w:val="0"/>
      <w:sz w:val="24"/>
      <w:szCs w:val="20"/>
    </w:rPr>
  </w:style>
  <w:style w:type="paragraph" w:customStyle="1" w:styleId="274">
    <w:name w:val="Aufzählung"/>
    <w:basedOn w:val="1"/>
    <w:next w:val="1"/>
    <w:qFormat/>
    <w:uiPriority w:val="0"/>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275">
    <w:name w:val="ZJ Paragraph"/>
    <w:basedOn w:val="1"/>
    <w:qFormat/>
    <w:uiPriority w:val="0"/>
    <w:pPr>
      <w:spacing w:before="120" w:after="120"/>
      <w:ind w:firstLine="420"/>
    </w:pPr>
    <w:rPr>
      <w:rFonts w:ascii="华文仿宋" w:hAnsi="华文仿宋" w:eastAsia="华文仿宋"/>
      <w:sz w:val="28"/>
    </w:rPr>
  </w:style>
  <w:style w:type="paragraph" w:customStyle="1" w:styleId="276">
    <w:name w:val="条款样式"/>
    <w:basedOn w:val="1"/>
    <w:qFormat/>
    <w:uiPriority w:val="0"/>
    <w:pPr>
      <w:tabs>
        <w:tab w:val="left" w:pos="770"/>
      </w:tabs>
      <w:spacing w:line="440" w:lineRule="exact"/>
      <w:ind w:left="770" w:hanging="770"/>
      <w:jc w:val="left"/>
    </w:pPr>
    <w:rPr>
      <w:rFonts w:ascii="Calibri" w:hAnsi="Calibri" w:eastAsia="等线"/>
      <w:szCs w:val="22"/>
    </w:rPr>
  </w:style>
  <w:style w:type="paragraph" w:customStyle="1" w:styleId="277">
    <w:name w:val="xl24"/>
    <w:basedOn w:val="1"/>
    <w:qFormat/>
    <w:uiPriority w:val="0"/>
    <w:pPr>
      <w:widowControl/>
      <w:spacing w:before="100" w:beforeAutospacing="1" w:after="100" w:afterAutospacing="1"/>
      <w:jc w:val="center"/>
      <w:textAlignment w:val="center"/>
    </w:pPr>
    <w:rPr>
      <w:rFonts w:ascii="宋体" w:hAnsi="宋体"/>
      <w:kern w:val="0"/>
      <w:sz w:val="24"/>
    </w:rPr>
  </w:style>
  <w:style w:type="paragraph" w:customStyle="1" w:styleId="278">
    <w:name w:val="pa-8"/>
    <w:basedOn w:val="1"/>
    <w:qFormat/>
    <w:uiPriority w:val="0"/>
    <w:pPr>
      <w:widowControl/>
      <w:spacing w:before="100" w:beforeAutospacing="1" w:after="100" w:afterAutospacing="1"/>
      <w:jc w:val="left"/>
    </w:pPr>
    <w:rPr>
      <w:rFonts w:ascii="宋体" w:hAnsi="宋体" w:cs="宋体"/>
      <w:kern w:val="0"/>
      <w:sz w:val="24"/>
    </w:rPr>
  </w:style>
  <w:style w:type="paragraph" w:customStyle="1" w:styleId="279">
    <w:name w:val="pa-13"/>
    <w:basedOn w:val="1"/>
    <w:qFormat/>
    <w:uiPriority w:val="0"/>
    <w:pPr>
      <w:widowControl/>
      <w:spacing w:before="100" w:beforeAutospacing="1" w:after="100" w:afterAutospacing="1"/>
      <w:jc w:val="left"/>
    </w:pPr>
    <w:rPr>
      <w:rFonts w:ascii="宋体" w:hAnsi="宋体" w:cs="宋体"/>
      <w:kern w:val="0"/>
      <w:sz w:val="24"/>
    </w:rPr>
  </w:style>
  <w:style w:type="paragraph" w:customStyle="1" w:styleId="280">
    <w:name w:val="普通"/>
    <w:qFormat/>
    <w:uiPriority w:val="0"/>
    <w:rPr>
      <w:rFonts w:ascii="Arial" w:hAnsi="Arial" w:eastAsia="仿宋_GB2312" w:cs="Times New Roman"/>
      <w:bCs/>
      <w:kern w:val="2"/>
      <w:sz w:val="28"/>
      <w:szCs w:val="28"/>
      <w:lang w:val="en-US" w:eastAsia="zh-CN" w:bidi="ar-SA"/>
    </w:rPr>
  </w:style>
  <w:style w:type="paragraph" w:customStyle="1" w:styleId="281">
    <w:name w:val="pa-6"/>
    <w:basedOn w:val="1"/>
    <w:qFormat/>
    <w:uiPriority w:val="0"/>
    <w:pPr>
      <w:widowControl/>
      <w:spacing w:before="100" w:beforeAutospacing="1" w:after="100" w:afterAutospacing="1"/>
      <w:jc w:val="left"/>
    </w:pPr>
    <w:rPr>
      <w:rFonts w:ascii="宋体" w:hAnsi="宋体" w:cs="宋体"/>
      <w:kern w:val="0"/>
      <w:sz w:val="24"/>
    </w:rPr>
  </w:style>
  <w:style w:type="character" w:customStyle="1" w:styleId="282">
    <w:name w:val="font81"/>
    <w:qFormat/>
    <w:uiPriority w:val="0"/>
    <w:rPr>
      <w:rFonts w:ascii="Arial" w:hAnsi="Arial" w:cs="Arial"/>
      <w:color w:val="000000"/>
      <w:sz w:val="24"/>
      <w:szCs w:val="24"/>
      <w:u w:val="none"/>
      <w:lang w:bidi="ar-SA"/>
    </w:rPr>
  </w:style>
  <w:style w:type="character" w:customStyle="1" w:styleId="283">
    <w:name w:val="font61"/>
    <w:qFormat/>
    <w:uiPriority w:val="0"/>
    <w:rPr>
      <w:rFonts w:ascii="宋体" w:eastAsia="宋体"/>
      <w:color w:val="000000"/>
      <w:sz w:val="24"/>
      <w:szCs w:val="24"/>
      <w:u w:val="none"/>
    </w:rPr>
  </w:style>
  <w:style w:type="character" w:customStyle="1" w:styleId="284">
    <w:name w:val="font31"/>
    <w:qFormat/>
    <w:uiPriority w:val="0"/>
    <w:rPr>
      <w:rFonts w:ascii="宋体" w:eastAsia="宋体" w:cs="宋体"/>
      <w:color w:val="000000"/>
      <w:sz w:val="24"/>
      <w:szCs w:val="24"/>
      <w:u w:val="none"/>
      <w:lang w:bidi="ar-SA"/>
    </w:rPr>
  </w:style>
  <w:style w:type="character" w:customStyle="1" w:styleId="285">
    <w:name w:val="Texte Helvética 9"/>
    <w:qFormat/>
    <w:uiPriority w:val="0"/>
    <w:rPr>
      <w:rFonts w:ascii="Helvetica" w:hAnsi="Helvetica" w:cs="Helvetica"/>
      <w:sz w:val="18"/>
      <w:szCs w:val="18"/>
      <w:lang w:bidi="ar-SA"/>
    </w:rPr>
  </w:style>
  <w:style w:type="character" w:customStyle="1" w:styleId="286">
    <w:name w:val="a14baihang201"/>
    <w:qFormat/>
    <w:uiPriority w:val="0"/>
    <w:rPr>
      <w:color w:val="000000"/>
      <w:sz w:val="23"/>
      <w:szCs w:val="23"/>
    </w:rPr>
  </w:style>
  <w:style w:type="character" w:customStyle="1" w:styleId="287">
    <w:name w:val="font11"/>
    <w:qFormat/>
    <w:uiPriority w:val="0"/>
    <w:rPr>
      <w:rFonts w:ascii="宋体" w:eastAsia="宋体"/>
      <w:color w:val="000000"/>
      <w:sz w:val="22"/>
      <w:szCs w:val="22"/>
      <w:u w:val="none"/>
    </w:rPr>
  </w:style>
  <w:style w:type="character" w:customStyle="1" w:styleId="288">
    <w:name w:val="tpc_content1"/>
    <w:qFormat/>
    <w:uiPriority w:val="0"/>
    <w:rPr>
      <w:sz w:val="20"/>
      <w:szCs w:val="20"/>
    </w:rPr>
  </w:style>
  <w:style w:type="character" w:customStyle="1" w:styleId="289">
    <w:name w:val="font41"/>
    <w:qFormat/>
    <w:uiPriority w:val="0"/>
    <w:rPr>
      <w:rFonts w:ascii="宋体" w:eastAsia="宋体"/>
      <w:color w:val="000000"/>
      <w:sz w:val="22"/>
      <w:szCs w:val="22"/>
      <w:u w:val="none"/>
      <w:vertAlign w:val="superscript"/>
    </w:rPr>
  </w:style>
  <w:style w:type="character" w:customStyle="1" w:styleId="290">
    <w:name w:val="font21"/>
    <w:qFormat/>
    <w:uiPriority w:val="0"/>
    <w:rPr>
      <w:rFonts w:ascii="宋体" w:eastAsia="宋体"/>
      <w:color w:val="000000"/>
      <w:sz w:val="24"/>
      <w:szCs w:val="24"/>
      <w:u w:val="none"/>
      <w:vertAlign w:val="superscript"/>
    </w:rPr>
  </w:style>
  <w:style w:type="character" w:customStyle="1" w:styleId="291">
    <w:name w:val="font51"/>
    <w:qFormat/>
    <w:uiPriority w:val="0"/>
    <w:rPr>
      <w:rFonts w:ascii="宋体" w:eastAsia="宋体"/>
      <w:color w:val="000000"/>
      <w:sz w:val="24"/>
      <w:szCs w:val="24"/>
      <w:u w:val="none"/>
    </w:rPr>
  </w:style>
  <w:style w:type="character" w:customStyle="1" w:styleId="292">
    <w:name w:val="font71"/>
    <w:qFormat/>
    <w:uiPriority w:val="0"/>
    <w:rPr>
      <w:rFonts w:ascii="宋体" w:eastAsia="宋体"/>
      <w:color w:val="000000"/>
      <w:sz w:val="24"/>
      <w:szCs w:val="24"/>
      <w:u w:val="none"/>
      <w:vertAlign w:val="superscript"/>
    </w:rPr>
  </w:style>
  <w:style w:type="paragraph" w:customStyle="1" w:styleId="293">
    <w:name w:val="titre page niveau 1"/>
    <w:qFormat/>
    <w:uiPriority w:val="0"/>
    <w:pPr>
      <w:widowControl w:val="0"/>
      <w:spacing w:before="1" w:after="1"/>
      <w:ind w:left="1" w:right="1" w:firstLine="1"/>
    </w:pPr>
    <w:rPr>
      <w:rFonts w:ascii="Helvetica" w:hAnsi="Helvetica" w:eastAsia="宋体" w:cs="Helvetica"/>
      <w:b/>
      <w:bCs/>
      <w:color w:val="000000"/>
      <w:sz w:val="24"/>
      <w:szCs w:val="24"/>
      <w:lang w:val="en-US" w:eastAsia="zh-CN" w:bidi="ar-SA"/>
    </w:rPr>
  </w:style>
  <w:style w:type="paragraph" w:customStyle="1" w:styleId="294">
    <w:name w:val="Char Char Char Char Char Char Char Char Char Char Char Char Char Char Char Char Char Char Char"/>
    <w:basedOn w:val="1"/>
    <w:qFormat/>
    <w:uiPriority w:val="0"/>
    <w:pPr>
      <w:widowControl/>
      <w:spacing w:after="160" w:line="240" w:lineRule="exact"/>
      <w:jc w:val="left"/>
    </w:pPr>
  </w:style>
  <w:style w:type="paragraph" w:customStyle="1" w:styleId="295">
    <w:name w:val="Text"/>
    <w:basedOn w:val="1"/>
    <w:qFormat/>
    <w:uiPriority w:val="0"/>
    <w:pPr>
      <w:widowControl/>
      <w:spacing w:before="120"/>
    </w:pPr>
    <w:rPr>
      <w:kern w:val="0"/>
      <w:sz w:val="24"/>
      <w:szCs w:val="20"/>
      <w:lang w:eastAsia="en-US"/>
    </w:rPr>
  </w:style>
  <w:style w:type="paragraph" w:customStyle="1" w:styleId="296">
    <w:name w:val="texte"/>
    <w:qFormat/>
    <w:uiPriority w:val="0"/>
    <w:pPr>
      <w:spacing w:before="1" w:after="1"/>
      <w:ind w:left="1" w:right="1" w:firstLine="1"/>
    </w:pPr>
    <w:rPr>
      <w:rFonts w:ascii="Helvetica" w:hAnsi="Helvetica" w:eastAsia="宋体" w:cs="Helvetica"/>
      <w:color w:val="000000"/>
      <w:sz w:val="18"/>
      <w:szCs w:val="18"/>
      <w:lang w:val="en-US" w:eastAsia="zh-CN" w:bidi="ar-SA"/>
    </w:rPr>
  </w:style>
  <w:style w:type="paragraph" w:customStyle="1" w:styleId="297">
    <w:name w:val="A2-texte"/>
    <w:basedOn w:val="1"/>
    <w:qFormat/>
    <w:uiPriority w:val="0"/>
    <w:pPr>
      <w:spacing w:before="1" w:after="1"/>
      <w:ind w:left="1134"/>
    </w:pPr>
    <w:rPr>
      <w:rFonts w:ascii="Arial" w:hAnsi="Arial" w:cs="Arial"/>
      <w:color w:val="000000"/>
      <w:sz w:val="18"/>
      <w:szCs w:val="18"/>
      <w:lang w:val="fr-FR" w:eastAsia="fr-FR"/>
    </w:rPr>
  </w:style>
  <w:style w:type="paragraph" w:customStyle="1" w:styleId="298">
    <w:name w:val="条2"/>
    <w:basedOn w:val="1"/>
    <w:next w:val="1"/>
    <w:qFormat/>
    <w:uiPriority w:val="0"/>
    <w:pPr>
      <w:ind w:left="1040"/>
      <w:outlineLvl w:val="1"/>
    </w:pPr>
    <w:rPr>
      <w:rFonts w:ascii="黑体" w:eastAsia="黑体"/>
      <w:kern w:val="21"/>
      <w:szCs w:val="20"/>
    </w:rPr>
  </w:style>
  <w:style w:type="paragraph" w:customStyle="1" w:styleId="299">
    <w:name w:val="Arial 9"/>
    <w:basedOn w:val="1"/>
    <w:qFormat/>
    <w:uiPriority w:val="0"/>
    <w:rPr>
      <w:rFonts w:ascii="Arial" w:hAnsi="Arial" w:cs="Arial"/>
      <w:sz w:val="18"/>
      <w:szCs w:val="18"/>
      <w:lang w:val="fr-FR" w:eastAsia="fr-FR"/>
    </w:rPr>
  </w:style>
  <w:style w:type="paragraph" w:customStyle="1" w:styleId="300">
    <w:name w:val="样式 Arial 9 + 两端对齐 段前: 2 磅 行距: 1.5 倍行距"/>
    <w:basedOn w:val="299"/>
    <w:qFormat/>
    <w:uiPriority w:val="0"/>
    <w:pPr>
      <w:autoSpaceDE w:val="0"/>
      <w:autoSpaceDN w:val="0"/>
      <w:spacing w:before="40" w:line="360" w:lineRule="auto"/>
      <w:ind w:left="1133" w:leftChars="1133"/>
    </w:pPr>
    <w:rPr>
      <w:rFonts w:cs="宋体"/>
      <w:szCs w:val="20"/>
    </w:rPr>
  </w:style>
  <w:style w:type="paragraph" w:customStyle="1" w:styleId="301">
    <w:name w:val="List Paragraph2"/>
    <w:basedOn w:val="1"/>
    <w:qFormat/>
    <w:uiPriority w:val="0"/>
    <w:pPr>
      <w:widowControl/>
      <w:ind w:firstLine="420" w:firstLineChars="200"/>
      <w:jc w:val="left"/>
    </w:pPr>
    <w:rPr>
      <w:kern w:val="0"/>
      <w:sz w:val="20"/>
      <w:szCs w:val="20"/>
    </w:rPr>
  </w:style>
  <w:style w:type="paragraph" w:customStyle="1" w:styleId="302">
    <w:name w:val="Arial 9 texte"/>
    <w:basedOn w:val="1"/>
    <w:qFormat/>
    <w:uiPriority w:val="0"/>
    <w:rPr>
      <w:rFonts w:ascii="Arial" w:hAnsi="Arial" w:cs="Arial"/>
      <w:sz w:val="18"/>
      <w:szCs w:val="18"/>
      <w:lang w:val="fr-FR" w:eastAsia="fr-FR"/>
    </w:rPr>
  </w:style>
  <w:style w:type="paragraph" w:customStyle="1" w:styleId="303">
    <w:name w:val="style9"/>
    <w:basedOn w:val="1"/>
    <w:qFormat/>
    <w:uiPriority w:val="0"/>
    <w:pPr>
      <w:widowControl/>
      <w:spacing w:before="100" w:beforeAutospacing="1" w:after="100" w:afterAutospacing="1"/>
      <w:jc w:val="left"/>
    </w:pPr>
    <w:rPr>
      <w:rFonts w:ascii="宋体"/>
      <w:color w:val="666666"/>
      <w:kern w:val="0"/>
      <w:sz w:val="24"/>
    </w:rPr>
  </w:style>
  <w:style w:type="paragraph" w:customStyle="1" w:styleId="304">
    <w:name w:val="样式 A2-texte + 左侧:  4 厘米 段前: 0 磅 段后: 0 磅 行距: 1.5 倍行距"/>
    <w:basedOn w:val="297"/>
    <w:qFormat/>
    <w:uiPriority w:val="0"/>
    <w:pPr>
      <w:autoSpaceDE w:val="0"/>
      <w:autoSpaceDN w:val="0"/>
      <w:spacing w:before="0" w:after="0" w:line="360" w:lineRule="auto"/>
      <w:ind w:left="2268"/>
    </w:pPr>
    <w:rPr>
      <w:rFonts w:cs="宋体"/>
      <w:szCs w:val="20"/>
    </w:rPr>
  </w:style>
  <w:style w:type="paragraph" w:customStyle="1" w:styleId="305">
    <w:name w:val="UP正文"/>
    <w:basedOn w:val="1"/>
    <w:qFormat/>
    <w:uiPriority w:val="0"/>
    <w:pPr>
      <w:spacing w:line="360" w:lineRule="auto"/>
      <w:ind w:left="200" w:leftChars="200" w:firstLine="200" w:firstLineChars="200"/>
    </w:pPr>
    <w:rPr>
      <w:rFonts w:ascii="Tahoma" w:hAnsi="Tahoma" w:cs="宋体"/>
      <w:szCs w:val="20"/>
    </w:rPr>
  </w:style>
  <w:style w:type="paragraph" w:customStyle="1" w:styleId="306">
    <w:name w:val="Arial corps 9"/>
    <w:basedOn w:val="296"/>
    <w:qFormat/>
    <w:uiPriority w:val="0"/>
    <w:pPr>
      <w:widowControl w:val="0"/>
      <w:ind w:left="0" w:right="0" w:firstLine="0"/>
    </w:pPr>
    <w:rPr>
      <w:rFonts w:ascii="Arial" w:hAnsi="Arial" w:cs="Arial"/>
    </w:rPr>
  </w:style>
  <w:style w:type="paragraph" w:customStyle="1" w:styleId="307">
    <w:name w:val="Heading Left"/>
    <w:basedOn w:val="1"/>
    <w:qFormat/>
    <w:uiPriority w:val="0"/>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308">
    <w:name w:val="样式 A2-texte + 加粗"/>
    <w:basedOn w:val="297"/>
    <w:qFormat/>
    <w:uiPriority w:val="0"/>
    <w:pPr>
      <w:autoSpaceDE w:val="0"/>
      <w:autoSpaceDN w:val="0"/>
    </w:pPr>
    <w:rPr>
      <w:rFonts w:ascii="黑体" w:eastAsia="黑体"/>
      <w:bCs/>
      <w:lang w:val="zh-CN" w:eastAsia="zh-CN"/>
    </w:rPr>
  </w:style>
  <w:style w:type="paragraph" w:customStyle="1" w:styleId="309">
    <w:name w:val="style10"/>
    <w:basedOn w:val="1"/>
    <w:qFormat/>
    <w:uiPriority w:val="0"/>
    <w:pPr>
      <w:widowControl/>
      <w:spacing w:before="100" w:beforeAutospacing="1" w:after="100" w:afterAutospacing="1"/>
      <w:jc w:val="left"/>
    </w:pPr>
    <w:rPr>
      <w:rFonts w:ascii="宋体"/>
      <w:b/>
      <w:bCs/>
      <w:color w:val="339966"/>
      <w:kern w:val="0"/>
      <w:sz w:val="24"/>
    </w:rPr>
  </w:style>
  <w:style w:type="paragraph" w:customStyle="1" w:styleId="310">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cs="宋体"/>
      <w:b/>
      <w:bCs/>
      <w:color w:val="000000"/>
      <w:kern w:val="0"/>
      <w:sz w:val="24"/>
    </w:rPr>
  </w:style>
  <w:style w:type="paragraph" w:customStyle="1" w:styleId="311">
    <w:name w:val="ZB8"/>
    <w:next w:val="19"/>
    <w:qFormat/>
    <w:uiPriority w:val="0"/>
    <w:pPr>
      <w:widowControl w:val="0"/>
      <w:spacing w:line="340" w:lineRule="atLeast"/>
      <w:jc w:val="both"/>
    </w:pPr>
    <w:rPr>
      <w:rFonts w:ascii="Consolas" w:hAnsi="Consolas" w:eastAsia="方正中等线简体" w:cs="Times New Roman"/>
      <w:sz w:val="21"/>
      <w:lang w:val="en-US" w:eastAsia="zh-CN" w:bidi="ar-SA"/>
    </w:rPr>
  </w:style>
  <w:style w:type="character" w:customStyle="1" w:styleId="312">
    <w:name w:val="正文文本 3 字符"/>
    <w:basedOn w:val="51"/>
    <w:qFormat/>
    <w:uiPriority w:val="0"/>
    <w:rPr>
      <w:rFonts w:ascii="Times New Roman" w:hAnsi="Times New Roman" w:eastAsia="宋体" w:cs="Times New Roman"/>
      <w:sz w:val="16"/>
      <w:szCs w:val="16"/>
    </w:rPr>
  </w:style>
  <w:style w:type="character" w:customStyle="1" w:styleId="313">
    <w:name w:val="正文文本 3 Char"/>
    <w:link w:val="19"/>
    <w:qFormat/>
    <w:uiPriority w:val="0"/>
    <w:rPr>
      <w:rFonts w:ascii="Times New Roman" w:hAnsi="Times New Roman" w:eastAsia="宋体" w:cs="Times New Roman"/>
      <w:sz w:val="16"/>
      <w:szCs w:val="16"/>
    </w:rPr>
  </w:style>
  <w:style w:type="paragraph" w:customStyle="1" w:styleId="314">
    <w:name w:val="列表段落1"/>
    <w:basedOn w:val="1"/>
    <w:qFormat/>
    <w:uiPriority w:val="34"/>
    <w:pPr>
      <w:ind w:firstLine="420" w:firstLineChars="200"/>
    </w:pPr>
    <w:rPr>
      <w:rFonts w:ascii="Calibri" w:hAnsi="Calibri"/>
      <w:szCs w:val="22"/>
    </w:rPr>
  </w:style>
  <w:style w:type="character" w:customStyle="1" w:styleId="315">
    <w:name w:val="op-map-singlepoint-info-right1"/>
    <w:qFormat/>
    <w:uiPriority w:val="0"/>
  </w:style>
  <w:style w:type="character" w:customStyle="1" w:styleId="316">
    <w:name w:val="apple-converted-space"/>
    <w:qFormat/>
    <w:uiPriority w:val="0"/>
  </w:style>
  <w:style w:type="paragraph" w:customStyle="1" w:styleId="317">
    <w:name w:val="_Style 1"/>
    <w:basedOn w:val="1"/>
    <w:qFormat/>
    <w:uiPriority w:val="0"/>
    <w:pPr>
      <w:ind w:firstLine="420" w:firstLineChars="200"/>
    </w:pPr>
    <w:rPr>
      <w:rFonts w:ascii="Calibri" w:hAnsi="Calibri"/>
      <w:szCs w:val="22"/>
    </w:rPr>
  </w:style>
  <w:style w:type="paragraph" w:customStyle="1" w:styleId="318">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19">
    <w:name w:val="z-窗体底端1"/>
    <w:basedOn w:val="1"/>
    <w:next w:val="1"/>
    <w:link w:val="320"/>
    <w:qFormat/>
    <w:uiPriority w:val="0"/>
    <w:pPr>
      <w:widowControl/>
      <w:pBdr>
        <w:top w:val="single" w:color="auto" w:sz="6" w:space="1"/>
      </w:pBdr>
      <w:jc w:val="center"/>
    </w:pPr>
    <w:rPr>
      <w:rFonts w:ascii="Arial" w:hAnsi="Arial" w:cs="Arial"/>
      <w:vanish/>
      <w:kern w:val="0"/>
      <w:sz w:val="16"/>
      <w:szCs w:val="16"/>
    </w:rPr>
  </w:style>
  <w:style w:type="character" w:customStyle="1" w:styleId="320">
    <w:name w:val="z-窗体底端 字符"/>
    <w:basedOn w:val="51"/>
    <w:link w:val="319"/>
    <w:qFormat/>
    <w:uiPriority w:val="0"/>
    <w:rPr>
      <w:rFonts w:ascii="Arial" w:hAnsi="Arial" w:eastAsia="宋体" w:cs="Arial"/>
      <w:vanish/>
      <w:kern w:val="0"/>
      <w:sz w:val="16"/>
      <w:szCs w:val="16"/>
    </w:rPr>
  </w:style>
  <w:style w:type="character" w:customStyle="1" w:styleId="321">
    <w:name w:val="无间隔 Char1"/>
    <w:link w:val="129"/>
    <w:qFormat/>
    <w:uiPriority w:val="0"/>
    <w:rPr>
      <w:rFonts w:ascii="Calibri" w:hAnsi="Calibri" w:eastAsia="宋体" w:cs="Times New Roman"/>
      <w:kern w:val="0"/>
      <w:sz w:val="22"/>
      <w:lang w:eastAsia="en-US" w:bidi="en-US"/>
    </w:rPr>
  </w:style>
  <w:style w:type="paragraph" w:customStyle="1" w:styleId="322">
    <w:name w:val="Char Char1 Char Char Char Char Char Char"/>
    <w:basedOn w:val="1"/>
    <w:qFormat/>
    <w:uiPriority w:val="0"/>
    <w:pPr>
      <w:widowControl/>
      <w:adjustRightInd w:val="0"/>
      <w:snapToGrid w:val="0"/>
      <w:spacing w:beforeLines="25" w:afterLines="25" w:line="240" w:lineRule="exact"/>
      <w:ind w:firstLine="560" w:firstLineChars="192"/>
      <w:jc w:val="left"/>
    </w:pPr>
    <w:rPr>
      <w:rFonts w:ascii="宋体" w:hAnsi="宋体"/>
      <w:kern w:val="0"/>
      <w:sz w:val="28"/>
      <w:szCs w:val="28"/>
      <w:lang w:eastAsia="en-US"/>
    </w:rPr>
  </w:style>
  <w:style w:type="paragraph" w:customStyle="1" w:styleId="323">
    <w:name w:val="默认段落字体 Para Char Char Char Char Char Char Char"/>
    <w:basedOn w:val="1"/>
    <w:next w:val="1"/>
    <w:qFormat/>
    <w:uiPriority w:val="0"/>
    <w:rPr>
      <w:rFonts w:ascii="Tahoma" w:hAnsi="Tahoma"/>
      <w:sz w:val="24"/>
      <w:szCs w:val="20"/>
    </w:rPr>
  </w:style>
  <w:style w:type="paragraph" w:customStyle="1" w:styleId="324">
    <w:name w:val="midtext"/>
    <w:basedOn w:val="1"/>
    <w:qFormat/>
    <w:uiPriority w:val="0"/>
    <w:pPr>
      <w:widowControl/>
      <w:spacing w:before="100" w:beforeAutospacing="1" w:after="100" w:afterAutospacing="1"/>
      <w:jc w:val="left"/>
    </w:pPr>
    <w:rPr>
      <w:rFonts w:ascii="宋体" w:hAnsi="宋体" w:cs="宋体"/>
      <w:kern w:val="0"/>
      <w:sz w:val="24"/>
    </w:rPr>
  </w:style>
  <w:style w:type="character" w:customStyle="1" w:styleId="325">
    <w:name w:val="jason.dong"/>
    <w:qFormat/>
    <w:uiPriority w:val="0"/>
    <w:rPr>
      <w:rFonts w:hint="default" w:ascii="Arial" w:hAnsi="Arial" w:cs="Arial"/>
      <w:color w:val="0000FF"/>
      <w:sz w:val="20"/>
      <w:szCs w:val="20"/>
    </w:rPr>
  </w:style>
  <w:style w:type="paragraph" w:customStyle="1" w:styleId="326">
    <w:name w:val="RD Bullet1"/>
    <w:basedOn w:val="1"/>
    <w:qFormat/>
    <w:uiPriority w:val="0"/>
    <w:pPr>
      <w:widowControl/>
      <w:numPr>
        <w:ilvl w:val="0"/>
        <w:numId w:val="2"/>
      </w:numPr>
      <w:jc w:val="left"/>
    </w:pPr>
    <w:rPr>
      <w:rFonts w:ascii="Calibri" w:hAnsi="Calibri" w:cs="Calibri"/>
      <w:color w:val="000000"/>
      <w:kern w:val="0"/>
      <w:sz w:val="24"/>
      <w:lang w:eastAsia="en-US"/>
    </w:rPr>
  </w:style>
  <w:style w:type="paragraph" w:customStyle="1" w:styleId="327">
    <w:name w:val="_Style 7"/>
    <w:basedOn w:val="1"/>
    <w:qFormat/>
    <w:uiPriority w:val="0"/>
    <w:pPr>
      <w:widowControl/>
      <w:jc w:val="left"/>
    </w:pPr>
    <w:rPr>
      <w:rFonts w:ascii="Calibri" w:hAnsi="Calibri" w:cs="Calibri"/>
      <w:kern w:val="0"/>
      <w:sz w:val="24"/>
      <w:lang w:eastAsia="en-US"/>
    </w:rPr>
  </w:style>
  <w:style w:type="character" w:customStyle="1" w:styleId="328">
    <w:name w:val="title1"/>
    <w:qFormat/>
    <w:uiPriority w:val="0"/>
    <w:rPr>
      <w:b/>
      <w:bCs/>
      <w:color w:val="FFFFFF"/>
      <w:sz w:val="24"/>
      <w:szCs w:val="24"/>
    </w:rPr>
  </w:style>
  <w:style w:type="character" w:customStyle="1" w:styleId="329">
    <w:name w:val="en1"/>
    <w:qFormat/>
    <w:uiPriority w:val="0"/>
    <w:rPr>
      <w:rFonts w:hint="default" w:ascii="Arial" w:hAnsi="Arial" w:cs="Arial"/>
      <w:sz w:val="20"/>
      <w:szCs w:val="20"/>
    </w:rPr>
  </w:style>
  <w:style w:type="character" w:customStyle="1" w:styleId="330">
    <w:name w:val="fontstyle01"/>
    <w:qFormat/>
    <w:uiPriority w:val="0"/>
    <w:rPr>
      <w:rFonts w:hint="eastAsia" w:ascii="华文中宋" w:hAnsi="华文中宋" w:eastAsia="华文中宋"/>
      <w:color w:val="000000"/>
      <w:sz w:val="24"/>
      <w:szCs w:val="24"/>
    </w:rPr>
  </w:style>
  <w:style w:type="paragraph" w:customStyle="1" w:styleId="331">
    <w:name w:val="列出段落2"/>
    <w:basedOn w:val="1"/>
    <w:qFormat/>
    <w:uiPriority w:val="0"/>
    <w:pPr>
      <w:ind w:firstLine="420" w:firstLineChars="200"/>
    </w:pPr>
    <w:rPr>
      <w:rFonts w:ascii="Calibri" w:hAnsi="Calibri"/>
      <w:szCs w:val="22"/>
    </w:rPr>
  </w:style>
  <w:style w:type="paragraph" w:customStyle="1" w:styleId="332">
    <w:name w:val="_Style 0"/>
    <w:qFormat/>
    <w:uiPriority w:val="0"/>
    <w:pPr>
      <w:widowControl w:val="0"/>
      <w:jc w:val="both"/>
    </w:pPr>
    <w:rPr>
      <w:rFonts w:ascii="Calibri" w:hAnsi="Calibri" w:eastAsia="宋体" w:cs="Times New Roman"/>
      <w:kern w:val="2"/>
      <w:sz w:val="21"/>
      <w:szCs w:val="24"/>
      <w:lang w:val="en-US" w:eastAsia="zh-CN" w:bidi="ar-SA"/>
    </w:rPr>
  </w:style>
  <w:style w:type="character" w:customStyle="1" w:styleId="333">
    <w:name w:val="正文文本 (18)1"/>
    <w:qFormat/>
    <w:uiPriority w:val="0"/>
    <w:rPr>
      <w:rFonts w:ascii="MingLiU" w:hAnsi="MingLiU" w:eastAsia="MingLiU" w:cs="Times New Roman"/>
      <w:sz w:val="26"/>
    </w:rPr>
  </w:style>
  <w:style w:type="paragraph" w:customStyle="1" w:styleId="334">
    <w:name w:val="_Style 2"/>
    <w:qFormat/>
    <w:uiPriority w:val="0"/>
    <w:pPr>
      <w:widowControl w:val="0"/>
      <w:jc w:val="both"/>
    </w:pPr>
    <w:rPr>
      <w:rFonts w:ascii="Calibri" w:hAnsi="Calibri" w:eastAsia="宋体" w:cs="Times New Roman"/>
      <w:kern w:val="2"/>
      <w:sz w:val="21"/>
      <w:szCs w:val="24"/>
      <w:lang w:val="en-US" w:eastAsia="zh-CN" w:bidi="ar-SA"/>
    </w:rPr>
  </w:style>
  <w:style w:type="paragraph" w:customStyle="1" w:styleId="335">
    <w:name w:val="表 靠左"/>
    <w:basedOn w:val="1"/>
    <w:qFormat/>
    <w:uiPriority w:val="0"/>
    <w:pPr>
      <w:jc w:val="left"/>
    </w:pPr>
    <w:rPr>
      <w:rFonts w:ascii="宋体" w:hAnsi="宋体"/>
    </w:rPr>
  </w:style>
  <w:style w:type="character" w:customStyle="1" w:styleId="336">
    <w:name w:val="纯文本 字符1"/>
    <w:qFormat/>
    <w:locked/>
    <w:uiPriority w:val="0"/>
    <w:rPr>
      <w:rFonts w:ascii="宋体" w:hAnsi="Courier New"/>
      <w:kern w:val="2"/>
      <w:sz w:val="21"/>
    </w:rPr>
  </w:style>
  <w:style w:type="paragraph" w:customStyle="1" w:styleId="337">
    <w:name w:val="List Paragraph1"/>
    <w:basedOn w:val="1"/>
    <w:qFormat/>
    <w:uiPriority w:val="0"/>
    <w:pPr>
      <w:widowControl/>
      <w:ind w:firstLine="420" w:firstLineChars="200"/>
    </w:pPr>
    <w:rPr>
      <w:rFonts w:ascii="Verdana" w:hAnsi="Verdana"/>
      <w:kern w:val="0"/>
      <w:sz w:val="18"/>
      <w:szCs w:val="20"/>
      <w:lang w:eastAsia="en-US"/>
    </w:rPr>
  </w:style>
  <w:style w:type="character" w:customStyle="1" w:styleId="338">
    <w:name w:val="列表段落 字符1"/>
    <w:qFormat/>
    <w:uiPriority w:val="0"/>
  </w:style>
  <w:style w:type="paragraph" w:customStyle="1" w:styleId="339">
    <w:name w:val="_Style 6"/>
    <w:basedOn w:val="1"/>
    <w:next w:val="14"/>
    <w:qFormat/>
    <w:uiPriority w:val="0"/>
    <w:pPr>
      <w:ind w:firstLine="420" w:firstLineChars="200"/>
    </w:pPr>
    <w:rPr>
      <w:szCs w:val="22"/>
    </w:rPr>
  </w:style>
  <w:style w:type="character" w:customStyle="1" w:styleId="340">
    <w:name w:val="NormalCharacter"/>
    <w:qFormat/>
    <w:uiPriority w:val="0"/>
  </w:style>
  <w:style w:type="paragraph" w:customStyle="1" w:styleId="341">
    <w:name w:val="UserStyle_1"/>
    <w:basedOn w:val="1"/>
    <w:qFormat/>
    <w:uiPriority w:val="0"/>
    <w:pPr>
      <w:widowControl/>
      <w:ind w:firstLine="420" w:firstLineChars="200"/>
    </w:pPr>
    <w:rPr>
      <w:rFonts w:ascii="Verdana" w:hAnsi="Verdana"/>
      <w:kern w:val="0"/>
      <w:sz w:val="18"/>
      <w:szCs w:val="20"/>
      <w:lang w:eastAsia="en-US"/>
    </w:rPr>
  </w:style>
  <w:style w:type="character" w:customStyle="1" w:styleId="342">
    <w:name w:val="font121"/>
    <w:qFormat/>
    <w:uiPriority w:val="0"/>
    <w:rPr>
      <w:rFonts w:hint="eastAsia" w:ascii="宋体" w:hAnsi="宋体" w:eastAsia="宋体" w:cs="宋体"/>
      <w:color w:val="000000"/>
      <w:sz w:val="36"/>
      <w:szCs w:val="36"/>
      <w:u w:val="none"/>
    </w:rPr>
  </w:style>
  <w:style w:type="character" w:customStyle="1" w:styleId="343">
    <w:name w:val="font101"/>
    <w:qFormat/>
    <w:uiPriority w:val="0"/>
    <w:rPr>
      <w:rFonts w:hint="eastAsia" w:ascii="宋体" w:hAnsi="宋体" w:eastAsia="宋体" w:cs="宋体"/>
      <w:color w:val="000000"/>
      <w:sz w:val="22"/>
      <w:szCs w:val="22"/>
      <w:u w:val="none"/>
    </w:rPr>
  </w:style>
  <w:style w:type="paragraph" w:customStyle="1" w:styleId="344">
    <w:name w:val="1级"/>
    <w:basedOn w:val="14"/>
    <w:link w:val="346"/>
    <w:qFormat/>
    <w:uiPriority w:val="0"/>
    <w:pPr>
      <w:numPr>
        <w:ilvl w:val="0"/>
        <w:numId w:val="3"/>
      </w:numPr>
      <w:outlineLvl w:val="0"/>
    </w:pPr>
    <w:rPr>
      <w:rFonts w:ascii="Calibri" w:hAnsi="Calibri"/>
    </w:rPr>
  </w:style>
  <w:style w:type="paragraph" w:customStyle="1" w:styleId="345">
    <w:name w:val="2级"/>
    <w:basedOn w:val="14"/>
    <w:qFormat/>
    <w:uiPriority w:val="0"/>
    <w:pPr>
      <w:tabs>
        <w:tab w:val="left" w:pos="720"/>
      </w:tabs>
      <w:ind w:left="422" w:hanging="422" w:hangingChars="200"/>
      <w:outlineLvl w:val="1"/>
    </w:pPr>
    <w:rPr>
      <w:rFonts w:ascii="Calibri" w:hAnsi="Calibri"/>
      <w:b/>
    </w:rPr>
  </w:style>
  <w:style w:type="character" w:customStyle="1" w:styleId="346">
    <w:name w:val="1级 Char"/>
    <w:link w:val="344"/>
    <w:qFormat/>
    <w:uiPriority w:val="0"/>
    <w:rPr>
      <w:rFonts w:ascii="Calibri" w:hAnsi="Calibri" w:eastAsia="等线" w:cs="Times New Roman"/>
    </w:rPr>
  </w:style>
  <w:style w:type="character" w:customStyle="1" w:styleId="347">
    <w:name w:val="2级 Char"/>
    <w:qFormat/>
    <w:uiPriority w:val="0"/>
    <w:rPr>
      <w:rFonts w:ascii="Calibri" w:hAnsi="Calibri" w:eastAsia="宋体" w:cs="Times New Roman"/>
      <w:b/>
      <w:szCs w:val="21"/>
    </w:rPr>
  </w:style>
  <w:style w:type="paragraph" w:customStyle="1" w:styleId="348">
    <w:name w:val="3级"/>
    <w:basedOn w:val="14"/>
    <w:qFormat/>
    <w:uiPriority w:val="0"/>
    <w:pPr>
      <w:tabs>
        <w:tab w:val="left" w:pos="720"/>
      </w:tabs>
      <w:ind w:left="720" w:hanging="720"/>
      <w:outlineLvl w:val="2"/>
    </w:pPr>
    <w:rPr>
      <w:rFonts w:ascii="宋体" w:hAnsi="宋体"/>
      <w:color w:val="000000"/>
    </w:rPr>
  </w:style>
  <w:style w:type="character" w:customStyle="1" w:styleId="349">
    <w:name w:val="3级 Char"/>
    <w:qFormat/>
    <w:uiPriority w:val="0"/>
    <w:rPr>
      <w:rFonts w:ascii="宋体" w:hAnsi="宋体" w:eastAsia="宋体" w:cs="Times New Roman"/>
      <w:color w:val="000000"/>
      <w:szCs w:val="21"/>
    </w:rPr>
  </w:style>
  <w:style w:type="character" w:customStyle="1" w:styleId="350">
    <w:name w:val="正文首行缩进 Char"/>
    <w:basedOn w:val="81"/>
    <w:link w:val="45"/>
    <w:qFormat/>
    <w:uiPriority w:val="0"/>
    <w:rPr>
      <w:rFonts w:ascii="Times New Roman" w:hAnsi="Times New Roman" w:eastAsia="宋体" w:cs="Times New Roman"/>
      <w:szCs w:val="21"/>
    </w:rPr>
  </w:style>
  <w:style w:type="paragraph" w:customStyle="1" w:styleId="351">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52">
    <w:name w:val="xl65"/>
    <w:basedOn w:val="1"/>
    <w:qFormat/>
    <w:uiPriority w:val="0"/>
    <w:pPr>
      <w:widowControl/>
      <w:spacing w:before="100" w:beforeAutospacing="1" w:after="100" w:afterAutospacing="1"/>
      <w:jc w:val="center"/>
    </w:pPr>
    <w:rPr>
      <w:rFonts w:ascii="宋体" w:hAnsi="宋体" w:cs="宋体"/>
      <w:color w:val="000000"/>
      <w:kern w:val="0"/>
      <w:sz w:val="24"/>
    </w:rPr>
  </w:style>
  <w:style w:type="paragraph" w:customStyle="1" w:styleId="353">
    <w:name w:val="正文格式"/>
    <w:basedOn w:val="1"/>
    <w:qFormat/>
    <w:uiPriority w:val="0"/>
    <w:pPr>
      <w:widowControl/>
      <w:adjustRightInd w:val="0"/>
      <w:snapToGrid w:val="0"/>
      <w:spacing w:line="400" w:lineRule="atLeast"/>
      <w:ind w:firstLine="482"/>
      <w:textAlignment w:val="baseline"/>
    </w:pPr>
    <w:rPr>
      <w:kern w:val="0"/>
      <w:sz w:val="24"/>
    </w:rPr>
  </w:style>
  <w:style w:type="character" w:customStyle="1" w:styleId="354">
    <w:name w:val="name"/>
    <w:basedOn w:val="51"/>
    <w:qFormat/>
    <w:uiPriority w:val="0"/>
  </w:style>
  <w:style w:type="character" w:customStyle="1" w:styleId="355">
    <w:name w:val="页码1"/>
    <w:qFormat/>
    <w:uiPriority w:val="0"/>
    <w:rPr>
      <w:rFonts w:cs="Times New Roman"/>
    </w:rPr>
  </w:style>
  <w:style w:type="character" w:customStyle="1" w:styleId="356">
    <w:name w:val="段落正文 Char"/>
    <w:link w:val="251"/>
    <w:qFormat/>
    <w:uiPriority w:val="0"/>
    <w:rPr>
      <w:rFonts w:ascii="宋体" w:hAnsi="Cambria" w:eastAsia="等线" w:cs="Times New Roman"/>
    </w:rPr>
  </w:style>
  <w:style w:type="character" w:customStyle="1" w:styleId="357">
    <w:name w:val="Char Char91"/>
    <w:qFormat/>
    <w:uiPriority w:val="0"/>
    <w:rPr>
      <w:rFonts w:eastAsia="宋体"/>
      <w:kern w:val="2"/>
      <w:sz w:val="18"/>
      <w:szCs w:val="18"/>
      <w:lang w:val="en-US" w:eastAsia="zh-CN" w:bidi="ar-SA"/>
    </w:rPr>
  </w:style>
  <w:style w:type="character" w:customStyle="1" w:styleId="358">
    <w:name w:val="Char Char111"/>
    <w:qFormat/>
    <w:uiPriority w:val="0"/>
    <w:rPr>
      <w:rFonts w:eastAsia="宋体"/>
      <w:kern w:val="2"/>
      <w:sz w:val="24"/>
      <w:lang w:bidi="ar-SA"/>
    </w:rPr>
  </w:style>
  <w:style w:type="paragraph" w:customStyle="1" w:styleId="359">
    <w:name w:val="xl278"/>
    <w:basedOn w:val="1"/>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0">
    <w:name w:val="页脚1"/>
    <w:basedOn w:val="1"/>
    <w:next w:val="30"/>
    <w:qFormat/>
    <w:uiPriority w:val="99"/>
    <w:pPr>
      <w:tabs>
        <w:tab w:val="center" w:pos="4153"/>
        <w:tab w:val="right" w:pos="8306"/>
      </w:tabs>
      <w:snapToGrid w:val="0"/>
      <w:jc w:val="left"/>
    </w:pPr>
    <w:rPr>
      <w:sz w:val="18"/>
      <w:szCs w:val="18"/>
    </w:rPr>
  </w:style>
  <w:style w:type="paragraph" w:customStyle="1" w:styleId="361">
    <w:name w:val="xl2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362">
    <w:name w:val="xl277"/>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3">
    <w:name w:val="xl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4">
    <w:name w:val="xl27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5">
    <w:name w:val="xl2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rPr>
  </w:style>
  <w:style w:type="paragraph" w:customStyle="1" w:styleId="366">
    <w:name w:val="xl2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67">
    <w:name w:val="xl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368">
    <w:name w:val="xl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369">
    <w:name w:val="xl2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70">
    <w:name w:val="Char Char Char1"/>
    <w:basedOn w:val="1"/>
    <w:qFormat/>
    <w:uiPriority w:val="0"/>
    <w:rPr>
      <w:rFonts w:ascii="Tahoma" w:hAnsi="Tahoma"/>
      <w:sz w:val="24"/>
      <w:szCs w:val="20"/>
    </w:rPr>
  </w:style>
  <w:style w:type="paragraph" w:customStyle="1" w:styleId="371">
    <w:name w:val="xl2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2">
    <w:name w:val="Char11"/>
    <w:basedOn w:val="1"/>
    <w:qFormat/>
    <w:uiPriority w:val="0"/>
    <w:rPr>
      <w:rFonts w:ascii="Tahoma" w:hAnsi="Tahoma"/>
      <w:sz w:val="24"/>
      <w:szCs w:val="20"/>
    </w:rPr>
  </w:style>
  <w:style w:type="paragraph" w:customStyle="1" w:styleId="373">
    <w:name w:val="Char2"/>
    <w:basedOn w:val="16"/>
    <w:qFormat/>
    <w:uiPriority w:val="0"/>
    <w:pPr>
      <w:widowControl/>
    </w:pPr>
    <w:rPr>
      <w:rFonts w:ascii="Tahoma" w:hAnsi="Tahoma" w:eastAsia="宋体"/>
      <w:sz w:val="24"/>
    </w:rPr>
  </w:style>
  <w:style w:type="paragraph" w:customStyle="1" w:styleId="374">
    <w:name w:val="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375">
    <w:name w:val="Table Paragraph"/>
    <w:basedOn w:val="1"/>
    <w:qFormat/>
    <w:uiPriority w:val="0"/>
    <w:rPr>
      <w:rFonts w:ascii="仿宋" w:hAnsi="仿宋" w:eastAsia="仿宋" w:cs="仿宋"/>
      <w:lang w:val="zh-CN" w:bidi="zh-CN"/>
    </w:rPr>
  </w:style>
  <w:style w:type="paragraph" w:customStyle="1" w:styleId="376">
    <w:name w:val="xl28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8"/>
      <w:szCs w:val="28"/>
    </w:rPr>
  </w:style>
  <w:style w:type="paragraph" w:customStyle="1" w:styleId="377">
    <w:name w:val="xl2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78">
    <w:name w:val="xl258"/>
    <w:basedOn w:val="1"/>
    <w:qFormat/>
    <w:uiPriority w:val="0"/>
    <w:pPr>
      <w:widowControl/>
      <w:spacing w:before="100" w:beforeAutospacing="1" w:after="100" w:afterAutospacing="1"/>
      <w:jc w:val="left"/>
    </w:pPr>
    <w:rPr>
      <w:rFonts w:ascii="宋体" w:hAnsi="宋体" w:cs="宋体"/>
      <w:color w:val="FF0000"/>
      <w:kern w:val="0"/>
      <w:sz w:val="28"/>
      <w:szCs w:val="28"/>
    </w:rPr>
  </w:style>
  <w:style w:type="paragraph" w:customStyle="1" w:styleId="379">
    <w:name w:val="xl2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0">
    <w:name w:val="列表段落2"/>
    <w:basedOn w:val="1"/>
    <w:qFormat/>
    <w:uiPriority w:val="0"/>
    <w:pPr>
      <w:widowControl/>
      <w:ind w:left="720"/>
      <w:contextualSpacing/>
      <w:jc w:val="left"/>
    </w:pPr>
    <w:rPr>
      <w:rFonts w:eastAsia="Times New Roman"/>
      <w:kern w:val="0"/>
      <w:sz w:val="24"/>
    </w:rPr>
  </w:style>
  <w:style w:type="paragraph" w:customStyle="1" w:styleId="381">
    <w:name w:val="Char1 Char Char Char1"/>
    <w:basedOn w:val="1"/>
    <w:qFormat/>
    <w:uiPriority w:val="0"/>
    <w:pPr>
      <w:spacing w:line="360" w:lineRule="auto"/>
    </w:pPr>
    <w:rPr>
      <w:rFonts w:ascii="Tahoma" w:hAnsi="Tahoma"/>
      <w:sz w:val="24"/>
      <w:szCs w:val="20"/>
    </w:rPr>
  </w:style>
  <w:style w:type="paragraph" w:customStyle="1" w:styleId="382">
    <w:name w:val="xl260"/>
    <w:basedOn w:val="1"/>
    <w:qFormat/>
    <w:uiPriority w:val="0"/>
    <w:pPr>
      <w:widowControl/>
      <w:spacing w:before="100" w:beforeAutospacing="1" w:after="100" w:afterAutospacing="1"/>
      <w:jc w:val="left"/>
    </w:pPr>
    <w:rPr>
      <w:rFonts w:ascii="宋体" w:hAnsi="宋体" w:cs="宋体"/>
      <w:kern w:val="0"/>
      <w:sz w:val="24"/>
    </w:rPr>
  </w:style>
  <w:style w:type="paragraph" w:customStyle="1" w:styleId="383">
    <w:name w:val="普通(网站)1"/>
    <w:basedOn w:val="1"/>
    <w:qFormat/>
    <w:uiPriority w:val="0"/>
    <w:pPr>
      <w:widowControl/>
      <w:spacing w:before="240" w:after="240"/>
      <w:jc w:val="left"/>
    </w:pPr>
    <w:rPr>
      <w:rFonts w:ascii="宋体" w:hAnsi="宋体" w:cs="宋体"/>
      <w:kern w:val="0"/>
      <w:sz w:val="24"/>
    </w:rPr>
  </w:style>
  <w:style w:type="paragraph" w:customStyle="1" w:styleId="384">
    <w:name w:val="unnamed1"/>
    <w:basedOn w:val="1"/>
    <w:qFormat/>
    <w:uiPriority w:val="0"/>
    <w:pPr>
      <w:widowControl/>
      <w:spacing w:beforeAutospacing="1" w:afterAutospacing="1" w:line="288" w:lineRule="auto"/>
      <w:jc w:val="left"/>
    </w:pPr>
    <w:rPr>
      <w:rFonts w:hint="eastAsia" w:ascii="宋体" w:hAnsi="宋体"/>
      <w:kern w:val="0"/>
      <w:szCs w:val="21"/>
    </w:rPr>
  </w:style>
  <w:style w:type="paragraph" w:customStyle="1" w:styleId="385">
    <w:name w:val="Char Char Char Char Char Char Char Char Char Char Char Char Char Char Char Char Char Char Char1"/>
    <w:basedOn w:val="1"/>
    <w:qFormat/>
    <w:uiPriority w:val="0"/>
    <w:pPr>
      <w:widowControl/>
      <w:spacing w:after="160" w:line="240" w:lineRule="exact"/>
      <w:jc w:val="left"/>
    </w:pPr>
  </w:style>
  <w:style w:type="paragraph" w:customStyle="1" w:styleId="386">
    <w:name w:val="xl259"/>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87">
    <w:name w:val="xl2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388">
    <w:name w:val="xl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89">
    <w:name w:val="Char Char Char Char1"/>
    <w:basedOn w:val="1"/>
    <w:qFormat/>
    <w:uiPriority w:val="0"/>
    <w:rPr>
      <w:rFonts w:ascii="Tahoma" w:hAnsi="Tahoma"/>
      <w:sz w:val="24"/>
      <w:szCs w:val="20"/>
    </w:rPr>
  </w:style>
  <w:style w:type="paragraph" w:customStyle="1" w:styleId="390">
    <w:name w:val="xl261"/>
    <w:basedOn w:val="1"/>
    <w:qFormat/>
    <w:uiPriority w:val="0"/>
    <w:pPr>
      <w:widowControl/>
      <w:spacing w:before="100" w:beforeAutospacing="1" w:after="100" w:afterAutospacing="1"/>
      <w:jc w:val="center"/>
    </w:pPr>
    <w:rPr>
      <w:rFonts w:ascii="宋体" w:hAnsi="宋体" w:cs="宋体"/>
      <w:kern w:val="0"/>
      <w:sz w:val="24"/>
    </w:rPr>
  </w:style>
  <w:style w:type="paragraph" w:customStyle="1" w:styleId="391">
    <w:name w:val="xl2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2">
    <w:name w:val="xl257"/>
    <w:basedOn w:val="1"/>
    <w:qFormat/>
    <w:uiPriority w:val="0"/>
    <w:pPr>
      <w:widowControl/>
      <w:spacing w:before="100" w:beforeAutospacing="1" w:after="100" w:afterAutospacing="1"/>
      <w:jc w:val="left"/>
    </w:pPr>
    <w:rPr>
      <w:rFonts w:ascii="宋体" w:hAnsi="宋体" w:cs="宋体"/>
      <w:kern w:val="0"/>
      <w:sz w:val="28"/>
      <w:szCs w:val="28"/>
    </w:rPr>
  </w:style>
  <w:style w:type="paragraph" w:customStyle="1" w:styleId="393">
    <w:name w:val="xl2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4">
    <w:name w:val="xl2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8"/>
      <w:szCs w:val="28"/>
    </w:rPr>
  </w:style>
  <w:style w:type="paragraph" w:customStyle="1" w:styleId="395">
    <w:name w:val="xl2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396">
    <w:name w:val="xl27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397">
    <w:name w:val="xl282"/>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8"/>
      <w:szCs w:val="28"/>
    </w:rPr>
  </w:style>
  <w:style w:type="character" w:customStyle="1" w:styleId="398">
    <w:name w:val="标题 2 Char Char"/>
    <w:qFormat/>
    <w:uiPriority w:val="0"/>
    <w:rPr>
      <w:rFonts w:ascii="Arial" w:hAnsi="Arial" w:eastAsia="黑体"/>
      <w:b/>
      <w:bCs/>
      <w:kern w:val="2"/>
      <w:sz w:val="32"/>
      <w:szCs w:val="32"/>
      <w:lang w:val="en-US" w:eastAsia="zh-CN" w:bidi="ar-SA"/>
    </w:rPr>
  </w:style>
  <w:style w:type="paragraph" w:customStyle="1" w:styleId="399">
    <w:name w:val="TOC 标题3"/>
    <w:basedOn w:val="4"/>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paragraph" w:customStyle="1" w:styleId="400">
    <w:name w:val="样式 宋体 四号 居中 行距: 1.5 倍行距"/>
    <w:basedOn w:val="1"/>
    <w:qFormat/>
    <w:uiPriority w:val="0"/>
    <w:pPr>
      <w:spacing w:line="360" w:lineRule="auto"/>
      <w:jc w:val="center"/>
    </w:pPr>
    <w:rPr>
      <w:rFonts w:ascii="宋体" w:hAnsi="Cambria" w:cs="宋体"/>
      <w:sz w:val="28"/>
      <w:szCs w:val="20"/>
    </w:rPr>
  </w:style>
  <w:style w:type="character" w:customStyle="1" w:styleId="401">
    <w:name w:val="样式 仿宋"/>
    <w:qFormat/>
    <w:uiPriority w:val="0"/>
    <w:rPr>
      <w:rFonts w:ascii="仿宋" w:hAnsi="仿宋" w:eastAsia="仿宋"/>
      <w:kern w:val="1"/>
    </w:rPr>
  </w:style>
  <w:style w:type="character" w:customStyle="1" w:styleId="402">
    <w:name w:val="font01"/>
    <w:basedOn w:val="51"/>
    <w:qFormat/>
    <w:uiPriority w:val="0"/>
    <w:rPr>
      <w:rFonts w:hint="eastAsia" w:ascii="宋体" w:hAnsi="宋体" w:eastAsia="宋体" w:cs="宋体"/>
      <w:color w:val="000000"/>
      <w:sz w:val="18"/>
      <w:szCs w:val="18"/>
      <w:u w:val="none"/>
    </w:rPr>
  </w:style>
  <w:style w:type="character" w:customStyle="1" w:styleId="403">
    <w:name w:val="批注主题 Char1"/>
    <w:qFormat/>
    <w:uiPriority w:val="0"/>
    <w:rPr>
      <w:b/>
      <w:bCs/>
      <w:kern w:val="2"/>
      <w:sz w:val="21"/>
      <w:szCs w:val="22"/>
    </w:rPr>
  </w:style>
  <w:style w:type="character" w:customStyle="1" w:styleId="404">
    <w:name w:val="样式1 字符"/>
    <w:link w:val="99"/>
    <w:qFormat/>
    <w:uiPriority w:val="0"/>
    <w:rPr>
      <w:rFonts w:ascii="宋体" w:hAnsi="宋体" w:cs="宋体"/>
      <w:sz w:val="21"/>
      <w:szCs w:val="21"/>
    </w:rPr>
  </w:style>
  <w:style w:type="character" w:customStyle="1" w:styleId="405">
    <w:name w:val="Default Char"/>
    <w:link w:val="58"/>
    <w:qFormat/>
    <w:locked/>
    <w:uiPriority w:val="0"/>
    <w:rPr>
      <w:rFonts w:ascii="楷体_GB2312" w:hAnsi="Calibri" w:eastAsia="楷体_GB2312" w:cs="楷体_GB2312"/>
      <w:color w:val="000000"/>
      <w:sz w:val="24"/>
      <w:szCs w:val="24"/>
    </w:rPr>
  </w:style>
  <w:style w:type="character" w:customStyle="1" w:styleId="406">
    <w:name w:val="样式2 字符"/>
    <w:link w:val="407"/>
    <w:qFormat/>
    <w:uiPriority w:val="0"/>
    <w:rPr>
      <w:rFonts w:ascii="楷体_GB2312" w:hAnsi="Arial" w:eastAsia="仿宋_GB2312"/>
      <w:kern w:val="2"/>
      <w:sz w:val="28"/>
      <w:szCs w:val="28"/>
    </w:rPr>
  </w:style>
  <w:style w:type="paragraph" w:customStyle="1" w:styleId="407">
    <w:name w:val="样式2"/>
    <w:basedOn w:val="1"/>
    <w:link w:val="406"/>
    <w:qFormat/>
    <w:uiPriority w:val="0"/>
    <w:pPr>
      <w:spacing w:line="560" w:lineRule="exact"/>
      <w:ind w:firstLine="561" w:firstLineChars="200"/>
    </w:pPr>
    <w:rPr>
      <w:rFonts w:ascii="楷体_GB2312" w:hAnsi="Arial" w:eastAsia="仿宋_GB2312"/>
      <w:sz w:val="28"/>
      <w:szCs w:val="28"/>
    </w:rPr>
  </w:style>
  <w:style w:type="character" w:customStyle="1" w:styleId="408">
    <w:name w:val="标题 2 Char1"/>
    <w:qFormat/>
    <w:uiPriority w:val="0"/>
    <w:rPr>
      <w:rFonts w:ascii="Arial" w:hAnsi="Arial"/>
      <w:b/>
      <w:bCs/>
      <w:kern w:val="2"/>
      <w:sz w:val="28"/>
      <w:szCs w:val="32"/>
    </w:rPr>
  </w:style>
  <w:style w:type="character" w:customStyle="1" w:styleId="409">
    <w:name w:val="正文首行缩进 Char1"/>
    <w:qFormat/>
    <w:uiPriority w:val="0"/>
    <w:rPr>
      <w:kern w:val="2"/>
      <w:sz w:val="21"/>
      <w:szCs w:val="24"/>
    </w:rPr>
  </w:style>
  <w:style w:type="character" w:customStyle="1" w:styleId="410">
    <w:name w:val="正文文本首行缩进 字符1"/>
    <w:qFormat/>
    <w:uiPriority w:val="0"/>
    <w:rPr>
      <w:kern w:val="2"/>
      <w:sz w:val="21"/>
      <w:szCs w:val="24"/>
    </w:rPr>
  </w:style>
  <w:style w:type="paragraph" w:customStyle="1" w:styleId="411">
    <w:name w:val="Blockquote"/>
    <w:basedOn w:val="1"/>
    <w:qFormat/>
    <w:uiPriority w:val="0"/>
    <w:pPr>
      <w:autoSpaceDE w:val="0"/>
      <w:autoSpaceDN w:val="0"/>
      <w:adjustRightInd w:val="0"/>
      <w:spacing w:before="100" w:after="100"/>
      <w:ind w:left="360" w:right="360"/>
      <w:jc w:val="left"/>
    </w:pPr>
    <w:rPr>
      <w:kern w:val="0"/>
      <w:sz w:val="32"/>
      <w:szCs w:val="20"/>
    </w:rPr>
  </w:style>
  <w:style w:type="paragraph" w:customStyle="1" w:styleId="412">
    <w:name w:val="TOC 标题4"/>
    <w:basedOn w:val="4"/>
    <w:next w:val="1"/>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413">
    <w:name w:val="修订3"/>
    <w:qFormat/>
    <w:uiPriority w:val="0"/>
    <w:rPr>
      <w:rFonts w:ascii="Times New Roman" w:hAnsi="Times New Roman" w:eastAsia="宋体" w:cs="Times New Roman"/>
      <w:kern w:val="2"/>
      <w:sz w:val="21"/>
      <w:szCs w:val="21"/>
      <w:lang w:val="en-US" w:eastAsia="zh-CN" w:bidi="ar-SA"/>
    </w:rPr>
  </w:style>
  <w:style w:type="table" w:customStyle="1" w:styleId="414">
    <w:name w:val="Table Normal"/>
    <w:unhideWhenUsed/>
    <w:qFormat/>
    <w:uiPriority w:val="2"/>
    <w:pPr>
      <w:widowControl w:val="0"/>
      <w:autoSpaceDE w:val="0"/>
      <w:autoSpaceDN w:val="0"/>
    </w:pPr>
    <w:rPr>
      <w:sz w:val="22"/>
      <w:szCs w:val="22"/>
      <w:lang w:eastAsia="en-US"/>
    </w:rPr>
    <w:tblPr>
      <w:tblCellMar>
        <w:top w:w="0" w:type="dxa"/>
        <w:left w:w="0" w:type="dxa"/>
        <w:bottom w:w="0" w:type="dxa"/>
        <w:right w:w="0" w:type="dxa"/>
      </w:tblCellMar>
    </w:tblPr>
  </w:style>
  <w:style w:type="paragraph" w:customStyle="1" w:styleId="415">
    <w:name w:val="null5"/>
    <w:hidden/>
    <w:qFormat/>
    <w:uiPriority w:val="0"/>
    <w:rPr>
      <w:rFonts w:hint="eastAsia" w:asciiTheme="minorHAnsi" w:hAnsiTheme="minorHAnsi" w:eastAsiaTheme="minorEastAsia" w:cstheme="minorBidi"/>
      <w:lang w:val="en-US" w:eastAsia="zh-CN" w:bidi="ar-SA"/>
    </w:rPr>
  </w:style>
  <w:style w:type="paragraph" w:customStyle="1" w:styleId="416">
    <w:name w:val="正文文本1"/>
    <w:basedOn w:val="1"/>
    <w:qFormat/>
    <w:uiPriority w:val="0"/>
    <w:pPr>
      <w:tabs>
        <w:tab w:val="left" w:pos="567"/>
      </w:tabs>
      <w:spacing w:before="120" w:line="22" w:lineRule="atLeast"/>
    </w:pPr>
    <w:rPr>
      <w:rFonts w:ascii="宋体" w:hAnsi="宋体"/>
      <w:sz w:val="24"/>
    </w:rPr>
  </w:style>
  <w:style w:type="paragraph" w:customStyle="1" w:styleId="417">
    <w:name w:val="纯文本11"/>
    <w:basedOn w:val="1"/>
    <w:qFormat/>
    <w:uiPriority w:val="0"/>
    <w:rPr>
      <w:rFonts w:hint="eastAsia" w:ascii="宋体" w:hAnsi="Courier New"/>
      <w:szCs w:val="20"/>
    </w:rPr>
  </w:style>
  <w:style w:type="paragraph" w:customStyle="1" w:styleId="418">
    <w:name w:val="Normal_3"/>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19">
    <w:name w:val="正文4"/>
    <w:qFormat/>
    <w:uiPriority w:val="0"/>
    <w:pPr>
      <w:widowControl w:val="0"/>
      <w:jc w:val="both"/>
    </w:pPr>
    <w:rPr>
      <w:rFonts w:ascii="Calibri" w:hAnsi="Calibri" w:eastAsia="宋体" w:cs="Times New Roman"/>
      <w:kern w:val="2"/>
      <w:sz w:val="21"/>
      <w:lang w:val="en-US" w:eastAsia="zh-CN" w:bidi="ar-SA"/>
    </w:rPr>
  </w:style>
  <w:style w:type="paragraph" w:customStyle="1" w:styleId="420">
    <w:name w:val="正文_5"/>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1">
    <w:name w:val="题注 Char"/>
    <w:link w:val="15"/>
    <w:qFormat/>
    <w:uiPriority w:val="0"/>
    <w:rPr>
      <w:rFonts w:ascii="Cambria" w:hAnsi="Cambria" w:eastAsia="黑体"/>
    </w:rPr>
  </w:style>
  <w:style w:type="paragraph" w:customStyle="1" w:styleId="422">
    <w:name w:val="标题 #1"/>
    <w:basedOn w:val="1"/>
    <w:qFormat/>
    <w:uiPriority w:val="0"/>
    <w:pPr>
      <w:shd w:val="clear" w:color="auto" w:fill="FFFFFF"/>
      <w:spacing w:after="1980"/>
      <w:jc w:val="center"/>
      <w:outlineLvl w:val="0"/>
    </w:pPr>
    <w:rPr>
      <w:rFonts w:ascii="黑体" w:hAnsi="黑体" w:eastAsia="黑体" w:cs="黑体"/>
      <w:sz w:val="42"/>
      <w:szCs w:val="42"/>
    </w:rPr>
  </w:style>
  <w:style w:type="character" w:customStyle="1" w:styleId="423">
    <w:name w:val="font131"/>
    <w:basedOn w:val="51"/>
    <w:qFormat/>
    <w:uiPriority w:val="0"/>
    <w:rPr>
      <w:rFonts w:ascii="Malgun Gothic Semilight" w:hAnsi="Malgun Gothic Semilight" w:eastAsia="Malgun Gothic Semilight" w:cs="Malgun Gothic Semilight"/>
      <w:color w:val="000000"/>
      <w:sz w:val="28"/>
      <w:szCs w:val="28"/>
      <w:u w:val="none"/>
    </w:rPr>
  </w:style>
  <w:style w:type="character" w:customStyle="1" w:styleId="424">
    <w:name w:val="font141"/>
    <w:basedOn w:val="51"/>
    <w:qFormat/>
    <w:uiPriority w:val="0"/>
    <w:rPr>
      <w:rFonts w:hint="eastAsia" w:ascii="Malgun Gothic Semilight" w:hAnsi="Malgun Gothic Semilight" w:eastAsia="Malgun Gothic Semilight" w:cs="Malgun Gothic Semilight"/>
      <w:color w:val="000000"/>
      <w:sz w:val="28"/>
      <w:szCs w:val="28"/>
      <w:u w:val="none"/>
    </w:rPr>
  </w:style>
  <w:style w:type="character" w:customStyle="1" w:styleId="425">
    <w:name w:val="正文缩进 Char2"/>
    <w:qFormat/>
    <w:uiPriority w:val="0"/>
    <w:rPr>
      <w:kern w:val="2"/>
      <w:sz w:val="21"/>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27"/>
    <customShpInfo spid="_x0000_s1028"/>
    <customShpInfo spid="_x0000_s1029"/>
    <customShpInfo spid="_x0000_s103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18A018-6D9F-4F15-AE4E-A39F91F538F0}">
  <ds:schemaRefs/>
</ds:datastoreItem>
</file>

<file path=docProps/app.xml><?xml version="1.0" encoding="utf-8"?>
<Properties xmlns="http://schemas.openxmlformats.org/officeDocument/2006/extended-properties" xmlns:vt="http://schemas.openxmlformats.org/officeDocument/2006/docPropsVTypes">
  <Template>Normal</Template>
  <Company>WRGHO.COM</Company>
  <Pages>86</Pages>
  <Words>28235</Words>
  <Characters>30350</Characters>
  <Lines>275</Lines>
  <Paragraphs>77</Paragraphs>
  <TotalTime>166</TotalTime>
  <ScaleCrop>false</ScaleCrop>
  <LinksUpToDate>false</LinksUpToDate>
  <CharactersWithSpaces>30376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2026-04-10T06:32:00Z</dcterms:created>
  <dc:creator>Administrator</dc:creator>
  <cp:lastModifiedBy>ll</cp:lastModifiedBy>
  <cp:lastPrinted>2026-04-21T01:36:00Z</cp:lastPrinted>
  <dcterms:modified xsi:type="dcterms:W3CDTF">2026-06-18T00:52:53Z</dcterms:modified>
  <cp:revision>141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3B5E190CDB3849D0B2F90ECADE5AE6C1_13</vt:lpwstr>
  </property>
  <property fmtid="{D5CDD505-2E9C-101B-9397-08002B2CF9AE}" pid="4" name="KSOTemplateDocerSaveRecord">
    <vt:lpwstr>eyJoZGlkIjoiNzQyNDY0NTY2NzNiNjZlODcwMmNlMjUyYWQyNjhiMmQiLCJ1c2VySWQiOiI5OTI4NDU4NDgifQ==</vt:lpwstr>
  </property>
</Properties>
</file>