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E3C3B">
      <w:pPr>
        <w:pStyle w:val="81"/>
        <w:rPr>
          <w:rFonts w:hint="eastAsia" w:ascii="Calibri" w:hAnsi="Calibri" w:eastAsia="仿宋" w:cs="仿宋"/>
          <w:color w:val="auto"/>
          <w:highlight w:val="none"/>
        </w:rPr>
      </w:pPr>
    </w:p>
    <w:p w14:paraId="49C5B6AB">
      <w:pPr>
        <w:pStyle w:val="81"/>
        <w:rPr>
          <w:rFonts w:hint="eastAsia" w:ascii="Calibri" w:hAnsi="Calibri" w:eastAsia="仿宋" w:cs="仿宋"/>
          <w:color w:val="auto"/>
          <w:highlight w:val="none"/>
        </w:rPr>
      </w:pPr>
    </w:p>
    <w:p w14:paraId="269D5C8A">
      <w:pPr>
        <w:pStyle w:val="81"/>
        <w:rPr>
          <w:rFonts w:hint="eastAsia" w:ascii="Calibri" w:hAnsi="Calibri" w:eastAsia="仿宋" w:cs="仿宋"/>
          <w:color w:val="auto"/>
          <w:highlight w:val="none"/>
        </w:rPr>
      </w:pPr>
    </w:p>
    <w:p w14:paraId="79B69082">
      <w:pPr>
        <w:spacing w:before="624" w:beforeLines="200" w:line="360" w:lineRule="auto"/>
        <w:jc w:val="center"/>
        <w:rPr>
          <w:rFonts w:ascii="仿宋" w:hAnsi="仿宋" w:eastAsia="仿宋" w:cs="仿宋"/>
          <w:kern w:val="0"/>
          <w:sz w:val="72"/>
          <w:szCs w:val="72"/>
          <w:highlight w:val="none"/>
        </w:rPr>
      </w:pPr>
      <w:r>
        <w:rPr>
          <w:rFonts w:hint="eastAsia" w:ascii="仿宋" w:hAnsi="仿宋" w:eastAsia="仿宋" w:cs="仿宋"/>
          <w:kern w:val="0"/>
          <w:sz w:val="72"/>
          <w:szCs w:val="72"/>
          <w:highlight w:val="none"/>
        </w:rPr>
        <w:t>招标文件</w:t>
      </w:r>
    </w:p>
    <w:p w14:paraId="63031A1D">
      <w:pPr>
        <w:pStyle w:val="30"/>
        <w:rPr>
          <w:rFonts w:hint="eastAsia" w:eastAsia="宋体"/>
          <w:sz w:val="72"/>
          <w:szCs w:val="72"/>
          <w:highlight w:val="none"/>
          <w:lang w:val="en-US" w:eastAsia="zh-CN"/>
        </w:rPr>
      </w:pPr>
    </w:p>
    <w:p w14:paraId="6ED9B784">
      <w:pPr>
        <w:spacing w:line="360" w:lineRule="auto"/>
        <w:jc w:val="center"/>
        <w:rPr>
          <w:rFonts w:ascii="仿宋" w:hAnsi="仿宋" w:eastAsia="仿宋" w:cs="仿宋"/>
          <w:sz w:val="72"/>
          <w:szCs w:val="72"/>
          <w:highlight w:val="none"/>
        </w:rPr>
      </w:pPr>
      <w:r>
        <w:rPr>
          <w:rFonts w:hint="eastAsia"/>
          <w:sz w:val="72"/>
          <w:szCs w:val="72"/>
          <w:highlight w:val="none"/>
        </w:rPr>
        <w:drawing>
          <wp:inline distT="0" distB="0" distL="114300" distR="114300">
            <wp:extent cx="1115060" cy="1395730"/>
            <wp:effectExtent l="0" t="0" r="8890" b="139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5"/>
                    <a:stretch>
                      <a:fillRect/>
                    </a:stretch>
                  </pic:blipFill>
                  <pic:spPr>
                    <a:xfrm>
                      <a:off x="0" y="0"/>
                      <a:ext cx="1115060" cy="1395730"/>
                    </a:xfrm>
                    <a:prstGeom prst="rect">
                      <a:avLst/>
                    </a:prstGeom>
                    <a:noFill/>
                    <a:ln>
                      <a:noFill/>
                    </a:ln>
                  </pic:spPr>
                </pic:pic>
              </a:graphicData>
            </a:graphic>
          </wp:inline>
        </w:drawing>
      </w:r>
    </w:p>
    <w:p w14:paraId="03A62679">
      <w:pPr>
        <w:spacing w:line="360" w:lineRule="auto"/>
        <w:jc w:val="left"/>
        <w:rPr>
          <w:rFonts w:ascii="仿宋" w:hAnsi="仿宋" w:eastAsia="仿宋" w:cs="仿宋"/>
          <w:sz w:val="28"/>
          <w:szCs w:val="28"/>
          <w:highlight w:val="none"/>
        </w:rPr>
      </w:pPr>
    </w:p>
    <w:p w14:paraId="2EB0ED4A">
      <w:pPr>
        <w:tabs>
          <w:tab w:val="left" w:pos="0"/>
          <w:tab w:val="left" w:pos="142"/>
        </w:tabs>
        <w:snapToGrid w:val="0"/>
        <w:spacing w:after="156" w:afterLines="50" w:line="240" w:lineRule="atLeast"/>
        <w:ind w:firstLine="643" w:firstLineChars="200"/>
        <w:jc w:val="left"/>
        <w:outlineLvl w:val="0"/>
        <w:rPr>
          <w:rFonts w:hint="eastAsia" w:ascii="仿宋" w:hAnsi="仿宋" w:eastAsia="仿宋" w:cs="仿宋"/>
          <w:bCs/>
          <w:color w:val="auto"/>
          <w:sz w:val="32"/>
          <w:szCs w:val="32"/>
          <w:highlight w:val="none"/>
          <w:lang w:val="en-US" w:eastAsia="zh-CN"/>
        </w:rPr>
      </w:pPr>
      <w:bookmarkStart w:id="0" w:name="_Toc22680"/>
      <w:bookmarkStart w:id="1" w:name="_Toc19677"/>
      <w:r>
        <w:rPr>
          <w:rFonts w:hint="eastAsia" w:ascii="仿宋" w:hAnsi="仿宋" w:eastAsia="仿宋" w:cs="仿宋"/>
          <w:b/>
          <w:color w:val="auto"/>
          <w:sz w:val="32"/>
          <w:szCs w:val="32"/>
          <w:highlight w:val="none"/>
          <w:lang w:val="en-US" w:eastAsia="zh-CN"/>
        </w:rPr>
        <w:t>招标</w:t>
      </w:r>
      <w:r>
        <w:rPr>
          <w:rFonts w:hint="eastAsia" w:ascii="仿宋" w:hAnsi="仿宋" w:eastAsia="仿宋" w:cs="仿宋"/>
          <w:b/>
          <w:color w:val="auto"/>
          <w:sz w:val="32"/>
          <w:szCs w:val="32"/>
          <w:highlight w:val="none"/>
        </w:rPr>
        <w:t>编号：</w:t>
      </w:r>
      <w:bookmarkEnd w:id="0"/>
      <w:bookmarkEnd w:id="1"/>
      <w:r>
        <w:rPr>
          <w:rFonts w:hint="eastAsia" w:ascii="仿宋" w:hAnsi="仿宋" w:eastAsia="仿宋" w:cs="仿宋"/>
          <w:b w:val="0"/>
          <w:bCs/>
          <w:sz w:val="32"/>
          <w:szCs w:val="32"/>
          <w:highlight w:val="none"/>
          <w:lang w:eastAsia="zh-CN"/>
        </w:rPr>
        <w:t>LGCT2026-12</w:t>
      </w:r>
    </w:p>
    <w:p w14:paraId="3A6B6624">
      <w:pPr>
        <w:tabs>
          <w:tab w:val="left" w:pos="0"/>
          <w:tab w:val="left" w:pos="142"/>
        </w:tabs>
        <w:snapToGrid w:val="0"/>
        <w:spacing w:after="156" w:afterLines="50" w:line="240" w:lineRule="atLeast"/>
        <w:ind w:firstLine="643" w:firstLineChars="200"/>
        <w:jc w:val="left"/>
        <w:outlineLvl w:val="0"/>
        <w:rPr>
          <w:rFonts w:hint="eastAsia" w:ascii="仿宋" w:hAnsi="仿宋" w:eastAsia="仿宋" w:cs="仿宋"/>
          <w:bCs/>
          <w:color w:val="auto"/>
          <w:sz w:val="32"/>
          <w:szCs w:val="32"/>
          <w:highlight w:val="none"/>
          <w:lang w:eastAsia="zh-CN"/>
        </w:rPr>
      </w:pPr>
      <w:r>
        <w:rPr>
          <w:rFonts w:hint="eastAsia" w:ascii="仿宋" w:hAnsi="仿宋" w:eastAsia="仿宋" w:cs="仿宋"/>
          <w:b/>
          <w:sz w:val="32"/>
          <w:szCs w:val="32"/>
          <w:highlight w:val="none"/>
        </w:rPr>
        <w:t>项目名称：</w:t>
      </w:r>
      <w:r>
        <w:rPr>
          <w:rFonts w:hint="eastAsia" w:ascii="仿宋" w:hAnsi="仿宋" w:eastAsia="仿宋" w:cs="仿宋"/>
          <w:b w:val="0"/>
          <w:bCs/>
          <w:sz w:val="32"/>
          <w:szCs w:val="32"/>
          <w:highlight w:val="none"/>
          <w:lang w:val="en-US" w:eastAsia="zh-CN"/>
        </w:rPr>
        <w:t>临港区学校隔离设施（护学通道）改造工程</w:t>
      </w:r>
    </w:p>
    <w:p w14:paraId="1B793CA8">
      <w:pPr>
        <w:snapToGrid w:val="0"/>
        <w:spacing w:after="156" w:afterLines="50" w:line="240" w:lineRule="atLeast"/>
        <w:ind w:firstLine="643" w:firstLineChars="200"/>
        <w:jc w:val="left"/>
        <w:rPr>
          <w:rFonts w:ascii="仿宋" w:hAnsi="仿宋" w:eastAsia="仿宋" w:cs="仿宋"/>
          <w:b/>
          <w:sz w:val="32"/>
          <w:szCs w:val="32"/>
          <w:highlight w:val="none"/>
        </w:rPr>
      </w:pPr>
      <w:r>
        <w:rPr>
          <w:rFonts w:hint="eastAsia" w:ascii="仿宋" w:hAnsi="仿宋" w:eastAsia="仿宋" w:cs="仿宋"/>
          <w:b/>
          <w:sz w:val="32"/>
          <w:szCs w:val="32"/>
          <w:highlight w:val="none"/>
          <w:lang w:val="en-US" w:eastAsia="zh-CN"/>
        </w:rPr>
        <w:t>招标</w:t>
      </w:r>
      <w:r>
        <w:rPr>
          <w:rFonts w:hint="eastAsia" w:ascii="仿宋" w:hAnsi="仿宋" w:eastAsia="仿宋" w:cs="仿宋"/>
          <w:b/>
          <w:sz w:val="32"/>
          <w:szCs w:val="32"/>
          <w:highlight w:val="none"/>
        </w:rPr>
        <w:t>方式：</w:t>
      </w:r>
      <w:r>
        <w:rPr>
          <w:rFonts w:hint="eastAsia" w:ascii="仿宋" w:hAnsi="仿宋" w:eastAsia="仿宋" w:cs="仿宋"/>
          <w:sz w:val="32"/>
          <w:szCs w:val="32"/>
          <w:highlight w:val="none"/>
        </w:rPr>
        <w:t>公开招标</w:t>
      </w:r>
    </w:p>
    <w:p w14:paraId="6C5CC64D">
      <w:pPr>
        <w:spacing w:line="360" w:lineRule="auto"/>
        <w:rPr>
          <w:rFonts w:ascii="仿宋" w:hAnsi="仿宋" w:eastAsia="仿宋" w:cs="仿宋"/>
          <w:b/>
          <w:sz w:val="32"/>
          <w:szCs w:val="32"/>
          <w:highlight w:val="none"/>
        </w:rPr>
      </w:pPr>
    </w:p>
    <w:p w14:paraId="55BE6CED">
      <w:pPr>
        <w:pStyle w:val="30"/>
        <w:rPr>
          <w:highlight w:val="none"/>
        </w:rPr>
      </w:pPr>
    </w:p>
    <w:p w14:paraId="526075FC">
      <w:pPr>
        <w:spacing w:line="360" w:lineRule="auto"/>
        <w:rPr>
          <w:rFonts w:ascii="仿宋" w:hAnsi="仿宋" w:eastAsia="仿宋" w:cs="仿宋"/>
          <w:b/>
          <w:sz w:val="32"/>
          <w:szCs w:val="32"/>
          <w:highlight w:val="none"/>
        </w:rPr>
      </w:pPr>
    </w:p>
    <w:p w14:paraId="003BBFAD">
      <w:pPr>
        <w:spacing w:before="156" w:beforeLines="50" w:line="360" w:lineRule="auto"/>
        <w:ind w:firstLine="161" w:firstLineChars="50"/>
        <w:jc w:val="center"/>
        <w:outlineLvl w:val="0"/>
        <w:rPr>
          <w:rFonts w:ascii="仿宋" w:hAnsi="仿宋" w:eastAsia="仿宋" w:cs="仿宋"/>
          <w:b/>
          <w:bCs/>
          <w:kern w:val="0"/>
          <w:sz w:val="32"/>
          <w:szCs w:val="32"/>
          <w:highlight w:val="none"/>
        </w:rPr>
      </w:pPr>
      <w:bookmarkStart w:id="2" w:name="_Toc21035"/>
      <w:bookmarkStart w:id="3" w:name="_Toc24490"/>
      <w:r>
        <w:rPr>
          <w:rFonts w:hint="eastAsia" w:ascii="仿宋" w:hAnsi="仿宋" w:eastAsia="仿宋" w:cs="仿宋"/>
          <w:b/>
          <w:sz w:val="32"/>
          <w:szCs w:val="32"/>
          <w:highlight w:val="none"/>
        </w:rPr>
        <w:t>代理机构：山东富尔工程咨询管理有限公司</w:t>
      </w:r>
      <w:bookmarkEnd w:id="2"/>
      <w:bookmarkEnd w:id="3"/>
    </w:p>
    <w:p w14:paraId="617AAA9B">
      <w:pPr>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202</w:t>
      </w:r>
      <w:r>
        <w:rPr>
          <w:rFonts w:hint="eastAsia" w:ascii="仿宋" w:hAnsi="仿宋" w:eastAsia="仿宋" w:cs="仿宋"/>
          <w:b/>
          <w:sz w:val="32"/>
          <w:szCs w:val="32"/>
          <w:highlight w:val="none"/>
          <w:lang w:val="en-US" w:eastAsia="zh-CN"/>
        </w:rPr>
        <w:t>6</w:t>
      </w:r>
      <w:r>
        <w:rPr>
          <w:rFonts w:hint="eastAsia" w:ascii="仿宋" w:hAnsi="仿宋" w:eastAsia="仿宋" w:cs="仿宋"/>
          <w:b/>
          <w:sz w:val="32"/>
          <w:szCs w:val="32"/>
          <w:highlight w:val="none"/>
        </w:rPr>
        <w:t>年</w:t>
      </w:r>
      <w:r>
        <w:rPr>
          <w:rFonts w:hint="eastAsia" w:ascii="仿宋" w:hAnsi="仿宋" w:eastAsia="仿宋" w:cs="仿宋"/>
          <w:b/>
          <w:sz w:val="32"/>
          <w:szCs w:val="32"/>
          <w:highlight w:val="none"/>
          <w:lang w:val="en-US" w:eastAsia="zh-CN"/>
        </w:rPr>
        <w:t>08</w:t>
      </w:r>
      <w:r>
        <w:rPr>
          <w:rFonts w:hint="eastAsia" w:ascii="仿宋" w:hAnsi="仿宋" w:eastAsia="仿宋" w:cs="仿宋"/>
          <w:b/>
          <w:sz w:val="32"/>
          <w:szCs w:val="32"/>
          <w:highlight w:val="none"/>
        </w:rPr>
        <w:t>月</w:t>
      </w:r>
      <w:r>
        <w:rPr>
          <w:rFonts w:hint="eastAsia" w:ascii="仿宋" w:hAnsi="仿宋" w:eastAsia="仿宋" w:cs="仿宋"/>
          <w:b/>
          <w:sz w:val="32"/>
          <w:szCs w:val="32"/>
          <w:highlight w:val="none"/>
          <w:lang w:val="en-US" w:eastAsia="zh-CN"/>
        </w:rPr>
        <w:t>31</w:t>
      </w:r>
      <w:r>
        <w:rPr>
          <w:rFonts w:hint="eastAsia" w:ascii="仿宋" w:hAnsi="仿宋" w:eastAsia="仿宋" w:cs="仿宋"/>
          <w:b/>
          <w:sz w:val="32"/>
          <w:szCs w:val="32"/>
          <w:highlight w:val="none"/>
        </w:rPr>
        <w:t>日</w:t>
      </w:r>
    </w:p>
    <w:p w14:paraId="5269F4F7">
      <w:pPr>
        <w:jc w:val="center"/>
        <w:rPr>
          <w:rFonts w:hint="eastAsia" w:ascii="仿宋" w:hAnsi="仿宋" w:eastAsia="仿宋" w:cs="仿宋"/>
          <w:sz w:val="36"/>
          <w:szCs w:val="36"/>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567" w:footer="992" w:gutter="0"/>
          <w:cols w:space="720" w:num="1"/>
          <w:titlePg/>
          <w:docGrid w:type="lines" w:linePitch="312" w:charSpace="0"/>
        </w:sectPr>
      </w:pPr>
    </w:p>
    <w:p w14:paraId="7F697680">
      <w:pPr>
        <w:jc w:val="center"/>
        <w:rPr>
          <w:rFonts w:ascii="仿宋" w:hAnsi="仿宋" w:eastAsia="仿宋" w:cs="仿宋"/>
          <w:b/>
          <w:bCs/>
          <w:sz w:val="36"/>
          <w:szCs w:val="36"/>
          <w:highlight w:val="none"/>
        </w:rPr>
      </w:pPr>
      <w:r>
        <w:rPr>
          <w:rFonts w:hint="eastAsia" w:ascii="仿宋" w:hAnsi="仿宋" w:eastAsia="仿宋" w:cs="仿宋"/>
          <w:b/>
          <w:bCs/>
          <w:sz w:val="36"/>
          <w:szCs w:val="36"/>
          <w:highlight w:val="none"/>
        </w:rPr>
        <w:t>目</w:t>
      </w:r>
      <w:r>
        <w:rPr>
          <w:rFonts w:hint="eastAsia" w:ascii="仿宋" w:hAnsi="仿宋" w:eastAsia="仿宋" w:cs="仿宋"/>
          <w:b/>
          <w:bCs/>
          <w:sz w:val="36"/>
          <w:szCs w:val="36"/>
          <w:highlight w:val="none"/>
          <w:lang w:val="en-US" w:eastAsia="zh-CN"/>
        </w:rPr>
        <w:t xml:space="preserve"> </w:t>
      </w:r>
      <w:r>
        <w:rPr>
          <w:rFonts w:hint="eastAsia" w:ascii="仿宋" w:hAnsi="仿宋" w:eastAsia="仿宋" w:cs="仿宋"/>
          <w:b/>
          <w:bCs/>
          <w:sz w:val="36"/>
          <w:szCs w:val="36"/>
          <w:highlight w:val="none"/>
        </w:rPr>
        <w:t>录</w:t>
      </w:r>
    </w:p>
    <w:p w14:paraId="2BE817C2">
      <w:pPr>
        <w:pStyle w:val="69"/>
        <w:tabs>
          <w:tab w:val="right" w:leader="dot" w:pos="8306"/>
        </w:tabs>
        <w:spacing w:line="480" w:lineRule="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fldChar w:fldCharType="begin"/>
      </w:r>
      <w:r>
        <w:rPr>
          <w:rFonts w:hint="eastAsia" w:ascii="仿宋" w:hAnsi="仿宋" w:eastAsia="仿宋" w:cs="仿宋"/>
          <w:b w:val="0"/>
          <w:bCs w:val="0"/>
          <w:sz w:val="30"/>
          <w:szCs w:val="30"/>
          <w:highlight w:val="none"/>
        </w:rPr>
        <w:instrText xml:space="preserve">TOC \o "1-1" \h \u </w:instrText>
      </w:r>
      <w:r>
        <w:rPr>
          <w:rFonts w:hint="eastAsia" w:ascii="仿宋" w:hAnsi="仿宋" w:eastAsia="仿宋" w:cs="仿宋"/>
          <w:b w:val="0"/>
          <w:bCs w:val="0"/>
          <w:sz w:val="30"/>
          <w:szCs w:val="30"/>
          <w:highlight w:val="none"/>
        </w:rPr>
        <w:fldChar w:fldCharType="separate"/>
      </w:r>
    </w:p>
    <w:p w14:paraId="5B0216FA">
      <w:pPr>
        <w:pStyle w:val="69"/>
        <w:tabs>
          <w:tab w:val="right" w:leader="dot" w:pos="8306"/>
        </w:tabs>
        <w:spacing w:line="480" w:lineRule="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fldChar w:fldCharType="begin"/>
      </w:r>
      <w:r>
        <w:rPr>
          <w:rFonts w:hint="eastAsia" w:ascii="仿宋" w:hAnsi="仿宋" w:eastAsia="仿宋" w:cs="仿宋"/>
          <w:b w:val="0"/>
          <w:bCs w:val="0"/>
          <w:sz w:val="30"/>
          <w:szCs w:val="30"/>
          <w:highlight w:val="none"/>
        </w:rPr>
        <w:instrText xml:space="preserve"> HYPERLINK \l _Toc12905 </w:instrText>
      </w:r>
      <w:r>
        <w:rPr>
          <w:rFonts w:hint="eastAsia" w:ascii="仿宋" w:hAnsi="仿宋" w:eastAsia="仿宋" w:cs="仿宋"/>
          <w:b w:val="0"/>
          <w:bCs w:val="0"/>
          <w:sz w:val="30"/>
          <w:szCs w:val="30"/>
          <w:highlight w:val="none"/>
        </w:rPr>
        <w:fldChar w:fldCharType="separate"/>
      </w:r>
      <w:r>
        <w:rPr>
          <w:rFonts w:hint="eastAsia" w:ascii="仿宋" w:hAnsi="仿宋" w:eastAsia="仿宋" w:cs="仿宋"/>
          <w:b w:val="0"/>
          <w:bCs w:val="0"/>
          <w:sz w:val="30"/>
          <w:szCs w:val="30"/>
          <w:highlight w:val="none"/>
        </w:rPr>
        <w:t>第一部分 招标公告</w:t>
      </w:r>
      <w:r>
        <w:rPr>
          <w:rFonts w:hint="eastAsia" w:ascii="仿宋" w:hAnsi="仿宋" w:eastAsia="仿宋" w:cs="仿宋"/>
          <w:b w:val="0"/>
          <w:bCs w:val="0"/>
          <w:sz w:val="30"/>
          <w:szCs w:val="30"/>
          <w:highlight w:val="none"/>
        </w:rPr>
        <w:tab/>
      </w:r>
      <w:r>
        <w:rPr>
          <w:rFonts w:hint="eastAsia" w:ascii="仿宋" w:hAnsi="仿宋" w:eastAsia="仿宋" w:cs="仿宋"/>
          <w:b w:val="0"/>
          <w:bCs w:val="0"/>
          <w:sz w:val="30"/>
          <w:szCs w:val="30"/>
          <w:highlight w:val="none"/>
        </w:rPr>
        <w:fldChar w:fldCharType="begin"/>
      </w:r>
      <w:r>
        <w:rPr>
          <w:rFonts w:hint="eastAsia" w:ascii="仿宋" w:hAnsi="仿宋" w:eastAsia="仿宋" w:cs="仿宋"/>
          <w:b w:val="0"/>
          <w:bCs w:val="0"/>
          <w:sz w:val="30"/>
          <w:szCs w:val="30"/>
          <w:highlight w:val="none"/>
        </w:rPr>
        <w:instrText xml:space="preserve"> PAGEREF _Toc12905 \h </w:instrText>
      </w:r>
      <w:r>
        <w:rPr>
          <w:rFonts w:hint="eastAsia" w:ascii="仿宋" w:hAnsi="仿宋" w:eastAsia="仿宋" w:cs="仿宋"/>
          <w:b w:val="0"/>
          <w:bCs w:val="0"/>
          <w:sz w:val="30"/>
          <w:szCs w:val="30"/>
          <w:highlight w:val="none"/>
        </w:rPr>
        <w:fldChar w:fldCharType="separate"/>
      </w:r>
      <w:r>
        <w:rPr>
          <w:rFonts w:hint="eastAsia" w:ascii="仿宋" w:hAnsi="仿宋" w:eastAsia="仿宋" w:cs="仿宋"/>
          <w:b w:val="0"/>
          <w:bCs w:val="0"/>
          <w:sz w:val="30"/>
          <w:szCs w:val="30"/>
          <w:highlight w:val="none"/>
        </w:rPr>
        <w:t>2</w:t>
      </w:r>
      <w:r>
        <w:rPr>
          <w:rFonts w:hint="eastAsia" w:ascii="仿宋" w:hAnsi="仿宋" w:eastAsia="仿宋" w:cs="仿宋"/>
          <w:b w:val="0"/>
          <w:bCs w:val="0"/>
          <w:sz w:val="30"/>
          <w:szCs w:val="30"/>
          <w:highlight w:val="none"/>
        </w:rPr>
        <w:fldChar w:fldCharType="end"/>
      </w:r>
      <w:r>
        <w:rPr>
          <w:rFonts w:hint="eastAsia" w:ascii="仿宋" w:hAnsi="仿宋" w:eastAsia="仿宋" w:cs="仿宋"/>
          <w:b w:val="0"/>
          <w:bCs w:val="0"/>
          <w:sz w:val="30"/>
          <w:szCs w:val="30"/>
          <w:highlight w:val="none"/>
        </w:rPr>
        <w:fldChar w:fldCharType="end"/>
      </w:r>
    </w:p>
    <w:p w14:paraId="7D1A60C0">
      <w:pPr>
        <w:pStyle w:val="69"/>
        <w:tabs>
          <w:tab w:val="right" w:leader="dot" w:pos="8306"/>
        </w:tabs>
        <w:spacing w:line="480" w:lineRule="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fldChar w:fldCharType="begin"/>
      </w:r>
      <w:r>
        <w:rPr>
          <w:rFonts w:hint="eastAsia" w:ascii="仿宋" w:hAnsi="仿宋" w:eastAsia="仿宋" w:cs="仿宋"/>
          <w:b w:val="0"/>
          <w:bCs w:val="0"/>
          <w:sz w:val="30"/>
          <w:szCs w:val="30"/>
          <w:highlight w:val="none"/>
        </w:rPr>
        <w:instrText xml:space="preserve"> HYPERLINK \l _Toc29115 </w:instrText>
      </w:r>
      <w:r>
        <w:rPr>
          <w:rFonts w:hint="eastAsia" w:ascii="仿宋" w:hAnsi="仿宋" w:eastAsia="仿宋" w:cs="仿宋"/>
          <w:b w:val="0"/>
          <w:bCs w:val="0"/>
          <w:sz w:val="30"/>
          <w:szCs w:val="30"/>
          <w:highlight w:val="none"/>
        </w:rPr>
        <w:fldChar w:fldCharType="separate"/>
      </w:r>
      <w:r>
        <w:rPr>
          <w:rFonts w:hint="eastAsia" w:ascii="仿宋" w:hAnsi="仿宋" w:eastAsia="仿宋" w:cs="仿宋"/>
          <w:b w:val="0"/>
          <w:bCs w:val="0"/>
          <w:sz w:val="30"/>
          <w:szCs w:val="30"/>
          <w:highlight w:val="none"/>
        </w:rPr>
        <w:t>第</w:t>
      </w:r>
      <w:r>
        <w:rPr>
          <w:rFonts w:hint="eastAsia" w:ascii="仿宋" w:hAnsi="仿宋" w:eastAsia="仿宋" w:cs="仿宋"/>
          <w:b w:val="0"/>
          <w:bCs w:val="0"/>
          <w:sz w:val="30"/>
          <w:szCs w:val="30"/>
          <w:highlight w:val="none"/>
          <w:lang w:val="en-US" w:eastAsia="zh-CN"/>
        </w:rPr>
        <w:t>二</w:t>
      </w:r>
      <w:r>
        <w:rPr>
          <w:rFonts w:hint="eastAsia" w:ascii="仿宋" w:hAnsi="仿宋" w:eastAsia="仿宋" w:cs="仿宋"/>
          <w:b w:val="0"/>
          <w:bCs w:val="0"/>
          <w:sz w:val="30"/>
          <w:szCs w:val="30"/>
          <w:highlight w:val="none"/>
        </w:rPr>
        <w:t>部分 投标须知</w:t>
      </w:r>
      <w:r>
        <w:rPr>
          <w:rFonts w:hint="eastAsia" w:ascii="仿宋" w:hAnsi="仿宋" w:eastAsia="仿宋" w:cs="仿宋"/>
          <w:b w:val="0"/>
          <w:bCs w:val="0"/>
          <w:sz w:val="30"/>
          <w:szCs w:val="30"/>
          <w:highlight w:val="none"/>
        </w:rPr>
        <w:tab/>
      </w:r>
      <w:r>
        <w:rPr>
          <w:rFonts w:hint="eastAsia" w:ascii="仿宋" w:hAnsi="仿宋" w:eastAsia="仿宋" w:cs="仿宋"/>
          <w:b w:val="0"/>
          <w:bCs w:val="0"/>
          <w:sz w:val="30"/>
          <w:szCs w:val="30"/>
          <w:highlight w:val="none"/>
          <w:lang w:val="en-US" w:eastAsia="zh-CN"/>
        </w:rPr>
        <w:t>5</w:t>
      </w:r>
      <w:r>
        <w:rPr>
          <w:rFonts w:hint="eastAsia" w:ascii="仿宋" w:hAnsi="仿宋" w:eastAsia="仿宋" w:cs="仿宋"/>
          <w:b w:val="0"/>
          <w:bCs w:val="0"/>
          <w:sz w:val="30"/>
          <w:szCs w:val="30"/>
          <w:highlight w:val="none"/>
        </w:rPr>
        <w:fldChar w:fldCharType="end"/>
      </w:r>
    </w:p>
    <w:p w14:paraId="5E632D39">
      <w:pPr>
        <w:pStyle w:val="69"/>
        <w:tabs>
          <w:tab w:val="right" w:leader="dot" w:pos="8306"/>
        </w:tabs>
        <w:spacing w:line="480" w:lineRule="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fldChar w:fldCharType="begin"/>
      </w:r>
      <w:r>
        <w:rPr>
          <w:rFonts w:hint="eastAsia" w:ascii="仿宋" w:hAnsi="仿宋" w:eastAsia="仿宋" w:cs="仿宋"/>
          <w:b w:val="0"/>
          <w:bCs w:val="0"/>
          <w:sz w:val="30"/>
          <w:szCs w:val="30"/>
          <w:highlight w:val="none"/>
        </w:rPr>
        <w:instrText xml:space="preserve"> HYPERLINK \l _Toc32450 </w:instrText>
      </w:r>
      <w:r>
        <w:rPr>
          <w:rFonts w:hint="eastAsia" w:ascii="仿宋" w:hAnsi="仿宋" w:eastAsia="仿宋" w:cs="仿宋"/>
          <w:b w:val="0"/>
          <w:bCs w:val="0"/>
          <w:sz w:val="30"/>
          <w:szCs w:val="30"/>
          <w:highlight w:val="none"/>
        </w:rPr>
        <w:fldChar w:fldCharType="separate"/>
      </w:r>
      <w:r>
        <w:rPr>
          <w:rFonts w:hint="eastAsia" w:ascii="仿宋" w:hAnsi="仿宋" w:eastAsia="仿宋" w:cs="仿宋"/>
          <w:b w:val="0"/>
          <w:bCs w:val="0"/>
          <w:sz w:val="30"/>
          <w:szCs w:val="30"/>
          <w:highlight w:val="none"/>
          <w:lang w:val="en-US" w:eastAsia="zh-CN"/>
        </w:rPr>
        <w:t>第三部分</w:t>
      </w:r>
      <w:r>
        <w:rPr>
          <w:rFonts w:hint="eastAsia" w:ascii="仿宋" w:hAnsi="仿宋" w:eastAsia="仿宋" w:cs="仿宋"/>
          <w:b w:val="0"/>
          <w:bCs w:val="0"/>
          <w:sz w:val="30"/>
          <w:szCs w:val="30"/>
          <w:highlight w:val="none"/>
        </w:rPr>
        <w:t xml:space="preserve"> </w:t>
      </w:r>
      <w:r>
        <w:rPr>
          <w:rFonts w:hint="eastAsia" w:ascii="仿宋" w:hAnsi="仿宋" w:eastAsia="仿宋" w:cs="仿宋"/>
          <w:b w:val="0"/>
          <w:bCs w:val="0"/>
          <w:sz w:val="30"/>
          <w:szCs w:val="30"/>
          <w:highlight w:val="none"/>
          <w:lang w:val="en-US" w:eastAsia="zh-CN"/>
        </w:rPr>
        <w:t>招标</w:t>
      </w:r>
      <w:r>
        <w:rPr>
          <w:rFonts w:hint="eastAsia" w:ascii="仿宋" w:hAnsi="仿宋" w:eastAsia="仿宋" w:cs="仿宋"/>
          <w:b w:val="0"/>
          <w:bCs w:val="0"/>
          <w:sz w:val="30"/>
          <w:szCs w:val="30"/>
          <w:highlight w:val="none"/>
        </w:rPr>
        <w:t>内容与要求</w:t>
      </w:r>
      <w:r>
        <w:rPr>
          <w:rFonts w:hint="eastAsia" w:ascii="仿宋" w:hAnsi="仿宋" w:eastAsia="仿宋" w:cs="仿宋"/>
          <w:b w:val="0"/>
          <w:bCs w:val="0"/>
          <w:sz w:val="30"/>
          <w:szCs w:val="30"/>
          <w:highlight w:val="none"/>
        </w:rPr>
        <w:tab/>
      </w:r>
      <w:r>
        <w:rPr>
          <w:rFonts w:hint="eastAsia" w:ascii="仿宋" w:hAnsi="仿宋" w:eastAsia="仿宋" w:cs="仿宋"/>
          <w:b w:val="0"/>
          <w:bCs w:val="0"/>
          <w:sz w:val="30"/>
          <w:szCs w:val="30"/>
          <w:highlight w:val="none"/>
        </w:rPr>
        <w:fldChar w:fldCharType="begin"/>
      </w:r>
      <w:r>
        <w:rPr>
          <w:rFonts w:hint="eastAsia" w:ascii="仿宋" w:hAnsi="仿宋" w:eastAsia="仿宋" w:cs="仿宋"/>
          <w:b w:val="0"/>
          <w:bCs w:val="0"/>
          <w:sz w:val="30"/>
          <w:szCs w:val="30"/>
          <w:highlight w:val="none"/>
        </w:rPr>
        <w:instrText xml:space="preserve"> PAGEREF _Toc32450 \h </w:instrText>
      </w:r>
      <w:r>
        <w:rPr>
          <w:rFonts w:hint="eastAsia" w:ascii="仿宋" w:hAnsi="仿宋" w:eastAsia="仿宋" w:cs="仿宋"/>
          <w:b w:val="0"/>
          <w:bCs w:val="0"/>
          <w:sz w:val="30"/>
          <w:szCs w:val="30"/>
          <w:highlight w:val="none"/>
        </w:rPr>
        <w:fldChar w:fldCharType="separate"/>
      </w:r>
      <w:r>
        <w:rPr>
          <w:rFonts w:hint="eastAsia" w:ascii="仿宋" w:hAnsi="仿宋" w:eastAsia="仿宋" w:cs="仿宋"/>
          <w:b w:val="0"/>
          <w:bCs w:val="0"/>
          <w:sz w:val="30"/>
          <w:szCs w:val="30"/>
          <w:highlight w:val="none"/>
        </w:rPr>
        <w:t>33</w:t>
      </w:r>
      <w:r>
        <w:rPr>
          <w:rFonts w:hint="eastAsia" w:ascii="仿宋" w:hAnsi="仿宋" w:eastAsia="仿宋" w:cs="仿宋"/>
          <w:b w:val="0"/>
          <w:bCs w:val="0"/>
          <w:sz w:val="30"/>
          <w:szCs w:val="30"/>
          <w:highlight w:val="none"/>
        </w:rPr>
        <w:fldChar w:fldCharType="end"/>
      </w:r>
      <w:r>
        <w:rPr>
          <w:rFonts w:hint="eastAsia" w:ascii="仿宋" w:hAnsi="仿宋" w:eastAsia="仿宋" w:cs="仿宋"/>
          <w:b w:val="0"/>
          <w:bCs w:val="0"/>
          <w:sz w:val="30"/>
          <w:szCs w:val="30"/>
          <w:highlight w:val="none"/>
        </w:rPr>
        <w:fldChar w:fldCharType="end"/>
      </w:r>
    </w:p>
    <w:p w14:paraId="18AF65ED">
      <w:pPr>
        <w:pStyle w:val="69"/>
        <w:tabs>
          <w:tab w:val="right" w:leader="dot" w:pos="8306"/>
        </w:tabs>
        <w:spacing w:line="480" w:lineRule="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rPr>
        <w:fldChar w:fldCharType="begin"/>
      </w:r>
      <w:r>
        <w:rPr>
          <w:rFonts w:hint="eastAsia" w:ascii="仿宋" w:hAnsi="仿宋" w:eastAsia="仿宋" w:cs="仿宋"/>
          <w:b w:val="0"/>
          <w:bCs w:val="0"/>
          <w:sz w:val="30"/>
          <w:szCs w:val="30"/>
          <w:highlight w:val="none"/>
        </w:rPr>
        <w:instrText xml:space="preserve"> HYPERLINK \l _Toc24995 </w:instrText>
      </w:r>
      <w:r>
        <w:rPr>
          <w:rFonts w:hint="eastAsia" w:ascii="仿宋" w:hAnsi="仿宋" w:eastAsia="仿宋" w:cs="仿宋"/>
          <w:b w:val="0"/>
          <w:bCs w:val="0"/>
          <w:sz w:val="30"/>
          <w:szCs w:val="30"/>
          <w:highlight w:val="none"/>
        </w:rPr>
        <w:fldChar w:fldCharType="separate"/>
      </w:r>
      <w:r>
        <w:rPr>
          <w:rFonts w:hint="eastAsia" w:ascii="仿宋" w:hAnsi="仿宋" w:eastAsia="仿宋" w:cs="仿宋"/>
          <w:b w:val="0"/>
          <w:bCs w:val="0"/>
          <w:sz w:val="30"/>
          <w:szCs w:val="30"/>
          <w:highlight w:val="none"/>
        </w:rPr>
        <w:t>第四部分 评标原则、程序与方法</w:t>
      </w:r>
      <w:r>
        <w:rPr>
          <w:rFonts w:hint="eastAsia" w:ascii="仿宋" w:hAnsi="仿宋" w:eastAsia="仿宋" w:cs="仿宋"/>
          <w:b w:val="0"/>
          <w:bCs w:val="0"/>
          <w:sz w:val="30"/>
          <w:szCs w:val="30"/>
          <w:highlight w:val="none"/>
        </w:rPr>
        <w:tab/>
      </w:r>
      <w:r>
        <w:rPr>
          <w:rFonts w:hint="eastAsia" w:ascii="仿宋" w:hAnsi="仿宋" w:eastAsia="仿宋" w:cs="仿宋"/>
          <w:b w:val="0"/>
          <w:bCs w:val="0"/>
          <w:sz w:val="30"/>
          <w:szCs w:val="30"/>
          <w:highlight w:val="none"/>
          <w:lang w:val="en-US" w:eastAsia="zh-CN"/>
        </w:rPr>
        <w:t>3</w:t>
      </w:r>
      <w:r>
        <w:rPr>
          <w:rFonts w:hint="eastAsia" w:ascii="仿宋" w:hAnsi="仿宋" w:eastAsia="仿宋" w:cs="仿宋"/>
          <w:b w:val="0"/>
          <w:bCs w:val="0"/>
          <w:sz w:val="30"/>
          <w:szCs w:val="30"/>
          <w:highlight w:val="none"/>
        </w:rPr>
        <w:fldChar w:fldCharType="end"/>
      </w:r>
      <w:r>
        <w:rPr>
          <w:rFonts w:hint="eastAsia" w:ascii="仿宋" w:hAnsi="仿宋" w:eastAsia="仿宋" w:cs="仿宋"/>
          <w:b w:val="0"/>
          <w:bCs w:val="0"/>
          <w:sz w:val="30"/>
          <w:szCs w:val="30"/>
          <w:highlight w:val="none"/>
          <w:lang w:val="en-US" w:eastAsia="zh-CN"/>
        </w:rPr>
        <w:t>8</w:t>
      </w:r>
    </w:p>
    <w:p w14:paraId="44F494EB">
      <w:pPr>
        <w:pStyle w:val="69"/>
        <w:tabs>
          <w:tab w:val="right" w:leader="dot" w:pos="8306"/>
        </w:tabs>
        <w:spacing w:line="480" w:lineRule="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rPr>
        <w:fldChar w:fldCharType="begin"/>
      </w:r>
      <w:r>
        <w:rPr>
          <w:rFonts w:hint="eastAsia" w:ascii="仿宋" w:hAnsi="仿宋" w:eastAsia="仿宋" w:cs="仿宋"/>
          <w:b w:val="0"/>
          <w:bCs w:val="0"/>
          <w:sz w:val="30"/>
          <w:szCs w:val="30"/>
          <w:highlight w:val="none"/>
        </w:rPr>
        <w:instrText xml:space="preserve"> HYPERLINK \l _Toc6734 </w:instrText>
      </w:r>
      <w:r>
        <w:rPr>
          <w:rFonts w:hint="eastAsia" w:ascii="仿宋" w:hAnsi="仿宋" w:eastAsia="仿宋" w:cs="仿宋"/>
          <w:b w:val="0"/>
          <w:bCs w:val="0"/>
          <w:sz w:val="30"/>
          <w:szCs w:val="30"/>
          <w:highlight w:val="none"/>
        </w:rPr>
        <w:fldChar w:fldCharType="separate"/>
      </w:r>
      <w:r>
        <w:rPr>
          <w:rFonts w:hint="eastAsia" w:ascii="仿宋" w:hAnsi="仿宋" w:eastAsia="仿宋" w:cs="仿宋"/>
          <w:b w:val="0"/>
          <w:bCs w:val="0"/>
          <w:sz w:val="30"/>
          <w:szCs w:val="30"/>
          <w:highlight w:val="none"/>
        </w:rPr>
        <w:t>第五部分 投标文件（格式）</w:t>
      </w:r>
      <w:r>
        <w:rPr>
          <w:rFonts w:hint="eastAsia" w:ascii="仿宋" w:hAnsi="仿宋" w:eastAsia="仿宋" w:cs="仿宋"/>
          <w:b w:val="0"/>
          <w:bCs w:val="0"/>
          <w:sz w:val="30"/>
          <w:szCs w:val="30"/>
          <w:highlight w:val="none"/>
        </w:rPr>
        <w:tab/>
      </w:r>
      <w:r>
        <w:rPr>
          <w:rFonts w:hint="eastAsia" w:ascii="仿宋" w:hAnsi="仿宋" w:eastAsia="仿宋" w:cs="仿宋"/>
          <w:b w:val="0"/>
          <w:bCs w:val="0"/>
          <w:sz w:val="30"/>
          <w:szCs w:val="30"/>
          <w:highlight w:val="none"/>
          <w:lang w:val="en-US" w:eastAsia="zh-CN"/>
        </w:rPr>
        <w:t>4</w:t>
      </w:r>
      <w:r>
        <w:rPr>
          <w:rFonts w:hint="eastAsia" w:ascii="仿宋" w:hAnsi="仿宋" w:eastAsia="仿宋" w:cs="仿宋"/>
          <w:b w:val="0"/>
          <w:bCs w:val="0"/>
          <w:sz w:val="30"/>
          <w:szCs w:val="30"/>
          <w:highlight w:val="none"/>
        </w:rPr>
        <w:fldChar w:fldCharType="end"/>
      </w:r>
      <w:r>
        <w:rPr>
          <w:rFonts w:hint="eastAsia" w:ascii="仿宋" w:hAnsi="仿宋" w:eastAsia="仿宋" w:cs="仿宋"/>
          <w:b w:val="0"/>
          <w:bCs w:val="0"/>
          <w:sz w:val="30"/>
          <w:szCs w:val="30"/>
          <w:highlight w:val="none"/>
          <w:lang w:val="en-US" w:eastAsia="zh-CN"/>
        </w:rPr>
        <w:t>3</w:t>
      </w:r>
    </w:p>
    <w:p w14:paraId="57FBF8E5">
      <w:pPr>
        <w:pStyle w:val="69"/>
        <w:tabs>
          <w:tab w:val="right" w:leader="dot" w:pos="8306"/>
        </w:tabs>
        <w:spacing w:line="480" w:lineRule="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rPr>
        <w:fldChar w:fldCharType="begin"/>
      </w:r>
      <w:r>
        <w:rPr>
          <w:rFonts w:hint="eastAsia" w:ascii="仿宋" w:hAnsi="仿宋" w:eastAsia="仿宋" w:cs="仿宋"/>
          <w:b w:val="0"/>
          <w:bCs w:val="0"/>
          <w:sz w:val="30"/>
          <w:szCs w:val="30"/>
          <w:highlight w:val="none"/>
        </w:rPr>
        <w:instrText xml:space="preserve"> HYPERLINK \l _Toc20066 </w:instrText>
      </w:r>
      <w:r>
        <w:rPr>
          <w:rFonts w:hint="eastAsia" w:ascii="仿宋" w:hAnsi="仿宋" w:eastAsia="仿宋" w:cs="仿宋"/>
          <w:b w:val="0"/>
          <w:bCs w:val="0"/>
          <w:sz w:val="30"/>
          <w:szCs w:val="30"/>
          <w:highlight w:val="none"/>
        </w:rPr>
        <w:fldChar w:fldCharType="separate"/>
      </w:r>
      <w:r>
        <w:rPr>
          <w:rFonts w:hint="eastAsia" w:ascii="仿宋" w:hAnsi="仿宋" w:eastAsia="仿宋" w:cs="仿宋"/>
          <w:b w:val="0"/>
          <w:bCs w:val="0"/>
          <w:sz w:val="30"/>
          <w:szCs w:val="30"/>
          <w:highlight w:val="none"/>
        </w:rPr>
        <w:t>第六部分 合同条款及格式</w:t>
      </w:r>
      <w:r>
        <w:rPr>
          <w:rFonts w:hint="eastAsia" w:ascii="仿宋" w:hAnsi="仿宋" w:eastAsia="仿宋" w:cs="仿宋"/>
          <w:b w:val="0"/>
          <w:bCs w:val="0"/>
          <w:sz w:val="30"/>
          <w:szCs w:val="30"/>
          <w:highlight w:val="none"/>
        </w:rPr>
        <w:tab/>
      </w:r>
      <w:r>
        <w:rPr>
          <w:rFonts w:hint="eastAsia" w:ascii="仿宋" w:hAnsi="仿宋" w:eastAsia="仿宋" w:cs="仿宋"/>
          <w:b w:val="0"/>
          <w:bCs w:val="0"/>
          <w:sz w:val="30"/>
          <w:szCs w:val="30"/>
          <w:highlight w:val="none"/>
          <w:lang w:val="en-US" w:eastAsia="zh-CN"/>
        </w:rPr>
        <w:t>6</w:t>
      </w:r>
      <w:r>
        <w:rPr>
          <w:rFonts w:hint="eastAsia" w:ascii="仿宋" w:hAnsi="仿宋" w:eastAsia="仿宋" w:cs="仿宋"/>
          <w:b w:val="0"/>
          <w:bCs w:val="0"/>
          <w:sz w:val="30"/>
          <w:szCs w:val="30"/>
          <w:highlight w:val="none"/>
        </w:rPr>
        <w:fldChar w:fldCharType="end"/>
      </w:r>
      <w:r>
        <w:rPr>
          <w:rFonts w:hint="eastAsia" w:ascii="仿宋" w:hAnsi="仿宋" w:eastAsia="仿宋" w:cs="仿宋"/>
          <w:b w:val="0"/>
          <w:bCs w:val="0"/>
          <w:sz w:val="30"/>
          <w:szCs w:val="30"/>
          <w:highlight w:val="none"/>
          <w:lang w:val="en-US" w:eastAsia="zh-CN"/>
        </w:rPr>
        <w:t>6</w:t>
      </w:r>
    </w:p>
    <w:p w14:paraId="4E4A5AFE">
      <w:pPr>
        <w:spacing w:line="480" w:lineRule="auto"/>
        <w:rPr>
          <w:rFonts w:ascii="仿宋" w:hAnsi="仿宋" w:eastAsia="仿宋" w:cs="仿宋"/>
          <w:sz w:val="24"/>
          <w:szCs w:val="24"/>
          <w:highlight w:val="none"/>
        </w:rPr>
      </w:pPr>
      <w:r>
        <w:rPr>
          <w:rFonts w:hint="eastAsia" w:ascii="仿宋" w:hAnsi="仿宋" w:eastAsia="仿宋" w:cs="仿宋"/>
          <w:b w:val="0"/>
          <w:bCs w:val="0"/>
          <w:sz w:val="30"/>
          <w:szCs w:val="30"/>
          <w:highlight w:val="none"/>
        </w:rPr>
        <w:fldChar w:fldCharType="end"/>
      </w:r>
    </w:p>
    <w:p w14:paraId="0232598B">
      <w:pPr>
        <w:jc w:val="center"/>
        <w:rPr>
          <w:rFonts w:ascii="仿宋" w:hAnsi="仿宋" w:eastAsia="仿宋" w:cs="仿宋"/>
          <w:sz w:val="24"/>
          <w:szCs w:val="24"/>
          <w:highlight w:val="none"/>
        </w:rPr>
        <w:sectPr>
          <w:headerReference r:id="rId10" w:type="first"/>
          <w:footerReference r:id="rId12" w:type="first"/>
          <w:headerReference r:id="rId9" w:type="default"/>
          <w:footerReference r:id="rId11" w:type="default"/>
          <w:pgSz w:w="11906" w:h="16838"/>
          <w:pgMar w:top="1440" w:right="1800" w:bottom="1440" w:left="1800" w:header="851" w:footer="992" w:gutter="0"/>
          <w:pgNumType w:fmt="decimal" w:start="1"/>
          <w:cols w:space="720" w:num="1"/>
          <w:titlePg/>
          <w:docGrid w:linePitch="319" w:charSpace="0"/>
        </w:sectPr>
      </w:pPr>
    </w:p>
    <w:p w14:paraId="6A423160">
      <w:pPr>
        <w:pStyle w:val="3"/>
        <w:numPr>
          <w:ilvl w:val="0"/>
          <w:numId w:val="0"/>
        </w:numPr>
        <w:bidi w:val="0"/>
        <w:ind w:leftChars="0"/>
        <w:jc w:val="center"/>
        <w:rPr>
          <w:rFonts w:hint="eastAsia"/>
          <w:highlight w:val="none"/>
        </w:rPr>
      </w:pPr>
      <w:bookmarkStart w:id="4" w:name="_Toc18211"/>
      <w:bookmarkStart w:id="5" w:name="_Toc12905"/>
      <w:r>
        <w:rPr>
          <w:rFonts w:hint="eastAsia"/>
          <w:highlight w:val="none"/>
        </w:rPr>
        <w:t>第一部分  招标公告</w:t>
      </w:r>
      <w:bookmarkEnd w:id="4"/>
      <w:bookmarkEnd w:id="5"/>
    </w:p>
    <w:p w14:paraId="659F1B4E">
      <w:pPr>
        <w:spacing w:line="440" w:lineRule="exact"/>
        <w:contextualSpacing/>
        <w:jc w:val="center"/>
        <w:rPr>
          <w:rFonts w:hint="default" w:ascii="仿宋" w:hAnsi="仿宋" w:eastAsia="仿宋" w:cs="仿宋"/>
          <w:b/>
          <w:bCs/>
          <w:spacing w:val="8"/>
          <w:sz w:val="28"/>
          <w:szCs w:val="28"/>
          <w:highlight w:val="none"/>
          <w:lang w:val="en-US" w:eastAsia="zh-CN"/>
        </w:rPr>
      </w:pPr>
      <w:r>
        <w:rPr>
          <w:rFonts w:hint="eastAsia" w:ascii="仿宋" w:hAnsi="仿宋" w:eastAsia="仿宋" w:cs="仿宋"/>
          <w:b/>
          <w:bCs/>
          <w:spacing w:val="8"/>
          <w:sz w:val="28"/>
          <w:szCs w:val="28"/>
          <w:highlight w:val="none"/>
          <w:lang w:val="en-US" w:eastAsia="zh-CN"/>
        </w:rPr>
        <w:t>临港区学校隔离设施（护学通道）改造工程招标公告（第2轮）</w:t>
      </w:r>
    </w:p>
    <w:p w14:paraId="15EF5EDC">
      <w:pPr>
        <w:spacing w:line="440" w:lineRule="exact"/>
        <w:contextualSpacing/>
        <w:jc w:val="center"/>
        <w:rPr>
          <w:rFonts w:hint="eastAsia" w:ascii="仿宋" w:hAnsi="仿宋" w:eastAsia="仿宋" w:cs="仿宋"/>
          <w:spacing w:val="8"/>
          <w:sz w:val="24"/>
          <w:szCs w:val="24"/>
          <w:highlight w:val="none"/>
          <w:lang w:eastAsia="zh-CN"/>
        </w:rPr>
      </w:pPr>
      <w:r>
        <w:rPr>
          <w:rFonts w:hint="eastAsia" w:ascii="仿宋" w:hAnsi="仿宋" w:eastAsia="仿宋" w:cs="仿宋"/>
          <w:b/>
          <w:bCs/>
          <w:spacing w:val="8"/>
          <w:sz w:val="28"/>
          <w:szCs w:val="28"/>
          <w:highlight w:val="none"/>
          <w:lang w:eastAsia="zh-CN"/>
        </w:rPr>
        <w:t>（</w:t>
      </w:r>
      <w:r>
        <w:rPr>
          <w:rFonts w:hint="eastAsia" w:ascii="仿宋" w:hAnsi="仿宋" w:eastAsia="仿宋" w:cs="仿宋"/>
          <w:b/>
          <w:bCs/>
          <w:spacing w:val="8"/>
          <w:sz w:val="28"/>
          <w:szCs w:val="28"/>
          <w:highlight w:val="none"/>
          <w:lang w:val="en-US" w:eastAsia="zh-CN"/>
        </w:rPr>
        <w:t>招标编号：LGCT2026-12）</w:t>
      </w:r>
    </w:p>
    <w:p w14:paraId="7621E8FD">
      <w:pPr>
        <w:spacing w:line="440" w:lineRule="exact"/>
        <w:ind w:firstLine="512" w:firstLineChars="200"/>
        <w:contextualSpacing/>
        <w:jc w:val="left"/>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山东富尔工程咨询管理有限公司接受</w:t>
      </w:r>
      <w:r>
        <w:rPr>
          <w:rFonts w:hint="eastAsia" w:ascii="仿宋" w:hAnsi="仿宋" w:eastAsia="仿宋" w:cs="仿宋"/>
          <w:spacing w:val="8"/>
          <w:sz w:val="24"/>
          <w:szCs w:val="24"/>
          <w:highlight w:val="none"/>
          <w:lang w:eastAsia="zh-CN"/>
        </w:rPr>
        <w:t>威海临港城市建设投资有限公司</w:t>
      </w:r>
      <w:r>
        <w:rPr>
          <w:rFonts w:hint="eastAsia" w:ascii="仿宋" w:hAnsi="仿宋" w:eastAsia="仿宋" w:cs="仿宋"/>
          <w:spacing w:val="8"/>
          <w:sz w:val="24"/>
          <w:szCs w:val="24"/>
          <w:highlight w:val="none"/>
        </w:rPr>
        <w:t>委托，对</w:t>
      </w:r>
      <w:r>
        <w:rPr>
          <w:rFonts w:hint="eastAsia" w:ascii="仿宋" w:hAnsi="仿宋" w:eastAsia="仿宋" w:cs="仿宋"/>
          <w:spacing w:val="8"/>
          <w:sz w:val="24"/>
          <w:szCs w:val="24"/>
          <w:highlight w:val="none"/>
          <w:lang w:val="en-US" w:eastAsia="zh-CN"/>
        </w:rPr>
        <w:t>临港区学校隔离设施（护学通道）改造工程</w:t>
      </w:r>
      <w:r>
        <w:rPr>
          <w:rFonts w:hint="eastAsia" w:ascii="仿宋" w:hAnsi="仿宋" w:eastAsia="仿宋" w:cs="仿宋"/>
          <w:spacing w:val="8"/>
          <w:sz w:val="24"/>
          <w:szCs w:val="24"/>
          <w:highlight w:val="none"/>
        </w:rPr>
        <w:t>以公开招标方式确定中标单位。</w:t>
      </w:r>
    </w:p>
    <w:p w14:paraId="36431533">
      <w:pPr>
        <w:spacing w:line="440" w:lineRule="exact"/>
        <w:ind w:firstLine="514" w:firstLineChars="200"/>
        <w:contextualSpacing/>
        <w:jc w:val="left"/>
        <w:rPr>
          <w:rFonts w:hint="eastAsia" w:ascii="仿宋" w:hAnsi="仿宋" w:eastAsia="仿宋" w:cs="仿宋"/>
          <w:spacing w:val="8"/>
          <w:sz w:val="24"/>
          <w:szCs w:val="24"/>
          <w:highlight w:val="none"/>
          <w:lang w:eastAsia="zh-CN"/>
        </w:rPr>
      </w:pPr>
      <w:r>
        <w:rPr>
          <w:rFonts w:hint="eastAsia" w:ascii="仿宋" w:hAnsi="仿宋" w:eastAsia="仿宋" w:cs="仿宋"/>
          <w:b/>
          <w:bCs/>
          <w:spacing w:val="8"/>
          <w:sz w:val="24"/>
          <w:szCs w:val="24"/>
          <w:highlight w:val="none"/>
        </w:rPr>
        <w:t>一、项目名称</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临港区学校隔离设施（护学通道）改造工程</w:t>
      </w:r>
    </w:p>
    <w:p w14:paraId="16459B34">
      <w:pPr>
        <w:spacing w:line="440" w:lineRule="exact"/>
        <w:ind w:firstLine="514" w:firstLineChars="200"/>
        <w:contextualSpacing/>
        <w:jc w:val="left"/>
        <w:outlineLvl w:val="1"/>
        <w:rPr>
          <w:rFonts w:hint="eastAsia" w:ascii="仿宋" w:hAnsi="仿宋" w:eastAsia="仿宋" w:cs="仿宋"/>
          <w:spacing w:val="8"/>
          <w:sz w:val="24"/>
          <w:szCs w:val="24"/>
          <w:highlight w:val="none"/>
          <w:lang w:eastAsia="zh-CN"/>
        </w:rPr>
      </w:pPr>
      <w:bookmarkStart w:id="6" w:name="_Toc8262"/>
      <w:r>
        <w:rPr>
          <w:rFonts w:hint="eastAsia" w:ascii="仿宋" w:hAnsi="仿宋" w:eastAsia="仿宋" w:cs="仿宋"/>
          <w:b/>
          <w:bCs/>
          <w:spacing w:val="8"/>
          <w:sz w:val="24"/>
          <w:szCs w:val="24"/>
          <w:highlight w:val="none"/>
        </w:rPr>
        <w:t>二、项目</w:t>
      </w:r>
      <w:bookmarkEnd w:id="6"/>
      <w:r>
        <w:rPr>
          <w:rFonts w:hint="eastAsia" w:ascii="仿宋" w:hAnsi="仿宋" w:eastAsia="仿宋" w:cs="仿宋"/>
          <w:b/>
          <w:bCs/>
          <w:spacing w:val="8"/>
          <w:sz w:val="24"/>
          <w:szCs w:val="24"/>
          <w:highlight w:val="none"/>
          <w:lang w:val="en-US" w:eastAsia="zh-CN"/>
        </w:rPr>
        <w:t>基本情况</w:t>
      </w:r>
    </w:p>
    <w:p w14:paraId="004850B9">
      <w:pPr>
        <w:pStyle w:val="2"/>
        <w:spacing w:after="0" w:line="440" w:lineRule="exact"/>
        <w:ind w:firstLine="512" w:firstLineChars="200"/>
        <w:jc w:val="left"/>
        <w:rPr>
          <w:rFonts w:hint="default" w:ascii="仿宋" w:hAnsi="仿宋" w:eastAsia="仿宋" w:cs="仿宋"/>
          <w:spacing w:val="8"/>
          <w:sz w:val="24"/>
          <w:highlight w:val="none"/>
          <w:lang w:val="en-US" w:eastAsia="zh-CN"/>
        </w:rPr>
      </w:pPr>
      <w:r>
        <w:rPr>
          <w:rFonts w:hint="eastAsia" w:ascii="仿宋" w:hAnsi="仿宋" w:eastAsia="仿宋" w:cs="仿宋"/>
          <w:spacing w:val="8"/>
          <w:sz w:val="24"/>
          <w:highlight w:val="none"/>
          <w:lang w:val="en-US" w:eastAsia="zh-CN"/>
        </w:rPr>
        <w:t>1.工程概况：本工程为临港经济技术开发区内学校门口护学通道的改造项目，包含地面改造，护栏制作安装，路沿石修复等内容；</w:t>
      </w:r>
    </w:p>
    <w:p w14:paraId="6A40EE1F">
      <w:pPr>
        <w:pStyle w:val="2"/>
        <w:spacing w:after="0" w:line="440" w:lineRule="exact"/>
        <w:ind w:firstLine="512" w:firstLineChars="200"/>
        <w:jc w:val="left"/>
        <w:rPr>
          <w:rFonts w:hint="eastAsia" w:ascii="仿宋" w:hAnsi="仿宋" w:eastAsia="仿宋" w:cs="仿宋"/>
          <w:spacing w:val="8"/>
          <w:sz w:val="24"/>
          <w:highlight w:val="none"/>
          <w:lang w:eastAsia="zh-CN"/>
        </w:rPr>
      </w:pPr>
      <w:r>
        <w:rPr>
          <w:rFonts w:hint="eastAsia" w:ascii="仿宋" w:hAnsi="仿宋" w:eastAsia="仿宋" w:cs="仿宋"/>
          <w:spacing w:val="8"/>
          <w:sz w:val="24"/>
          <w:highlight w:val="none"/>
          <w:lang w:val="en-US" w:eastAsia="zh-CN"/>
        </w:rPr>
        <w:t>2.</w:t>
      </w:r>
      <w:r>
        <w:rPr>
          <w:rFonts w:hint="eastAsia" w:ascii="仿宋" w:hAnsi="仿宋" w:eastAsia="仿宋" w:cs="仿宋"/>
          <w:spacing w:val="8"/>
          <w:sz w:val="24"/>
          <w:highlight w:val="none"/>
        </w:rPr>
        <w:t>招标范围：</w:t>
      </w:r>
      <w:r>
        <w:rPr>
          <w:rFonts w:hint="eastAsia" w:ascii="仿宋" w:hAnsi="仿宋" w:eastAsia="仿宋" w:cs="仿宋"/>
          <w:spacing w:val="8"/>
          <w:sz w:val="24"/>
          <w:highlight w:val="none"/>
          <w:lang w:eastAsia="zh-CN"/>
        </w:rPr>
        <w:t>临港区学校隔离设施（护学通道）改造工程</w:t>
      </w:r>
      <w:r>
        <w:rPr>
          <w:rFonts w:hint="eastAsia" w:ascii="仿宋" w:hAnsi="仿宋" w:eastAsia="仿宋" w:cs="仿宋"/>
          <w:spacing w:val="8"/>
          <w:sz w:val="24"/>
          <w:highlight w:val="none"/>
          <w:lang w:val="en-US" w:eastAsia="zh-CN"/>
        </w:rPr>
        <w:t>设计</w:t>
      </w:r>
      <w:r>
        <w:rPr>
          <w:rFonts w:hint="eastAsia" w:ascii="仿宋" w:hAnsi="仿宋" w:eastAsia="仿宋" w:cs="仿宋"/>
          <w:spacing w:val="8"/>
          <w:sz w:val="24"/>
          <w:highlight w:val="none"/>
        </w:rPr>
        <w:t>图纸范围内全部内容</w:t>
      </w:r>
      <w:r>
        <w:rPr>
          <w:rFonts w:hint="eastAsia" w:ascii="仿宋" w:hAnsi="仿宋" w:eastAsia="仿宋" w:cs="仿宋"/>
          <w:spacing w:val="8"/>
          <w:sz w:val="24"/>
          <w:highlight w:val="none"/>
          <w:lang w:val="en-US" w:eastAsia="zh-CN"/>
        </w:rPr>
        <w:t>的施工及保修</w:t>
      </w:r>
      <w:r>
        <w:rPr>
          <w:rFonts w:hint="eastAsia" w:ascii="仿宋" w:hAnsi="仿宋" w:eastAsia="仿宋" w:cs="仿宋"/>
          <w:spacing w:val="8"/>
          <w:sz w:val="24"/>
          <w:highlight w:val="none"/>
        </w:rPr>
        <w:t>，具体以工程量清单为准</w:t>
      </w:r>
      <w:r>
        <w:rPr>
          <w:rFonts w:hint="eastAsia" w:ascii="仿宋" w:hAnsi="仿宋" w:eastAsia="仿宋" w:cs="仿宋"/>
          <w:spacing w:val="8"/>
          <w:sz w:val="24"/>
          <w:highlight w:val="none"/>
          <w:lang w:eastAsia="zh-CN"/>
        </w:rPr>
        <w:t>；</w:t>
      </w:r>
    </w:p>
    <w:p w14:paraId="110F7751">
      <w:pPr>
        <w:pStyle w:val="2"/>
        <w:spacing w:after="0" w:line="440" w:lineRule="exact"/>
        <w:ind w:firstLine="512" w:firstLineChars="200"/>
        <w:jc w:val="left"/>
        <w:rPr>
          <w:rFonts w:hint="default" w:ascii="仿宋" w:hAnsi="仿宋" w:eastAsia="仿宋" w:cs="仿宋"/>
          <w:spacing w:val="8"/>
          <w:sz w:val="24"/>
          <w:highlight w:val="none"/>
          <w:lang w:val="en-US" w:eastAsia="zh-CN"/>
        </w:rPr>
      </w:pPr>
      <w:r>
        <w:rPr>
          <w:rFonts w:hint="eastAsia" w:ascii="仿宋" w:hAnsi="仿宋" w:eastAsia="仿宋" w:cs="仿宋"/>
          <w:spacing w:val="8"/>
          <w:sz w:val="24"/>
          <w:highlight w:val="none"/>
          <w:lang w:val="en-US" w:eastAsia="zh-CN"/>
        </w:rPr>
        <w:t>3</w:t>
      </w:r>
      <w:r>
        <w:rPr>
          <w:rFonts w:hint="eastAsia" w:ascii="仿宋" w:hAnsi="仿宋" w:eastAsia="仿宋" w:cs="仿宋"/>
          <w:spacing w:val="8"/>
          <w:sz w:val="24"/>
          <w:highlight w:val="none"/>
          <w:lang w:eastAsia="zh-CN"/>
        </w:rPr>
        <w:t>.</w:t>
      </w:r>
      <w:r>
        <w:rPr>
          <w:rFonts w:hint="eastAsia" w:ascii="仿宋" w:hAnsi="仿宋" w:eastAsia="仿宋" w:cs="仿宋"/>
          <w:spacing w:val="8"/>
          <w:sz w:val="24"/>
          <w:highlight w:val="none"/>
          <w:lang w:val="en-US" w:eastAsia="zh-CN"/>
        </w:rPr>
        <w:t>建设地点：威海临港经济技术开发区；</w:t>
      </w:r>
    </w:p>
    <w:p w14:paraId="253294A2">
      <w:pPr>
        <w:pStyle w:val="2"/>
        <w:spacing w:after="0" w:line="440" w:lineRule="exact"/>
        <w:ind w:firstLine="512" w:firstLineChars="200"/>
        <w:jc w:val="left"/>
        <w:rPr>
          <w:rFonts w:hint="eastAsia" w:ascii="仿宋" w:hAnsi="仿宋" w:eastAsia="仿宋" w:cs="仿宋"/>
          <w:spacing w:val="8"/>
          <w:sz w:val="24"/>
          <w:highlight w:val="none"/>
          <w:lang w:eastAsia="zh-CN"/>
        </w:rPr>
      </w:pPr>
      <w:r>
        <w:rPr>
          <w:rFonts w:hint="eastAsia" w:ascii="仿宋" w:hAnsi="仿宋" w:eastAsia="仿宋" w:cs="仿宋"/>
          <w:spacing w:val="8"/>
          <w:sz w:val="24"/>
          <w:highlight w:val="none"/>
          <w:lang w:val="en-US" w:eastAsia="zh-CN"/>
        </w:rPr>
        <w:t>4.</w:t>
      </w:r>
      <w:r>
        <w:rPr>
          <w:rFonts w:hint="eastAsia" w:ascii="仿宋" w:hAnsi="仿宋" w:eastAsia="仿宋" w:cs="仿宋"/>
          <w:spacing w:val="8"/>
          <w:sz w:val="24"/>
          <w:highlight w:val="none"/>
          <w:lang w:eastAsia="zh-CN"/>
        </w:rPr>
        <w:t>工期：</w:t>
      </w:r>
      <w:r>
        <w:rPr>
          <w:rFonts w:hint="eastAsia" w:ascii="仿宋" w:hAnsi="仿宋" w:eastAsia="仿宋" w:cs="仿宋"/>
          <w:spacing w:val="8"/>
          <w:sz w:val="24"/>
          <w:highlight w:val="none"/>
          <w:lang w:val="en-US" w:eastAsia="zh-CN"/>
        </w:rPr>
        <w:t>40日历天</w:t>
      </w:r>
      <w:r>
        <w:rPr>
          <w:rFonts w:hint="eastAsia" w:ascii="仿宋" w:hAnsi="仿宋" w:eastAsia="仿宋" w:cs="仿宋"/>
          <w:spacing w:val="8"/>
          <w:sz w:val="24"/>
          <w:highlight w:val="none"/>
          <w:lang w:eastAsia="zh-CN"/>
        </w:rPr>
        <w:t>；</w:t>
      </w:r>
    </w:p>
    <w:p w14:paraId="4FAD0911">
      <w:pPr>
        <w:pStyle w:val="2"/>
        <w:spacing w:after="0" w:line="440" w:lineRule="exact"/>
        <w:ind w:firstLine="512" w:firstLineChars="200"/>
        <w:jc w:val="left"/>
        <w:rPr>
          <w:rFonts w:hint="eastAsia" w:ascii="仿宋" w:hAnsi="仿宋" w:eastAsia="仿宋" w:cs="仿宋"/>
          <w:spacing w:val="8"/>
          <w:sz w:val="24"/>
          <w:highlight w:val="none"/>
          <w:lang w:val="en-US" w:eastAsia="zh-CN"/>
        </w:rPr>
      </w:pPr>
      <w:r>
        <w:rPr>
          <w:rFonts w:hint="eastAsia" w:ascii="仿宋" w:hAnsi="仿宋" w:eastAsia="仿宋" w:cs="仿宋"/>
          <w:spacing w:val="8"/>
          <w:sz w:val="24"/>
          <w:highlight w:val="none"/>
          <w:lang w:val="en-US" w:eastAsia="zh-CN"/>
        </w:rPr>
        <w:t>5.</w:t>
      </w:r>
      <w:bookmarkStart w:id="7" w:name="OLE_LINK2"/>
      <w:r>
        <w:rPr>
          <w:rFonts w:hint="eastAsia" w:ascii="仿宋" w:hAnsi="仿宋" w:eastAsia="仿宋" w:cs="仿宋"/>
          <w:spacing w:val="8"/>
          <w:sz w:val="24"/>
          <w:highlight w:val="none"/>
          <w:lang w:val="en-US" w:eastAsia="zh-CN"/>
        </w:rPr>
        <w:t>质量标准：</w:t>
      </w:r>
      <w:bookmarkEnd w:id="7"/>
      <w:r>
        <w:rPr>
          <w:rFonts w:hint="eastAsia" w:ascii="仿宋" w:hAnsi="仿宋" w:eastAsia="仿宋" w:cs="仿宋"/>
          <w:spacing w:val="8"/>
          <w:sz w:val="24"/>
          <w:highlight w:val="none"/>
          <w:lang w:val="en-US" w:eastAsia="zh-CN"/>
        </w:rPr>
        <w:t>达到国家验收规范合格标准；</w:t>
      </w:r>
    </w:p>
    <w:p w14:paraId="0F081BD0">
      <w:pPr>
        <w:pStyle w:val="2"/>
        <w:spacing w:after="0" w:line="440" w:lineRule="exact"/>
        <w:ind w:firstLine="512" w:firstLineChars="200"/>
        <w:jc w:val="left"/>
        <w:rPr>
          <w:rFonts w:hint="default" w:ascii="仿宋" w:hAnsi="仿宋" w:eastAsia="仿宋" w:cs="仿宋"/>
          <w:spacing w:val="8"/>
          <w:sz w:val="24"/>
          <w:highlight w:val="none"/>
          <w:lang w:val="en-US" w:eastAsia="zh-CN"/>
        </w:rPr>
      </w:pPr>
      <w:r>
        <w:rPr>
          <w:rFonts w:hint="eastAsia" w:ascii="仿宋" w:hAnsi="仿宋" w:eastAsia="仿宋" w:cs="仿宋"/>
          <w:spacing w:val="8"/>
          <w:sz w:val="24"/>
          <w:highlight w:val="none"/>
          <w:lang w:val="en-US" w:eastAsia="zh-CN"/>
        </w:rPr>
        <w:t>6.</w:t>
      </w:r>
      <w:r>
        <w:rPr>
          <w:rFonts w:hint="eastAsia" w:ascii="仿宋" w:hAnsi="仿宋" w:eastAsia="仿宋" w:cs="仿宋"/>
          <w:spacing w:val="8"/>
          <w:sz w:val="24"/>
          <w:highlight w:val="none"/>
          <w:lang w:eastAsia="zh-CN"/>
        </w:rPr>
        <w:t>招标控制价：</w:t>
      </w:r>
      <w:r>
        <w:rPr>
          <w:rFonts w:hint="eastAsia" w:ascii="仿宋" w:hAnsi="仿宋" w:eastAsia="仿宋" w:cs="仿宋"/>
          <w:spacing w:val="8"/>
          <w:sz w:val="24"/>
          <w:highlight w:val="none"/>
          <w:lang w:val="en-US" w:eastAsia="zh-CN"/>
        </w:rPr>
        <w:t>789518.15元</w:t>
      </w:r>
      <w:r>
        <w:rPr>
          <w:rFonts w:hint="eastAsia" w:ascii="仿宋" w:hAnsi="仿宋" w:eastAsia="仿宋" w:cs="仿宋"/>
          <w:spacing w:val="8"/>
          <w:sz w:val="24"/>
          <w:highlight w:val="none"/>
          <w:lang w:eastAsia="zh-CN"/>
        </w:rPr>
        <w:t>。</w:t>
      </w:r>
    </w:p>
    <w:p w14:paraId="29356076">
      <w:pPr>
        <w:spacing w:line="440" w:lineRule="exact"/>
        <w:ind w:firstLine="482" w:firstLineChars="200"/>
        <w:contextualSpacing/>
        <w:outlineLvl w:val="1"/>
        <w:rPr>
          <w:rFonts w:hint="eastAsia" w:ascii="仿宋" w:hAnsi="仿宋" w:eastAsia="仿宋" w:cs="仿宋"/>
          <w:sz w:val="24"/>
          <w:szCs w:val="24"/>
          <w:highlight w:val="none"/>
        </w:rPr>
      </w:pPr>
      <w:bookmarkStart w:id="8" w:name="_Toc22701"/>
      <w:r>
        <w:rPr>
          <w:rFonts w:hint="eastAsia" w:ascii="仿宋" w:hAnsi="仿宋" w:eastAsia="仿宋" w:cs="仿宋"/>
          <w:b/>
          <w:bCs/>
          <w:sz w:val="24"/>
          <w:szCs w:val="24"/>
          <w:highlight w:val="none"/>
        </w:rPr>
        <w:t>三、投标人的资格要求</w:t>
      </w:r>
      <w:bookmarkEnd w:id="8"/>
    </w:p>
    <w:p w14:paraId="5687F63B">
      <w:pPr>
        <w:spacing w:line="440" w:lineRule="exact"/>
        <w:ind w:firstLine="512" w:firstLineChars="200"/>
        <w:contextualSpacing/>
        <w:jc w:val="left"/>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1</w:t>
      </w:r>
      <w:r>
        <w:rPr>
          <w:rFonts w:hint="eastAsia" w:ascii="仿宋" w:hAnsi="仿宋" w:eastAsia="仿宋" w:cs="仿宋"/>
          <w:spacing w:val="8"/>
          <w:sz w:val="24"/>
          <w:szCs w:val="24"/>
          <w:highlight w:val="none"/>
          <w:lang w:val="en-US" w:eastAsia="zh-CN"/>
        </w:rPr>
        <w:t>.</w:t>
      </w:r>
      <w:r>
        <w:rPr>
          <w:rFonts w:hint="eastAsia" w:ascii="仿宋" w:hAnsi="仿宋" w:eastAsia="仿宋" w:cs="仿宋"/>
          <w:spacing w:val="8"/>
          <w:sz w:val="24"/>
          <w:szCs w:val="24"/>
          <w:highlight w:val="none"/>
          <w:lang w:eastAsia="zh-CN"/>
        </w:rPr>
        <w:t>具有独立承担民事责任的能力</w:t>
      </w:r>
      <w:r>
        <w:rPr>
          <w:rFonts w:hint="eastAsia" w:ascii="仿宋" w:hAnsi="仿宋" w:eastAsia="仿宋" w:cs="仿宋"/>
          <w:spacing w:val="8"/>
          <w:sz w:val="24"/>
          <w:szCs w:val="24"/>
          <w:highlight w:val="none"/>
        </w:rPr>
        <w:t>；</w:t>
      </w:r>
    </w:p>
    <w:p w14:paraId="42742310">
      <w:pPr>
        <w:spacing w:line="440" w:lineRule="exact"/>
        <w:ind w:firstLine="512" w:firstLineChars="200"/>
        <w:contextualSpacing/>
        <w:jc w:val="left"/>
        <w:rPr>
          <w:rFonts w:hint="eastAsia"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lang w:val="en-US" w:eastAsia="zh-CN"/>
        </w:rPr>
        <w:t>2.</w:t>
      </w:r>
      <w:r>
        <w:rPr>
          <w:rFonts w:hint="eastAsia" w:ascii="仿宋" w:hAnsi="仿宋" w:eastAsia="仿宋" w:cs="仿宋"/>
          <w:spacing w:val="8"/>
          <w:sz w:val="24"/>
          <w:szCs w:val="24"/>
          <w:highlight w:val="none"/>
        </w:rPr>
        <w:t>具有市政公用工程施工总承包</w:t>
      </w:r>
      <w:r>
        <w:rPr>
          <w:rFonts w:hint="eastAsia" w:ascii="仿宋" w:hAnsi="仿宋" w:eastAsia="仿宋" w:cs="仿宋"/>
          <w:spacing w:val="8"/>
          <w:sz w:val="24"/>
          <w:szCs w:val="24"/>
          <w:highlight w:val="none"/>
          <w:lang w:val="en-US" w:eastAsia="zh-CN"/>
        </w:rPr>
        <w:t>三</w:t>
      </w:r>
      <w:r>
        <w:rPr>
          <w:rFonts w:hint="eastAsia" w:ascii="仿宋" w:hAnsi="仿宋" w:eastAsia="仿宋" w:cs="仿宋"/>
          <w:spacing w:val="8"/>
          <w:sz w:val="24"/>
          <w:szCs w:val="24"/>
          <w:highlight w:val="none"/>
        </w:rPr>
        <w:t>级及以上资质</w:t>
      </w:r>
      <w:r>
        <w:rPr>
          <w:rFonts w:hint="eastAsia" w:ascii="仿宋" w:hAnsi="仿宋" w:eastAsia="仿宋" w:cs="仿宋"/>
          <w:spacing w:val="8"/>
          <w:sz w:val="24"/>
          <w:szCs w:val="24"/>
          <w:highlight w:val="none"/>
          <w:lang w:val="en-US" w:eastAsia="zh-CN"/>
        </w:rPr>
        <w:t>；</w:t>
      </w:r>
    </w:p>
    <w:p w14:paraId="05EF40BF">
      <w:pPr>
        <w:spacing w:line="440" w:lineRule="exact"/>
        <w:ind w:firstLine="512" w:firstLineChars="200"/>
        <w:contextualSpacing/>
        <w:jc w:val="left"/>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lang w:val="en-US" w:eastAsia="zh-CN"/>
        </w:rPr>
        <w:t>3.具有有效的安全生产许可证</w:t>
      </w:r>
      <w:r>
        <w:rPr>
          <w:rFonts w:hint="eastAsia" w:ascii="仿宋" w:hAnsi="仿宋" w:eastAsia="仿宋" w:cs="仿宋"/>
          <w:spacing w:val="8"/>
          <w:sz w:val="24"/>
          <w:szCs w:val="24"/>
          <w:highlight w:val="none"/>
          <w:lang w:eastAsia="zh-CN"/>
        </w:rPr>
        <w:t>；</w:t>
      </w:r>
    </w:p>
    <w:p w14:paraId="0D9F08EC">
      <w:pPr>
        <w:spacing w:line="440" w:lineRule="exact"/>
        <w:ind w:firstLine="512" w:firstLineChars="200"/>
        <w:contextualSpacing/>
        <w:jc w:val="left"/>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4.</w:t>
      </w:r>
      <w:r>
        <w:rPr>
          <w:rFonts w:hint="eastAsia" w:ascii="仿宋" w:hAnsi="仿宋" w:eastAsia="仿宋" w:cs="仿宋"/>
          <w:spacing w:val="8"/>
          <w:sz w:val="24"/>
          <w:szCs w:val="24"/>
          <w:highlight w:val="none"/>
        </w:rPr>
        <w:t>具有良好的商业信誉和健全的财务会计制度；</w:t>
      </w:r>
    </w:p>
    <w:p w14:paraId="172F8652">
      <w:pPr>
        <w:spacing w:line="440" w:lineRule="exact"/>
        <w:ind w:firstLine="512" w:firstLineChars="200"/>
        <w:contextualSpacing/>
        <w:jc w:val="left"/>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5</w:t>
      </w:r>
      <w:r>
        <w:rPr>
          <w:rFonts w:hint="eastAsia" w:ascii="仿宋" w:hAnsi="仿宋" w:eastAsia="仿宋" w:cs="仿宋"/>
          <w:spacing w:val="8"/>
          <w:sz w:val="24"/>
          <w:szCs w:val="24"/>
          <w:highlight w:val="none"/>
        </w:rPr>
        <w:t>.具有履行合同所必</w:t>
      </w:r>
      <w:r>
        <w:rPr>
          <w:rFonts w:hint="eastAsia" w:ascii="仿宋" w:hAnsi="仿宋" w:eastAsia="仿宋" w:cs="仿宋"/>
          <w:spacing w:val="8"/>
          <w:sz w:val="24"/>
          <w:szCs w:val="24"/>
          <w:highlight w:val="none"/>
          <w:lang w:val="en-US" w:eastAsia="zh-CN"/>
        </w:rPr>
        <w:t>需</w:t>
      </w:r>
      <w:r>
        <w:rPr>
          <w:rFonts w:hint="eastAsia" w:ascii="仿宋" w:hAnsi="仿宋" w:eastAsia="仿宋" w:cs="仿宋"/>
          <w:spacing w:val="8"/>
          <w:sz w:val="24"/>
          <w:szCs w:val="24"/>
          <w:highlight w:val="none"/>
        </w:rPr>
        <w:t>的设备和人员，并能提供优质的服务；</w:t>
      </w:r>
    </w:p>
    <w:p w14:paraId="0285BACA">
      <w:pPr>
        <w:spacing w:line="440" w:lineRule="exact"/>
        <w:ind w:firstLine="512" w:firstLineChars="200"/>
        <w:contextualSpacing/>
        <w:jc w:val="left"/>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6</w:t>
      </w:r>
      <w:r>
        <w:rPr>
          <w:rFonts w:hint="eastAsia" w:ascii="仿宋" w:hAnsi="仿宋" w:eastAsia="仿宋" w:cs="仿宋"/>
          <w:spacing w:val="8"/>
          <w:sz w:val="24"/>
          <w:szCs w:val="24"/>
          <w:highlight w:val="none"/>
        </w:rPr>
        <w:t>.具有依法缴纳税收和社会保障资金的良好记录；</w:t>
      </w:r>
    </w:p>
    <w:p w14:paraId="7C0CAC98">
      <w:pPr>
        <w:spacing w:line="440" w:lineRule="exact"/>
        <w:ind w:firstLine="512" w:firstLineChars="200"/>
        <w:contextualSpacing/>
        <w:jc w:val="left"/>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7.</w:t>
      </w:r>
      <w:r>
        <w:rPr>
          <w:rFonts w:hint="eastAsia" w:ascii="仿宋" w:hAnsi="仿宋" w:eastAsia="仿宋" w:cs="仿宋"/>
          <w:spacing w:val="8"/>
          <w:sz w:val="24"/>
          <w:szCs w:val="24"/>
          <w:highlight w:val="none"/>
        </w:rPr>
        <w:t>参加本次招标活动前三年内，在经营活动中没有重大违法记录；</w:t>
      </w:r>
    </w:p>
    <w:p w14:paraId="0534F4E2">
      <w:pPr>
        <w:spacing w:line="440" w:lineRule="exact"/>
        <w:ind w:firstLine="512" w:firstLineChars="200"/>
        <w:contextualSpacing/>
        <w:jc w:val="left"/>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8</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eastAsia="zh-CN"/>
        </w:rPr>
        <w:t>投标人及其法人代表、委托代理人、项目管理机构所有人员未被最高法院</w:t>
      </w:r>
      <w:r>
        <w:rPr>
          <w:rFonts w:hint="eastAsia" w:ascii="仿宋" w:hAnsi="仿宋" w:eastAsia="仿宋" w:cs="仿宋"/>
          <w:spacing w:val="8"/>
          <w:sz w:val="24"/>
          <w:szCs w:val="24"/>
          <w:highlight w:val="none"/>
        </w:rPr>
        <w:t>（查询网址为：http://zxgk.court.gov.cn/shixin/）列入失信被执行人；</w:t>
      </w:r>
    </w:p>
    <w:p w14:paraId="3E86B60B">
      <w:pPr>
        <w:spacing w:line="440" w:lineRule="exact"/>
        <w:ind w:firstLine="512" w:firstLineChars="200"/>
        <w:contextualSpacing/>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9</w:t>
      </w:r>
      <w:r>
        <w:rPr>
          <w:rFonts w:hint="eastAsia" w:ascii="仿宋" w:hAnsi="仿宋" w:eastAsia="仿宋" w:cs="仿宋"/>
          <w:spacing w:val="8"/>
          <w:sz w:val="24"/>
          <w:szCs w:val="24"/>
          <w:highlight w:val="none"/>
        </w:rPr>
        <w:t>.投标人近一年在“信用中国”或“信用中国（山东）”无严重失信记录；</w:t>
      </w:r>
    </w:p>
    <w:p w14:paraId="6C927DB4">
      <w:pPr>
        <w:spacing w:line="440" w:lineRule="exact"/>
        <w:ind w:firstLine="512" w:firstLineChars="200"/>
        <w:contextualSpacing/>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10</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eastAsia="zh-CN"/>
        </w:rPr>
        <w:t>投标人、法定代表人、委托代理人、项目管理机构所有人员近三年内无行贿犯罪</w:t>
      </w:r>
      <w:r>
        <w:rPr>
          <w:rFonts w:hint="eastAsia" w:ascii="仿宋" w:hAnsi="仿宋" w:eastAsia="仿宋" w:cs="仿宋"/>
          <w:spacing w:val="8"/>
          <w:sz w:val="24"/>
          <w:szCs w:val="24"/>
          <w:highlight w:val="none"/>
        </w:rPr>
        <w:t>行为记录；</w:t>
      </w:r>
    </w:p>
    <w:p w14:paraId="7B2AAE79">
      <w:pPr>
        <w:spacing w:line="440" w:lineRule="exact"/>
        <w:ind w:firstLine="512" w:firstLineChars="200"/>
        <w:contextualSpacing/>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lang w:val="en-US" w:eastAsia="zh-CN"/>
        </w:rPr>
        <w:t>11</w:t>
      </w:r>
      <w:r>
        <w:rPr>
          <w:rFonts w:hint="eastAsia" w:ascii="仿宋" w:hAnsi="仿宋" w:eastAsia="仿宋" w:cs="仿宋"/>
          <w:spacing w:val="8"/>
          <w:sz w:val="24"/>
          <w:szCs w:val="24"/>
          <w:highlight w:val="none"/>
        </w:rPr>
        <w:t>.本项目不接受联合体投标。</w:t>
      </w:r>
    </w:p>
    <w:p w14:paraId="639C31A6">
      <w:pPr>
        <w:spacing w:line="440" w:lineRule="exact"/>
        <w:ind w:firstLine="482" w:firstLineChars="200"/>
        <w:contextualSpacing/>
        <w:outlineLvl w:val="1"/>
        <w:rPr>
          <w:rFonts w:hint="eastAsia" w:ascii="仿宋" w:hAnsi="仿宋" w:eastAsia="仿宋" w:cs="仿宋"/>
          <w:b/>
          <w:bCs/>
          <w:sz w:val="24"/>
          <w:szCs w:val="24"/>
          <w:highlight w:val="none"/>
        </w:rPr>
      </w:pPr>
      <w:bookmarkStart w:id="9" w:name="_Toc24627"/>
      <w:r>
        <w:rPr>
          <w:rFonts w:hint="eastAsia" w:ascii="仿宋" w:hAnsi="仿宋" w:eastAsia="仿宋" w:cs="仿宋"/>
          <w:b/>
          <w:bCs/>
          <w:sz w:val="24"/>
          <w:szCs w:val="24"/>
          <w:highlight w:val="none"/>
        </w:rPr>
        <w:t>四、项目经理资格要求</w:t>
      </w:r>
    </w:p>
    <w:p w14:paraId="474B350E">
      <w:pPr>
        <w:spacing w:line="440" w:lineRule="exact"/>
        <w:ind w:firstLine="480" w:firstLineChars="200"/>
        <w:contextualSpacing/>
        <w:outlineLvl w:val="1"/>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lang w:val="en-US" w:eastAsia="zh-CN"/>
        </w:rPr>
        <w:t>.</w:t>
      </w:r>
      <w:r>
        <w:rPr>
          <w:rFonts w:hint="eastAsia" w:ascii="仿宋" w:hAnsi="仿宋" w:eastAsia="仿宋" w:cs="仿宋"/>
          <w:b w:val="0"/>
          <w:bCs w:val="0"/>
          <w:sz w:val="24"/>
          <w:szCs w:val="24"/>
          <w:highlight w:val="none"/>
        </w:rPr>
        <w:t>具备市政公用工程专业二级及以上注册建造师执业资格；</w:t>
      </w:r>
    </w:p>
    <w:p w14:paraId="7BF7BBE3">
      <w:pPr>
        <w:spacing w:line="440" w:lineRule="exact"/>
        <w:ind w:firstLine="480" w:firstLineChars="200"/>
        <w:contextualSpacing/>
        <w:outlineLvl w:val="1"/>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w:t>
      </w:r>
      <w:r>
        <w:rPr>
          <w:rFonts w:hint="eastAsia" w:ascii="仿宋" w:hAnsi="仿宋" w:eastAsia="仿宋" w:cs="仿宋"/>
          <w:b w:val="0"/>
          <w:bCs w:val="0"/>
          <w:sz w:val="24"/>
          <w:szCs w:val="24"/>
          <w:highlight w:val="none"/>
          <w:lang w:val="en-US" w:eastAsia="zh-CN"/>
        </w:rPr>
        <w:t>.</w:t>
      </w:r>
      <w:r>
        <w:rPr>
          <w:rFonts w:hint="eastAsia" w:ascii="仿宋" w:hAnsi="仿宋" w:eastAsia="仿宋" w:cs="仿宋"/>
          <w:b w:val="0"/>
          <w:bCs w:val="0"/>
          <w:sz w:val="24"/>
          <w:szCs w:val="24"/>
          <w:highlight w:val="none"/>
        </w:rPr>
        <w:t>具有安全生产考核合格证（B证）；</w:t>
      </w:r>
    </w:p>
    <w:p w14:paraId="46283CE2">
      <w:pPr>
        <w:spacing w:line="440" w:lineRule="exact"/>
        <w:ind w:firstLine="480" w:firstLineChars="200"/>
        <w:contextualSpacing/>
        <w:outlineLvl w:val="1"/>
        <w:rPr>
          <w:rFonts w:hint="eastAsia" w:ascii="仿宋" w:hAnsi="仿宋" w:eastAsia="仿宋" w:cs="仿宋"/>
          <w:b/>
          <w:bCs/>
          <w:sz w:val="24"/>
          <w:szCs w:val="24"/>
          <w:highlight w:val="none"/>
          <w:lang w:eastAsia="zh-CN"/>
        </w:rPr>
      </w:pPr>
      <w:r>
        <w:rPr>
          <w:rFonts w:hint="eastAsia" w:ascii="仿宋" w:hAnsi="仿宋" w:eastAsia="仿宋" w:cs="仿宋"/>
          <w:b w:val="0"/>
          <w:bCs w:val="0"/>
          <w:sz w:val="24"/>
          <w:szCs w:val="24"/>
          <w:highlight w:val="none"/>
        </w:rPr>
        <w:t>3</w:t>
      </w:r>
      <w:r>
        <w:rPr>
          <w:rFonts w:hint="eastAsia" w:ascii="仿宋" w:hAnsi="仿宋" w:eastAsia="仿宋" w:cs="仿宋"/>
          <w:b w:val="0"/>
          <w:bCs w:val="0"/>
          <w:sz w:val="24"/>
          <w:szCs w:val="24"/>
          <w:highlight w:val="none"/>
          <w:lang w:val="en-US" w:eastAsia="zh-CN"/>
        </w:rPr>
        <w:t>.</w:t>
      </w:r>
      <w:r>
        <w:rPr>
          <w:rFonts w:hint="eastAsia" w:ascii="仿宋" w:hAnsi="仿宋" w:eastAsia="仿宋" w:cs="仿宋"/>
          <w:b w:val="0"/>
          <w:bCs w:val="0"/>
          <w:sz w:val="24"/>
          <w:szCs w:val="24"/>
          <w:highlight w:val="none"/>
        </w:rPr>
        <w:t>未担任其他在建、排名第一的预中标或中标工程项目的项目经理</w:t>
      </w:r>
      <w:r>
        <w:rPr>
          <w:rFonts w:hint="eastAsia" w:ascii="仿宋" w:hAnsi="仿宋" w:eastAsia="仿宋" w:cs="仿宋"/>
          <w:b w:val="0"/>
          <w:bCs w:val="0"/>
          <w:sz w:val="24"/>
          <w:szCs w:val="24"/>
          <w:highlight w:val="none"/>
          <w:lang w:eastAsia="zh-CN"/>
        </w:rPr>
        <w:t>。</w:t>
      </w:r>
    </w:p>
    <w:p w14:paraId="68F7F2CA">
      <w:pPr>
        <w:spacing w:line="440" w:lineRule="exact"/>
        <w:ind w:firstLine="482" w:firstLineChars="200"/>
        <w:contextualSpacing/>
        <w:outlineLvl w:val="1"/>
        <w:rPr>
          <w:rFonts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五、</w:t>
      </w:r>
      <w:r>
        <w:rPr>
          <w:rFonts w:hint="eastAsia" w:ascii="仿宋" w:hAnsi="仿宋" w:eastAsia="仿宋" w:cs="仿宋"/>
          <w:b/>
          <w:bCs/>
          <w:sz w:val="24"/>
          <w:szCs w:val="24"/>
          <w:highlight w:val="none"/>
        </w:rPr>
        <w:t>获取文件时间及地点</w:t>
      </w:r>
      <w:bookmarkEnd w:id="9"/>
    </w:p>
    <w:p w14:paraId="7D742F5B">
      <w:pPr>
        <w:widowControl/>
        <w:shd w:val="clear" w:color="auto" w:fill="auto"/>
        <w:spacing w:line="440" w:lineRule="exact"/>
        <w:ind w:firstLine="539"/>
        <w:contextualSpacing/>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1.时间：202</w:t>
      </w:r>
      <w:r>
        <w:rPr>
          <w:rFonts w:hint="eastAsia" w:ascii="仿宋" w:hAnsi="仿宋" w:eastAsia="仿宋" w:cs="仿宋"/>
          <w:spacing w:val="8"/>
          <w:sz w:val="24"/>
          <w:szCs w:val="24"/>
          <w:highlight w:val="none"/>
          <w:lang w:val="en-US" w:eastAsia="zh-CN"/>
        </w:rPr>
        <w:t>6</w:t>
      </w:r>
      <w:r>
        <w:rPr>
          <w:rFonts w:hint="eastAsia" w:ascii="仿宋" w:hAnsi="仿宋" w:eastAsia="仿宋" w:cs="仿宋"/>
          <w:spacing w:val="8"/>
          <w:sz w:val="24"/>
          <w:szCs w:val="24"/>
          <w:highlight w:val="none"/>
        </w:rPr>
        <w:t>年</w:t>
      </w:r>
      <w:r>
        <w:rPr>
          <w:rFonts w:hint="eastAsia" w:ascii="仿宋" w:hAnsi="仿宋" w:eastAsia="仿宋" w:cs="仿宋"/>
          <w:spacing w:val="8"/>
          <w:sz w:val="24"/>
          <w:szCs w:val="24"/>
          <w:highlight w:val="none"/>
          <w:lang w:val="en-US" w:eastAsia="zh-CN"/>
        </w:rPr>
        <w:t>8</w:t>
      </w:r>
      <w:r>
        <w:rPr>
          <w:rFonts w:hint="eastAsia" w:ascii="仿宋" w:hAnsi="仿宋" w:eastAsia="仿宋" w:cs="仿宋"/>
          <w:spacing w:val="8"/>
          <w:sz w:val="24"/>
          <w:szCs w:val="24"/>
          <w:highlight w:val="none"/>
        </w:rPr>
        <w:t>月</w:t>
      </w:r>
      <w:r>
        <w:rPr>
          <w:rFonts w:hint="eastAsia" w:ascii="仿宋" w:hAnsi="仿宋" w:eastAsia="仿宋" w:cs="仿宋"/>
          <w:spacing w:val="8"/>
          <w:sz w:val="24"/>
          <w:szCs w:val="24"/>
          <w:highlight w:val="none"/>
          <w:lang w:val="en-US" w:eastAsia="zh-CN"/>
        </w:rPr>
        <w:t>31</w:t>
      </w:r>
      <w:r>
        <w:rPr>
          <w:rFonts w:hint="eastAsia" w:ascii="仿宋" w:hAnsi="仿宋" w:eastAsia="仿宋" w:cs="仿宋"/>
          <w:spacing w:val="8"/>
          <w:sz w:val="24"/>
          <w:szCs w:val="24"/>
          <w:highlight w:val="none"/>
        </w:rPr>
        <w:t>日</w:t>
      </w:r>
      <w:r>
        <w:rPr>
          <w:rFonts w:hint="eastAsia" w:ascii="仿宋" w:hAnsi="仿宋" w:eastAsia="仿宋" w:cs="仿宋"/>
          <w:spacing w:val="8"/>
          <w:sz w:val="24"/>
          <w:szCs w:val="24"/>
          <w:highlight w:val="none"/>
          <w:lang w:val="en-US" w:eastAsia="zh-CN"/>
        </w:rPr>
        <w:t>17</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30</w:t>
      </w:r>
      <w:r>
        <w:rPr>
          <w:rFonts w:hint="eastAsia" w:ascii="仿宋" w:hAnsi="仿宋" w:eastAsia="仿宋" w:cs="仿宋"/>
          <w:spacing w:val="8"/>
          <w:sz w:val="24"/>
          <w:szCs w:val="24"/>
          <w:highlight w:val="none"/>
        </w:rPr>
        <w:t>:00至202</w:t>
      </w:r>
      <w:r>
        <w:rPr>
          <w:rFonts w:hint="eastAsia" w:ascii="仿宋" w:hAnsi="仿宋" w:eastAsia="仿宋" w:cs="仿宋"/>
          <w:spacing w:val="8"/>
          <w:sz w:val="24"/>
          <w:szCs w:val="24"/>
          <w:highlight w:val="none"/>
          <w:lang w:val="en-US" w:eastAsia="zh-CN"/>
        </w:rPr>
        <w:t>6</w:t>
      </w:r>
      <w:r>
        <w:rPr>
          <w:rFonts w:hint="eastAsia" w:ascii="仿宋" w:hAnsi="仿宋" w:eastAsia="仿宋" w:cs="仿宋"/>
          <w:spacing w:val="8"/>
          <w:sz w:val="24"/>
          <w:szCs w:val="24"/>
          <w:highlight w:val="none"/>
        </w:rPr>
        <w:t>年</w:t>
      </w:r>
      <w:r>
        <w:rPr>
          <w:rFonts w:hint="eastAsia" w:ascii="仿宋" w:hAnsi="仿宋" w:eastAsia="仿宋" w:cs="仿宋"/>
          <w:spacing w:val="8"/>
          <w:sz w:val="24"/>
          <w:szCs w:val="24"/>
          <w:highlight w:val="none"/>
          <w:lang w:val="en-US" w:eastAsia="zh-CN"/>
        </w:rPr>
        <w:t>9</w:t>
      </w:r>
      <w:r>
        <w:rPr>
          <w:rFonts w:hint="eastAsia" w:ascii="仿宋" w:hAnsi="仿宋" w:eastAsia="仿宋" w:cs="仿宋"/>
          <w:spacing w:val="8"/>
          <w:sz w:val="24"/>
          <w:szCs w:val="24"/>
          <w:highlight w:val="none"/>
        </w:rPr>
        <w:t>月</w:t>
      </w:r>
      <w:r>
        <w:rPr>
          <w:rFonts w:hint="eastAsia" w:ascii="仿宋" w:hAnsi="仿宋" w:eastAsia="仿宋" w:cs="仿宋"/>
          <w:spacing w:val="8"/>
          <w:sz w:val="24"/>
          <w:szCs w:val="24"/>
          <w:highlight w:val="none"/>
          <w:lang w:val="en-US" w:eastAsia="zh-CN"/>
        </w:rPr>
        <w:t>7</w:t>
      </w:r>
      <w:r>
        <w:rPr>
          <w:rFonts w:hint="eastAsia" w:ascii="仿宋" w:hAnsi="仿宋" w:eastAsia="仿宋" w:cs="仿宋"/>
          <w:spacing w:val="8"/>
          <w:sz w:val="24"/>
          <w:szCs w:val="24"/>
          <w:highlight w:val="none"/>
        </w:rPr>
        <w:t>日</w:t>
      </w:r>
      <w:r>
        <w:rPr>
          <w:rFonts w:hint="eastAsia" w:ascii="仿宋" w:hAnsi="仿宋" w:eastAsia="仿宋" w:cs="仿宋"/>
          <w:spacing w:val="8"/>
          <w:sz w:val="24"/>
          <w:szCs w:val="24"/>
          <w:highlight w:val="none"/>
          <w:lang w:val="en-US" w:eastAsia="zh-CN"/>
        </w:rPr>
        <w:t>17</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30</w:t>
      </w:r>
      <w:r>
        <w:rPr>
          <w:rFonts w:hint="eastAsia" w:ascii="仿宋" w:hAnsi="仿宋" w:eastAsia="仿宋" w:cs="仿宋"/>
          <w:spacing w:val="8"/>
          <w:sz w:val="24"/>
          <w:szCs w:val="24"/>
          <w:highlight w:val="none"/>
        </w:rPr>
        <w:t>:00（北京时间）</w:t>
      </w:r>
    </w:p>
    <w:p w14:paraId="5C338F5C">
      <w:pPr>
        <w:keepNext w:val="0"/>
        <w:keepLines w:val="0"/>
        <w:pageBreakBefore w:val="0"/>
        <w:widowControl/>
        <w:shd w:val="clear" w:color="auto" w:fill="auto"/>
        <w:kinsoku/>
        <w:wordWrap/>
        <w:overflowPunct/>
        <w:topLinePunct w:val="0"/>
        <w:autoSpaceDE/>
        <w:autoSpaceDN/>
        <w:bidi w:val="0"/>
        <w:snapToGrid/>
        <w:spacing w:line="410" w:lineRule="exact"/>
        <w:ind w:firstLine="539"/>
        <w:contextualSpacing/>
        <w:textAlignment w:val="auto"/>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rPr>
        <w:t>2.地点：登录“威海市公共资源交易网”首页右侧“交易服务一网通办系统-（新版）一网通办系统”进行“平台切换”，点击“国企采购”进入国企阳光采购平台获取文件(网址：http://ggzyjy.weihai.cn/)</w:t>
      </w:r>
      <w:r>
        <w:rPr>
          <w:rFonts w:hint="eastAsia" w:ascii="仿宋" w:hAnsi="仿宋" w:eastAsia="仿宋" w:cs="仿宋"/>
          <w:spacing w:val="8"/>
          <w:sz w:val="24"/>
          <w:szCs w:val="24"/>
          <w:highlight w:val="none"/>
          <w:lang w:eastAsia="zh-CN"/>
        </w:rPr>
        <w:t>。</w:t>
      </w:r>
    </w:p>
    <w:p w14:paraId="501D5385">
      <w:pPr>
        <w:keepNext w:val="0"/>
        <w:keepLines w:val="0"/>
        <w:pageBreakBefore w:val="0"/>
        <w:widowControl/>
        <w:shd w:val="clear" w:color="auto" w:fill="auto"/>
        <w:kinsoku/>
        <w:wordWrap/>
        <w:overflowPunct/>
        <w:topLinePunct w:val="0"/>
        <w:autoSpaceDE/>
        <w:autoSpaceDN/>
        <w:bidi w:val="0"/>
        <w:snapToGrid/>
        <w:spacing w:line="410" w:lineRule="exact"/>
        <w:ind w:firstLine="539"/>
        <w:contextualSpacing/>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逾期无法从国企阳光采购平台中获取文件，未在规定时间内从系统中获取招标文件的投标人将无法提交电子投标文件。</w:t>
      </w:r>
    </w:p>
    <w:p w14:paraId="09DAD06A">
      <w:pPr>
        <w:keepNext w:val="0"/>
        <w:keepLines w:val="0"/>
        <w:pageBreakBefore w:val="0"/>
        <w:widowControl/>
        <w:shd w:val="clear" w:color="auto" w:fill="auto"/>
        <w:kinsoku/>
        <w:wordWrap/>
        <w:overflowPunct/>
        <w:topLinePunct w:val="0"/>
        <w:autoSpaceDE/>
        <w:autoSpaceDN/>
        <w:bidi w:val="0"/>
        <w:snapToGrid/>
        <w:spacing w:line="410" w:lineRule="exact"/>
        <w:ind w:firstLine="539"/>
        <w:contextualSpacing/>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0F4EF5D1">
      <w:pPr>
        <w:widowControl/>
        <w:shd w:val="clear" w:color="auto" w:fill="auto"/>
        <w:spacing w:line="440" w:lineRule="exact"/>
        <w:ind w:firstLine="539"/>
        <w:contextualSpacing/>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注：未注册用户请先免费注册。在“威海市公共资源交易网”右侧“交易服务一网通办系统-（新版）一网通办系统”按钮登录端口注册登记，并办理“安全证书（CA）”和“电子签章”进行获取文件。“安全证书（CA）”和“电子签章”办理请按照“威海市公共资源交易网”右侧“CA办理”中“CA证书办理介绍”进行办理。</w:t>
      </w:r>
    </w:p>
    <w:p w14:paraId="16FA1A94">
      <w:pPr>
        <w:spacing w:line="440" w:lineRule="exact"/>
        <w:ind w:firstLine="482" w:firstLineChars="200"/>
        <w:contextualSpacing/>
        <w:outlineLvl w:val="1"/>
        <w:rPr>
          <w:rFonts w:ascii="仿宋" w:hAnsi="仿宋" w:eastAsia="仿宋" w:cs="仿宋"/>
          <w:sz w:val="24"/>
          <w:szCs w:val="24"/>
          <w:highlight w:val="none"/>
        </w:rPr>
      </w:pPr>
      <w:bookmarkStart w:id="10" w:name="_Toc733"/>
      <w:r>
        <w:rPr>
          <w:rFonts w:hint="eastAsia" w:ascii="仿宋" w:hAnsi="仿宋" w:eastAsia="仿宋" w:cs="仿宋"/>
          <w:b/>
          <w:bCs/>
          <w:sz w:val="24"/>
          <w:szCs w:val="24"/>
          <w:highlight w:val="none"/>
          <w:lang w:eastAsia="zh-CN"/>
        </w:rPr>
        <w:t>六</w:t>
      </w:r>
      <w:r>
        <w:rPr>
          <w:rFonts w:hint="eastAsia" w:ascii="仿宋" w:hAnsi="仿宋" w:eastAsia="仿宋" w:cs="仿宋"/>
          <w:b/>
          <w:bCs/>
          <w:sz w:val="24"/>
          <w:szCs w:val="24"/>
          <w:highlight w:val="none"/>
        </w:rPr>
        <w:t>、投标文件提交</w:t>
      </w:r>
      <w:bookmarkEnd w:id="10"/>
    </w:p>
    <w:p w14:paraId="25327D27">
      <w:pPr>
        <w:widowControl/>
        <w:adjustRightInd w:val="0"/>
        <w:spacing w:line="440" w:lineRule="exact"/>
        <w:ind w:firstLine="512" w:firstLineChars="200"/>
        <w:contextualSpacing/>
        <w:jc w:val="left"/>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1.提交投标文件时间：202</w:t>
      </w:r>
      <w:r>
        <w:rPr>
          <w:rFonts w:hint="eastAsia" w:ascii="仿宋" w:hAnsi="仿宋" w:eastAsia="仿宋" w:cs="仿宋"/>
          <w:spacing w:val="8"/>
          <w:sz w:val="24"/>
          <w:szCs w:val="24"/>
          <w:highlight w:val="none"/>
          <w:lang w:val="en-US" w:eastAsia="zh-CN"/>
        </w:rPr>
        <w:t>6</w:t>
      </w:r>
      <w:r>
        <w:rPr>
          <w:rFonts w:hint="eastAsia" w:ascii="仿宋" w:hAnsi="仿宋" w:eastAsia="仿宋" w:cs="仿宋"/>
          <w:spacing w:val="8"/>
          <w:sz w:val="24"/>
          <w:szCs w:val="24"/>
          <w:highlight w:val="none"/>
        </w:rPr>
        <w:t>年</w:t>
      </w:r>
      <w:r>
        <w:rPr>
          <w:rFonts w:hint="eastAsia" w:ascii="仿宋" w:hAnsi="仿宋" w:eastAsia="仿宋" w:cs="仿宋"/>
          <w:spacing w:val="8"/>
          <w:sz w:val="24"/>
          <w:szCs w:val="24"/>
          <w:highlight w:val="none"/>
          <w:lang w:val="en-US" w:eastAsia="zh-CN"/>
        </w:rPr>
        <w:t>8</w:t>
      </w:r>
      <w:r>
        <w:rPr>
          <w:rFonts w:hint="eastAsia" w:ascii="仿宋" w:hAnsi="仿宋" w:eastAsia="仿宋" w:cs="仿宋"/>
          <w:spacing w:val="8"/>
          <w:sz w:val="24"/>
          <w:szCs w:val="24"/>
          <w:highlight w:val="none"/>
        </w:rPr>
        <w:t>月</w:t>
      </w:r>
      <w:r>
        <w:rPr>
          <w:rFonts w:hint="eastAsia" w:ascii="仿宋" w:hAnsi="仿宋" w:eastAsia="仿宋" w:cs="仿宋"/>
          <w:spacing w:val="8"/>
          <w:sz w:val="24"/>
          <w:szCs w:val="24"/>
          <w:highlight w:val="none"/>
          <w:lang w:val="en-US" w:eastAsia="zh-CN"/>
        </w:rPr>
        <w:t>31</w:t>
      </w:r>
      <w:r>
        <w:rPr>
          <w:rFonts w:hint="eastAsia" w:ascii="仿宋" w:hAnsi="仿宋" w:eastAsia="仿宋" w:cs="仿宋"/>
          <w:spacing w:val="8"/>
          <w:sz w:val="24"/>
          <w:szCs w:val="24"/>
          <w:highlight w:val="none"/>
        </w:rPr>
        <w:t>日1</w:t>
      </w:r>
      <w:r>
        <w:rPr>
          <w:rFonts w:hint="eastAsia" w:ascii="仿宋" w:hAnsi="仿宋" w:eastAsia="仿宋" w:cs="仿宋"/>
          <w:spacing w:val="8"/>
          <w:sz w:val="24"/>
          <w:szCs w:val="24"/>
          <w:highlight w:val="none"/>
          <w:lang w:val="en-US" w:eastAsia="zh-CN"/>
        </w:rPr>
        <w:t>8</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30</w:t>
      </w:r>
      <w:r>
        <w:rPr>
          <w:rFonts w:hint="eastAsia" w:ascii="仿宋" w:hAnsi="仿宋" w:eastAsia="仿宋" w:cs="仿宋"/>
          <w:spacing w:val="8"/>
          <w:sz w:val="24"/>
          <w:szCs w:val="24"/>
          <w:highlight w:val="none"/>
        </w:rPr>
        <w:t>:00至202</w:t>
      </w:r>
      <w:r>
        <w:rPr>
          <w:rFonts w:hint="eastAsia" w:ascii="仿宋" w:hAnsi="仿宋" w:eastAsia="仿宋" w:cs="仿宋"/>
          <w:spacing w:val="8"/>
          <w:sz w:val="24"/>
          <w:szCs w:val="24"/>
          <w:highlight w:val="none"/>
          <w:lang w:val="en-US" w:eastAsia="zh-CN"/>
        </w:rPr>
        <w:t>6</w:t>
      </w:r>
      <w:r>
        <w:rPr>
          <w:rFonts w:hint="eastAsia" w:ascii="仿宋" w:hAnsi="仿宋" w:eastAsia="仿宋" w:cs="仿宋"/>
          <w:spacing w:val="8"/>
          <w:sz w:val="24"/>
          <w:szCs w:val="24"/>
          <w:highlight w:val="none"/>
        </w:rPr>
        <w:t>年</w:t>
      </w:r>
      <w:r>
        <w:rPr>
          <w:rFonts w:hint="eastAsia" w:ascii="仿宋" w:hAnsi="仿宋" w:eastAsia="仿宋" w:cs="仿宋"/>
          <w:spacing w:val="8"/>
          <w:sz w:val="24"/>
          <w:szCs w:val="24"/>
          <w:highlight w:val="none"/>
          <w:lang w:val="en-US" w:eastAsia="zh-CN"/>
        </w:rPr>
        <w:t>9</w:t>
      </w:r>
      <w:r>
        <w:rPr>
          <w:rFonts w:hint="eastAsia" w:ascii="仿宋" w:hAnsi="仿宋" w:eastAsia="仿宋" w:cs="仿宋"/>
          <w:spacing w:val="8"/>
          <w:sz w:val="24"/>
          <w:szCs w:val="24"/>
          <w:highlight w:val="none"/>
        </w:rPr>
        <w:t>月</w:t>
      </w:r>
      <w:r>
        <w:rPr>
          <w:rFonts w:hint="eastAsia" w:ascii="仿宋" w:hAnsi="仿宋" w:eastAsia="仿宋" w:cs="仿宋"/>
          <w:spacing w:val="8"/>
          <w:sz w:val="24"/>
          <w:szCs w:val="24"/>
          <w:highlight w:val="none"/>
          <w:lang w:val="en-US" w:eastAsia="zh-CN"/>
        </w:rPr>
        <w:t>8</w:t>
      </w:r>
      <w:r>
        <w:rPr>
          <w:rFonts w:hint="eastAsia" w:ascii="仿宋" w:hAnsi="仿宋" w:eastAsia="仿宋" w:cs="仿宋"/>
          <w:spacing w:val="8"/>
          <w:sz w:val="24"/>
          <w:szCs w:val="24"/>
          <w:highlight w:val="none"/>
        </w:rPr>
        <w:t>日</w:t>
      </w:r>
      <w:r>
        <w:rPr>
          <w:rFonts w:hint="eastAsia" w:ascii="仿宋" w:hAnsi="仿宋" w:eastAsia="仿宋" w:cs="仿宋"/>
          <w:spacing w:val="8"/>
          <w:sz w:val="24"/>
          <w:szCs w:val="24"/>
          <w:highlight w:val="none"/>
          <w:lang w:val="en-US" w:eastAsia="zh-CN"/>
        </w:rPr>
        <w:t>14</w:t>
      </w:r>
      <w:r>
        <w:rPr>
          <w:rFonts w:hint="eastAsia" w:ascii="仿宋" w:hAnsi="仿宋" w:eastAsia="仿宋" w:cs="仿宋"/>
          <w:spacing w:val="8"/>
          <w:sz w:val="24"/>
          <w:szCs w:val="24"/>
          <w:highlight w:val="none"/>
        </w:rPr>
        <w:t>:00:00（北京时间）</w:t>
      </w:r>
    </w:p>
    <w:p w14:paraId="56E7E8A6">
      <w:pPr>
        <w:widowControl/>
        <w:adjustRightInd w:val="0"/>
        <w:spacing w:line="440" w:lineRule="exact"/>
        <w:ind w:firstLine="512" w:firstLineChars="200"/>
        <w:contextualSpacing/>
        <w:jc w:val="left"/>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2.地点：</w:t>
      </w:r>
      <w:r>
        <w:rPr>
          <w:rFonts w:hint="eastAsia" w:ascii="仿宋" w:hAnsi="仿宋" w:eastAsia="仿宋" w:cs="仿宋"/>
          <w:spacing w:val="8"/>
          <w:kern w:val="0"/>
          <w:sz w:val="24"/>
          <w:szCs w:val="24"/>
          <w:highlight w:val="none"/>
        </w:rPr>
        <w:t>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3276DC57">
      <w:pPr>
        <w:spacing w:line="440" w:lineRule="exact"/>
        <w:ind w:firstLine="482" w:firstLineChars="200"/>
        <w:contextualSpacing/>
        <w:outlineLvl w:val="1"/>
        <w:rPr>
          <w:rFonts w:ascii="仿宋" w:hAnsi="仿宋" w:eastAsia="仿宋" w:cs="仿宋"/>
          <w:b/>
          <w:bCs/>
          <w:sz w:val="24"/>
          <w:szCs w:val="24"/>
          <w:highlight w:val="none"/>
        </w:rPr>
      </w:pPr>
      <w:bookmarkStart w:id="11" w:name="_Toc19676"/>
      <w:r>
        <w:rPr>
          <w:rFonts w:hint="eastAsia" w:ascii="仿宋" w:hAnsi="仿宋" w:eastAsia="仿宋" w:cs="仿宋"/>
          <w:b/>
          <w:bCs/>
          <w:sz w:val="24"/>
          <w:szCs w:val="24"/>
          <w:highlight w:val="none"/>
          <w:lang w:eastAsia="zh-CN"/>
        </w:rPr>
        <w:t>七</w:t>
      </w:r>
      <w:r>
        <w:rPr>
          <w:rFonts w:hint="eastAsia" w:ascii="仿宋" w:hAnsi="仿宋" w:eastAsia="仿宋" w:cs="仿宋"/>
          <w:b/>
          <w:bCs/>
          <w:sz w:val="24"/>
          <w:szCs w:val="24"/>
          <w:highlight w:val="none"/>
        </w:rPr>
        <w:t>、开启</w:t>
      </w:r>
      <w:bookmarkEnd w:id="11"/>
    </w:p>
    <w:p w14:paraId="2B40383A">
      <w:pPr>
        <w:keepNext w:val="0"/>
        <w:keepLines w:val="0"/>
        <w:pageBreakBefore w:val="0"/>
        <w:widowControl/>
        <w:kinsoku/>
        <w:wordWrap/>
        <w:overflowPunct/>
        <w:topLinePunct w:val="0"/>
        <w:autoSpaceDE/>
        <w:autoSpaceDN/>
        <w:bidi w:val="0"/>
        <w:adjustRightInd w:val="0"/>
        <w:snapToGrid/>
        <w:spacing w:line="440" w:lineRule="exact"/>
        <w:ind w:firstLine="512" w:firstLineChars="200"/>
        <w:contextualSpacing/>
        <w:jc w:val="left"/>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1.时间：202</w:t>
      </w:r>
      <w:r>
        <w:rPr>
          <w:rFonts w:hint="eastAsia" w:ascii="仿宋" w:hAnsi="仿宋" w:eastAsia="仿宋" w:cs="仿宋"/>
          <w:spacing w:val="8"/>
          <w:sz w:val="24"/>
          <w:szCs w:val="24"/>
          <w:highlight w:val="none"/>
          <w:lang w:val="en-US" w:eastAsia="zh-CN"/>
        </w:rPr>
        <w:t>6</w:t>
      </w:r>
      <w:r>
        <w:rPr>
          <w:rFonts w:hint="eastAsia" w:ascii="仿宋" w:hAnsi="仿宋" w:eastAsia="仿宋" w:cs="仿宋"/>
          <w:spacing w:val="8"/>
          <w:sz w:val="24"/>
          <w:szCs w:val="24"/>
          <w:highlight w:val="none"/>
        </w:rPr>
        <w:t>年</w:t>
      </w:r>
      <w:r>
        <w:rPr>
          <w:rFonts w:hint="eastAsia" w:ascii="仿宋" w:hAnsi="仿宋" w:eastAsia="仿宋" w:cs="仿宋"/>
          <w:spacing w:val="8"/>
          <w:sz w:val="24"/>
          <w:szCs w:val="24"/>
          <w:highlight w:val="none"/>
          <w:lang w:val="en-US" w:eastAsia="zh-CN"/>
        </w:rPr>
        <w:t>9</w:t>
      </w:r>
      <w:r>
        <w:rPr>
          <w:rFonts w:hint="eastAsia" w:ascii="仿宋" w:hAnsi="仿宋" w:eastAsia="仿宋" w:cs="仿宋"/>
          <w:spacing w:val="8"/>
          <w:sz w:val="24"/>
          <w:szCs w:val="24"/>
          <w:highlight w:val="none"/>
        </w:rPr>
        <w:t>月</w:t>
      </w:r>
      <w:r>
        <w:rPr>
          <w:rFonts w:hint="eastAsia" w:ascii="仿宋" w:hAnsi="仿宋" w:eastAsia="仿宋" w:cs="仿宋"/>
          <w:spacing w:val="8"/>
          <w:sz w:val="24"/>
          <w:szCs w:val="24"/>
          <w:highlight w:val="none"/>
          <w:lang w:val="en-US" w:eastAsia="zh-CN"/>
        </w:rPr>
        <w:t>8</w:t>
      </w:r>
      <w:r>
        <w:rPr>
          <w:rFonts w:hint="eastAsia" w:ascii="仿宋" w:hAnsi="仿宋" w:eastAsia="仿宋" w:cs="仿宋"/>
          <w:spacing w:val="8"/>
          <w:sz w:val="24"/>
          <w:szCs w:val="24"/>
          <w:highlight w:val="none"/>
        </w:rPr>
        <w:t>日</w:t>
      </w:r>
      <w:r>
        <w:rPr>
          <w:rFonts w:hint="eastAsia" w:ascii="仿宋" w:hAnsi="仿宋" w:eastAsia="仿宋" w:cs="仿宋"/>
          <w:spacing w:val="8"/>
          <w:sz w:val="24"/>
          <w:szCs w:val="24"/>
          <w:highlight w:val="none"/>
          <w:lang w:val="en-US" w:eastAsia="zh-CN"/>
        </w:rPr>
        <w:t>14</w:t>
      </w:r>
      <w:r>
        <w:rPr>
          <w:rFonts w:hint="eastAsia" w:ascii="仿宋" w:hAnsi="仿宋" w:eastAsia="仿宋" w:cs="仿宋"/>
          <w:spacing w:val="8"/>
          <w:sz w:val="24"/>
          <w:szCs w:val="24"/>
          <w:highlight w:val="none"/>
        </w:rPr>
        <w:t>:00:00（北京时间）</w:t>
      </w:r>
    </w:p>
    <w:p w14:paraId="1FDA589C">
      <w:pPr>
        <w:keepNext w:val="0"/>
        <w:keepLines w:val="0"/>
        <w:pageBreakBefore w:val="0"/>
        <w:widowControl/>
        <w:shd w:val="clear" w:color="auto" w:fill="auto"/>
        <w:kinsoku/>
        <w:wordWrap/>
        <w:overflowPunct/>
        <w:topLinePunct w:val="0"/>
        <w:autoSpaceDE/>
        <w:autoSpaceDN/>
        <w:bidi w:val="0"/>
        <w:snapToGrid/>
        <w:spacing w:line="440" w:lineRule="exact"/>
        <w:ind w:firstLine="512" w:firstLineChars="200"/>
        <w:contextualSpacing/>
        <w:textAlignment w:val="auto"/>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2.地点：威海市公共资源交易中心</w:t>
      </w:r>
      <w:r>
        <w:rPr>
          <w:rFonts w:hint="eastAsia" w:ascii="仿宋" w:hAnsi="仿宋" w:eastAsia="仿宋" w:cs="仿宋"/>
          <w:color w:val="auto"/>
          <w:spacing w:val="8"/>
          <w:sz w:val="24"/>
          <w:szCs w:val="24"/>
          <w:highlight w:val="none"/>
        </w:rPr>
        <w:t>交易</w:t>
      </w:r>
      <w:r>
        <w:rPr>
          <w:rFonts w:hint="eastAsia" w:ascii="仿宋" w:hAnsi="仿宋" w:eastAsia="仿宋" w:cs="仿宋"/>
          <w:color w:val="auto"/>
          <w:spacing w:val="8"/>
          <w:sz w:val="24"/>
          <w:szCs w:val="24"/>
          <w:highlight w:val="none"/>
          <w:lang w:val="en-US" w:eastAsia="zh-CN"/>
        </w:rPr>
        <w:t>十</w:t>
      </w:r>
      <w:r>
        <w:rPr>
          <w:rFonts w:hint="eastAsia" w:ascii="仿宋" w:hAnsi="仿宋" w:eastAsia="仿宋" w:cs="仿宋"/>
          <w:color w:val="auto"/>
          <w:spacing w:val="8"/>
          <w:sz w:val="24"/>
          <w:szCs w:val="24"/>
          <w:highlight w:val="none"/>
        </w:rPr>
        <w:t>厅</w:t>
      </w:r>
      <w:r>
        <w:rPr>
          <w:rFonts w:hint="eastAsia" w:ascii="仿宋" w:hAnsi="仿宋" w:eastAsia="仿宋" w:cs="仿宋"/>
          <w:color w:val="0000FF"/>
          <w:spacing w:val="8"/>
          <w:sz w:val="24"/>
          <w:szCs w:val="24"/>
          <w:highlight w:val="none"/>
        </w:rPr>
        <w:t>（</w:t>
      </w:r>
      <w:r>
        <w:rPr>
          <w:rFonts w:hint="eastAsia" w:ascii="仿宋" w:hAnsi="仿宋" w:eastAsia="仿宋" w:cs="仿宋"/>
          <w:spacing w:val="8"/>
          <w:sz w:val="24"/>
          <w:szCs w:val="24"/>
          <w:highlight w:val="none"/>
        </w:rPr>
        <w:t>威海市环翠区塔山中路317号</w:t>
      </w:r>
      <w:r>
        <w:rPr>
          <w:rFonts w:hint="eastAsia" w:ascii="仿宋" w:hAnsi="仿宋" w:eastAsia="仿宋" w:cs="仿宋"/>
          <w:spacing w:val="8"/>
          <w:sz w:val="24"/>
          <w:szCs w:val="24"/>
          <w:highlight w:val="none"/>
          <w:lang w:eastAsia="zh-CN"/>
        </w:rPr>
        <w:t>市政务服务中心四楼</w:t>
      </w:r>
      <w:r>
        <w:rPr>
          <w:rFonts w:hint="eastAsia" w:ascii="仿宋" w:hAnsi="仿宋" w:eastAsia="仿宋" w:cs="仿宋"/>
          <w:spacing w:val="8"/>
          <w:sz w:val="24"/>
          <w:szCs w:val="24"/>
          <w:highlight w:val="none"/>
        </w:rPr>
        <w:t>)</w:t>
      </w:r>
    </w:p>
    <w:p w14:paraId="30F6851E">
      <w:pPr>
        <w:spacing w:line="440" w:lineRule="exact"/>
        <w:ind w:firstLine="482" w:firstLineChars="200"/>
        <w:contextualSpacing/>
        <w:outlineLvl w:val="1"/>
        <w:rPr>
          <w:rFonts w:ascii="仿宋" w:hAnsi="仿宋" w:eastAsia="仿宋" w:cs="仿宋"/>
          <w:sz w:val="24"/>
          <w:szCs w:val="24"/>
          <w:highlight w:val="none"/>
        </w:rPr>
      </w:pPr>
      <w:bookmarkStart w:id="12" w:name="_Toc32728"/>
      <w:r>
        <w:rPr>
          <w:rFonts w:hint="eastAsia" w:ascii="仿宋" w:hAnsi="仿宋" w:eastAsia="仿宋" w:cs="仿宋"/>
          <w:b/>
          <w:bCs/>
          <w:sz w:val="24"/>
          <w:szCs w:val="24"/>
          <w:highlight w:val="none"/>
          <w:lang w:eastAsia="zh-CN"/>
        </w:rPr>
        <w:t>八</w:t>
      </w:r>
      <w:r>
        <w:rPr>
          <w:rFonts w:hint="eastAsia" w:ascii="仿宋" w:hAnsi="仿宋" w:eastAsia="仿宋" w:cs="仿宋"/>
          <w:b/>
          <w:bCs/>
          <w:sz w:val="24"/>
          <w:szCs w:val="24"/>
          <w:highlight w:val="none"/>
        </w:rPr>
        <w:t>、其他补充事宜</w:t>
      </w:r>
      <w:bookmarkEnd w:id="12"/>
    </w:p>
    <w:p w14:paraId="56433D6D">
      <w:pPr>
        <w:keepNext w:val="0"/>
        <w:keepLines w:val="0"/>
        <w:pageBreakBefore w:val="0"/>
        <w:widowControl/>
        <w:shd w:val="clear" w:color="auto" w:fill="auto"/>
        <w:kinsoku/>
        <w:wordWrap/>
        <w:overflowPunct/>
        <w:topLinePunct w:val="0"/>
        <w:autoSpaceDE/>
        <w:autoSpaceDN/>
        <w:bidi w:val="0"/>
        <w:snapToGrid/>
        <w:spacing w:line="410" w:lineRule="exact"/>
        <w:ind w:firstLine="556"/>
        <w:contextualSpacing/>
        <w:jc w:val="left"/>
        <w:textAlignment w:val="auto"/>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1.本项目实行全流程电子化，提交投标文件截止时间前，随时关注威海市公共资源交易网（变更公告栏）内变更提醒。</w:t>
      </w:r>
    </w:p>
    <w:p w14:paraId="33A4CC17">
      <w:pPr>
        <w:spacing w:line="440" w:lineRule="exact"/>
        <w:ind w:firstLine="512" w:firstLineChars="200"/>
        <w:contextualSpacing/>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2.投标人自行准备电脑，提前在个人电脑上进行测试确保音频、视频功能、CA签章功能可正常使用。远程开标，投标人不需到现场参加开标活动；投标人提前熟悉交易系统（新版威海市国有企业阳光采购服务平台供应商用户手册网址：</w:t>
      </w:r>
    </w:p>
    <w:p w14:paraId="199217C0">
      <w:pPr>
        <w:spacing w:line="440" w:lineRule="exact"/>
        <w:contextualSpacing/>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https://ggzyjy.weihai.cn/bszn/005005/20260109/eb4ba418-4b35-4f05-aa69-44fd7d8a7ffb.html），通过交易系统线上参加开标活动，不熟悉系统操作产生的风险由投标人承担。</w:t>
      </w:r>
    </w:p>
    <w:p w14:paraId="3524B6BA">
      <w:pPr>
        <w:spacing w:line="440" w:lineRule="exact"/>
        <w:ind w:firstLine="482" w:firstLineChars="200"/>
        <w:contextualSpacing/>
        <w:outlineLvl w:val="1"/>
        <w:rPr>
          <w:rFonts w:ascii="仿宋" w:hAnsi="仿宋" w:eastAsia="仿宋" w:cs="仿宋"/>
          <w:b/>
          <w:bCs/>
          <w:sz w:val="24"/>
          <w:szCs w:val="24"/>
          <w:highlight w:val="none"/>
        </w:rPr>
      </w:pPr>
      <w:bookmarkStart w:id="13" w:name="_Toc32553"/>
      <w:r>
        <w:rPr>
          <w:rFonts w:hint="eastAsia" w:ascii="仿宋" w:hAnsi="仿宋" w:eastAsia="仿宋" w:cs="仿宋"/>
          <w:b/>
          <w:bCs/>
          <w:sz w:val="24"/>
          <w:szCs w:val="24"/>
          <w:highlight w:val="none"/>
          <w:lang w:eastAsia="zh-CN"/>
        </w:rPr>
        <w:t>九</w:t>
      </w:r>
      <w:r>
        <w:rPr>
          <w:rFonts w:hint="eastAsia" w:ascii="仿宋" w:hAnsi="仿宋" w:eastAsia="仿宋" w:cs="仿宋"/>
          <w:b/>
          <w:bCs/>
          <w:sz w:val="24"/>
          <w:szCs w:val="24"/>
          <w:highlight w:val="none"/>
        </w:rPr>
        <w:t>、对本次招标提出询问，请按以下方式联系</w:t>
      </w:r>
      <w:bookmarkEnd w:id="13"/>
    </w:p>
    <w:p w14:paraId="1971E23F">
      <w:pPr>
        <w:widowControl/>
        <w:shd w:val="clear" w:color="auto" w:fill="auto"/>
        <w:spacing w:line="440" w:lineRule="exact"/>
        <w:ind w:firstLine="512" w:firstLineChars="200"/>
        <w:contextualSpacing/>
        <w:jc w:val="left"/>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1.</w:t>
      </w:r>
      <w:r>
        <w:rPr>
          <w:rFonts w:hint="eastAsia" w:ascii="仿宋" w:hAnsi="仿宋" w:eastAsia="仿宋" w:cs="仿宋"/>
          <w:spacing w:val="8"/>
          <w:sz w:val="24"/>
          <w:szCs w:val="24"/>
          <w:highlight w:val="none"/>
          <w:lang w:eastAsia="zh-CN"/>
        </w:rPr>
        <w:t>招标人</w:t>
      </w:r>
      <w:r>
        <w:rPr>
          <w:rFonts w:hint="eastAsia" w:ascii="仿宋" w:hAnsi="仿宋" w:eastAsia="仿宋" w:cs="仿宋"/>
          <w:spacing w:val="8"/>
          <w:sz w:val="24"/>
          <w:szCs w:val="24"/>
          <w:highlight w:val="none"/>
        </w:rPr>
        <w:t>信息</w:t>
      </w:r>
    </w:p>
    <w:p w14:paraId="163A737C">
      <w:pPr>
        <w:widowControl/>
        <w:shd w:val="clear" w:color="auto" w:fill="auto"/>
        <w:spacing w:line="440" w:lineRule="exact"/>
        <w:ind w:firstLine="512" w:firstLineChars="200"/>
        <w:contextualSpacing/>
        <w:jc w:val="left"/>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rPr>
        <w:t>名    称：</w:t>
      </w:r>
      <w:r>
        <w:rPr>
          <w:rFonts w:hint="eastAsia" w:ascii="仿宋" w:hAnsi="仿宋" w:eastAsia="仿宋" w:cs="仿宋"/>
          <w:spacing w:val="8"/>
          <w:sz w:val="24"/>
          <w:szCs w:val="24"/>
          <w:highlight w:val="none"/>
          <w:lang w:eastAsia="zh-CN"/>
        </w:rPr>
        <w:t>威海临港城市建设投资有限公司</w:t>
      </w:r>
    </w:p>
    <w:p w14:paraId="352B8E5C">
      <w:pPr>
        <w:widowControl/>
        <w:shd w:val="clear" w:color="auto" w:fill="auto"/>
        <w:spacing w:line="440" w:lineRule="exact"/>
        <w:ind w:firstLine="512" w:firstLineChars="200"/>
        <w:contextualSpacing/>
        <w:jc w:val="left"/>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rPr>
        <w:t>地    址：</w:t>
      </w:r>
      <w:r>
        <w:rPr>
          <w:rFonts w:hint="eastAsia" w:ascii="仿宋" w:hAnsi="仿宋" w:eastAsia="仿宋" w:cs="仿宋"/>
          <w:spacing w:val="8"/>
          <w:sz w:val="24"/>
          <w:szCs w:val="24"/>
          <w:highlight w:val="none"/>
          <w:lang w:eastAsia="zh-CN"/>
        </w:rPr>
        <w:t>威海临港经济技术开发区</w:t>
      </w:r>
    </w:p>
    <w:p w14:paraId="689A0A86">
      <w:pPr>
        <w:widowControl/>
        <w:shd w:val="clear" w:color="auto" w:fill="auto"/>
        <w:spacing w:line="440" w:lineRule="exact"/>
        <w:ind w:firstLine="512" w:firstLineChars="200"/>
        <w:contextualSpacing/>
        <w:jc w:val="left"/>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rPr>
        <w:t>联 系 人：</w:t>
      </w:r>
      <w:r>
        <w:rPr>
          <w:rFonts w:hint="eastAsia" w:ascii="仿宋" w:hAnsi="仿宋" w:eastAsia="仿宋" w:cs="仿宋"/>
          <w:spacing w:val="8"/>
          <w:sz w:val="24"/>
          <w:szCs w:val="24"/>
          <w:highlight w:val="none"/>
          <w:lang w:val="en-US" w:eastAsia="zh-CN"/>
        </w:rPr>
        <w:t>邵圣然</w:t>
      </w:r>
    </w:p>
    <w:p w14:paraId="199459DE">
      <w:pPr>
        <w:widowControl/>
        <w:shd w:val="clear" w:color="auto" w:fill="auto"/>
        <w:spacing w:line="440" w:lineRule="exact"/>
        <w:ind w:firstLine="512" w:firstLineChars="200"/>
        <w:contextualSpacing/>
        <w:jc w:val="left"/>
        <w:rPr>
          <w:rFonts w:hint="default" w:ascii="仿宋" w:hAnsi="仿宋" w:eastAsia="仿宋" w:cs="仿宋"/>
          <w:spacing w:val="8"/>
          <w:sz w:val="24"/>
          <w:szCs w:val="24"/>
          <w:highlight w:val="none"/>
          <w:lang w:val="en-US" w:eastAsia="zh-CN"/>
        </w:rPr>
      </w:pPr>
      <w:r>
        <w:rPr>
          <w:rFonts w:hint="eastAsia" w:ascii="仿宋" w:hAnsi="仿宋" w:eastAsia="仿宋" w:cs="仿宋"/>
          <w:spacing w:val="8"/>
          <w:sz w:val="24"/>
          <w:szCs w:val="24"/>
          <w:highlight w:val="none"/>
        </w:rPr>
        <w:t>联系方式：</w:t>
      </w:r>
      <w:r>
        <w:rPr>
          <w:rFonts w:hint="eastAsia" w:ascii="仿宋" w:hAnsi="仿宋" w:eastAsia="仿宋" w:cs="仿宋"/>
          <w:sz w:val="24"/>
          <w:szCs w:val="24"/>
          <w:highlight w:val="none"/>
          <w:lang w:eastAsia="zh-CN"/>
        </w:rPr>
        <w:t>0631-55833</w:t>
      </w:r>
      <w:r>
        <w:rPr>
          <w:rFonts w:hint="eastAsia" w:ascii="仿宋" w:hAnsi="仿宋" w:eastAsia="仿宋" w:cs="仿宋"/>
          <w:sz w:val="24"/>
          <w:szCs w:val="24"/>
          <w:highlight w:val="none"/>
          <w:lang w:val="en-US" w:eastAsia="zh-CN"/>
        </w:rPr>
        <w:t>65</w:t>
      </w:r>
    </w:p>
    <w:p w14:paraId="002D0DF3">
      <w:pPr>
        <w:widowControl/>
        <w:shd w:val="clear" w:color="auto" w:fill="auto"/>
        <w:spacing w:line="440" w:lineRule="exact"/>
        <w:ind w:firstLine="512" w:firstLineChars="200"/>
        <w:contextualSpacing/>
        <w:jc w:val="left"/>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2.</w:t>
      </w:r>
      <w:r>
        <w:rPr>
          <w:rFonts w:hint="eastAsia" w:ascii="仿宋" w:hAnsi="仿宋" w:eastAsia="仿宋" w:cs="仿宋"/>
          <w:spacing w:val="8"/>
          <w:sz w:val="24"/>
          <w:szCs w:val="24"/>
          <w:highlight w:val="none"/>
          <w:lang w:val="en-US" w:eastAsia="zh-CN"/>
        </w:rPr>
        <w:t>招标</w:t>
      </w:r>
      <w:r>
        <w:rPr>
          <w:rFonts w:hint="eastAsia" w:ascii="仿宋" w:hAnsi="仿宋" w:eastAsia="仿宋" w:cs="仿宋"/>
          <w:spacing w:val="8"/>
          <w:sz w:val="24"/>
          <w:szCs w:val="24"/>
          <w:highlight w:val="none"/>
        </w:rPr>
        <w:t>代理机构信息</w:t>
      </w:r>
    </w:p>
    <w:p w14:paraId="241AA718">
      <w:pPr>
        <w:widowControl/>
        <w:adjustRightInd w:val="0"/>
        <w:spacing w:line="440" w:lineRule="exact"/>
        <w:ind w:firstLine="512" w:firstLineChars="200"/>
        <w:contextualSpacing/>
        <w:jc w:val="left"/>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名    称：山东富尔工程咨询管理有限公司</w:t>
      </w:r>
    </w:p>
    <w:p w14:paraId="15E13E97">
      <w:pPr>
        <w:widowControl/>
        <w:adjustRightInd w:val="0"/>
        <w:spacing w:line="440" w:lineRule="exact"/>
        <w:ind w:firstLine="512" w:firstLineChars="200"/>
        <w:contextualSpacing/>
        <w:jc w:val="left"/>
        <w:rPr>
          <w:rFonts w:hint="eastAsia" w:ascii="仿宋" w:hAnsi="仿宋" w:eastAsia="仿宋" w:cs="仿宋"/>
          <w:spacing w:val="8"/>
          <w:sz w:val="24"/>
          <w:szCs w:val="24"/>
          <w:highlight w:val="none"/>
        </w:rPr>
      </w:pPr>
      <w:r>
        <w:rPr>
          <w:rFonts w:hint="eastAsia" w:ascii="仿宋" w:hAnsi="仿宋" w:eastAsia="仿宋" w:cs="仿宋"/>
          <w:spacing w:val="8"/>
          <w:sz w:val="24"/>
          <w:szCs w:val="24"/>
          <w:highlight w:val="none"/>
        </w:rPr>
        <w:t>地    址：威海市古寨东路315号</w:t>
      </w:r>
    </w:p>
    <w:p w14:paraId="582B78B8">
      <w:pPr>
        <w:widowControl/>
        <w:adjustRightInd w:val="0"/>
        <w:spacing w:line="440" w:lineRule="exact"/>
        <w:ind w:firstLine="512" w:firstLineChars="200"/>
        <w:contextualSpacing/>
        <w:jc w:val="left"/>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rPr>
        <w:t>联 系 人：</w:t>
      </w:r>
      <w:r>
        <w:rPr>
          <w:rFonts w:hint="eastAsia" w:ascii="仿宋" w:hAnsi="仿宋" w:eastAsia="仿宋" w:cs="仿宋"/>
          <w:spacing w:val="8"/>
          <w:sz w:val="24"/>
          <w:szCs w:val="24"/>
          <w:highlight w:val="none"/>
          <w:lang w:eastAsia="zh-CN"/>
        </w:rPr>
        <w:t>王晓静</w:t>
      </w:r>
    </w:p>
    <w:p w14:paraId="562E8DDC">
      <w:pPr>
        <w:widowControl/>
        <w:adjustRightInd w:val="0"/>
        <w:spacing w:line="440" w:lineRule="exact"/>
        <w:ind w:firstLine="512" w:firstLineChars="200"/>
        <w:contextualSpacing/>
        <w:jc w:val="left"/>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联系电话：0631-5896358</w:t>
      </w:r>
    </w:p>
    <w:p w14:paraId="2E9F49EA">
      <w:pPr>
        <w:widowControl/>
        <w:adjustRightInd w:val="0"/>
        <w:spacing w:line="440" w:lineRule="exact"/>
        <w:ind w:firstLine="512" w:firstLineChars="200"/>
        <w:contextualSpacing/>
        <w:jc w:val="left"/>
        <w:rPr>
          <w:rFonts w:ascii="仿宋" w:hAnsi="仿宋" w:eastAsia="仿宋" w:cs="仿宋"/>
          <w:spacing w:val="8"/>
          <w:sz w:val="24"/>
          <w:szCs w:val="24"/>
          <w:highlight w:val="none"/>
        </w:rPr>
      </w:pPr>
      <w:r>
        <w:rPr>
          <w:rFonts w:hint="eastAsia" w:ascii="仿宋" w:hAnsi="仿宋" w:eastAsia="仿宋" w:cs="仿宋"/>
          <w:spacing w:val="8"/>
          <w:sz w:val="24"/>
          <w:szCs w:val="24"/>
          <w:highlight w:val="none"/>
        </w:rPr>
        <w:t>电子邮箱：</w:t>
      </w:r>
      <w:r>
        <w:rPr>
          <w:rFonts w:hint="eastAsia" w:ascii="仿宋" w:hAnsi="仿宋" w:eastAsia="仿宋" w:cs="仿宋"/>
          <w:spacing w:val="8"/>
          <w:sz w:val="24"/>
          <w:szCs w:val="24"/>
          <w:highlight w:val="none"/>
        </w:rPr>
        <w:fldChar w:fldCharType="begin"/>
      </w:r>
      <w:r>
        <w:rPr>
          <w:rFonts w:hint="eastAsia" w:ascii="仿宋" w:hAnsi="仿宋" w:eastAsia="仿宋" w:cs="仿宋"/>
          <w:spacing w:val="8"/>
          <w:sz w:val="24"/>
          <w:szCs w:val="24"/>
          <w:highlight w:val="none"/>
        </w:rPr>
        <w:instrText xml:space="preserve"> HYPERLINK "mailto:sdfull@126.com" </w:instrText>
      </w:r>
      <w:r>
        <w:rPr>
          <w:rFonts w:hint="eastAsia" w:ascii="仿宋" w:hAnsi="仿宋" w:eastAsia="仿宋" w:cs="仿宋"/>
          <w:spacing w:val="8"/>
          <w:sz w:val="24"/>
          <w:szCs w:val="24"/>
          <w:highlight w:val="none"/>
        </w:rPr>
        <w:fldChar w:fldCharType="separate"/>
      </w:r>
      <w:r>
        <w:rPr>
          <w:rStyle w:val="54"/>
          <w:rFonts w:hint="eastAsia" w:ascii="仿宋" w:hAnsi="仿宋" w:eastAsia="仿宋" w:cs="仿宋"/>
          <w:color w:val="auto"/>
          <w:spacing w:val="8"/>
          <w:sz w:val="24"/>
          <w:szCs w:val="24"/>
          <w:highlight w:val="none"/>
          <w:lang w:eastAsia="zh-CN"/>
        </w:rPr>
        <w:t>sdfullzb@163.com</w:t>
      </w:r>
      <w:r>
        <w:rPr>
          <w:rFonts w:hint="eastAsia" w:ascii="仿宋" w:hAnsi="仿宋" w:eastAsia="仿宋" w:cs="仿宋"/>
          <w:spacing w:val="8"/>
          <w:sz w:val="24"/>
          <w:szCs w:val="24"/>
          <w:highlight w:val="none"/>
        </w:rPr>
        <w:fldChar w:fldCharType="end"/>
      </w:r>
    </w:p>
    <w:p w14:paraId="73927A54">
      <w:pPr>
        <w:widowControl/>
        <w:adjustRightInd w:val="0"/>
        <w:spacing w:line="440" w:lineRule="exact"/>
        <w:ind w:firstLine="482" w:firstLineChars="200"/>
        <w:contextualSpacing/>
        <w:jc w:val="left"/>
        <w:outlineLvl w:val="1"/>
        <w:rPr>
          <w:rFonts w:ascii="仿宋" w:hAnsi="仿宋" w:eastAsia="仿宋" w:cs="仿宋"/>
          <w:b/>
          <w:bCs/>
          <w:sz w:val="24"/>
          <w:szCs w:val="24"/>
          <w:highlight w:val="none"/>
        </w:rPr>
      </w:pPr>
      <w:bookmarkStart w:id="14" w:name="_Toc5849"/>
      <w:r>
        <w:rPr>
          <w:rFonts w:hint="eastAsia" w:ascii="仿宋" w:hAnsi="仿宋" w:eastAsia="仿宋" w:cs="仿宋"/>
          <w:b/>
          <w:bCs/>
          <w:sz w:val="24"/>
          <w:szCs w:val="24"/>
          <w:highlight w:val="none"/>
          <w:lang w:eastAsia="zh-CN"/>
        </w:rPr>
        <w:t>十</w:t>
      </w:r>
      <w:r>
        <w:rPr>
          <w:rFonts w:hint="eastAsia" w:ascii="仿宋" w:hAnsi="仿宋" w:eastAsia="仿宋" w:cs="仿宋"/>
          <w:b/>
          <w:bCs/>
          <w:sz w:val="24"/>
          <w:szCs w:val="24"/>
          <w:highlight w:val="none"/>
        </w:rPr>
        <w:t>、发布公告的媒介</w:t>
      </w:r>
      <w:bookmarkEnd w:id="14"/>
    </w:p>
    <w:p w14:paraId="5F283E1D">
      <w:pPr>
        <w:spacing w:line="440" w:lineRule="exact"/>
        <w:ind w:firstLine="512" w:firstLineChars="200"/>
        <w:contextualSpacing/>
        <w:jc w:val="left"/>
        <w:rPr>
          <w:rFonts w:hint="eastAsia" w:ascii="仿宋" w:hAnsi="仿宋" w:eastAsia="仿宋" w:cs="仿宋"/>
          <w:spacing w:val="8"/>
          <w:sz w:val="24"/>
          <w:szCs w:val="24"/>
          <w:highlight w:val="none"/>
        </w:rPr>
      </w:pPr>
      <w:bookmarkStart w:id="15" w:name="_Toc39827101"/>
      <w:bookmarkStart w:id="16" w:name="_Toc38213886"/>
      <w:bookmarkStart w:id="17" w:name="_Toc39827536"/>
      <w:bookmarkStart w:id="18" w:name="_Toc39827471"/>
      <w:r>
        <w:rPr>
          <w:rFonts w:hint="eastAsia" w:ascii="仿宋" w:hAnsi="仿宋" w:eastAsia="仿宋" w:cs="仿宋"/>
          <w:spacing w:val="8"/>
          <w:sz w:val="24"/>
          <w:szCs w:val="24"/>
          <w:highlight w:val="none"/>
        </w:rPr>
        <w:t>本次公告在中国招标投标公共服务平台（www.cebpubservice.com）、威海市公共资源交易网（http://ggzyjy.weihai.cn/）上发布。</w:t>
      </w:r>
      <w:bookmarkEnd w:id="15"/>
      <w:bookmarkEnd w:id="16"/>
      <w:bookmarkEnd w:id="17"/>
      <w:bookmarkEnd w:id="18"/>
    </w:p>
    <w:p w14:paraId="4BFA7445">
      <w:pPr>
        <w:spacing w:line="440" w:lineRule="exact"/>
        <w:ind w:firstLine="3720" w:firstLineChars="1550"/>
        <w:contextualSpacing/>
        <w:jc w:val="right"/>
        <w:rPr>
          <w:rFonts w:ascii="仿宋" w:hAnsi="仿宋" w:eastAsia="仿宋" w:cs="仿宋"/>
          <w:sz w:val="24"/>
          <w:szCs w:val="24"/>
          <w:highlight w:val="none"/>
        </w:rPr>
      </w:pPr>
      <w:r>
        <w:rPr>
          <w:rFonts w:hint="eastAsia" w:ascii="仿宋" w:hAnsi="仿宋" w:eastAsia="仿宋" w:cs="仿宋"/>
          <w:sz w:val="24"/>
          <w:szCs w:val="24"/>
          <w:highlight w:val="none"/>
        </w:rPr>
        <w:t>发布人：</w:t>
      </w:r>
      <w:r>
        <w:rPr>
          <w:rFonts w:hint="eastAsia" w:ascii="仿宋" w:hAnsi="仿宋" w:eastAsia="仿宋" w:cs="仿宋"/>
          <w:spacing w:val="8"/>
          <w:sz w:val="24"/>
          <w:szCs w:val="24"/>
          <w:highlight w:val="none"/>
        </w:rPr>
        <w:t>山东富尔工程咨询管理有限公司</w:t>
      </w:r>
    </w:p>
    <w:p w14:paraId="5BBB7E0F">
      <w:pPr>
        <w:widowControl/>
        <w:adjustRightInd w:val="0"/>
        <w:spacing w:line="440" w:lineRule="exact"/>
        <w:ind w:left="-240"/>
        <w:contextualSpacing/>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发布时间：202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pacing w:val="8"/>
          <w:sz w:val="24"/>
          <w:szCs w:val="24"/>
          <w:highlight w:val="none"/>
          <w:lang w:val="en-US" w:eastAsia="zh-CN"/>
        </w:rPr>
        <w:t>8</w:t>
      </w:r>
      <w:r>
        <w:rPr>
          <w:rFonts w:hint="eastAsia" w:ascii="仿宋" w:hAnsi="仿宋" w:eastAsia="仿宋" w:cs="仿宋"/>
          <w:sz w:val="24"/>
          <w:szCs w:val="24"/>
          <w:highlight w:val="none"/>
        </w:rPr>
        <w:t>月</w:t>
      </w:r>
      <w:r>
        <w:rPr>
          <w:rFonts w:hint="eastAsia" w:ascii="仿宋" w:hAnsi="仿宋" w:eastAsia="仿宋" w:cs="仿宋"/>
          <w:spacing w:val="8"/>
          <w:sz w:val="24"/>
          <w:szCs w:val="24"/>
          <w:highlight w:val="none"/>
          <w:lang w:val="en-US" w:eastAsia="zh-CN"/>
        </w:rPr>
        <w:t>31</w:t>
      </w:r>
      <w:r>
        <w:rPr>
          <w:rFonts w:hint="eastAsia" w:ascii="仿宋" w:hAnsi="仿宋" w:eastAsia="仿宋" w:cs="仿宋"/>
          <w:sz w:val="24"/>
          <w:szCs w:val="24"/>
          <w:highlight w:val="none"/>
        </w:rPr>
        <w:t>日</w:t>
      </w:r>
    </w:p>
    <w:p w14:paraId="56E7D9E4">
      <w:pPr>
        <w:pStyle w:val="37"/>
        <w:rPr>
          <w:highlight w:val="none"/>
        </w:rPr>
      </w:pPr>
    </w:p>
    <w:p w14:paraId="3A92F96C">
      <w:pPr>
        <w:numPr>
          <w:ilvl w:val="0"/>
          <w:numId w:val="0"/>
        </w:numPr>
        <w:jc w:val="center"/>
        <w:outlineLvl w:val="0"/>
        <w:rPr>
          <w:rStyle w:val="126"/>
          <w:rFonts w:hint="eastAsia"/>
          <w:highlight w:val="none"/>
        </w:rPr>
      </w:pPr>
      <w:bookmarkStart w:id="19" w:name="_Toc13203"/>
      <w:bookmarkStart w:id="20" w:name="_Toc29115"/>
      <w:r>
        <w:rPr>
          <w:rFonts w:ascii="仿宋" w:hAnsi="仿宋" w:eastAsia="仿宋" w:cs="仿宋"/>
          <w:b/>
          <w:bCs/>
          <w:sz w:val="24"/>
          <w:szCs w:val="24"/>
          <w:highlight w:val="none"/>
        </w:rPr>
        <w:br w:type="page"/>
      </w:r>
      <w:r>
        <w:rPr>
          <w:rStyle w:val="126"/>
          <w:rFonts w:hint="eastAsia"/>
          <w:highlight w:val="none"/>
        </w:rPr>
        <w:t>第</w:t>
      </w:r>
      <w:r>
        <w:rPr>
          <w:rStyle w:val="126"/>
          <w:rFonts w:hint="eastAsia"/>
          <w:highlight w:val="none"/>
          <w:lang w:val="en-US" w:eastAsia="zh-CN"/>
        </w:rPr>
        <w:t>二</w:t>
      </w:r>
      <w:r>
        <w:rPr>
          <w:rStyle w:val="126"/>
          <w:rFonts w:hint="eastAsia"/>
          <w:highlight w:val="none"/>
        </w:rPr>
        <w:t>部分 投标须知</w:t>
      </w:r>
      <w:bookmarkEnd w:id="19"/>
      <w:bookmarkEnd w:id="20"/>
    </w:p>
    <w:p w14:paraId="0FEB294E">
      <w:pPr>
        <w:jc w:val="center"/>
        <w:rPr>
          <w:rFonts w:ascii="仿宋" w:hAnsi="仿宋" w:eastAsia="仿宋" w:cs="仿宋"/>
          <w:sz w:val="24"/>
          <w:szCs w:val="24"/>
          <w:highlight w:val="none"/>
        </w:rPr>
      </w:pPr>
      <w:r>
        <w:rPr>
          <w:rFonts w:hint="eastAsia" w:ascii="仿宋" w:hAnsi="仿宋" w:eastAsia="仿宋" w:cs="仿宋"/>
          <w:b/>
          <w:bCs/>
          <w:sz w:val="30"/>
          <w:szCs w:val="30"/>
          <w:highlight w:val="none"/>
        </w:rPr>
        <w:t>投标须知前附表</w:t>
      </w:r>
    </w:p>
    <w:tbl>
      <w:tblPr>
        <w:tblStyle w:val="43"/>
        <w:tblW w:w="946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32"/>
        <w:gridCol w:w="1761"/>
        <w:gridCol w:w="6774"/>
      </w:tblGrid>
      <w:tr w14:paraId="69D586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32" w:type="dxa"/>
            <w:tcBorders>
              <w:top w:val="single" w:color="auto" w:sz="4" w:space="0"/>
              <w:bottom w:val="single" w:color="auto" w:sz="4" w:space="0"/>
              <w:right w:val="single" w:color="auto" w:sz="4" w:space="0"/>
            </w:tcBorders>
            <w:noWrap w:val="0"/>
            <w:vAlign w:val="center"/>
          </w:tcPr>
          <w:p w14:paraId="3AFE9F6A">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5BD28C06">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项    目</w:t>
            </w:r>
          </w:p>
        </w:tc>
        <w:tc>
          <w:tcPr>
            <w:tcW w:w="6774" w:type="dxa"/>
            <w:tcBorders>
              <w:top w:val="single" w:color="auto" w:sz="4" w:space="0"/>
              <w:left w:val="single" w:color="auto" w:sz="4" w:space="0"/>
              <w:bottom w:val="single" w:color="auto" w:sz="4" w:space="0"/>
            </w:tcBorders>
            <w:noWrap w:val="0"/>
            <w:vAlign w:val="center"/>
          </w:tcPr>
          <w:p w14:paraId="597AA851">
            <w:pPr>
              <w:snapToGrid w:val="0"/>
              <w:spacing w:line="400" w:lineRule="exact"/>
              <w:ind w:left="57" w:firstLine="482" w:firstLineChars="201"/>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内           容</w:t>
            </w:r>
          </w:p>
        </w:tc>
      </w:tr>
      <w:tr w14:paraId="644175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932" w:type="dxa"/>
            <w:tcBorders>
              <w:top w:val="single" w:color="auto" w:sz="4" w:space="0"/>
              <w:bottom w:val="single" w:color="auto" w:sz="4" w:space="0"/>
              <w:right w:val="single" w:color="auto" w:sz="4" w:space="0"/>
            </w:tcBorders>
            <w:noWrap w:val="0"/>
            <w:vAlign w:val="center"/>
          </w:tcPr>
          <w:p w14:paraId="68C93EBB">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462FB44C">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p>
        </w:tc>
        <w:tc>
          <w:tcPr>
            <w:tcW w:w="6774" w:type="dxa"/>
            <w:tcBorders>
              <w:top w:val="single" w:color="auto" w:sz="4" w:space="0"/>
              <w:left w:val="single" w:color="auto" w:sz="4" w:space="0"/>
              <w:bottom w:val="single" w:color="auto" w:sz="4" w:space="0"/>
            </w:tcBorders>
            <w:noWrap w:val="0"/>
            <w:vAlign w:val="center"/>
          </w:tcPr>
          <w:p w14:paraId="45E00674">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临港区学校隔离设施（护学通道）改造工程</w:t>
            </w:r>
          </w:p>
        </w:tc>
      </w:tr>
      <w:tr w14:paraId="4402E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3" w:hRule="atLeast"/>
          <w:jc w:val="center"/>
        </w:trPr>
        <w:tc>
          <w:tcPr>
            <w:tcW w:w="932" w:type="dxa"/>
            <w:tcBorders>
              <w:top w:val="single" w:color="auto" w:sz="4" w:space="0"/>
              <w:bottom w:val="single" w:color="auto" w:sz="4" w:space="0"/>
              <w:right w:val="single" w:color="auto" w:sz="4" w:space="0"/>
            </w:tcBorders>
            <w:noWrap w:val="0"/>
            <w:vAlign w:val="center"/>
          </w:tcPr>
          <w:p w14:paraId="46384C6E">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011C87D2">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编号</w:t>
            </w:r>
          </w:p>
        </w:tc>
        <w:tc>
          <w:tcPr>
            <w:tcW w:w="6774" w:type="dxa"/>
            <w:tcBorders>
              <w:top w:val="single" w:color="auto" w:sz="4" w:space="0"/>
              <w:left w:val="single" w:color="auto" w:sz="4" w:space="0"/>
              <w:bottom w:val="single" w:color="auto" w:sz="4" w:space="0"/>
            </w:tcBorders>
            <w:noWrap w:val="0"/>
            <w:vAlign w:val="center"/>
          </w:tcPr>
          <w:p w14:paraId="5976BD78">
            <w:pPr>
              <w:snapToGrid w:val="0"/>
              <w:spacing w:line="400" w:lineRule="exact"/>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LGCT2026-12</w:t>
            </w:r>
          </w:p>
        </w:tc>
      </w:tr>
      <w:tr w14:paraId="73545C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00" w:hRule="atLeast"/>
          <w:jc w:val="center"/>
        </w:trPr>
        <w:tc>
          <w:tcPr>
            <w:tcW w:w="932" w:type="dxa"/>
            <w:tcBorders>
              <w:top w:val="single" w:color="auto" w:sz="4" w:space="0"/>
              <w:bottom w:val="single" w:color="auto" w:sz="4" w:space="0"/>
              <w:right w:val="single" w:color="auto" w:sz="4" w:space="0"/>
            </w:tcBorders>
            <w:noWrap w:val="0"/>
            <w:vAlign w:val="center"/>
          </w:tcPr>
          <w:p w14:paraId="0F62CFE1">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22286E67">
            <w:pPr>
              <w:snapToGrid w:val="0"/>
              <w:spacing w:line="400" w:lineRule="exact"/>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招标人</w:t>
            </w:r>
          </w:p>
        </w:tc>
        <w:tc>
          <w:tcPr>
            <w:tcW w:w="6774" w:type="dxa"/>
            <w:tcBorders>
              <w:top w:val="single" w:color="auto" w:sz="4" w:space="0"/>
              <w:left w:val="single" w:color="auto" w:sz="4" w:space="0"/>
              <w:bottom w:val="single" w:color="auto" w:sz="4" w:space="0"/>
            </w:tcBorders>
            <w:noWrap w:val="0"/>
            <w:vAlign w:val="bottom"/>
          </w:tcPr>
          <w:p w14:paraId="68451E6D">
            <w:pPr>
              <w:snapToGrid w:val="0"/>
              <w:spacing w:line="400" w:lineRule="exact"/>
              <w:jc w:val="left"/>
              <w:rPr>
                <w:rFonts w:hint="eastAsia" w:ascii="仿宋" w:hAnsi="仿宋" w:eastAsia="仿宋" w:cs="仿宋"/>
                <w:spacing w:val="8"/>
                <w:sz w:val="24"/>
                <w:szCs w:val="24"/>
                <w:highlight w:val="none"/>
                <w:lang w:eastAsia="zh-CN"/>
              </w:rPr>
            </w:pPr>
            <w:r>
              <w:rPr>
                <w:rFonts w:hint="eastAsia" w:ascii="仿宋" w:hAnsi="仿宋" w:eastAsia="仿宋" w:cs="仿宋"/>
                <w:sz w:val="24"/>
                <w:szCs w:val="24"/>
                <w:highlight w:val="none"/>
              </w:rPr>
              <w:t>名称：</w:t>
            </w:r>
            <w:r>
              <w:rPr>
                <w:rFonts w:hint="eastAsia" w:ascii="仿宋" w:hAnsi="仿宋" w:eastAsia="仿宋" w:cs="仿宋"/>
                <w:spacing w:val="8"/>
                <w:sz w:val="24"/>
                <w:szCs w:val="24"/>
                <w:highlight w:val="none"/>
                <w:lang w:eastAsia="zh-CN"/>
              </w:rPr>
              <w:t>威海临港城市建设投资有限公司</w:t>
            </w:r>
          </w:p>
          <w:p w14:paraId="4758C4EB">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地址：</w:t>
            </w:r>
            <w:r>
              <w:rPr>
                <w:rFonts w:hint="eastAsia" w:ascii="仿宋" w:hAnsi="仿宋" w:eastAsia="仿宋" w:cs="仿宋"/>
                <w:sz w:val="24"/>
                <w:szCs w:val="24"/>
                <w:highlight w:val="none"/>
                <w:lang w:eastAsia="zh-CN"/>
              </w:rPr>
              <w:t>威海临港经济技术开发区</w:t>
            </w:r>
          </w:p>
          <w:p w14:paraId="3DD4DF02">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联系人：邵圣然</w:t>
            </w:r>
          </w:p>
          <w:p w14:paraId="740D8009">
            <w:pPr>
              <w:snapToGrid w:val="0"/>
              <w:spacing w:line="400" w:lineRule="exact"/>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lang w:eastAsia="zh-CN"/>
              </w:rPr>
              <w:t>0631-55833</w:t>
            </w:r>
            <w:r>
              <w:rPr>
                <w:rFonts w:hint="eastAsia" w:ascii="仿宋" w:hAnsi="仿宋" w:eastAsia="仿宋" w:cs="仿宋"/>
                <w:sz w:val="24"/>
                <w:szCs w:val="24"/>
                <w:highlight w:val="none"/>
                <w:lang w:val="en-US" w:eastAsia="zh-CN"/>
              </w:rPr>
              <w:t>65</w:t>
            </w:r>
          </w:p>
        </w:tc>
      </w:tr>
      <w:tr w14:paraId="3E0CCE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932" w:type="dxa"/>
            <w:tcBorders>
              <w:top w:val="single" w:color="auto" w:sz="4" w:space="0"/>
              <w:bottom w:val="single" w:color="auto" w:sz="4" w:space="0"/>
              <w:right w:val="single" w:color="auto" w:sz="4" w:space="0"/>
            </w:tcBorders>
            <w:noWrap w:val="0"/>
            <w:vAlign w:val="center"/>
          </w:tcPr>
          <w:p w14:paraId="4A9D1118">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7CC02CB1">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代理机构</w:t>
            </w:r>
          </w:p>
        </w:tc>
        <w:tc>
          <w:tcPr>
            <w:tcW w:w="6774" w:type="dxa"/>
            <w:tcBorders>
              <w:top w:val="single" w:color="auto" w:sz="4" w:space="0"/>
              <w:left w:val="single" w:color="auto" w:sz="4" w:space="0"/>
              <w:bottom w:val="single" w:color="auto" w:sz="4" w:space="0"/>
            </w:tcBorders>
            <w:noWrap w:val="0"/>
            <w:vAlign w:val="center"/>
          </w:tcPr>
          <w:p w14:paraId="20726298">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名称：山东富尔工程咨询管理有限公司</w:t>
            </w:r>
          </w:p>
          <w:p w14:paraId="74924796">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地址：威海市古寨东路315号</w:t>
            </w:r>
          </w:p>
          <w:p w14:paraId="1E529AED">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联系人：</w:t>
            </w:r>
            <w:r>
              <w:rPr>
                <w:rFonts w:hint="eastAsia" w:ascii="仿宋" w:hAnsi="仿宋" w:eastAsia="仿宋" w:cs="仿宋"/>
                <w:sz w:val="24"/>
                <w:szCs w:val="24"/>
                <w:highlight w:val="none"/>
                <w:lang w:eastAsia="zh-CN"/>
              </w:rPr>
              <w:t>王晓静</w:t>
            </w:r>
          </w:p>
          <w:p w14:paraId="6B24A161">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pacing w:val="8"/>
                <w:sz w:val="24"/>
                <w:szCs w:val="24"/>
                <w:highlight w:val="none"/>
              </w:rPr>
              <w:t>联系方式：</w:t>
            </w:r>
            <w:r>
              <w:rPr>
                <w:rFonts w:hint="eastAsia" w:ascii="仿宋" w:hAnsi="仿宋" w:eastAsia="仿宋" w:cs="仿宋"/>
                <w:sz w:val="24"/>
                <w:szCs w:val="24"/>
                <w:highlight w:val="none"/>
              </w:rPr>
              <w:t>0631-5896358</w:t>
            </w:r>
          </w:p>
        </w:tc>
      </w:tr>
      <w:tr w14:paraId="5CB4E6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932" w:type="dxa"/>
            <w:tcBorders>
              <w:top w:val="single" w:color="auto" w:sz="4" w:space="0"/>
              <w:bottom w:val="single" w:color="auto" w:sz="4" w:space="0"/>
              <w:right w:val="single" w:color="auto" w:sz="4" w:space="0"/>
            </w:tcBorders>
            <w:noWrap w:val="0"/>
            <w:vAlign w:val="center"/>
          </w:tcPr>
          <w:p w14:paraId="58F54F08">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170AC21F">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资金来源</w:t>
            </w:r>
          </w:p>
          <w:p w14:paraId="45C9D860">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及比例</w:t>
            </w:r>
          </w:p>
        </w:tc>
        <w:tc>
          <w:tcPr>
            <w:tcW w:w="6774" w:type="dxa"/>
            <w:tcBorders>
              <w:top w:val="single" w:color="auto" w:sz="4" w:space="0"/>
              <w:left w:val="single" w:color="auto" w:sz="4" w:space="0"/>
              <w:bottom w:val="single" w:color="auto" w:sz="4" w:space="0"/>
            </w:tcBorders>
            <w:noWrap w:val="0"/>
            <w:vAlign w:val="center"/>
          </w:tcPr>
          <w:p w14:paraId="0FFC7257">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财政</w:t>
            </w:r>
            <w:r>
              <w:rPr>
                <w:rFonts w:hint="eastAsia" w:ascii="仿宋" w:hAnsi="仿宋" w:eastAsia="仿宋" w:cs="仿宋"/>
                <w:sz w:val="24"/>
                <w:szCs w:val="24"/>
                <w:highlight w:val="none"/>
              </w:rPr>
              <w:t>资金</w:t>
            </w:r>
          </w:p>
        </w:tc>
      </w:tr>
      <w:tr w14:paraId="7D7E45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932" w:type="dxa"/>
            <w:tcBorders>
              <w:top w:val="single" w:color="auto" w:sz="4" w:space="0"/>
              <w:bottom w:val="single" w:color="auto" w:sz="4" w:space="0"/>
              <w:right w:val="single" w:color="auto" w:sz="4" w:space="0"/>
            </w:tcBorders>
            <w:noWrap w:val="0"/>
            <w:vAlign w:val="center"/>
          </w:tcPr>
          <w:p w14:paraId="7369D309">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38D14D13">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资金落实情况</w:t>
            </w:r>
          </w:p>
        </w:tc>
        <w:tc>
          <w:tcPr>
            <w:tcW w:w="6774" w:type="dxa"/>
            <w:tcBorders>
              <w:top w:val="single" w:color="auto" w:sz="4" w:space="0"/>
              <w:left w:val="single" w:color="auto" w:sz="4" w:space="0"/>
              <w:bottom w:val="single" w:color="auto" w:sz="4" w:space="0"/>
            </w:tcBorders>
            <w:noWrap w:val="0"/>
            <w:vAlign w:val="center"/>
          </w:tcPr>
          <w:p w14:paraId="432EB738">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已落实</w:t>
            </w:r>
          </w:p>
        </w:tc>
      </w:tr>
      <w:tr w14:paraId="457889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5" w:hRule="atLeast"/>
          <w:jc w:val="center"/>
        </w:trPr>
        <w:tc>
          <w:tcPr>
            <w:tcW w:w="932" w:type="dxa"/>
            <w:tcBorders>
              <w:top w:val="single" w:color="auto" w:sz="4" w:space="0"/>
              <w:bottom w:val="single" w:color="auto" w:sz="4" w:space="0"/>
              <w:right w:val="single" w:color="auto" w:sz="4" w:space="0"/>
            </w:tcBorders>
            <w:noWrap w:val="0"/>
            <w:vAlign w:val="center"/>
          </w:tcPr>
          <w:p w14:paraId="281F9881">
            <w:pPr>
              <w:snapToGrid w:val="0"/>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2075E01B">
            <w:pPr>
              <w:snapToGrid w:val="0"/>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招标控制价</w:t>
            </w:r>
          </w:p>
        </w:tc>
        <w:tc>
          <w:tcPr>
            <w:tcW w:w="6774" w:type="dxa"/>
            <w:tcBorders>
              <w:top w:val="single" w:color="auto" w:sz="4" w:space="0"/>
              <w:left w:val="single" w:color="auto" w:sz="4" w:space="0"/>
              <w:bottom w:val="single" w:color="auto" w:sz="4" w:space="0"/>
            </w:tcBorders>
            <w:noWrap w:val="0"/>
            <w:vAlign w:val="center"/>
          </w:tcPr>
          <w:p w14:paraId="43B74B13">
            <w:pPr>
              <w:snapToGrid w:val="0"/>
              <w:spacing w:line="400" w:lineRule="exact"/>
              <w:jc w:val="left"/>
              <w:rPr>
                <w:rFonts w:hint="eastAsia"/>
                <w:color w:val="auto"/>
                <w:highlight w:val="none"/>
              </w:rPr>
            </w:pPr>
            <w:r>
              <w:rPr>
                <w:rFonts w:hint="eastAsia" w:ascii="仿宋" w:hAnsi="仿宋" w:eastAsia="仿宋" w:cs="仿宋"/>
                <w:color w:val="auto"/>
                <w:sz w:val="24"/>
                <w:szCs w:val="24"/>
                <w:highlight w:val="none"/>
                <w:lang w:eastAsia="zh-CN"/>
              </w:rPr>
              <w:t>招标控制价为</w:t>
            </w:r>
            <w:r>
              <w:rPr>
                <w:rFonts w:hint="eastAsia" w:ascii="仿宋" w:hAnsi="仿宋" w:eastAsia="仿宋" w:cs="仿宋"/>
                <w:color w:val="auto"/>
                <w:spacing w:val="8"/>
                <w:sz w:val="24"/>
                <w:highlight w:val="none"/>
                <w:lang w:val="en-US" w:eastAsia="zh-CN"/>
              </w:rPr>
              <w:t>789518.15元</w:t>
            </w:r>
            <w:r>
              <w:rPr>
                <w:rFonts w:hint="eastAsia" w:ascii="仿宋" w:hAnsi="仿宋" w:eastAsia="仿宋" w:cs="仿宋"/>
                <w:color w:val="auto"/>
                <w:spacing w:val="8"/>
                <w:sz w:val="24"/>
                <w:highlight w:val="none"/>
              </w:rPr>
              <w:t>，</w:t>
            </w:r>
            <w:r>
              <w:rPr>
                <w:rFonts w:hint="eastAsia" w:ascii="仿宋" w:hAnsi="仿宋" w:eastAsia="仿宋" w:cs="仿宋"/>
                <w:color w:val="auto"/>
                <w:sz w:val="24"/>
                <w:szCs w:val="24"/>
                <w:highlight w:val="none"/>
              </w:rPr>
              <w:t>投标报价不能高于招标控制价，否则否决其投标。</w:t>
            </w:r>
          </w:p>
        </w:tc>
      </w:tr>
      <w:tr w14:paraId="45EA38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32" w:type="dxa"/>
            <w:tcBorders>
              <w:top w:val="single" w:color="auto" w:sz="4" w:space="0"/>
              <w:bottom w:val="single" w:color="auto" w:sz="4" w:space="0"/>
              <w:right w:val="single" w:color="auto" w:sz="4" w:space="0"/>
            </w:tcBorders>
            <w:noWrap w:val="0"/>
            <w:vAlign w:val="center"/>
          </w:tcPr>
          <w:p w14:paraId="13298029">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5D6176F1">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电子投标</w:t>
            </w:r>
          </w:p>
          <w:p w14:paraId="68D8D608">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特别提示</w:t>
            </w:r>
          </w:p>
        </w:tc>
        <w:tc>
          <w:tcPr>
            <w:tcW w:w="6774" w:type="dxa"/>
            <w:tcBorders>
              <w:top w:val="single" w:color="auto" w:sz="4" w:space="0"/>
              <w:left w:val="single" w:color="auto" w:sz="4" w:space="0"/>
              <w:bottom w:val="single" w:color="auto" w:sz="4" w:space="0"/>
            </w:tcBorders>
            <w:noWrap w:val="0"/>
            <w:vAlign w:val="center"/>
          </w:tcPr>
          <w:p w14:paraId="430478BF">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本项目投标人必须在“威海市公共资源交易网”（http://ggzyjy.weihai.cn/）完成注册入库（已完成注册用户无需重复注册），首次注册投标人需登录“威海市公共资源交易网”首页右侧“交易服务一网通办系统-（新版）一网通办系统”进行注册，取得用户名和密码；首次注册的投标人应及时办理安全证书（CA锁）及电子签章。</w:t>
            </w:r>
          </w:p>
          <w:p w14:paraId="15E847A6">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2、本项目必须网上递交投标文件，参与本项目的投标人应利用办理好的CA锁登录国企阳光采购平台进行获取招标文件、文件下载和网上递交投标文件，且安全证书（CA锁）在有效期内。</w:t>
            </w:r>
          </w:p>
          <w:p w14:paraId="53C6D44B">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电子投标文件制作及递交等有关操作见本文件及威海市公共资源交易网办事指南栏目-国企采购专区-《新版威海市国有企业阳光采购服务平台操作演示视频（供应商）》，网址:https://ggzyjy.weihai.cn/bszn/005005/20260109/315a049e-0d75-4f85-8634-00d90a843936.html、投标（响应）文件制作及系统使用咨询电话：17863029936 ；QQ服务群：1046971257。</w:t>
            </w:r>
          </w:p>
          <w:p w14:paraId="06C8EF30">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4、网上提交投标文件时，登录交易平台的电脑须满足环境要求（详见新版威海市国有企业阳光采购服务平台供应商用户手册网址：https://ggzyjy.weihai.cn/bszn/005005/20260109/eb4ba418-4b35-4f05-aa69-44fd7d8a7ffb.html）。</w:t>
            </w:r>
          </w:p>
          <w:p w14:paraId="4EBA5827">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投标人提交的电子投标文件应按照本招标文件《第五部分投标文件格式》进行编制，数据文件（excel格式）必须从本项目的招标文件压缩包内的对应包段目录下获取，且必须在原文件上严格按照其中要求填写。因投标人（供应商）自身原因导致电子投标文件编制不规范使投标文件内容无法导入系统的，该投标文件将被视为无效投标（响应）文件。</w:t>
            </w:r>
          </w:p>
          <w:p w14:paraId="48F74B74">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电子投标文件必需有电子签章方为合法的投标文件，未对电子投标文件进行电子签章的，将作为无效投标（响应）处理。电子投标文件的电子签章要求：在生成电子投标文件pdf格式时，都必须对电子投标文件进行电子签章；签章时需要将电子签章签署到相应的位置中。</w:t>
            </w:r>
          </w:p>
          <w:p w14:paraId="72AC2310">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7、投标人投标文件中的相关扫描件应保证清晰度，无法辨认的评审时受到影响的，由投标人承担相应责任。</w:t>
            </w:r>
          </w:p>
          <w:p w14:paraId="34F23582">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8、除网上递交电子投标文件外，如有要求递交相关资质证明文件原件的，还须按其要求独立密封递交（被授权人身份证原件除外）</w:t>
            </w:r>
            <w:r>
              <w:rPr>
                <w:rFonts w:hint="eastAsia" w:ascii="仿宋" w:hAnsi="仿宋" w:eastAsia="仿宋" w:cs="仿宋"/>
                <w:sz w:val="24"/>
                <w:szCs w:val="24"/>
                <w:highlight w:val="none"/>
                <w:lang w:eastAsia="zh-CN"/>
              </w:rPr>
              <w:t>。</w:t>
            </w:r>
          </w:p>
          <w:p w14:paraId="6D6A678E">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9、投标人应充分考虑到网上递交投标文件会发生的故障和风险。对发生的任何故障和风险造成投标人报价内容不一致或利益受损或投标失败的，招标人及招标代理机构不承担任何责任。</w:t>
            </w:r>
          </w:p>
        </w:tc>
      </w:tr>
      <w:tr w14:paraId="334D59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32" w:type="dxa"/>
            <w:tcBorders>
              <w:top w:val="single" w:color="auto" w:sz="4" w:space="0"/>
              <w:bottom w:val="single" w:color="auto" w:sz="4" w:space="0"/>
              <w:right w:val="single" w:color="auto" w:sz="4" w:space="0"/>
            </w:tcBorders>
            <w:noWrap w:val="0"/>
            <w:vAlign w:val="center"/>
          </w:tcPr>
          <w:p w14:paraId="2D0727C3">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3707C233">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资质证明文件</w:t>
            </w:r>
          </w:p>
          <w:p w14:paraId="49721DD7">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原件</w:t>
            </w:r>
          </w:p>
        </w:tc>
        <w:tc>
          <w:tcPr>
            <w:tcW w:w="6774" w:type="dxa"/>
            <w:tcBorders>
              <w:top w:val="single" w:color="auto" w:sz="4" w:space="0"/>
              <w:left w:val="single" w:color="auto" w:sz="4" w:space="0"/>
              <w:bottom w:val="single" w:color="auto" w:sz="4" w:space="0"/>
            </w:tcBorders>
            <w:noWrap w:val="0"/>
            <w:vAlign w:val="center"/>
          </w:tcPr>
          <w:p w14:paraId="5C8648DA">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不要求提供</w:t>
            </w:r>
          </w:p>
        </w:tc>
      </w:tr>
      <w:tr w14:paraId="34AA84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932" w:type="dxa"/>
            <w:tcBorders>
              <w:top w:val="single" w:color="auto" w:sz="4" w:space="0"/>
              <w:bottom w:val="single" w:color="auto" w:sz="4" w:space="0"/>
              <w:right w:val="single" w:color="auto" w:sz="4" w:space="0"/>
            </w:tcBorders>
            <w:noWrap w:val="0"/>
            <w:vAlign w:val="center"/>
          </w:tcPr>
          <w:p w14:paraId="72EC34F8">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0DA2E5C4">
            <w:pPr>
              <w:snapToGrid w:val="0"/>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投标文件份数</w:t>
            </w:r>
          </w:p>
        </w:tc>
        <w:tc>
          <w:tcPr>
            <w:tcW w:w="6774" w:type="dxa"/>
            <w:tcBorders>
              <w:top w:val="single" w:color="auto" w:sz="4" w:space="0"/>
              <w:left w:val="single" w:color="auto" w:sz="4" w:space="0"/>
              <w:bottom w:val="single" w:color="auto" w:sz="4" w:space="0"/>
            </w:tcBorders>
            <w:noWrap w:val="0"/>
            <w:vAlign w:val="center"/>
          </w:tcPr>
          <w:p w14:paraId="265582D3">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Times New Roman"/>
                <w:sz w:val="24"/>
                <w:szCs w:val="24"/>
                <w:highlight w:val="none"/>
              </w:rPr>
              <w:t>网上按时递交电子投标文件1份以及纸质投标文件2份</w:t>
            </w:r>
          </w:p>
        </w:tc>
      </w:tr>
      <w:tr w14:paraId="7190E2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0" w:hRule="atLeast"/>
          <w:jc w:val="center"/>
        </w:trPr>
        <w:tc>
          <w:tcPr>
            <w:tcW w:w="932" w:type="dxa"/>
            <w:tcBorders>
              <w:top w:val="single" w:color="auto" w:sz="4" w:space="0"/>
              <w:bottom w:val="single" w:color="auto" w:sz="4" w:space="0"/>
              <w:right w:val="single" w:color="auto" w:sz="4" w:space="0"/>
            </w:tcBorders>
            <w:noWrap w:val="0"/>
            <w:vAlign w:val="center"/>
          </w:tcPr>
          <w:p w14:paraId="699317D8">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276F7CF2">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实物样品</w:t>
            </w:r>
          </w:p>
        </w:tc>
        <w:tc>
          <w:tcPr>
            <w:tcW w:w="6774" w:type="dxa"/>
            <w:tcBorders>
              <w:top w:val="single" w:color="auto" w:sz="4" w:space="0"/>
              <w:left w:val="single" w:color="auto" w:sz="4" w:space="0"/>
              <w:bottom w:val="single" w:color="auto" w:sz="4" w:space="0"/>
            </w:tcBorders>
            <w:noWrap w:val="0"/>
            <w:vAlign w:val="center"/>
          </w:tcPr>
          <w:p w14:paraId="6E6966E7">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不提供</w:t>
            </w:r>
          </w:p>
        </w:tc>
      </w:tr>
      <w:tr w14:paraId="32914A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jc w:val="center"/>
        </w:trPr>
        <w:tc>
          <w:tcPr>
            <w:tcW w:w="932" w:type="dxa"/>
            <w:tcBorders>
              <w:top w:val="single" w:color="auto" w:sz="4" w:space="0"/>
              <w:bottom w:val="single" w:color="auto" w:sz="4" w:space="0"/>
              <w:right w:val="single" w:color="auto" w:sz="4" w:space="0"/>
            </w:tcBorders>
            <w:noWrap w:val="0"/>
            <w:vAlign w:val="center"/>
          </w:tcPr>
          <w:p w14:paraId="4A836FEB">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68E4FF41">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现场踏勘</w:t>
            </w:r>
          </w:p>
        </w:tc>
        <w:tc>
          <w:tcPr>
            <w:tcW w:w="6774" w:type="dxa"/>
            <w:tcBorders>
              <w:top w:val="single" w:color="auto" w:sz="4" w:space="0"/>
              <w:left w:val="single" w:color="auto" w:sz="4" w:space="0"/>
              <w:bottom w:val="single" w:color="auto" w:sz="4" w:space="0"/>
            </w:tcBorders>
            <w:noWrap w:val="0"/>
            <w:vAlign w:val="center"/>
          </w:tcPr>
          <w:p w14:paraId="43E5DC28">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不组织</w:t>
            </w:r>
          </w:p>
        </w:tc>
      </w:tr>
      <w:tr w14:paraId="13E806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0" w:hRule="atLeast"/>
          <w:jc w:val="center"/>
        </w:trPr>
        <w:tc>
          <w:tcPr>
            <w:tcW w:w="932" w:type="dxa"/>
            <w:tcBorders>
              <w:top w:val="single" w:color="auto" w:sz="4" w:space="0"/>
              <w:bottom w:val="single" w:color="auto" w:sz="4" w:space="0"/>
              <w:right w:val="single" w:color="auto" w:sz="4" w:space="0"/>
            </w:tcBorders>
            <w:noWrap w:val="0"/>
            <w:vAlign w:val="center"/>
          </w:tcPr>
          <w:p w14:paraId="2030946E">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13</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4ECCBD56">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现场演示</w:t>
            </w:r>
          </w:p>
        </w:tc>
        <w:tc>
          <w:tcPr>
            <w:tcW w:w="6774" w:type="dxa"/>
            <w:tcBorders>
              <w:top w:val="single" w:color="auto" w:sz="4" w:space="0"/>
              <w:left w:val="single" w:color="auto" w:sz="4" w:space="0"/>
              <w:bottom w:val="single" w:color="auto" w:sz="4" w:space="0"/>
            </w:tcBorders>
            <w:noWrap w:val="0"/>
            <w:vAlign w:val="center"/>
          </w:tcPr>
          <w:p w14:paraId="05D2BE3A">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无</w:t>
            </w:r>
          </w:p>
        </w:tc>
      </w:tr>
      <w:tr w14:paraId="197535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32" w:type="dxa"/>
            <w:tcBorders>
              <w:top w:val="single" w:color="auto" w:sz="4" w:space="0"/>
              <w:bottom w:val="single" w:color="auto" w:sz="4" w:space="0"/>
              <w:right w:val="single" w:color="auto" w:sz="4" w:space="0"/>
            </w:tcBorders>
            <w:noWrap w:val="0"/>
            <w:vAlign w:val="center"/>
          </w:tcPr>
          <w:p w14:paraId="5CA20531">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14</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05920704">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投标预备会</w:t>
            </w:r>
          </w:p>
        </w:tc>
        <w:tc>
          <w:tcPr>
            <w:tcW w:w="6774" w:type="dxa"/>
            <w:tcBorders>
              <w:top w:val="single" w:color="auto" w:sz="4" w:space="0"/>
              <w:left w:val="single" w:color="auto" w:sz="4" w:space="0"/>
              <w:bottom w:val="single" w:color="auto" w:sz="4" w:space="0"/>
            </w:tcBorders>
            <w:noWrap w:val="0"/>
            <w:vAlign w:val="center"/>
          </w:tcPr>
          <w:p w14:paraId="0861D230">
            <w:pPr>
              <w:snapToGrid w:val="0"/>
              <w:spacing w:line="400" w:lineRule="exact"/>
              <w:textAlignment w:val="top"/>
              <w:rPr>
                <w:rFonts w:hint="eastAsia" w:ascii="仿宋" w:hAnsi="仿宋" w:eastAsia="仿宋" w:cs="仿宋"/>
                <w:sz w:val="24"/>
                <w:szCs w:val="24"/>
                <w:highlight w:val="none"/>
              </w:rPr>
            </w:pPr>
            <w:r>
              <w:rPr>
                <w:rFonts w:hint="eastAsia" w:ascii="仿宋" w:hAnsi="仿宋" w:eastAsia="仿宋" w:cs="仿宋"/>
                <w:sz w:val="24"/>
                <w:szCs w:val="24"/>
                <w:highlight w:val="none"/>
              </w:rPr>
              <w:t>不召开</w:t>
            </w:r>
          </w:p>
        </w:tc>
      </w:tr>
      <w:tr w14:paraId="6FEE19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32" w:type="dxa"/>
            <w:tcBorders>
              <w:top w:val="single" w:color="auto" w:sz="4" w:space="0"/>
              <w:bottom w:val="single" w:color="auto" w:sz="4" w:space="0"/>
              <w:right w:val="single" w:color="auto" w:sz="4" w:space="0"/>
            </w:tcBorders>
            <w:noWrap w:val="0"/>
            <w:vAlign w:val="center"/>
          </w:tcPr>
          <w:p w14:paraId="2E0C18FD">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15</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277BF963">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投标有效期</w:t>
            </w:r>
          </w:p>
        </w:tc>
        <w:tc>
          <w:tcPr>
            <w:tcW w:w="6774" w:type="dxa"/>
            <w:tcBorders>
              <w:top w:val="single" w:color="auto" w:sz="4" w:space="0"/>
              <w:left w:val="single" w:color="auto" w:sz="4" w:space="0"/>
              <w:bottom w:val="single" w:color="auto" w:sz="4" w:space="0"/>
            </w:tcBorders>
            <w:noWrap w:val="0"/>
            <w:vAlign w:val="center"/>
          </w:tcPr>
          <w:p w14:paraId="3D3F3315">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开标之日起90天</w:t>
            </w:r>
          </w:p>
        </w:tc>
      </w:tr>
      <w:tr w14:paraId="798D3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32" w:type="dxa"/>
            <w:tcBorders>
              <w:top w:val="single" w:color="auto" w:sz="4" w:space="0"/>
              <w:bottom w:val="single" w:color="auto" w:sz="4" w:space="0"/>
              <w:right w:val="single" w:color="auto" w:sz="4" w:space="0"/>
            </w:tcBorders>
            <w:noWrap w:val="0"/>
            <w:vAlign w:val="center"/>
          </w:tcPr>
          <w:p w14:paraId="2AE2039E">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16</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1A95075A">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投标文件递交时间及地点</w:t>
            </w:r>
          </w:p>
        </w:tc>
        <w:tc>
          <w:tcPr>
            <w:tcW w:w="6774" w:type="dxa"/>
            <w:tcBorders>
              <w:top w:val="single" w:color="auto" w:sz="4" w:space="0"/>
              <w:left w:val="single" w:color="auto" w:sz="4" w:space="0"/>
              <w:bottom w:val="single" w:color="auto" w:sz="4" w:space="0"/>
            </w:tcBorders>
            <w:noWrap w:val="0"/>
            <w:vAlign w:val="center"/>
          </w:tcPr>
          <w:p w14:paraId="73873F10">
            <w:pPr>
              <w:numPr>
                <w:ilvl w:val="0"/>
                <w:numId w:val="2"/>
              </w:num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电子投标文件递交截止时间：详见招标公告。</w:t>
            </w:r>
          </w:p>
          <w:p w14:paraId="5EDB0605">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递交网址：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"http://60.212.191.167:28088/login?cloudid=12"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http://60.212.191.167:28088/login?cloudid=12</w:t>
            </w:r>
            <w:r>
              <w:rPr>
                <w:rFonts w:hint="eastAsia" w:ascii="仿宋" w:hAnsi="仿宋" w:eastAsia="仿宋" w:cs="仿宋"/>
                <w:sz w:val="24"/>
                <w:szCs w:val="24"/>
                <w:highlight w:val="none"/>
              </w:rPr>
              <w:fldChar w:fldCharType="end"/>
            </w:r>
          </w:p>
          <w:p w14:paraId="00B8F4DC">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2、纸质投标文件递交：基于项目资料归档的要求，</w:t>
            </w:r>
            <w:r>
              <w:rPr>
                <w:rFonts w:hint="eastAsia" w:ascii="仿宋" w:hAnsi="仿宋" w:eastAsia="仿宋" w:cs="仿宋"/>
                <w:sz w:val="24"/>
                <w:szCs w:val="24"/>
                <w:highlight w:val="none"/>
                <w:lang w:val="en-US" w:eastAsia="zh-CN"/>
              </w:rPr>
              <w:t>所有投标单位的</w:t>
            </w:r>
            <w:r>
              <w:rPr>
                <w:rFonts w:hint="eastAsia" w:ascii="仿宋" w:hAnsi="仿宋" w:eastAsia="仿宋" w:cs="仿宋"/>
                <w:sz w:val="24"/>
                <w:szCs w:val="24"/>
                <w:highlight w:val="none"/>
              </w:rPr>
              <w:t>纸质投标文件递交应在开标后三个工作日内，邮寄或送至招标代理处</w:t>
            </w:r>
            <w:r>
              <w:rPr>
                <w:rFonts w:eastAsia="仿宋"/>
                <w:sz w:val="24"/>
                <w:szCs w:val="24"/>
                <w:highlight w:val="none"/>
              </w:rPr>
              <w:t>（威海市古寨东路315号山东富尔工程咨询管理有限公司</w:t>
            </w:r>
            <w:r>
              <w:rPr>
                <w:rFonts w:hint="eastAsia" w:eastAsia="仿宋"/>
                <w:sz w:val="24"/>
                <w:szCs w:val="24"/>
                <w:highlight w:val="none"/>
              </w:rPr>
              <w:t>3楼招标代理部</w:t>
            </w:r>
            <w:r>
              <w:rPr>
                <w:rFonts w:eastAsia="仿宋"/>
                <w:sz w:val="24"/>
                <w:szCs w:val="24"/>
                <w:highlight w:val="none"/>
              </w:rPr>
              <w:t>）</w:t>
            </w:r>
            <w:r>
              <w:rPr>
                <w:rFonts w:hint="eastAsia" w:ascii="仿宋" w:hAnsi="仿宋" w:eastAsia="仿宋" w:cs="仿宋"/>
                <w:sz w:val="24"/>
                <w:szCs w:val="24"/>
                <w:highlight w:val="none"/>
              </w:rPr>
              <w:t>。</w:t>
            </w:r>
          </w:p>
          <w:p w14:paraId="130A6BAC">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纸质投标文件份数：两份，胶装成册。</w:t>
            </w:r>
          </w:p>
        </w:tc>
      </w:tr>
      <w:tr w14:paraId="7DF044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32" w:type="dxa"/>
            <w:tcBorders>
              <w:top w:val="single" w:color="auto" w:sz="4" w:space="0"/>
              <w:bottom w:val="single" w:color="auto" w:sz="4" w:space="0"/>
              <w:right w:val="single" w:color="auto" w:sz="4" w:space="0"/>
            </w:tcBorders>
            <w:noWrap w:val="0"/>
            <w:vAlign w:val="center"/>
          </w:tcPr>
          <w:p w14:paraId="4602B9D7">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17</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46410647">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开标时间</w:t>
            </w:r>
          </w:p>
        </w:tc>
        <w:tc>
          <w:tcPr>
            <w:tcW w:w="6774" w:type="dxa"/>
            <w:tcBorders>
              <w:top w:val="single" w:color="auto" w:sz="4" w:space="0"/>
              <w:left w:val="single" w:color="auto" w:sz="4" w:space="0"/>
              <w:bottom w:val="single" w:color="auto" w:sz="4" w:space="0"/>
            </w:tcBorders>
            <w:noWrap w:val="0"/>
            <w:vAlign w:val="center"/>
          </w:tcPr>
          <w:p w14:paraId="40410FA1">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详见招标公告</w:t>
            </w:r>
          </w:p>
        </w:tc>
      </w:tr>
      <w:tr w14:paraId="384997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32" w:type="dxa"/>
            <w:tcBorders>
              <w:top w:val="single" w:color="auto" w:sz="4" w:space="0"/>
              <w:bottom w:val="single" w:color="auto" w:sz="4" w:space="0"/>
              <w:right w:val="single" w:color="auto" w:sz="4" w:space="0"/>
            </w:tcBorders>
            <w:noWrap w:val="0"/>
            <w:vAlign w:val="center"/>
          </w:tcPr>
          <w:p w14:paraId="659B7935">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18</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10B271B7">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开标地点</w:t>
            </w:r>
          </w:p>
        </w:tc>
        <w:tc>
          <w:tcPr>
            <w:tcW w:w="6774" w:type="dxa"/>
            <w:tcBorders>
              <w:top w:val="single" w:color="auto" w:sz="4" w:space="0"/>
              <w:left w:val="single" w:color="auto" w:sz="4" w:space="0"/>
              <w:bottom w:val="single" w:color="auto" w:sz="4" w:space="0"/>
            </w:tcBorders>
            <w:noWrap w:val="0"/>
            <w:vAlign w:val="center"/>
          </w:tcPr>
          <w:p w14:paraId="3D725B5B">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详见招标公告</w:t>
            </w:r>
          </w:p>
        </w:tc>
      </w:tr>
      <w:tr w14:paraId="480EC8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932" w:type="dxa"/>
            <w:tcBorders>
              <w:top w:val="single" w:color="auto" w:sz="4" w:space="0"/>
              <w:bottom w:val="single" w:color="auto" w:sz="4" w:space="0"/>
              <w:right w:val="single" w:color="auto" w:sz="4" w:space="0"/>
            </w:tcBorders>
            <w:noWrap w:val="0"/>
            <w:vAlign w:val="center"/>
          </w:tcPr>
          <w:p w14:paraId="7A466993">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19</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6AF3C77B">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开标方式</w:t>
            </w:r>
          </w:p>
        </w:tc>
        <w:tc>
          <w:tcPr>
            <w:tcW w:w="6774" w:type="dxa"/>
            <w:tcBorders>
              <w:top w:val="single" w:color="auto" w:sz="4" w:space="0"/>
              <w:left w:val="single" w:color="auto" w:sz="4" w:space="0"/>
              <w:bottom w:val="single" w:color="auto" w:sz="4" w:space="0"/>
            </w:tcBorders>
            <w:noWrap w:val="0"/>
            <w:vAlign w:val="center"/>
          </w:tcPr>
          <w:p w14:paraId="04B1F685">
            <w:pPr>
              <w:keepNext w:val="0"/>
              <w:keepLines w:val="0"/>
              <w:pageBreakBefore w:val="0"/>
              <w:widowControl w:val="0"/>
              <w:kinsoku/>
              <w:wordWrap/>
              <w:overflowPunct/>
              <w:topLinePunct w:val="0"/>
              <w:autoSpaceDE/>
              <w:autoSpaceDN/>
              <w:bidi w:val="0"/>
              <w:adjustRightInd/>
              <w:snapToGrid/>
              <w:spacing w:line="400" w:lineRule="exact"/>
              <w:textAlignment w:val="top"/>
              <w:rPr>
                <w:rFonts w:hint="eastAsia" w:ascii="仿宋" w:hAnsi="仿宋" w:eastAsia="仿宋" w:cs="仿宋"/>
                <w:sz w:val="24"/>
                <w:szCs w:val="24"/>
                <w:highlight w:val="none"/>
              </w:rPr>
            </w:pPr>
            <w:r>
              <w:rPr>
                <w:rFonts w:hint="eastAsia" w:ascii="仿宋" w:hAnsi="仿宋" w:eastAsia="仿宋" w:cs="仿宋"/>
                <w:sz w:val="24"/>
                <w:szCs w:val="24"/>
                <w:highlight w:val="none"/>
              </w:rPr>
              <w:t>投标人无需到现场参与开标，但开、评标期间需实时关注交易系统相关通知，且被授权人的联络方式应保持畅通。</w:t>
            </w:r>
          </w:p>
        </w:tc>
      </w:tr>
      <w:tr w14:paraId="0D9CA3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932" w:type="dxa"/>
            <w:tcBorders>
              <w:top w:val="single" w:color="auto" w:sz="4" w:space="0"/>
              <w:bottom w:val="single" w:color="auto" w:sz="4" w:space="0"/>
              <w:right w:val="single" w:color="auto" w:sz="4" w:space="0"/>
            </w:tcBorders>
            <w:noWrap w:val="0"/>
            <w:vAlign w:val="center"/>
          </w:tcPr>
          <w:p w14:paraId="3AD9414B">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20</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1F2AA69D">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开标程序</w:t>
            </w:r>
          </w:p>
        </w:tc>
        <w:tc>
          <w:tcPr>
            <w:tcW w:w="6774" w:type="dxa"/>
            <w:tcBorders>
              <w:top w:val="single" w:color="auto" w:sz="4" w:space="0"/>
              <w:left w:val="single" w:color="auto" w:sz="4" w:space="0"/>
              <w:bottom w:val="single" w:color="auto" w:sz="4" w:space="0"/>
            </w:tcBorders>
            <w:noWrap w:val="0"/>
            <w:vAlign w:val="center"/>
          </w:tcPr>
          <w:p w14:paraId="521B999F">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签到时间：递交投标文件截止时间前完成</w:t>
            </w:r>
          </w:p>
          <w:p w14:paraId="5C025A22">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解密时间：开始解密后15分钟内完成</w:t>
            </w:r>
          </w:p>
        </w:tc>
      </w:tr>
      <w:tr w14:paraId="6A4D0B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 w:hRule="atLeast"/>
          <w:jc w:val="center"/>
        </w:trPr>
        <w:tc>
          <w:tcPr>
            <w:tcW w:w="932" w:type="dxa"/>
            <w:tcBorders>
              <w:top w:val="single" w:color="auto" w:sz="4" w:space="0"/>
              <w:bottom w:val="single" w:color="auto" w:sz="4" w:space="0"/>
              <w:right w:val="single" w:color="auto" w:sz="4" w:space="0"/>
            </w:tcBorders>
            <w:noWrap w:val="0"/>
            <w:vAlign w:val="center"/>
          </w:tcPr>
          <w:p w14:paraId="1B0D4F25">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21</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2BE1601A">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资格审查方式</w:t>
            </w:r>
          </w:p>
        </w:tc>
        <w:tc>
          <w:tcPr>
            <w:tcW w:w="6774" w:type="dxa"/>
            <w:tcBorders>
              <w:top w:val="single" w:color="auto" w:sz="4" w:space="0"/>
              <w:left w:val="single" w:color="auto" w:sz="4" w:space="0"/>
              <w:bottom w:val="single" w:color="auto" w:sz="4" w:space="0"/>
            </w:tcBorders>
            <w:noWrap w:val="0"/>
            <w:vAlign w:val="center"/>
          </w:tcPr>
          <w:p w14:paraId="226C2DF3">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资格后审</w:t>
            </w:r>
          </w:p>
        </w:tc>
      </w:tr>
      <w:tr w14:paraId="3F336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932" w:type="dxa"/>
            <w:tcBorders>
              <w:top w:val="single" w:color="auto" w:sz="4" w:space="0"/>
              <w:bottom w:val="single" w:color="auto" w:sz="4" w:space="0"/>
              <w:right w:val="single" w:color="auto" w:sz="4" w:space="0"/>
            </w:tcBorders>
            <w:noWrap w:val="0"/>
            <w:vAlign w:val="center"/>
          </w:tcPr>
          <w:p w14:paraId="4B5433A0">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22</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3ECE409A">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评标办法</w:t>
            </w:r>
          </w:p>
        </w:tc>
        <w:tc>
          <w:tcPr>
            <w:tcW w:w="6774" w:type="dxa"/>
            <w:tcBorders>
              <w:top w:val="single" w:color="auto" w:sz="4" w:space="0"/>
              <w:left w:val="single" w:color="auto" w:sz="4" w:space="0"/>
              <w:bottom w:val="single" w:color="auto" w:sz="4" w:space="0"/>
            </w:tcBorders>
            <w:noWrap w:val="0"/>
            <w:vAlign w:val="center"/>
          </w:tcPr>
          <w:p w14:paraId="3F6383B1">
            <w:pPr>
              <w:snapToGrid w:val="0"/>
              <w:spacing w:line="400" w:lineRule="exact"/>
              <w:ind w:right="-105" w:right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综合评分法</w:t>
            </w:r>
          </w:p>
        </w:tc>
      </w:tr>
      <w:tr w14:paraId="68AE64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32" w:type="dxa"/>
            <w:tcBorders>
              <w:top w:val="single" w:color="auto" w:sz="4" w:space="0"/>
              <w:bottom w:val="single" w:color="auto" w:sz="4" w:space="0"/>
              <w:right w:val="single" w:color="auto" w:sz="4" w:space="0"/>
            </w:tcBorders>
            <w:noWrap w:val="0"/>
            <w:vAlign w:val="center"/>
          </w:tcPr>
          <w:p w14:paraId="52CFBE78">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23</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6F914099">
            <w:pPr>
              <w:snapToGrid w:val="0"/>
              <w:spacing w:line="400" w:lineRule="exact"/>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联合体</w:t>
            </w:r>
            <w:r>
              <w:rPr>
                <w:rFonts w:hint="eastAsia" w:ascii="仿宋" w:hAnsi="仿宋" w:eastAsia="仿宋" w:cs="仿宋"/>
                <w:sz w:val="24"/>
                <w:szCs w:val="24"/>
                <w:highlight w:val="none"/>
                <w:lang w:val="en-US" w:eastAsia="zh-CN"/>
              </w:rPr>
              <w:t>投标</w:t>
            </w:r>
          </w:p>
        </w:tc>
        <w:tc>
          <w:tcPr>
            <w:tcW w:w="6774" w:type="dxa"/>
            <w:tcBorders>
              <w:top w:val="single" w:color="auto" w:sz="4" w:space="0"/>
              <w:left w:val="single" w:color="auto" w:sz="4" w:space="0"/>
              <w:bottom w:val="single" w:color="auto" w:sz="4" w:space="0"/>
            </w:tcBorders>
            <w:noWrap w:val="0"/>
            <w:vAlign w:val="center"/>
          </w:tcPr>
          <w:p w14:paraId="46E65612">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不允许</w:t>
            </w:r>
          </w:p>
        </w:tc>
      </w:tr>
      <w:tr w14:paraId="3C9AA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932" w:type="dxa"/>
            <w:tcBorders>
              <w:top w:val="single" w:color="auto" w:sz="4" w:space="0"/>
              <w:bottom w:val="single" w:color="auto" w:sz="4" w:space="0"/>
              <w:right w:val="single" w:color="auto" w:sz="4" w:space="0"/>
            </w:tcBorders>
            <w:noWrap w:val="0"/>
            <w:vAlign w:val="center"/>
          </w:tcPr>
          <w:p w14:paraId="0C54E7DA">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24</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57EDE9F0">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分（转）包</w:t>
            </w:r>
          </w:p>
        </w:tc>
        <w:tc>
          <w:tcPr>
            <w:tcW w:w="6774" w:type="dxa"/>
            <w:tcBorders>
              <w:top w:val="single" w:color="auto" w:sz="4" w:space="0"/>
              <w:left w:val="single" w:color="auto" w:sz="4" w:space="0"/>
              <w:bottom w:val="single" w:color="auto" w:sz="4" w:space="0"/>
            </w:tcBorders>
            <w:noWrap w:val="0"/>
            <w:vAlign w:val="center"/>
          </w:tcPr>
          <w:p w14:paraId="6C7357EC">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不允许</w:t>
            </w:r>
          </w:p>
        </w:tc>
      </w:tr>
      <w:tr w14:paraId="1D852D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32" w:type="dxa"/>
            <w:tcBorders>
              <w:top w:val="single" w:color="auto" w:sz="4" w:space="0"/>
              <w:bottom w:val="single" w:color="auto" w:sz="4" w:space="0"/>
              <w:right w:val="single" w:color="auto" w:sz="4" w:space="0"/>
            </w:tcBorders>
            <w:noWrap w:val="0"/>
            <w:vAlign w:val="center"/>
          </w:tcPr>
          <w:p w14:paraId="69A304C9">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25</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2234AE74">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投标保证金</w:t>
            </w:r>
          </w:p>
        </w:tc>
        <w:tc>
          <w:tcPr>
            <w:tcW w:w="6774" w:type="dxa"/>
            <w:tcBorders>
              <w:top w:val="single" w:color="auto" w:sz="4" w:space="0"/>
              <w:left w:val="single" w:color="auto" w:sz="4" w:space="0"/>
              <w:bottom w:val="single" w:color="auto" w:sz="4" w:space="0"/>
            </w:tcBorders>
            <w:noWrap w:val="0"/>
            <w:vAlign w:val="center"/>
          </w:tcPr>
          <w:p w14:paraId="6B92B6AD">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本项目投标保证金</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人民币</w:t>
            </w:r>
            <w:r>
              <w:rPr>
                <w:rFonts w:hint="eastAsia" w:ascii="仿宋" w:hAnsi="仿宋" w:eastAsia="仿宋" w:cs="仿宋"/>
                <w:sz w:val="24"/>
                <w:szCs w:val="24"/>
                <w:highlight w:val="none"/>
                <w:lang w:val="en-US" w:eastAsia="zh-CN"/>
              </w:rPr>
              <w:t>7000.00</w:t>
            </w:r>
            <w:r>
              <w:rPr>
                <w:rFonts w:hint="eastAsia" w:ascii="仿宋" w:hAnsi="仿宋" w:eastAsia="仿宋" w:cs="仿宋"/>
                <w:sz w:val="24"/>
                <w:szCs w:val="24"/>
                <w:highlight w:val="none"/>
              </w:rPr>
              <w:t>元</w:t>
            </w:r>
            <w:r>
              <w:rPr>
                <w:rFonts w:hint="eastAsia" w:ascii="仿宋" w:hAnsi="仿宋" w:eastAsia="仿宋" w:cs="仿宋"/>
                <w:sz w:val="24"/>
                <w:szCs w:val="24"/>
                <w:highlight w:val="none"/>
                <w:lang w:eastAsia="zh-CN"/>
              </w:rPr>
              <w:t>。</w:t>
            </w:r>
          </w:p>
          <w:p w14:paraId="40B58272">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缴纳截止时间：投标文件递交截止时间前。</w:t>
            </w:r>
          </w:p>
          <w:p w14:paraId="219F5FF9">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投标保证金的交纳单位必须与投标人名称一致，投标保证金须从其基本账户转出，否则其投标无效。</w:t>
            </w:r>
          </w:p>
          <w:p w14:paraId="1628F548">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本项目的投标保证金必须通过国企阳光采购平台交纳，使用说明参见威海市公共资源交易网（http://ggzyjy.weihai.cn）的 “办事指南—国企采购专区”中《威海市国有企业阳光采购电子化服务平台线上投标保证金操作手册》。</w:t>
            </w:r>
          </w:p>
          <w:p w14:paraId="2124F9D8">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eastAsia="zh-CN"/>
              </w:rPr>
              <w:t>、为确保投标工作有序进行，投标保证金应当在递交投标文件截止时间前（以到账时间为准）到达收款帐户，收款账户名称以投标单位在系统中获取到的虚拟子账号信息为准，以网银、电汇等方式一次性足额交纳保证金，不接受支付宝等第三方平台转账。禁止第三方代交。投标保证金交纳单位应与递交投标文件的投标人名称一致。（注：请投标单位务必注意以系统生成的交纳账号信息为准，进行保证金的交纳，并及时通过平台查询确认保证金到账情况，因操作不当造成投标保证金递交失败的，由投标单位自行承担相应责任）。</w:t>
            </w:r>
          </w:p>
          <w:p w14:paraId="58972858">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为确保投标人投标保证金及时足额到账，请尽量提前交纳保证金，由于银行系统原因，请至少在递交投标文件截止时间前12 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p w14:paraId="4BE7A9DF">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退还保证金：目前系统采用自动退还保证金操作，分为未中标人退还和中标人退还。代理公司向中标人发送中标通知书后，系统自动退还未中标人保证金；招标人和中标人签署完合同后，系统自动退还中标人保证金。</w:t>
            </w:r>
          </w:p>
        </w:tc>
      </w:tr>
      <w:tr w14:paraId="49438B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32" w:type="dxa"/>
            <w:tcBorders>
              <w:top w:val="single" w:color="auto" w:sz="4" w:space="0"/>
              <w:bottom w:val="single" w:color="auto" w:sz="4" w:space="0"/>
              <w:right w:val="single" w:color="auto" w:sz="4" w:space="0"/>
            </w:tcBorders>
            <w:noWrap w:val="0"/>
            <w:vAlign w:val="center"/>
          </w:tcPr>
          <w:p w14:paraId="5F118FF6">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26</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2C86A2C5">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履约保证金</w:t>
            </w:r>
          </w:p>
        </w:tc>
        <w:tc>
          <w:tcPr>
            <w:tcW w:w="6774" w:type="dxa"/>
            <w:tcBorders>
              <w:top w:val="single" w:color="auto" w:sz="4" w:space="0"/>
              <w:left w:val="single" w:color="auto" w:sz="4" w:space="0"/>
              <w:bottom w:val="single" w:color="auto" w:sz="4" w:space="0"/>
            </w:tcBorders>
            <w:noWrap w:val="0"/>
            <w:vAlign w:val="center"/>
          </w:tcPr>
          <w:p w14:paraId="17283ADF">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按合同约定执行</w:t>
            </w:r>
          </w:p>
        </w:tc>
      </w:tr>
      <w:tr w14:paraId="4555D6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932" w:type="dxa"/>
            <w:tcBorders>
              <w:top w:val="single" w:color="auto" w:sz="4" w:space="0"/>
              <w:bottom w:val="single" w:color="auto" w:sz="4" w:space="0"/>
              <w:right w:val="single" w:color="auto" w:sz="4" w:space="0"/>
            </w:tcBorders>
            <w:noWrap w:val="0"/>
            <w:vAlign w:val="center"/>
          </w:tcPr>
          <w:p w14:paraId="73DCF155">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27</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77A76BD9">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付款方式</w:t>
            </w:r>
          </w:p>
        </w:tc>
        <w:tc>
          <w:tcPr>
            <w:tcW w:w="6774" w:type="dxa"/>
            <w:tcBorders>
              <w:top w:val="single" w:color="auto" w:sz="4" w:space="0"/>
              <w:left w:val="single" w:color="auto" w:sz="4" w:space="0"/>
              <w:bottom w:val="single" w:color="auto" w:sz="4" w:space="0"/>
            </w:tcBorders>
            <w:noWrap w:val="0"/>
            <w:vAlign w:val="center"/>
          </w:tcPr>
          <w:p w14:paraId="5FEFEEBC">
            <w:pPr>
              <w:snapToGrid w:val="0"/>
              <w:spacing w:line="400" w:lineRule="exact"/>
              <w:jc w:val="left"/>
              <w:rPr>
                <w:rFonts w:ascii="仿宋" w:hAnsi="仿宋" w:eastAsia="仿宋" w:cs="仿宋"/>
                <w:sz w:val="24"/>
                <w:szCs w:val="24"/>
                <w:highlight w:val="none"/>
              </w:rPr>
            </w:pPr>
            <w:r>
              <w:rPr>
                <w:rFonts w:hint="eastAsia" w:ascii="仿宋" w:hAnsi="仿宋" w:eastAsia="仿宋" w:cs="仿宋"/>
                <w:sz w:val="24"/>
                <w:szCs w:val="24"/>
                <w:highlight w:val="none"/>
              </w:rPr>
              <w:t>见合同范本</w:t>
            </w:r>
          </w:p>
        </w:tc>
      </w:tr>
      <w:tr w14:paraId="5A00E4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932" w:type="dxa"/>
            <w:tcBorders>
              <w:top w:val="single" w:color="auto" w:sz="4" w:space="0"/>
              <w:bottom w:val="single" w:color="auto" w:sz="4" w:space="0"/>
              <w:right w:val="single" w:color="auto" w:sz="4" w:space="0"/>
            </w:tcBorders>
            <w:noWrap w:val="0"/>
            <w:vAlign w:val="center"/>
          </w:tcPr>
          <w:p w14:paraId="5EAA0584">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28</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5029A53A">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其他</w:t>
            </w:r>
          </w:p>
        </w:tc>
        <w:tc>
          <w:tcPr>
            <w:tcW w:w="6774" w:type="dxa"/>
            <w:tcBorders>
              <w:top w:val="single" w:color="auto" w:sz="4" w:space="0"/>
              <w:left w:val="single" w:color="auto" w:sz="4" w:space="0"/>
              <w:bottom w:val="single" w:color="auto" w:sz="4" w:space="0"/>
            </w:tcBorders>
            <w:noWrap w:val="0"/>
            <w:vAlign w:val="center"/>
          </w:tcPr>
          <w:p w14:paraId="289034EA">
            <w:pPr>
              <w:numPr>
                <w:ilvl w:val="0"/>
                <w:numId w:val="0"/>
              </w:num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本项目按</w:t>
            </w:r>
            <w:r>
              <w:rPr>
                <w:rFonts w:hint="eastAsia" w:ascii="仿宋" w:hAnsi="仿宋" w:eastAsia="仿宋" w:cs="仿宋"/>
                <w:sz w:val="24"/>
                <w:szCs w:val="24"/>
                <w:highlight w:val="none"/>
                <w:lang w:val="en-US" w:eastAsia="zh-CN"/>
              </w:rPr>
              <w:t>工程类</w:t>
            </w:r>
            <w:r>
              <w:rPr>
                <w:rFonts w:hint="eastAsia" w:ascii="仿宋" w:hAnsi="仿宋" w:eastAsia="仿宋" w:cs="仿宋"/>
                <w:sz w:val="24"/>
                <w:szCs w:val="24"/>
                <w:highlight w:val="none"/>
              </w:rPr>
              <w:t>以公开招标方式实施采购</w:t>
            </w:r>
            <w:r>
              <w:rPr>
                <w:rFonts w:hint="eastAsia" w:ascii="仿宋" w:hAnsi="仿宋" w:eastAsia="仿宋" w:cs="仿宋"/>
                <w:sz w:val="24"/>
                <w:szCs w:val="24"/>
                <w:highlight w:val="none"/>
                <w:lang w:eastAsia="zh-CN"/>
              </w:rPr>
              <w:t>。</w:t>
            </w:r>
          </w:p>
          <w:p w14:paraId="1A3270AB">
            <w:pPr>
              <w:numPr>
                <w:ilvl w:val="0"/>
                <w:numId w:val="0"/>
              </w:numPr>
              <w:snapToGrid w:val="0"/>
              <w:spacing w:line="400" w:lineRule="exact"/>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2.如投标单位在本次项目中弄虚作假成为中标单位的,后期一经发现将取消其中标资格，且今后不再录用，给招标人造成损失的，招标人有权向投标单位索要赔偿。</w:t>
            </w:r>
          </w:p>
          <w:p w14:paraId="62B2D158">
            <w:pPr>
              <w:numPr>
                <w:ilvl w:val="0"/>
                <w:numId w:val="0"/>
              </w:numPr>
              <w:snapToGrid w:val="0"/>
              <w:spacing w:line="400" w:lineRule="exact"/>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3.投标单位在本次招标中标后，如在今后的施工中，拒绝或不能按照招标人的要求来进行施工等，招标人有权撤销其中标资格，给招标人造成损失的，招标人有权要求索赔。</w:t>
            </w:r>
          </w:p>
          <w:p w14:paraId="2AFC9C8F">
            <w:pPr>
              <w:numPr>
                <w:ilvl w:val="0"/>
                <w:numId w:val="0"/>
              </w:numPr>
              <w:snapToGrid w:val="0"/>
              <w:spacing w:line="400" w:lineRule="exact"/>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4.投标单位不得对本项目进行分包或转包。如投标单位在中标后出现上述情况，一经招标单位发现，立即取消其中标资格。</w:t>
            </w:r>
          </w:p>
        </w:tc>
      </w:tr>
      <w:tr w14:paraId="42FEFE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932" w:type="dxa"/>
            <w:tcBorders>
              <w:top w:val="single" w:color="auto" w:sz="4" w:space="0"/>
              <w:right w:val="single" w:color="auto" w:sz="4" w:space="0"/>
            </w:tcBorders>
            <w:noWrap w:val="0"/>
            <w:vAlign w:val="center"/>
          </w:tcPr>
          <w:p w14:paraId="2B540710">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29</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09833076">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代理服务费</w:t>
            </w:r>
          </w:p>
        </w:tc>
        <w:tc>
          <w:tcPr>
            <w:tcW w:w="6774" w:type="dxa"/>
            <w:tcBorders>
              <w:top w:val="single" w:color="auto" w:sz="4" w:space="0"/>
              <w:left w:val="single" w:color="auto" w:sz="4" w:space="0"/>
              <w:bottom w:val="single" w:color="auto" w:sz="4" w:space="0"/>
            </w:tcBorders>
            <w:noWrap w:val="0"/>
            <w:vAlign w:val="center"/>
          </w:tcPr>
          <w:p w14:paraId="66362B0D">
            <w:pPr>
              <w:numPr>
                <w:ilvl w:val="0"/>
                <w:numId w:val="0"/>
              </w:numPr>
              <w:snapToGrid w:val="0"/>
              <w:spacing w:line="400" w:lineRule="exact"/>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招标代理服务费全部由中标单位支付，此费用包含在投标报价中，招标人不再另行考虑。具体以中标金额为基数参照原国家发展计划委员会规定的标准（详见《招标代理服务收费管理暂行办法》计价格［2002］1980号)文件“工程类”标准，按标准取费的56%计取，招标代理费不足3000元按3000元收取。</w:t>
            </w:r>
          </w:p>
          <w:p w14:paraId="27A3B511">
            <w:pPr>
              <w:snapToGrid w:val="0"/>
              <w:spacing w:line="40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收款单位：山东富尔工程咨询管理有限公司</w:t>
            </w:r>
          </w:p>
          <w:p w14:paraId="5871C24E">
            <w:pPr>
              <w:snapToGrid w:val="0"/>
              <w:spacing w:line="40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开户行：中国建设银行威海文化支行</w:t>
            </w:r>
          </w:p>
          <w:p w14:paraId="3B07A5F2">
            <w:pPr>
              <w:snapToGrid w:val="0"/>
              <w:spacing w:line="40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账号：37001707101050000572</w:t>
            </w:r>
          </w:p>
        </w:tc>
      </w:tr>
      <w:tr w14:paraId="3A5D54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932" w:type="dxa"/>
            <w:tcBorders>
              <w:top w:val="single" w:color="auto" w:sz="4" w:space="0"/>
              <w:right w:val="single" w:color="auto" w:sz="4" w:space="0"/>
            </w:tcBorders>
            <w:noWrap w:val="0"/>
            <w:vAlign w:val="center"/>
          </w:tcPr>
          <w:p w14:paraId="7C5463D5">
            <w:pPr>
              <w:snapToGrid w:val="0"/>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30</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5251DFAF">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专家评审费</w:t>
            </w:r>
          </w:p>
        </w:tc>
        <w:tc>
          <w:tcPr>
            <w:tcW w:w="6774" w:type="dxa"/>
            <w:tcBorders>
              <w:top w:val="single" w:color="auto" w:sz="4" w:space="0"/>
              <w:left w:val="single" w:color="auto" w:sz="4" w:space="0"/>
              <w:bottom w:val="single" w:color="auto" w:sz="4" w:space="0"/>
            </w:tcBorders>
            <w:noWrap w:val="0"/>
            <w:vAlign w:val="center"/>
          </w:tcPr>
          <w:p w14:paraId="24B810B4">
            <w:pPr>
              <w:snapToGrid w:val="0"/>
              <w:spacing w:line="4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专家评审费由中标单位缴纳，按实收取。</w:t>
            </w:r>
          </w:p>
        </w:tc>
      </w:tr>
      <w:tr w14:paraId="0A418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4" w:hRule="atLeast"/>
          <w:jc w:val="center"/>
        </w:trPr>
        <w:tc>
          <w:tcPr>
            <w:tcW w:w="932" w:type="dxa"/>
            <w:tcBorders>
              <w:top w:val="single" w:color="auto" w:sz="4" w:space="0"/>
              <w:bottom w:val="single" w:color="auto" w:sz="4" w:space="0"/>
              <w:right w:val="single" w:color="auto" w:sz="4" w:space="0"/>
            </w:tcBorders>
            <w:noWrap w:val="0"/>
            <w:vAlign w:val="center"/>
          </w:tcPr>
          <w:p w14:paraId="7DBA124B">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31</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7D2C5D68">
            <w:pPr>
              <w:snapToGrid w:val="0"/>
              <w:spacing w:line="40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是否委托定标</w:t>
            </w:r>
          </w:p>
        </w:tc>
        <w:tc>
          <w:tcPr>
            <w:tcW w:w="6774" w:type="dxa"/>
            <w:tcBorders>
              <w:top w:val="single" w:color="auto" w:sz="4" w:space="0"/>
              <w:left w:val="single" w:color="auto" w:sz="4" w:space="0"/>
              <w:bottom w:val="single" w:color="auto" w:sz="4" w:space="0"/>
            </w:tcBorders>
            <w:noWrap w:val="0"/>
            <w:vAlign w:val="center"/>
          </w:tcPr>
          <w:p w14:paraId="7D8D192C">
            <w:pPr>
              <w:snapToGrid w:val="0"/>
              <w:spacing w:line="40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是</w:t>
            </w:r>
          </w:p>
        </w:tc>
      </w:tr>
    </w:tbl>
    <w:p w14:paraId="6718C8CD">
      <w:pPr>
        <w:snapToGrid w:val="0"/>
        <w:spacing w:line="400" w:lineRule="exact"/>
        <w:jc w:val="center"/>
        <w:rPr>
          <w:rFonts w:hint="eastAsia" w:ascii="仿宋" w:hAnsi="仿宋" w:eastAsia="仿宋" w:cs="仿宋"/>
          <w:b/>
          <w:bCs/>
          <w:sz w:val="30"/>
          <w:szCs w:val="30"/>
          <w:highlight w:val="none"/>
        </w:rPr>
      </w:pPr>
    </w:p>
    <w:p w14:paraId="02FE8988">
      <w:pPr>
        <w:snapToGrid w:val="0"/>
        <w:spacing w:line="400" w:lineRule="exact"/>
        <w:jc w:val="center"/>
        <w:rPr>
          <w:rFonts w:hint="eastAsia" w:ascii="仿宋" w:hAnsi="仿宋" w:eastAsia="仿宋" w:cs="仿宋"/>
          <w:b/>
          <w:bCs/>
          <w:sz w:val="30"/>
          <w:szCs w:val="30"/>
          <w:highlight w:val="none"/>
        </w:rPr>
      </w:pPr>
    </w:p>
    <w:p w14:paraId="75A666DF">
      <w:pPr>
        <w:snapToGrid w:val="0"/>
        <w:spacing w:line="400" w:lineRule="exact"/>
        <w:jc w:val="center"/>
        <w:rPr>
          <w:rFonts w:hint="eastAsia" w:ascii="仿宋" w:hAnsi="仿宋" w:eastAsia="仿宋" w:cs="仿宋"/>
          <w:b/>
          <w:bCs/>
          <w:sz w:val="30"/>
          <w:szCs w:val="30"/>
          <w:highlight w:val="none"/>
        </w:rPr>
      </w:pPr>
    </w:p>
    <w:p w14:paraId="4648DCC6">
      <w:pPr>
        <w:snapToGrid w:val="0"/>
        <w:spacing w:line="400" w:lineRule="exact"/>
        <w:jc w:val="center"/>
        <w:rPr>
          <w:rFonts w:hint="eastAsia" w:ascii="仿宋" w:hAnsi="仿宋" w:eastAsia="仿宋" w:cs="仿宋"/>
          <w:b/>
          <w:bCs/>
          <w:sz w:val="30"/>
          <w:szCs w:val="30"/>
          <w:highlight w:val="none"/>
        </w:rPr>
      </w:pPr>
      <w:bookmarkStart w:id="122" w:name="_GoBack"/>
      <w:bookmarkEnd w:id="122"/>
    </w:p>
    <w:p w14:paraId="5682A45E">
      <w:pPr>
        <w:snapToGrid w:val="0"/>
        <w:spacing w:line="400" w:lineRule="exact"/>
        <w:jc w:val="center"/>
        <w:rPr>
          <w:rFonts w:ascii="仿宋" w:hAnsi="仿宋" w:eastAsia="仿宋" w:cs="仿宋"/>
          <w:sz w:val="24"/>
          <w:szCs w:val="24"/>
          <w:highlight w:val="none"/>
        </w:rPr>
      </w:pPr>
      <w:r>
        <w:rPr>
          <w:rFonts w:hint="eastAsia" w:ascii="仿宋" w:hAnsi="仿宋" w:eastAsia="仿宋" w:cs="仿宋"/>
          <w:b/>
          <w:bCs/>
          <w:sz w:val="30"/>
          <w:szCs w:val="30"/>
          <w:highlight w:val="none"/>
        </w:rPr>
        <w:t>实质性条款一览表</w:t>
      </w:r>
    </w:p>
    <w:p w14:paraId="0C31CF00">
      <w:pPr>
        <w:snapToGrid w:val="0"/>
        <w:spacing w:line="360" w:lineRule="auto"/>
        <w:ind w:firstLine="560"/>
        <w:jc w:val="left"/>
        <w:rPr>
          <w:rFonts w:ascii="仿宋" w:hAnsi="仿宋" w:eastAsia="仿宋" w:cs="仿宋"/>
          <w:sz w:val="24"/>
          <w:szCs w:val="24"/>
          <w:highlight w:val="none"/>
        </w:rPr>
      </w:pPr>
      <w:r>
        <w:rPr>
          <w:rFonts w:hint="eastAsia" w:ascii="仿宋" w:hAnsi="仿宋" w:eastAsia="仿宋" w:cs="仿宋"/>
          <w:sz w:val="24"/>
          <w:szCs w:val="24"/>
          <w:highlight w:val="none"/>
        </w:rPr>
        <w:t>说明：本表系招标文件及修改性文件中涉及的所有实质性条款的汇总。不允许有任何负偏离，否则投标将被否决。</w:t>
      </w:r>
    </w:p>
    <w:tbl>
      <w:tblPr>
        <w:tblStyle w:val="43"/>
        <w:tblW w:w="96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2"/>
        <w:gridCol w:w="2651"/>
        <w:gridCol w:w="6105"/>
      </w:tblGrid>
      <w:tr w14:paraId="1D4DE2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jc w:val="center"/>
        </w:trPr>
        <w:tc>
          <w:tcPr>
            <w:tcW w:w="942" w:type="dxa"/>
            <w:tcBorders>
              <w:top w:val="single" w:color="auto" w:sz="4" w:space="0"/>
              <w:bottom w:val="single" w:color="auto" w:sz="4" w:space="0"/>
              <w:right w:val="single" w:color="auto" w:sz="4" w:space="0"/>
            </w:tcBorders>
            <w:noWrap w:val="0"/>
            <w:vAlign w:val="center"/>
          </w:tcPr>
          <w:p w14:paraId="2ABD6B2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序号</w:t>
            </w:r>
          </w:p>
        </w:tc>
        <w:tc>
          <w:tcPr>
            <w:tcW w:w="2651" w:type="dxa"/>
            <w:tcBorders>
              <w:top w:val="single" w:color="auto" w:sz="4" w:space="0"/>
              <w:left w:val="single" w:color="auto" w:sz="4" w:space="0"/>
              <w:bottom w:val="single" w:color="auto" w:sz="4" w:space="0"/>
              <w:right w:val="single" w:color="auto" w:sz="4" w:space="0"/>
            </w:tcBorders>
            <w:noWrap w:val="0"/>
            <w:vAlign w:val="center"/>
          </w:tcPr>
          <w:p w14:paraId="4CC6E4F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项目名称</w:t>
            </w:r>
          </w:p>
        </w:tc>
        <w:tc>
          <w:tcPr>
            <w:tcW w:w="6105" w:type="dxa"/>
            <w:tcBorders>
              <w:top w:val="single" w:color="auto" w:sz="4" w:space="0"/>
              <w:left w:val="single" w:color="auto" w:sz="4" w:space="0"/>
              <w:bottom w:val="single" w:color="auto" w:sz="4" w:space="0"/>
            </w:tcBorders>
            <w:noWrap w:val="0"/>
            <w:vAlign w:val="center"/>
          </w:tcPr>
          <w:p w14:paraId="7814F45E">
            <w:pPr>
              <w:keepNext w:val="0"/>
              <w:keepLines w:val="0"/>
              <w:pageBreakBefore w:val="0"/>
              <w:widowControl w:val="0"/>
              <w:kinsoku/>
              <w:wordWrap/>
              <w:overflowPunct/>
              <w:topLinePunct w:val="0"/>
              <w:autoSpaceDE/>
              <w:autoSpaceDN/>
              <w:bidi w:val="0"/>
              <w:adjustRightInd/>
              <w:snapToGrid/>
              <w:spacing w:line="480" w:lineRule="exact"/>
              <w:ind w:firstLine="482" w:firstLineChars="201"/>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内       容</w:t>
            </w:r>
          </w:p>
        </w:tc>
      </w:tr>
      <w:tr w14:paraId="658449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7" w:hRule="atLeast"/>
          <w:jc w:val="center"/>
        </w:trPr>
        <w:tc>
          <w:tcPr>
            <w:tcW w:w="942" w:type="dxa"/>
            <w:tcBorders>
              <w:top w:val="single" w:color="auto" w:sz="4" w:space="0"/>
              <w:bottom w:val="single" w:color="auto" w:sz="4" w:space="0"/>
              <w:right w:val="single" w:color="auto" w:sz="4" w:space="0"/>
            </w:tcBorders>
            <w:noWrap w:val="0"/>
            <w:vAlign w:val="center"/>
          </w:tcPr>
          <w:p w14:paraId="1710B9B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1</w:t>
            </w:r>
          </w:p>
        </w:tc>
        <w:tc>
          <w:tcPr>
            <w:tcW w:w="2651" w:type="dxa"/>
            <w:tcBorders>
              <w:top w:val="single" w:color="auto" w:sz="4" w:space="0"/>
              <w:left w:val="single" w:color="auto" w:sz="4" w:space="0"/>
              <w:bottom w:val="single" w:color="auto" w:sz="4" w:space="0"/>
              <w:right w:val="single" w:color="auto" w:sz="4" w:space="0"/>
            </w:tcBorders>
            <w:noWrap w:val="0"/>
            <w:vAlign w:val="center"/>
          </w:tcPr>
          <w:p w14:paraId="5F16BCB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资格性评审</w:t>
            </w:r>
          </w:p>
        </w:tc>
        <w:tc>
          <w:tcPr>
            <w:tcW w:w="6105" w:type="dxa"/>
            <w:tcBorders>
              <w:top w:val="single" w:color="auto" w:sz="4" w:space="0"/>
              <w:left w:val="single" w:color="auto" w:sz="4" w:space="0"/>
              <w:bottom w:val="single" w:color="auto" w:sz="4" w:space="0"/>
            </w:tcBorders>
            <w:noWrap w:val="0"/>
            <w:vAlign w:val="top"/>
          </w:tcPr>
          <w:p w14:paraId="7D2A0EDB">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1.有效的营业执照扫描件</w:t>
            </w:r>
            <w:r>
              <w:rPr>
                <w:rFonts w:hint="eastAsia" w:ascii="仿宋" w:hAnsi="仿宋" w:eastAsia="仿宋" w:cs="仿宋"/>
                <w:sz w:val="24"/>
                <w:szCs w:val="24"/>
                <w:highlight w:val="none"/>
                <w:lang w:eastAsia="zh-CN"/>
              </w:rPr>
              <w:t>；</w:t>
            </w:r>
          </w:p>
          <w:p w14:paraId="0C0F83FA">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2.法定代表人身份证明或授权委托书</w:t>
            </w:r>
            <w:r>
              <w:rPr>
                <w:rFonts w:hint="eastAsia" w:ascii="仿宋" w:hAnsi="仿宋" w:eastAsia="仿宋" w:cs="仿宋"/>
                <w:sz w:val="24"/>
                <w:szCs w:val="24"/>
                <w:highlight w:val="none"/>
                <w:lang w:eastAsia="zh-CN"/>
              </w:rPr>
              <w:t>：</w:t>
            </w:r>
          </w:p>
          <w:p w14:paraId="1AC40264">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若法定代表人参加投标，投标文件附法定代表人身份证明及法定代表人身份证件扫描件；若授权代表参加投标，投标文件还须附法人授权委托书及被授权人身份证扫描件</w:t>
            </w:r>
            <w:r>
              <w:rPr>
                <w:rFonts w:hint="eastAsia" w:ascii="仿宋" w:hAnsi="仿宋" w:eastAsia="仿宋" w:cs="仿宋"/>
                <w:sz w:val="24"/>
                <w:szCs w:val="24"/>
                <w:highlight w:val="none"/>
                <w:lang w:eastAsia="zh-CN"/>
              </w:rPr>
              <w:t>；</w:t>
            </w:r>
          </w:p>
          <w:p w14:paraId="75821927">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3.有效的市政公用工程施工总承包三级及以上资质及安全生产许可证的证书扫描件；</w:t>
            </w:r>
          </w:p>
          <w:p w14:paraId="0D3FD138">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4.拟派项目经理市政公用工程专业二级及以上注册建造师执业资格证书扫描件、安全生产考核合格证（B证）扫描件，项目经理近一个月（2026年7月或2026年8月）</w:t>
            </w:r>
            <w:r>
              <w:rPr>
                <w:rFonts w:hint="eastAsia" w:ascii="仿宋" w:hAnsi="仿宋" w:eastAsia="仿宋" w:cs="仿宋"/>
                <w:color w:val="auto"/>
                <w:sz w:val="24"/>
                <w:szCs w:val="24"/>
                <w:highlight w:val="none"/>
              </w:rPr>
              <w:t>社会保险缴纳证明材料扫描件</w:t>
            </w:r>
            <w:r>
              <w:rPr>
                <w:rFonts w:hint="eastAsia" w:ascii="仿宋" w:hAnsi="仿宋" w:eastAsia="仿宋" w:cs="仿宋"/>
                <w:sz w:val="24"/>
                <w:szCs w:val="24"/>
                <w:highlight w:val="none"/>
                <w:lang w:val="en-US" w:eastAsia="zh-CN"/>
              </w:rPr>
              <w:t>或网上查询截图；</w:t>
            </w:r>
          </w:p>
          <w:p w14:paraId="276044E2">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r>
              <w:rPr>
                <w:rFonts w:hint="default" w:ascii="仿宋" w:hAnsi="仿宋" w:eastAsia="仿宋" w:cs="仿宋"/>
                <w:sz w:val="24"/>
                <w:szCs w:val="24"/>
                <w:highlight w:val="none"/>
                <w:lang w:val="en-US" w:eastAsia="zh-CN"/>
              </w:rPr>
              <w:t>投标人信用承诺书</w:t>
            </w:r>
            <w:r>
              <w:rPr>
                <w:rFonts w:hint="eastAsia" w:ascii="仿宋" w:hAnsi="仿宋" w:eastAsia="仿宋" w:cs="仿宋"/>
                <w:sz w:val="24"/>
                <w:szCs w:val="24"/>
                <w:highlight w:val="none"/>
                <w:lang w:val="en-US" w:eastAsia="zh-CN"/>
              </w:rPr>
              <w:t>；</w:t>
            </w:r>
          </w:p>
          <w:p w14:paraId="72BD10D2">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.投标人参与投标的声明函；</w:t>
            </w:r>
          </w:p>
          <w:p w14:paraId="5E718A7B">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lang w:eastAsia="zh-CN"/>
              </w:rPr>
              <w:t>投标人及其法定代表人、委托代理人、项目管理机构所有人员未被最高法院</w:t>
            </w:r>
            <w:r>
              <w:rPr>
                <w:rFonts w:hint="eastAsia" w:ascii="仿宋" w:hAnsi="仿宋" w:eastAsia="仿宋" w:cs="仿宋"/>
                <w:sz w:val="24"/>
                <w:szCs w:val="24"/>
                <w:highlight w:val="none"/>
              </w:rPr>
              <w:t>（查询网址为：</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"http://zxgk.court.gov.cn/shixin/）列入失信被执行人。投标文件附通过网站查询信息记录，包含投标人及其法定代表人、授权委托代理人、项目" </w:instrText>
            </w:r>
            <w:r>
              <w:rPr>
                <w:rFonts w:hint="eastAsia" w:ascii="仿宋" w:hAnsi="仿宋" w:eastAsia="仿宋" w:cs="仿宋"/>
                <w:color w:val="auto"/>
                <w:sz w:val="24"/>
                <w:szCs w:val="24"/>
                <w:highlight w:val="none"/>
              </w:rPr>
              <w:fldChar w:fldCharType="separate"/>
            </w:r>
            <w:r>
              <w:rPr>
                <w:rStyle w:val="54"/>
                <w:rFonts w:hint="eastAsia" w:ascii="仿宋" w:hAnsi="仿宋" w:eastAsia="仿宋" w:cs="仿宋"/>
                <w:color w:val="auto"/>
                <w:sz w:val="24"/>
                <w:szCs w:val="24"/>
                <w:highlight w:val="none"/>
              </w:rPr>
              <w:t>http://zxgk.court.gov.cn/shixin/）列入失信被执行人。投标文件附通过网站查询信息记录，包含投标人及其法定代表人、授权委托代理人</w:t>
            </w:r>
            <w:r>
              <w:rPr>
                <w:rStyle w:val="54"/>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lang w:eastAsia="zh-CN"/>
              </w:rPr>
              <w:t>项目管理机构所有人员</w:t>
            </w:r>
            <w:r>
              <w:rPr>
                <w:rFonts w:hint="eastAsia" w:ascii="仿宋" w:hAnsi="仿宋" w:eastAsia="仿宋" w:cs="仿宋"/>
                <w:sz w:val="24"/>
                <w:szCs w:val="24"/>
                <w:highlight w:val="none"/>
              </w:rPr>
              <w:t>失信被执行人情况网页截图（省份为全部）；</w:t>
            </w:r>
          </w:p>
          <w:p w14:paraId="3DBAF0CE">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投标人近一年无严重失信记录，投标文件中需附通过信用中国（查询网址：https://www.creditchina.gov.cn）或信用中国（山东）（https://credit.shandong.gov.cn）查询的信用报告，近一年是指2025年1月1日至查询日止，查询日期不早于招标文件开始获取日期</w:t>
            </w:r>
            <w:r>
              <w:rPr>
                <w:rFonts w:hint="eastAsia" w:ascii="仿宋" w:hAnsi="仿宋" w:eastAsia="仿宋" w:cs="仿宋"/>
                <w:sz w:val="24"/>
                <w:szCs w:val="24"/>
                <w:highlight w:val="none"/>
                <w:lang w:eastAsia="zh-CN"/>
              </w:rPr>
              <w:t>；</w:t>
            </w:r>
          </w:p>
          <w:p w14:paraId="4B4C9B39">
            <w:pPr>
              <w:keepNext w:val="0"/>
              <w:keepLines w:val="0"/>
              <w:pageBreakBefore w:val="0"/>
              <w:widowControl w:val="0"/>
              <w:kinsoku/>
              <w:wordWrap/>
              <w:overflowPunct/>
              <w:topLinePunct w:val="0"/>
              <w:autoSpaceDE/>
              <w:autoSpaceDN/>
              <w:bidi w:val="0"/>
              <w:adjustRightInd/>
              <w:snapToGrid/>
              <w:spacing w:line="480" w:lineRule="exact"/>
              <w:jc w:val="left"/>
              <w:textAlignment w:val="auto"/>
              <w:rPr>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.投标保证金：按招标文件要求交纳人民币</w:t>
            </w:r>
            <w:r>
              <w:rPr>
                <w:rFonts w:hint="eastAsia" w:ascii="仿宋" w:hAnsi="仿宋" w:eastAsia="仿宋" w:cs="仿宋"/>
                <w:sz w:val="24"/>
                <w:szCs w:val="24"/>
                <w:highlight w:val="none"/>
                <w:lang w:val="en-US" w:eastAsia="zh-CN"/>
              </w:rPr>
              <w:t>7000.00</w:t>
            </w:r>
            <w:r>
              <w:rPr>
                <w:rFonts w:hint="eastAsia" w:ascii="仿宋" w:hAnsi="仿宋" w:eastAsia="仿宋" w:cs="仿宋"/>
                <w:sz w:val="24"/>
                <w:szCs w:val="24"/>
                <w:highlight w:val="none"/>
              </w:rPr>
              <w:t>元；交纳投标保证金的证明材料两者缺一不可：（1）企业银行基本账户开户证明（如开户许可证或银行开户证明等）、（2）电汇凭证或电子汇款截图扫描件。</w:t>
            </w:r>
          </w:p>
        </w:tc>
      </w:tr>
      <w:tr w14:paraId="4CB829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98" w:hRule="atLeast"/>
          <w:jc w:val="center"/>
        </w:trPr>
        <w:tc>
          <w:tcPr>
            <w:tcW w:w="942" w:type="dxa"/>
            <w:tcBorders>
              <w:top w:val="single" w:color="auto" w:sz="4" w:space="0"/>
              <w:bottom w:val="single" w:color="auto" w:sz="4" w:space="0"/>
              <w:right w:val="single" w:color="auto" w:sz="4" w:space="0"/>
            </w:tcBorders>
            <w:noWrap w:val="0"/>
            <w:vAlign w:val="center"/>
          </w:tcPr>
          <w:p w14:paraId="3364A9C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2</w:t>
            </w:r>
          </w:p>
        </w:tc>
        <w:tc>
          <w:tcPr>
            <w:tcW w:w="2651" w:type="dxa"/>
            <w:tcBorders>
              <w:top w:val="single" w:color="auto" w:sz="4" w:space="0"/>
              <w:left w:val="single" w:color="auto" w:sz="4" w:space="0"/>
              <w:bottom w:val="single" w:color="auto" w:sz="4" w:space="0"/>
              <w:right w:val="single" w:color="auto" w:sz="4" w:space="0"/>
            </w:tcBorders>
            <w:noWrap w:val="0"/>
            <w:vAlign w:val="center"/>
          </w:tcPr>
          <w:p w14:paraId="53D1F0F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仿宋" w:hAnsi="仿宋" w:eastAsia="仿宋" w:cs="仿宋"/>
                <w:sz w:val="24"/>
                <w:szCs w:val="24"/>
                <w:highlight w:val="none"/>
              </w:rPr>
            </w:pPr>
            <w:r>
              <w:rPr>
                <w:rFonts w:hint="eastAsia" w:ascii="仿宋" w:hAnsi="仿宋" w:eastAsia="仿宋" w:cs="仿宋"/>
                <w:sz w:val="24"/>
                <w:szCs w:val="24"/>
                <w:highlight w:val="none"/>
              </w:rPr>
              <w:t>符合性评审</w:t>
            </w:r>
          </w:p>
        </w:tc>
        <w:tc>
          <w:tcPr>
            <w:tcW w:w="6105" w:type="dxa"/>
            <w:tcBorders>
              <w:top w:val="single" w:color="auto" w:sz="4" w:space="0"/>
              <w:left w:val="single" w:color="auto" w:sz="4" w:space="0"/>
              <w:bottom w:val="single" w:color="auto" w:sz="4" w:space="0"/>
            </w:tcBorders>
            <w:noWrap w:val="0"/>
            <w:vAlign w:val="center"/>
          </w:tcPr>
          <w:p w14:paraId="2D31249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报价低于（或等于）</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控制价（</w:t>
            </w:r>
            <w:r>
              <w:rPr>
                <w:rFonts w:hint="eastAsia" w:ascii="仿宋" w:hAnsi="仿宋" w:eastAsia="仿宋" w:cs="仿宋"/>
                <w:sz w:val="24"/>
                <w:szCs w:val="24"/>
                <w:highlight w:val="none"/>
                <w:lang w:val="en-US" w:eastAsia="zh-CN"/>
              </w:rPr>
              <w:t>789518.15元</w:t>
            </w:r>
            <w:r>
              <w:rPr>
                <w:rFonts w:hint="eastAsia" w:ascii="仿宋" w:hAnsi="仿宋" w:eastAsia="仿宋" w:cs="仿宋"/>
                <w:sz w:val="24"/>
                <w:szCs w:val="24"/>
                <w:highlight w:val="none"/>
              </w:rPr>
              <w:t>）；</w:t>
            </w:r>
          </w:p>
          <w:p w14:paraId="62BB333D">
            <w:pPr>
              <w:pStyle w:val="2"/>
              <w:spacing w:after="0" w:line="440" w:lineRule="exact"/>
              <w:jc w:val="left"/>
              <w:rPr>
                <w:rFonts w:hint="eastAsia" w:ascii="仿宋" w:hAnsi="仿宋" w:eastAsia="仿宋" w:cs="仿宋"/>
                <w:spacing w:val="8"/>
                <w:sz w:val="24"/>
                <w:highlight w:val="none"/>
                <w:lang w:val="en-US" w:eastAsia="zh-CN"/>
              </w:rPr>
            </w:pPr>
            <w:r>
              <w:rPr>
                <w:rFonts w:hint="eastAsia" w:ascii="仿宋" w:hAnsi="仿宋" w:eastAsia="仿宋" w:cs="仿宋"/>
                <w:sz w:val="24"/>
                <w:szCs w:val="24"/>
                <w:highlight w:val="none"/>
              </w:rPr>
              <w:t>2.工期（</w:t>
            </w:r>
            <w:r>
              <w:rPr>
                <w:rFonts w:hint="eastAsia" w:ascii="仿宋" w:hAnsi="仿宋" w:eastAsia="仿宋" w:cs="仿宋"/>
                <w:spacing w:val="8"/>
                <w:sz w:val="24"/>
                <w:highlight w:val="none"/>
                <w:lang w:val="en-US" w:eastAsia="zh-CN"/>
              </w:rPr>
              <w:t>40日历天</w:t>
            </w:r>
            <w:r>
              <w:rPr>
                <w:rFonts w:hint="eastAsia" w:ascii="仿宋" w:hAnsi="仿宋" w:eastAsia="仿宋" w:cs="仿宋"/>
                <w:sz w:val="24"/>
                <w:szCs w:val="24"/>
                <w:highlight w:val="none"/>
              </w:rPr>
              <w:t>）、质量标准（达到国家验收规范合格标准）及其他实质性要求满足招标文件要求</w:t>
            </w:r>
            <w:r>
              <w:rPr>
                <w:rFonts w:hint="eastAsia" w:ascii="仿宋" w:hAnsi="仿宋" w:eastAsia="仿宋" w:cs="仿宋"/>
                <w:sz w:val="24"/>
                <w:szCs w:val="24"/>
                <w:highlight w:val="none"/>
                <w:lang w:eastAsia="zh-CN"/>
              </w:rPr>
              <w:t>；</w:t>
            </w:r>
          </w:p>
          <w:p w14:paraId="190FF3D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3.不</w:t>
            </w:r>
            <w:r>
              <w:rPr>
                <w:rFonts w:hint="eastAsia" w:ascii="仿宋" w:hAnsi="仿宋" w:eastAsia="仿宋" w:cs="仿宋"/>
                <w:sz w:val="24"/>
                <w:szCs w:val="24"/>
                <w:highlight w:val="none"/>
              </w:rPr>
              <w:t>存在招标文件规定的关于投标人串通投标的情形及其他投标无效的情形。</w:t>
            </w:r>
          </w:p>
        </w:tc>
      </w:tr>
    </w:tbl>
    <w:p w14:paraId="2EB0EE9E">
      <w:pPr>
        <w:rPr>
          <w:rFonts w:ascii="仿宋" w:hAnsi="仿宋" w:eastAsia="仿宋" w:cs="仿宋"/>
          <w:b/>
          <w:sz w:val="24"/>
          <w:szCs w:val="24"/>
          <w:highlight w:val="none"/>
        </w:rPr>
      </w:pPr>
      <w:r>
        <w:rPr>
          <w:rFonts w:hint="eastAsia" w:ascii="仿宋" w:hAnsi="仿宋" w:eastAsia="仿宋" w:cs="仿宋"/>
          <w:b/>
          <w:sz w:val="24"/>
          <w:szCs w:val="24"/>
          <w:highlight w:val="none"/>
        </w:rPr>
        <w:br w:type="page"/>
      </w:r>
      <w:r>
        <w:rPr>
          <w:rFonts w:hint="eastAsia" w:ascii="仿宋" w:hAnsi="仿宋" w:eastAsia="仿宋" w:cs="仿宋"/>
          <w:b/>
          <w:sz w:val="24"/>
          <w:szCs w:val="24"/>
          <w:highlight w:val="none"/>
        </w:rPr>
        <w:t>一、说明</w:t>
      </w:r>
    </w:p>
    <w:p w14:paraId="6F258E2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本文件依据《</w:t>
      </w:r>
      <w:r>
        <w:rPr>
          <w:rFonts w:hint="eastAsia" w:ascii="仿宋" w:hAnsi="仿宋" w:eastAsia="仿宋" w:cs="仿宋"/>
          <w:sz w:val="24"/>
          <w:szCs w:val="24"/>
          <w:highlight w:val="none"/>
          <w:lang w:eastAsia="zh-CN"/>
        </w:rPr>
        <w:t>山东省省属企业阳光采购监督管理办法</w:t>
      </w:r>
      <w:r>
        <w:rPr>
          <w:rFonts w:hint="eastAsia" w:ascii="仿宋" w:hAnsi="仿宋" w:eastAsia="仿宋" w:cs="仿宋"/>
          <w:sz w:val="24"/>
          <w:szCs w:val="24"/>
          <w:highlight w:val="none"/>
        </w:rPr>
        <w:t>》等法律法规，参照《国有企业采购操作规范》</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《国有企业采购管理规范》，结合《威海市市属国有企业阳光采购监督管理暂行办法》及国家和山东省有关法律、法规、规章制度编制。参加本项目投标人应接受本招标文件关于电子招投标各项规定。</w:t>
      </w:r>
    </w:p>
    <w:p w14:paraId="113F7434">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1.适用范围</w:t>
      </w:r>
    </w:p>
    <w:p w14:paraId="37B1E6F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1.1 本招标文件仅适用于本次招标公告中所涉及的项目和内容。</w:t>
      </w:r>
    </w:p>
    <w:p w14:paraId="7D22296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 本招标文件的解释权为</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机构，以书面解释为准。</w:t>
      </w:r>
    </w:p>
    <w:p w14:paraId="2FB15BA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本招标文件未做须知明示，而又有相关法律、法规规定的，从其规定。</w:t>
      </w:r>
    </w:p>
    <w:p w14:paraId="79ABBB0C">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2.相关要求</w:t>
      </w:r>
    </w:p>
    <w:p w14:paraId="3907BE6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2.1 投标人应承担所有准备和参加</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的全部费用。不论电子投标结果如何，</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机构和</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均无义务和责任承担这些费用。</w:t>
      </w:r>
    </w:p>
    <w:p w14:paraId="051C1FA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 本项目若涉及</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货物，则合格的货物及相应服务应满足以下要求：</w:t>
      </w:r>
    </w:p>
    <w:p w14:paraId="729818F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 必须是全新、未使用过的原装合格正品（包括零部件），如安装或配置了软件的，须为正版软件。</w:t>
      </w:r>
    </w:p>
    <w:p w14:paraId="2E159DB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2.2.2 国产的货物及其有关服务必须符合中华人民共和国的设计和制造生产标准或行业标准。招标公告有其他要求的，亦应符合其要求。</w:t>
      </w:r>
    </w:p>
    <w:p w14:paraId="2663EAF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1C4B0A3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2.2.4 投标人应保证，其所提供的货物在提供给</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单位前具有完全的所有权，</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8153AA3">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2.3</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投标人应通过威海市公共资源交易网登录国企阳光采购平台获取招标文件，并通过国企阳光采购平台网上上传电子投标文件，电子投标文件成功上传后，将会生成投标回执，未通过国企阳光采购平台上传电子投标文件的，为无效投标。获取招标文件的投标人不足3家的，本项目直接废标。</w:t>
      </w:r>
    </w:p>
    <w:p w14:paraId="7DB7F1AD">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二、招标文件</w:t>
      </w:r>
    </w:p>
    <w:p w14:paraId="21B5C093">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3.招标文件的构成</w:t>
      </w:r>
    </w:p>
    <w:p w14:paraId="3F25B8A1">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由各包段本文件（word格式）和各包段的数据文件（excel格式）构成，采用压缩包电子版文件格式提供。</w:t>
      </w:r>
    </w:p>
    <w:p w14:paraId="458E45B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3.1 本文件（word格式）由下列文件组成：</w:t>
      </w:r>
    </w:p>
    <w:p w14:paraId="4EFA00F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（1）招标公告</w:t>
      </w:r>
    </w:p>
    <w:p w14:paraId="736DF86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（2）投标须知</w:t>
      </w:r>
    </w:p>
    <w:p w14:paraId="2225B2E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内容与要求</w:t>
      </w:r>
    </w:p>
    <w:p w14:paraId="66FC757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（4）评标原则、程序与方法</w:t>
      </w:r>
    </w:p>
    <w:p w14:paraId="45020FF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（5）投标文件格式</w:t>
      </w:r>
    </w:p>
    <w:p w14:paraId="272652B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（6）合同（范本）</w:t>
      </w:r>
    </w:p>
    <w:p w14:paraId="6F137B2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（7）在</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过程中由</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机构发出的修正和补充文件等（如有）</w:t>
      </w:r>
    </w:p>
    <w:p w14:paraId="6862D31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 数据文件（excel格式）由下列文件组成：</w:t>
      </w:r>
    </w:p>
    <w:p w14:paraId="511702A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（1）封面</w:t>
      </w:r>
    </w:p>
    <w:p w14:paraId="74E9AAB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（2）投标报价表（含明细）</w:t>
      </w:r>
    </w:p>
    <w:p w14:paraId="3FE1453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（3）需求响应表（如有）</w:t>
      </w:r>
    </w:p>
    <w:p w14:paraId="2E82B66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（4）评审对照表</w:t>
      </w:r>
    </w:p>
    <w:p w14:paraId="06A8CBD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（5）评分对照表（如有）</w:t>
      </w:r>
    </w:p>
    <w:p w14:paraId="31524E7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7EA49FFD">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4.招标文件的澄清</w:t>
      </w:r>
    </w:p>
    <w:p w14:paraId="0A6294B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投标人在收到招标文件后，对招标文件若有任何疑问或要求澄清招标文件的，应在投标截止前2日内按“投标须知前附表”第四项向</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机构提出，必要时</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机构将协助</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组织所有获取招标文件</w:t>
      </w:r>
      <w:r>
        <w:rPr>
          <w:rFonts w:hint="eastAsia" w:ascii="仿宋" w:hAnsi="仿宋" w:eastAsia="仿宋" w:cs="仿宋"/>
          <w:sz w:val="24"/>
          <w:szCs w:val="24"/>
          <w:highlight w:val="none"/>
          <w:lang w:val="en-US" w:eastAsia="zh-CN"/>
        </w:rPr>
        <w:t>的</w:t>
      </w:r>
      <w:r>
        <w:rPr>
          <w:rFonts w:hint="eastAsia" w:ascii="仿宋" w:hAnsi="仿宋" w:eastAsia="仿宋" w:cs="仿宋"/>
          <w:sz w:val="24"/>
          <w:szCs w:val="24"/>
          <w:highlight w:val="none"/>
        </w:rPr>
        <w:t>投标人举行答疑会，</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2C4155F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投标人在规定的时间内未对招标文件澄清或提出疑问的，</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机构将视其为接受招标文件的所有条款，对招标文件没有异议，此后也不再受理对招标文件的相关质疑。</w:t>
      </w:r>
    </w:p>
    <w:p w14:paraId="5F7B4A51">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5.招标文件的修改</w:t>
      </w:r>
    </w:p>
    <w:p w14:paraId="225D3717">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5.l 在投标截止时间2日以前，无论出于何种原因，招标代理机构或招标人可主动或在解答投标人提出的疑问时对招标文件进行修改。</w:t>
      </w:r>
    </w:p>
    <w:p w14:paraId="4575DF7A">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5.2 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60FE388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49B500EB">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三、投标文件的编制</w:t>
      </w:r>
    </w:p>
    <w:p w14:paraId="26DD6425">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6.投标文件编制要求</w:t>
      </w:r>
    </w:p>
    <w:p w14:paraId="212771C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投标人编写的文件和往来信件应以简体中文书写。如果投标文件或与投标有关的其它文件、信件及来往函电以其它语言书写的，投标人应将其译成中文，如未翻译该文件为无效文件。</w:t>
      </w:r>
    </w:p>
    <w:p w14:paraId="47A3E2E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投标文件中使用的计量单位应使用中华人民共和国法定计量单位。</w:t>
      </w:r>
    </w:p>
    <w:p w14:paraId="006CAD4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投标人必须保证投标文件所提供的全部资料真实可靠，并接受</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机构对其中任何资料进一步核实的要求。如果因为投标文件填报的内容不详，或没有提供招标文件中所要求的全部资料及数据，或提供虚假文件，由此造成的后果由投标人自负。</w:t>
      </w:r>
    </w:p>
    <w:p w14:paraId="1644B8F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应按招标文件中提供的投标文件格式（详见第五部分投标文件格式）按包段编写投标文件，并使用A4规格编制。投标文件应编写目录，具有结构清晰的文档结构图（打开word视图中的“文档结构图”后能看到详细章节），页码连续。</w:t>
      </w:r>
    </w:p>
    <w:p w14:paraId="1CD5FF0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6.5</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投标人按照招标文件要求所提供的各种证明文件必须真实且合法有效,经扫描后粘贴到投标文件的相关页上，确保清晰度可辨认，评审时由于无法辨认所产生的后果，由投标人自行承担。</w:t>
      </w:r>
    </w:p>
    <w:p w14:paraId="3D632329">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6.6</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67C602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6.7</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为了保证系统整体效率，系统对所投递的电子文件有大小的限制，因此，投标人应尽可能降低本文件的大小，小尺寸投标文件将使递交更快捷、减少差错发生几率，避免投标截止时间前未能完整上传文件。</w:t>
      </w:r>
    </w:p>
    <w:p w14:paraId="31EEB78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6.8</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投标文件具有法律效力，投标人与</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机构或</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任何人的口头协议不影响投标文件的任何条款和内容。</w:t>
      </w:r>
    </w:p>
    <w:p w14:paraId="6CC0E20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6.9</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机构均无义务向投标人解释其中标或未中标的原因，且无论投标人是否中标，投标人所递交的投标文件均不予退还，不提供副本拷贝。</w:t>
      </w:r>
    </w:p>
    <w:p w14:paraId="59C3F122">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7.数据文件编制要求</w:t>
      </w:r>
    </w:p>
    <w:p w14:paraId="79838C7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7D58B6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35334B8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投标人在对数据文件电子签章前，应按照上述2项的要求进行认真检查、确认。因投标人自身原因所导致其投标失败的，须自行承担相关责任。</w:t>
      </w:r>
    </w:p>
    <w:p w14:paraId="297B359B">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8.文件构成</w:t>
      </w:r>
    </w:p>
    <w:p w14:paraId="14F936E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投标人应按不同包段分别编制投标文件，每个包段的投标文件分两册必须包括：投标文件（pdf格式）（第一册）、数据文件（PDF格式）（第二册），以上内容缺一不可，否则为无效投标。</w:t>
      </w:r>
    </w:p>
    <w:p w14:paraId="1D20E061">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8.1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投标人编制的投标文件（pdf格式）（第一册）应包括但不少于下列内容：</w:t>
      </w:r>
    </w:p>
    <w:p w14:paraId="2BB1D7F7">
      <w:pPr>
        <w:snapToGrid w:val="0"/>
        <w:spacing w:line="360" w:lineRule="auto"/>
        <w:ind w:firstLine="480" w:firstLineChars="20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属于固定格式的须按招标公司提供的格式填写，详见第五部分 投标文件（格式）</w:t>
      </w:r>
      <w:r>
        <w:rPr>
          <w:rFonts w:hint="eastAsia" w:ascii="仿宋" w:hAnsi="仿宋" w:eastAsia="仿宋" w:cs="仿宋"/>
          <w:sz w:val="24"/>
          <w:szCs w:val="24"/>
          <w:highlight w:val="none"/>
          <w:lang w:eastAsia="zh-CN"/>
        </w:rPr>
        <w:t>。</w:t>
      </w:r>
    </w:p>
    <w:p w14:paraId="3F753B8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8.2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数据文件（PDF格式）（第二册）</w:t>
      </w:r>
    </w:p>
    <w:p w14:paraId="66817CF2">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无效投标。数据文件（PDF格式）包含下列内容：</w:t>
      </w:r>
    </w:p>
    <w:p w14:paraId="1F405A5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（1）封面</w:t>
      </w:r>
    </w:p>
    <w:p w14:paraId="768089D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（2）投标报价表（含明细）</w:t>
      </w:r>
    </w:p>
    <w:p w14:paraId="5D23757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（3）需求响应表（如有）</w:t>
      </w:r>
    </w:p>
    <w:p w14:paraId="62B0E62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（4）评审对照表</w:t>
      </w:r>
    </w:p>
    <w:p w14:paraId="70C702C8">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（5）评分对照表（如有）</w:t>
      </w:r>
    </w:p>
    <w:p w14:paraId="02F85F18">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9.投标报价</w:t>
      </w:r>
    </w:p>
    <w:p w14:paraId="0762CE2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投标人均以人民币报价，精确到小数点后两位。</w:t>
      </w:r>
    </w:p>
    <w:p w14:paraId="1937BA5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投标人应按照“第三部分</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内容与要求”的</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内容、责任范围以及合同条款进行报价。并按数据文件中“投标报价表（含明细）”规定的格式报出分项价格和总价。</w:t>
      </w:r>
    </w:p>
    <w:p w14:paraId="38BBE5A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投标人应按数据文件“投标报价表（含明细）”要求的统一格式填写，并加盖电子公章。</w:t>
      </w:r>
    </w:p>
    <w:p w14:paraId="611A9B07">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《投标报价表（含明细）》填写时应响应下列要求：</w:t>
      </w:r>
    </w:p>
    <w:p w14:paraId="2A744398">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（1）所有根据合同或其它原因应由投标人支付的税款和其它应交纳的费用都要包括在投标人提交的报价中；</w:t>
      </w:r>
    </w:p>
    <w:p w14:paraId="24C7A8DE">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在投标报价时，应根据企业自身实力结合市场信息，充分考虑市场竞争因素和市场风险进行自主报价。报价应包括完成本项目的所有费用。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7A27824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（3）投标人应对本次招标的全部内容进行报价，缺项报价投标无效。如因投标人自身的原因报价失误而造成的损失，由投标人自行承担。</w:t>
      </w:r>
    </w:p>
    <w:p w14:paraId="623A0CD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（4）投标人须严格按照报价明细表说明进行填写，报价明细表中 “*”是必填项，任何必填项为空时都可能导致本次投标无效。</w:t>
      </w:r>
    </w:p>
    <w:p w14:paraId="68C33ECF">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（5）《投标报价表（含明细）》中合价将由单价*数量自动计算，无需手工录入。</w:t>
      </w:r>
    </w:p>
    <w:p w14:paraId="68A64D42">
      <w:pPr>
        <w:snapToGrid w:val="0"/>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（6）《投标报价表（含明细）》中“报价产品的型号”，型号填写的一般规则为：品牌+产品型号。</w:t>
      </w:r>
    </w:p>
    <w:p w14:paraId="7085A20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9.5 《需求响应表（如有）》填写时应响应下列要求：</w:t>
      </w:r>
    </w:p>
    <w:p w14:paraId="6732F5D8">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（1）有底色标识的单元格须填写，有“*”的列是必输项，任何必输项为空都可能导致您的本次投标无效；</w:t>
      </w:r>
    </w:p>
    <w:p w14:paraId="515E7C68">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（2）如想拷贝数据到某个待填写单元格，应采用选择性粘贴(只粘贴文本)，否则单元格填写无效或被锁死；</w:t>
      </w:r>
    </w:p>
    <w:p w14:paraId="534C7D4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（3）当招标需求列的内容显示不完整时，请点击编辑栏进行查看；</w:t>
      </w:r>
    </w:p>
    <w:p w14:paraId="67B9A7D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04008837">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（5）按照该表显示位置加盖一个电子印章；</w:t>
      </w:r>
    </w:p>
    <w:p w14:paraId="35AD145D">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（6）该表为固定格式且有数字指纹，必须在原表上填写，填写完毕后只可保存不可另存。删除该表、增加该表、增加行列、删除行列、对固定格式的任何改动均会导致无效投标；</w:t>
      </w:r>
    </w:p>
    <w:p w14:paraId="643B649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9.6 投标人的报价在合同执行过程中是固定不变的，不得以任何理由改变。所有价格折扣、优惠条件必须在报价明细表中注明，否则评审时不予认可。</w:t>
      </w:r>
    </w:p>
    <w:p w14:paraId="1E5C08B2">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10.联合体投标</w:t>
      </w:r>
    </w:p>
    <w:p w14:paraId="6843A8D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两个以上的自然人、法人或者其他组织可以组成一个联合体，以一个投标人的身份共同参加国企采购。</w:t>
      </w:r>
    </w:p>
    <w:p w14:paraId="22750A4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以联合体形式进行国企采购的，参加联合体的投标人应当向招标人提交联合协议，载明联合体各方承担的工作和义务。联合体各方应当共同与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签订采购合同，就采购合同约定的事项对</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承担连带责任。</w:t>
      </w:r>
    </w:p>
    <w:p w14:paraId="37BA196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联合体中有同类资质的投标人按照联合体分工承担相同工作的，应当按照资质等级较低的投标人确定资质等级。</w:t>
      </w:r>
    </w:p>
    <w:p w14:paraId="64E9852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w:t>
      </w:r>
    </w:p>
    <w:p w14:paraId="107C49D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以联合体形式参加国企采购活动的，联合体各方不得再单独参加或者与其他投标人另外组成联合体参加同一合同项下的国</w:t>
      </w:r>
      <w:r>
        <w:rPr>
          <w:rFonts w:hint="eastAsia" w:ascii="仿宋" w:hAnsi="仿宋" w:eastAsia="仿宋" w:cs="仿宋"/>
          <w:sz w:val="24"/>
          <w:szCs w:val="24"/>
          <w:highlight w:val="none"/>
          <w:lang w:eastAsia="zh-CN"/>
        </w:rPr>
        <w:t>企</w:t>
      </w:r>
      <w:r>
        <w:rPr>
          <w:rFonts w:hint="eastAsia" w:ascii="仿宋" w:hAnsi="仿宋" w:eastAsia="仿宋" w:cs="仿宋"/>
          <w:sz w:val="24"/>
          <w:szCs w:val="24"/>
          <w:highlight w:val="none"/>
        </w:rPr>
        <w:t>采购活动。</w:t>
      </w:r>
    </w:p>
    <w:p w14:paraId="558B265B">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本项目是否接受联合体投标详见《投标须知前附表》。</w:t>
      </w:r>
    </w:p>
    <w:p w14:paraId="7268AF60">
      <w:pPr>
        <w:snapToGrid w:val="0"/>
        <w:spacing w:line="360" w:lineRule="auto"/>
        <w:ind w:firstLine="482" w:firstLineChars="20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11.关于分包</w:t>
      </w:r>
    </w:p>
    <w:p w14:paraId="14374A49">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投标人拟将成交项目的非主体、非关键性工作分包的，应当在投标文件中载明分包承担主体，分包承担主体应当具备相应资质条件且不得再次分包。</w:t>
      </w:r>
    </w:p>
    <w:p w14:paraId="7BE63F61">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投标人应当就分包项目向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负责，分包承担主体就分包项目承担责任。</w:t>
      </w:r>
    </w:p>
    <w:p w14:paraId="4006E3FD">
      <w:pPr>
        <w:snapToGrid w:val="0"/>
        <w:spacing w:line="360" w:lineRule="auto"/>
        <w:ind w:firstLine="482" w:firstLineChars="200"/>
        <w:jc w:val="left"/>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本项目是否接受分包投标详见《投标须知前附表》</w:t>
      </w:r>
      <w:r>
        <w:rPr>
          <w:rFonts w:hint="eastAsia" w:ascii="仿宋" w:hAnsi="仿宋" w:eastAsia="仿宋" w:cs="仿宋"/>
          <w:b/>
          <w:bCs/>
          <w:sz w:val="24"/>
          <w:szCs w:val="24"/>
          <w:highlight w:val="none"/>
          <w:lang w:eastAsia="zh-CN"/>
        </w:rPr>
        <w:t>。</w:t>
      </w:r>
    </w:p>
    <w:p w14:paraId="5545D8B8">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12.现场踏勘</w:t>
      </w:r>
    </w:p>
    <w:p w14:paraId="53C9029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如有需要，</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机构或</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将组织投标人对项目现场及周围环境进行踏勘，以便投标人获取有关编制投标文件和签署合同所需的所有资料。踏勘现场所发生的费用由投标人自己承担，投标人应按招标</w:t>
      </w:r>
      <w:r>
        <w:rPr>
          <w:rFonts w:hint="eastAsia" w:ascii="仿宋" w:hAnsi="仿宋" w:eastAsia="仿宋" w:cs="仿宋"/>
          <w:sz w:val="24"/>
          <w:szCs w:val="24"/>
          <w:highlight w:val="none"/>
          <w:lang w:val="en-US" w:eastAsia="zh-CN"/>
        </w:rPr>
        <w:t>文件</w:t>
      </w:r>
      <w:r>
        <w:rPr>
          <w:rFonts w:hint="eastAsia" w:ascii="仿宋" w:hAnsi="仿宋" w:eastAsia="仿宋" w:cs="仿宋"/>
          <w:sz w:val="24"/>
          <w:szCs w:val="24"/>
          <w:highlight w:val="none"/>
        </w:rPr>
        <w:t>所约定的时间、地点踏勘现场。</w:t>
      </w:r>
    </w:p>
    <w:p w14:paraId="7B8F508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投标人及其人员经过</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的允许，可以踏勘目的进入</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单位的项目现场。若本项目招标文件要求投标人于统一时间地点踏勘现场的，投标人应当按时前往。</w:t>
      </w:r>
    </w:p>
    <w:p w14:paraId="0F8B5ED1">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除</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的原因外，投标人自行负责在踏勘现场中所发生的人员伤亡和财产损失。</w:t>
      </w:r>
    </w:p>
    <w:p w14:paraId="2B48B94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未参与现场踏勘不作为否定投标人资格的理由。</w:t>
      </w:r>
    </w:p>
    <w:p w14:paraId="32A5C6A6">
      <w:pPr>
        <w:snapToGrid w:val="0"/>
        <w:spacing w:line="360" w:lineRule="auto"/>
        <w:ind w:firstLine="482" w:firstLineChars="200"/>
        <w:jc w:val="left"/>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本项目是否组织现场踏勘详见《投标须知前附表》</w:t>
      </w:r>
      <w:r>
        <w:rPr>
          <w:rFonts w:hint="eastAsia" w:ascii="仿宋" w:hAnsi="仿宋" w:eastAsia="仿宋" w:cs="仿宋"/>
          <w:b/>
          <w:bCs/>
          <w:sz w:val="24"/>
          <w:szCs w:val="24"/>
          <w:highlight w:val="none"/>
          <w:lang w:eastAsia="zh-CN"/>
        </w:rPr>
        <w:t>。</w:t>
      </w:r>
    </w:p>
    <w:p w14:paraId="40CB072F">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13.投标的有效期</w:t>
      </w:r>
    </w:p>
    <w:p w14:paraId="6F3188A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13.1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从开标之日起，投标有效期为90天。投标有效期短于90天的，其投标为无效投标。</w:t>
      </w:r>
    </w:p>
    <w:p w14:paraId="6696F43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13.2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特殊情况下，在投标有效期满之前，</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机构可以要求投标人延长投标有效期，投标人可以书面形式拒绝或接受上述要求。同意延长投标有效期的投标人不得修改投标文件的实质性内容。</w:t>
      </w:r>
    </w:p>
    <w:p w14:paraId="648332EA">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14.投标保证金</w:t>
      </w:r>
    </w:p>
    <w:p w14:paraId="09EB54F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14.1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本项目投标保证金要求：详见投标须知前附表。</w:t>
      </w:r>
    </w:p>
    <w:p w14:paraId="1CE95DC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14.2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缴纳截止时间：投标文件递交截止时间</w:t>
      </w:r>
      <w:r>
        <w:rPr>
          <w:rFonts w:hint="eastAsia" w:ascii="仿宋" w:hAnsi="仿宋" w:eastAsia="仿宋" w:cs="仿宋"/>
          <w:sz w:val="24"/>
          <w:szCs w:val="24"/>
          <w:highlight w:val="none"/>
          <w:lang w:val="en-US" w:eastAsia="zh-CN"/>
        </w:rPr>
        <w:t>前</w:t>
      </w:r>
      <w:r>
        <w:rPr>
          <w:rFonts w:hint="eastAsia" w:ascii="仿宋" w:hAnsi="仿宋" w:eastAsia="仿宋" w:cs="仿宋"/>
          <w:sz w:val="24"/>
          <w:szCs w:val="24"/>
          <w:highlight w:val="none"/>
        </w:rPr>
        <w:t>。</w:t>
      </w:r>
    </w:p>
    <w:p w14:paraId="7228CB50">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投标保证金的交纳单位必须与投标人名称一致，投标保证金须从其基本账户转出，否则其投标无效；</w:t>
      </w:r>
    </w:p>
    <w:p w14:paraId="561E7CE1">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本项目的投标保证金必须通过国企阳光采购平台交纳，使用说明参见威海市公共资源交易网（http://ggzyjy.weihai.cn）的 “办事指南—国企采购专区”中《威海市国有企业阳光采购电子化服务平台线上投标保证金操作手册》。</w:t>
      </w:r>
    </w:p>
    <w:p w14:paraId="5D592198">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14.5</w:t>
      </w:r>
      <w:r>
        <w:rPr>
          <w:rFonts w:hint="eastAsia" w:ascii="仿宋" w:hAnsi="仿宋" w:eastAsia="仿宋" w:cs="仿宋"/>
          <w:sz w:val="24"/>
          <w:szCs w:val="24"/>
          <w:highlight w:val="none"/>
          <w:lang w:val="en-US" w:eastAsia="zh-CN"/>
        </w:rPr>
        <w:t xml:space="preserve"> 为确保投标工作有序进行，投标保证金应当在递交投标文件截止时间前（以到账时间为准）到达收款帐户，收款账户名称以投标单位在系统中获取到的虚拟子账号信息为准，以网银、电汇等方式一次性足额交纳保证金，不接受支付宝等第三方平台转账。禁止第三方代交。投标保证金交纳单位应与递交投标文件的投标人名称一致。（注：请投标单位务必注意以系统生成的交纳账号信息为准，进行保证金的交纳，并及时通过平台查询确认保证金到账情况，因操作不当造成投标保证金递交失败的，由投标单位自行承担相应责任）。</w:t>
      </w:r>
    </w:p>
    <w:p w14:paraId="65BE6B7F">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14.6</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为确保投标人投标保证金及时足额到账，请尽量提前交纳保证金，由于银行系统原因，请至少在递交投标文件截止时间前12 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p w14:paraId="723053AC">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14.7</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退还保证金：目前系统采用自动退还保证金操作，分为未中标人退还和中标人退还。代理公司向中标人发送中标通知书后，系统自动退还未中标人保证金；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和中标人签署完合同后，系统自动退还中标人保证金。非由中标人原因未能签订合同的，应在</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作出处理结果之日起五个工作日内退还中标人的保证金。</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项目流标的，应在确定流标之日起五个工作日内退还所有投标人的保证金。</w:t>
      </w:r>
    </w:p>
    <w:p w14:paraId="7DFE0165">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14.8</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有下列情况之一的，投标保证金</w:t>
      </w:r>
      <w:r>
        <w:rPr>
          <w:rFonts w:hint="eastAsia" w:ascii="仿宋" w:hAnsi="仿宋" w:eastAsia="仿宋" w:cs="仿宋"/>
          <w:b/>
          <w:bCs/>
          <w:sz w:val="24"/>
          <w:szCs w:val="24"/>
          <w:highlight w:val="none"/>
        </w:rPr>
        <w:t>不予返还</w:t>
      </w:r>
      <w:r>
        <w:rPr>
          <w:rFonts w:hint="eastAsia" w:ascii="仿宋" w:hAnsi="仿宋" w:eastAsia="仿宋" w:cs="仿宋"/>
          <w:sz w:val="24"/>
          <w:szCs w:val="24"/>
          <w:highlight w:val="none"/>
        </w:rPr>
        <w:t>。</w:t>
      </w:r>
    </w:p>
    <w:p w14:paraId="415D8387">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(1)投标人提供不真实资格、资质证明文件的；</w:t>
      </w:r>
    </w:p>
    <w:p w14:paraId="58EA61B8">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(2)在投标有效期内撤回</w:t>
      </w:r>
      <w:r>
        <w:rPr>
          <w:rFonts w:hint="eastAsia" w:ascii="仿宋" w:hAnsi="仿宋" w:eastAsia="仿宋" w:cs="仿宋"/>
          <w:sz w:val="24"/>
          <w:szCs w:val="24"/>
          <w:highlight w:val="none"/>
          <w:lang w:eastAsia="zh-CN"/>
        </w:rPr>
        <w:t>投标</w:t>
      </w:r>
      <w:r>
        <w:rPr>
          <w:rFonts w:hint="eastAsia" w:ascii="仿宋" w:hAnsi="仿宋" w:eastAsia="仿宋" w:cs="仿宋"/>
          <w:sz w:val="24"/>
          <w:szCs w:val="24"/>
          <w:highlight w:val="none"/>
        </w:rPr>
        <w:t>的；</w:t>
      </w:r>
    </w:p>
    <w:p w14:paraId="2D2B1246">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(3)除因不可抗力或招标文件认可的情形以外，中标人不与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签订合同的；</w:t>
      </w:r>
    </w:p>
    <w:p w14:paraId="53B20011">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(4)投标人与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、其他投标人或者</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机构恶意串通的；</w:t>
      </w:r>
    </w:p>
    <w:p w14:paraId="559EEA67">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(5)评</w:t>
      </w:r>
      <w:r>
        <w:rPr>
          <w:rFonts w:hint="eastAsia" w:ascii="仿宋" w:hAnsi="仿宋" w:eastAsia="仿宋" w:cs="仿宋"/>
          <w:sz w:val="24"/>
          <w:szCs w:val="24"/>
          <w:highlight w:val="none"/>
          <w:lang w:val="en-US" w:eastAsia="zh-CN"/>
        </w:rPr>
        <w:t>标</w:t>
      </w:r>
      <w:r>
        <w:rPr>
          <w:rFonts w:hint="eastAsia" w:ascii="仿宋" w:hAnsi="仿宋" w:eastAsia="仿宋" w:cs="仿宋"/>
          <w:sz w:val="24"/>
          <w:szCs w:val="24"/>
          <w:highlight w:val="none"/>
        </w:rPr>
        <w:t>委员会认定的其他事项。</w:t>
      </w:r>
    </w:p>
    <w:p w14:paraId="5EA00ED5">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对以提供虚假材料或恶意串通或采取不正当竞争手段谋取中标的投标人，一经发现将依法取消其投标人资格，投标保证金不予返还，列入平台黑名单。</w:t>
      </w:r>
    </w:p>
    <w:p w14:paraId="5D50505C">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本项目投标保证金收取情况见《投标须知前附表》。</w:t>
      </w:r>
    </w:p>
    <w:p w14:paraId="5C5D8442">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15.履约保证金的交纳与返还</w:t>
      </w:r>
    </w:p>
    <w:p w14:paraId="2758A73C">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本项目无须交纳履约保证金。</w:t>
      </w:r>
    </w:p>
    <w:p w14:paraId="280605F8">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16.投标文件的数量和签署</w:t>
      </w:r>
    </w:p>
    <w:p w14:paraId="290D9DF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投标文件（pdf格式）（第一册）1份</w:t>
      </w:r>
    </w:p>
    <w:p w14:paraId="07877BE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投标人应使用带电子签章功能的CA锁对投标文件须盖章或签名的部位加盖电子印章（单位电子公章、法定代表人电子人名章），否则为无效投标，电子印章与实物印章具有同等法律效力。</w:t>
      </w:r>
    </w:p>
    <w:p w14:paraId="38B432A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投标人应首先编制word格式投标文件，最后通过</w:t>
      </w:r>
      <w:r>
        <w:rPr>
          <w:rFonts w:hint="eastAsia" w:ascii="仿宋" w:hAnsi="仿宋" w:eastAsia="仿宋" w:cs="仿宋"/>
          <w:b/>
          <w:bCs/>
          <w:sz w:val="24"/>
          <w:szCs w:val="24"/>
          <w:highlight w:val="none"/>
        </w:rPr>
        <w:t>威海市国企采购电子交易系统</w:t>
      </w:r>
      <w:r>
        <w:rPr>
          <w:rFonts w:hint="eastAsia" w:ascii="仿宋" w:hAnsi="仿宋" w:eastAsia="仿宋" w:cs="仿宋"/>
          <w:sz w:val="24"/>
          <w:szCs w:val="24"/>
          <w:highlight w:val="none"/>
        </w:rPr>
        <w:t>的文件签章菜单的标书签章功能转换为pdf格式（或者其他pdf转换工具），之后通过签章功能在pdf文件上逐页加盖电子印章并保存到本地计算机，加盖了电子印章的pdf文件即为最终的投标文件，否则为无效投标。</w:t>
      </w:r>
    </w:p>
    <w:p w14:paraId="25936456">
      <w:pPr>
        <w:snapToGrid w:val="0"/>
        <w:spacing w:line="360" w:lineRule="auto"/>
        <w:ind w:firstLine="480" w:firstLineChars="20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16.1.3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文件中要求法定代表人签字或签章的须加盖法定代表人电子人名章</w:t>
      </w:r>
      <w:r>
        <w:rPr>
          <w:rFonts w:hint="eastAsia" w:ascii="仿宋" w:hAnsi="仿宋" w:eastAsia="仿宋" w:cs="仿宋"/>
          <w:sz w:val="24"/>
          <w:szCs w:val="24"/>
          <w:highlight w:val="none"/>
          <w:lang w:eastAsia="zh-CN"/>
        </w:rPr>
        <w:t>。</w:t>
      </w:r>
    </w:p>
    <w:p w14:paraId="5A7EFC4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须被授权人签字的，被授权人又无电子章，在word编制时可将被授权人手写签字扫描后的图片粘贴到投标文件中对应位置，并加盖单位电子公章。</w:t>
      </w:r>
    </w:p>
    <w:p w14:paraId="54931217">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16.1.5</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可使用系统的批量盖章功能快速签章。但须逐页浏览检查并注意印章重叠及完整性。</w:t>
      </w:r>
    </w:p>
    <w:p w14:paraId="15EE309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16.1.6</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采用扫描粘贴投标人公章或扫描法定代表人人名章而不加盖单位电子公章的为</w:t>
      </w:r>
      <w:r>
        <w:rPr>
          <w:rFonts w:hint="eastAsia" w:ascii="仿宋" w:hAnsi="仿宋" w:eastAsia="仿宋" w:cs="仿宋"/>
          <w:b/>
          <w:bCs/>
          <w:sz w:val="24"/>
          <w:szCs w:val="24"/>
          <w:highlight w:val="none"/>
        </w:rPr>
        <w:t>无效投标</w:t>
      </w:r>
      <w:r>
        <w:rPr>
          <w:rFonts w:hint="eastAsia" w:ascii="仿宋" w:hAnsi="仿宋" w:eastAsia="仿宋" w:cs="仿宋"/>
          <w:sz w:val="24"/>
          <w:szCs w:val="24"/>
          <w:highlight w:val="none"/>
        </w:rPr>
        <w:t>。</w:t>
      </w:r>
    </w:p>
    <w:p w14:paraId="11BC70C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数据文件（PDF格式）（第二册）1份</w:t>
      </w:r>
    </w:p>
    <w:p w14:paraId="4E13420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16.2.1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投标人将填写完毕的数据文件（EXCEL格式），填写完成后在国企阳光采购平台中上传该数据文件（EXCEL格式），系统将自行转换为PDF格式，再加盖投标人电子印章，加盖了电子印章的pdf文件即为最终的数据文件。</w:t>
      </w:r>
    </w:p>
    <w:p w14:paraId="31BB9543">
      <w:pPr>
        <w:snapToGrid w:val="0"/>
        <w:spacing w:line="360" w:lineRule="auto"/>
        <w:ind w:firstLine="480" w:firstLineChars="20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16.2.2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文件中要求法定代表人签字或签章的须加盖法定代表人电子人名章</w:t>
      </w:r>
      <w:r>
        <w:rPr>
          <w:rFonts w:hint="eastAsia" w:ascii="仿宋" w:hAnsi="仿宋" w:eastAsia="仿宋" w:cs="仿宋"/>
          <w:sz w:val="24"/>
          <w:szCs w:val="24"/>
          <w:highlight w:val="none"/>
          <w:lang w:eastAsia="zh-CN"/>
        </w:rPr>
        <w:t>。</w:t>
      </w:r>
    </w:p>
    <w:p w14:paraId="12A75D50">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16.2.3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采用扫描粘贴投标人公章或法定代表人人名章的为</w:t>
      </w:r>
      <w:r>
        <w:rPr>
          <w:rFonts w:hint="eastAsia" w:ascii="仿宋" w:hAnsi="仿宋" w:eastAsia="仿宋" w:cs="仿宋"/>
          <w:b/>
          <w:bCs/>
          <w:sz w:val="24"/>
          <w:szCs w:val="24"/>
          <w:highlight w:val="none"/>
        </w:rPr>
        <w:t>无效投标</w:t>
      </w:r>
      <w:r>
        <w:rPr>
          <w:rFonts w:hint="eastAsia" w:ascii="仿宋" w:hAnsi="仿宋" w:eastAsia="仿宋" w:cs="仿宋"/>
          <w:sz w:val="24"/>
          <w:szCs w:val="24"/>
          <w:highlight w:val="none"/>
        </w:rPr>
        <w:t>。</w:t>
      </w:r>
    </w:p>
    <w:p w14:paraId="78D40CF8">
      <w:pPr>
        <w:snapToGrid w:val="0"/>
        <w:spacing w:line="360" w:lineRule="auto"/>
        <w:ind w:firstLine="480" w:firstLineChars="200"/>
        <w:jc w:val="left"/>
        <w:rPr>
          <w:highlight w:val="none"/>
        </w:rPr>
      </w:pPr>
      <w:r>
        <w:rPr>
          <w:rFonts w:hint="eastAsia" w:ascii="仿宋" w:hAnsi="仿宋" w:eastAsia="仿宋" w:cs="仿宋"/>
          <w:sz w:val="24"/>
          <w:szCs w:val="24"/>
          <w:highlight w:val="none"/>
        </w:rPr>
        <w:t>16.3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投标文件里单位盖章均指盖单位公章。</w:t>
      </w:r>
    </w:p>
    <w:p w14:paraId="28D4CF9D">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四、投标文件的递交</w:t>
      </w:r>
    </w:p>
    <w:p w14:paraId="4C90A21A">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17.投标文件的密封和标记</w:t>
      </w:r>
    </w:p>
    <w:p w14:paraId="114C2C0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17.1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电子投标文件的密封和标记</w:t>
      </w:r>
    </w:p>
    <w:p w14:paraId="2CABCEB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17.1.1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60F6412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17.2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资质证明文件原件的密封和标记</w:t>
      </w:r>
    </w:p>
    <w:p w14:paraId="5F4E76F3">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17.2.1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不需要提供原件。</w:t>
      </w:r>
    </w:p>
    <w:p w14:paraId="15E0AE08">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17.3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文件递交</w:t>
      </w:r>
    </w:p>
    <w:p w14:paraId="6C811EE0">
      <w:pPr>
        <w:snapToGrid w:val="0"/>
        <w:spacing w:line="360" w:lineRule="auto"/>
        <w:ind w:firstLine="480" w:firstLineChars="200"/>
        <w:jc w:val="left"/>
        <w:rPr>
          <w:rFonts w:ascii="仿宋" w:hAnsi="仿宋" w:eastAsia="仿宋" w:cs="仿宋"/>
          <w:b/>
          <w:bCs/>
          <w:sz w:val="24"/>
          <w:szCs w:val="24"/>
          <w:highlight w:val="none"/>
        </w:rPr>
      </w:pPr>
      <w:r>
        <w:rPr>
          <w:rFonts w:hint="eastAsia" w:ascii="仿宋" w:hAnsi="仿宋" w:eastAsia="仿宋" w:cs="仿宋"/>
          <w:sz w:val="24"/>
          <w:szCs w:val="24"/>
          <w:highlight w:val="none"/>
        </w:rPr>
        <w:t>17.3.1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应在投标须知前附表规定的时间前在国企阳光采购平台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bCs/>
          <w:sz w:val="24"/>
          <w:szCs w:val="24"/>
          <w:highlight w:val="none"/>
        </w:rPr>
        <w:t>其投标将会被判定为无效。</w:t>
      </w:r>
    </w:p>
    <w:p w14:paraId="757A5A44">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17.3.2</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投标人须牢记投标加密密码，该密码将用于开标时解密其电子投标文件，如忘记密码或输入错误密码超过5次，其递交的电子投标文件将无法解密，导致无法提取数据和供他人阅读文件，致使其投标失败。</w:t>
      </w:r>
    </w:p>
    <w:p w14:paraId="615BBEBD">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17.3.3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除投标须知前附表另有规定外，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机构拒绝接收纸质投标文件。</w:t>
      </w:r>
    </w:p>
    <w:p w14:paraId="2210B8C9">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17.3.4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投标人应将网上递交的已盖章未加密的数据文件和投标文件谨慎保存备份，以便启动应急开标程序时备案使用。</w:t>
      </w:r>
    </w:p>
    <w:p w14:paraId="6DE6BD46">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18.投标截止期</w:t>
      </w:r>
    </w:p>
    <w:p w14:paraId="7A14E42B">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本次招标的投标截止期见《投标须知前附表》。</w:t>
      </w:r>
    </w:p>
    <w:p w14:paraId="269A8E36">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19.迟交的投标文件</w:t>
      </w:r>
    </w:p>
    <w:p w14:paraId="078CC7B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国企阳光采购平台无法接收投标截止期后递交的电子投标文件。</w:t>
      </w:r>
    </w:p>
    <w:p w14:paraId="4FCF15A1">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20.现场演示/样品递交</w:t>
      </w:r>
    </w:p>
    <w:p w14:paraId="01E56287">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20.1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可以要求投标人对其提供的信息化、自动化等相关类别服务进行演示。投标人可以到现场演示，也可以使用系统“网上评标”中的“谈判”功能与评标专家进行远程演示。</w:t>
      </w:r>
    </w:p>
    <w:p w14:paraId="6204108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若项目涉及货物时，</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可以要求投标人提供样品，样品作为投标文件的一部分。未中标投标人提供的样品将于评审结束后退还。中标人的样品由</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保留，作为验收的依据。</w:t>
      </w:r>
    </w:p>
    <w:p w14:paraId="36E00CDA">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是否要求投标人提供演示/提交样品，详见招标文件《投标须知前附表》的有关规定。</w:t>
      </w:r>
    </w:p>
    <w:p w14:paraId="2B993432">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21.投标文件的修改和撤回</w:t>
      </w:r>
    </w:p>
    <w:p w14:paraId="286EFF6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21.1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投标人必须在规定的投标截止期之前将修改的投标文件和数据文件上传到国企阳光采购平台,在投标截止期之后，投标人不得对其投标文件做任何修改。</w:t>
      </w:r>
    </w:p>
    <w:p w14:paraId="16310532">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21.2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投标人在递交投标文件后，可以在投标截止期之前撤回其投标。</w:t>
      </w:r>
    </w:p>
    <w:p w14:paraId="6A4DD85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21.3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开标后不允许对投标文件做实质性修改和补充，不得撤回投标文件。</w:t>
      </w:r>
    </w:p>
    <w:p w14:paraId="63DFF43C">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五、开标与评审</w:t>
      </w:r>
    </w:p>
    <w:p w14:paraId="6EEEBCAC">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22.开标</w:t>
      </w:r>
    </w:p>
    <w:p w14:paraId="2AB4569D">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投标截止时间结束后，投标人不足3家的不得开标。</w:t>
      </w:r>
    </w:p>
    <w:p w14:paraId="6EB1762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机构在招标公告规定的时间和地点组织开标。到现场开标的投标人须携带CA锁和笔记本电脑，以便进行开标操作。不到现场开标的投标人需提前准备已配置好环境的电脑，在规定的时间进行远程开标的各项操作。</w:t>
      </w:r>
    </w:p>
    <w:p w14:paraId="102A13B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现场开标和远程开标的投标人代表应在签到表格相应位置上加盖CA锁中的法定代表人（单位负责人）电子人名章以证明其出席，在开标时间前未完成签到的将会被视作认同开标结果。</w:t>
      </w:r>
    </w:p>
    <w:p w14:paraId="51A4587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投标须知前附表规定了文件解密时间，投标人输入密码错误（5次输入机会）、未能按时完成解密、其《数据文件》填写、盖章不规范等导致系统无法解析的，将会被视为无效投标。</w:t>
      </w:r>
    </w:p>
    <w:p w14:paraId="1120F6E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22.5</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开标过程应当由</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机构负责记录，最终形成开标一览表并由各投标人代表签字或盖章确认。</w:t>
      </w:r>
    </w:p>
    <w:p w14:paraId="07C629C8">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22.6</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投标人代表对开标过程和开标记录有疑义，以及认为</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机构相关工作人员有需要回避的情形的，应当场提出询问或者回避申请。</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机构对投标人代表提出的询问或者回避申请应当及时处理。</w:t>
      </w:r>
    </w:p>
    <w:p w14:paraId="6EF2235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22.7</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录音、录像：威海市公共资源交易中心负责从递交投标文件开始到确定中标结果全过程的录音、录像工作，确保声音清楚、图像清晰、内容无遗漏。</w:t>
      </w:r>
    </w:p>
    <w:p w14:paraId="01E0508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22.8</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评审过程中，如遇特殊情况，服从威海市公共资源交易中心场地调配，并遵守相关规章制度。</w:t>
      </w:r>
    </w:p>
    <w:p w14:paraId="592DC771">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22.9</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对投标文件报价出现前后不一致的，按以下规定修正：</w:t>
      </w:r>
    </w:p>
    <w:p w14:paraId="2BE7F2C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（1）“投标（报价）一览表”的报价与“报价明细表”的总报价不一致的，以“投标（报价）一览表”的报价为准；</w:t>
      </w:r>
    </w:p>
    <w:p w14:paraId="4895245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（2）大写金额和小写金额不一致的，以大写金额为准；</w:t>
      </w:r>
    </w:p>
    <w:p w14:paraId="3F82FC3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（3）单价金额小数点或者百分比有明显错位的，以投标（报价）一览表的总价为准，并修改单价。</w:t>
      </w:r>
    </w:p>
    <w:p w14:paraId="1307E36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（4）总价金额与按单价汇总金额不一致的，以单价金额计算结果为准。</w:t>
      </w:r>
    </w:p>
    <w:p w14:paraId="4BCF21D2">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（5）同时出现两种以上不一致的，按照前款规定的顺序修正。修正后的报价经投标人确认后产生约束力，投标人不确认的，其投标无效。</w:t>
      </w:r>
    </w:p>
    <w:p w14:paraId="170CF70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开标程序</w:t>
      </w:r>
    </w:p>
    <w:p w14:paraId="0706429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签到：在投标须知前附表规定的时间完成签到。</w:t>
      </w:r>
    </w:p>
    <w:p w14:paraId="34C5AE17">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开标：工作人员在投标须知前附表规定的开标时间启动开标。</w:t>
      </w:r>
    </w:p>
    <w:p w14:paraId="216208E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解密：开标后工作人员启动开始解密指令，投标人开始输入解密密码，解密时间到后工作人员启动停止解密指令。</w:t>
      </w:r>
    </w:p>
    <w:p w14:paraId="3131FDD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610BBA67">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22.10.5</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投标人可使用电子交易系统“网上开标”中的“看直播”功能参与开标程序。</w:t>
      </w:r>
    </w:p>
    <w:p w14:paraId="6EEB13C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应急开标程序</w:t>
      </w:r>
    </w:p>
    <w:p w14:paraId="50AA036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电子开标过程中如出现下列情况，导致系统无法正常运行，或者无法保证开标过程的公平、公正和信息安全时，经与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沟通后可启动应急开标程序。</w:t>
      </w:r>
    </w:p>
    <w:p w14:paraId="1AA2972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（1）系统服务器发生故障，无法访问或无法使用系统；</w:t>
      </w:r>
    </w:p>
    <w:p w14:paraId="419CFE5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（2）系统的软件或数据库出现错误，不能进行正常操作；</w:t>
      </w:r>
    </w:p>
    <w:p w14:paraId="1F2774C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（3）系统发现有安全漏洞，有潜在的泄密危险；</w:t>
      </w:r>
    </w:p>
    <w:p w14:paraId="7F21CF0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（4）病毒发作或受到外来病毒的攻击；</w:t>
      </w:r>
    </w:p>
    <w:p w14:paraId="591E954D">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（5）其他无法保证开标过程公平、公正和信息安全的情形。</w:t>
      </w:r>
    </w:p>
    <w:p w14:paraId="2946624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应急开标程序包括：</w:t>
      </w:r>
    </w:p>
    <w:p w14:paraId="56AE62A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（1）对未在系统中开标的可暂停开标；</w:t>
      </w:r>
    </w:p>
    <w:p w14:paraId="3EF4C67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（2）对已在系统中开标的应停止，等待系统恢复正常后再组织进行开标。</w:t>
      </w:r>
    </w:p>
    <w:p w14:paraId="47AC7631">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无效投标处理。</w:t>
      </w:r>
    </w:p>
    <w:p w14:paraId="792EA5F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（4）备案功能故障且系统长时间无法恢复正常的，在</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无效投标处理。</w:t>
      </w:r>
    </w:p>
    <w:p w14:paraId="4865FA9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应急开标电子邮件递交规定</w:t>
      </w:r>
    </w:p>
    <w:p w14:paraId="123171C5">
      <w:pPr>
        <w:snapToGrid w:val="0"/>
        <w:spacing w:line="360" w:lineRule="auto"/>
        <w:ind w:firstLine="480" w:firstLineChars="20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接收电子邮箱：</w:t>
      </w:r>
      <w:r>
        <w:rPr>
          <w:rFonts w:hint="eastAsia" w:ascii="仿宋" w:hAnsi="仿宋" w:eastAsia="仿宋" w:cs="仿宋"/>
          <w:sz w:val="24"/>
          <w:szCs w:val="24"/>
          <w:highlight w:val="none"/>
          <w:lang w:eastAsia="zh-CN"/>
        </w:rPr>
        <w:t>sdfullzb@163.com</w:t>
      </w:r>
    </w:p>
    <w:p w14:paraId="449825A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递交时间：以电子邮件或电话通知的时间为准；</w:t>
      </w:r>
    </w:p>
    <w:p w14:paraId="18DDEB87">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邮件数量：一封；</w:t>
      </w:r>
    </w:p>
    <w:p w14:paraId="0E0476DD">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邮件主题：项目编号、投标人名称；</w:t>
      </w:r>
    </w:p>
    <w:p w14:paraId="559C778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文件，导致投标无效。</w:t>
      </w:r>
    </w:p>
    <w:p w14:paraId="7A41351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22.13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启动电子邮件开标流程</w:t>
      </w:r>
    </w:p>
    <w:p w14:paraId="4B1D6AF1">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工作人员电话通知所有投标人启动应急开标程序；</w:t>
      </w:r>
    </w:p>
    <w:p w14:paraId="0C84F182">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投标人收到通知后在规定时间内通过电子邮件递交投标文件（在非应急开标期间</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机构不接受、不处理任何通过电子邮件提交的投标文件）；</w:t>
      </w:r>
    </w:p>
    <w:p w14:paraId="5E8589A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递交截止时间到，工作人员开始下载投标文件，将投标报价形成开标报告并邮件回复各投标人；</w:t>
      </w:r>
    </w:p>
    <w:p w14:paraId="35B6F1F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投标人确认报价并邮件回复，不及时回复的视为对开标报告的内容无异议。</w:t>
      </w:r>
    </w:p>
    <w:p w14:paraId="59B62444">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23.评标委员会的组成和评标方法</w:t>
      </w:r>
    </w:p>
    <w:p w14:paraId="68921B07">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机构负责组织评标工作，具体评审事务由依法组建的评标委员会负责，评标委员会成员由</w:t>
      </w:r>
      <w:r>
        <w:rPr>
          <w:rFonts w:hint="eastAsia" w:ascii="仿宋" w:hAnsi="仿宋" w:eastAsia="仿宋" w:cs="仿宋"/>
          <w:sz w:val="24"/>
          <w:szCs w:val="24"/>
          <w:highlight w:val="none"/>
          <w:lang w:val="en-US" w:eastAsia="zh-CN"/>
        </w:rPr>
        <w:t>招标人</w:t>
      </w:r>
      <w:r>
        <w:rPr>
          <w:rFonts w:hint="eastAsia" w:ascii="仿宋" w:hAnsi="仿宋" w:eastAsia="仿宋" w:cs="仿宋"/>
          <w:sz w:val="24"/>
          <w:szCs w:val="24"/>
          <w:highlight w:val="none"/>
        </w:rPr>
        <w:t>代表和评审专家5人以上的单数组成或全部由专家5人以上的单数组成，若有</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人代表则评标专家人数不得少于评标委员会成员总数的2/3。情况特殊的，通过随机方式难以确定合适的评审专家的项目，经主管部门同意，</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可以自行选定评审专家。</w:t>
      </w:r>
    </w:p>
    <w:p w14:paraId="01D816E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员及相关人员与投标人有利害关系的应当回避。曾参与项目征询意见或论证的专家，不得再作为评审专家参加评审。</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不得以专家身份参与本项目的评审。</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和</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机构工作人员离职或退休不满三年的，不能作为专家参加评审工作。</w:t>
      </w:r>
    </w:p>
    <w:p w14:paraId="5DC65FE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评标委员会成员职责：</w:t>
      </w:r>
    </w:p>
    <w:p w14:paraId="15B8B931">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（1）评标前，评标委员会成员应当主动确认与投标人及其制造商是否有利害关系。如有利害关系应当主动回避，如无利害关系，应当在含有相关内容的《无利害关系声明》上签字；</w:t>
      </w:r>
    </w:p>
    <w:p w14:paraId="749512A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（2）按照招标文件中确定的评标办法，对投标文件的内容进行评审，并对评审结果承担责任；</w:t>
      </w:r>
    </w:p>
    <w:p w14:paraId="224B63A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（3）对评标过程和结果，以及投标人的商业秘密进行保密；</w:t>
      </w:r>
    </w:p>
    <w:p w14:paraId="16C5C89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（4）在评标委员会集体起草的评标报告上签字；</w:t>
      </w:r>
    </w:p>
    <w:p w14:paraId="1B31C8F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（5）配合</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机构答复投标人质疑；</w:t>
      </w:r>
    </w:p>
    <w:p w14:paraId="4127ECC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（6）配合主管部门处理投标人投诉；</w:t>
      </w:r>
    </w:p>
    <w:p w14:paraId="1361EF2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反映评审工作中的问题，提出意见和建议。</w:t>
      </w:r>
    </w:p>
    <w:p w14:paraId="6BBDD60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评标委员会集体职责：</w:t>
      </w:r>
    </w:p>
    <w:p w14:paraId="00CFFC8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59A764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（2）配合</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和</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机构答复投标人的质疑；</w:t>
      </w:r>
    </w:p>
    <w:p w14:paraId="22C2446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（3）配合主管部门做好投诉处理工作；</w:t>
      </w:r>
    </w:p>
    <w:p w14:paraId="656C2A9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（4）必要时，向投标人解释评审结果；</w:t>
      </w:r>
    </w:p>
    <w:p w14:paraId="262A382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（5）向主管部门或者有关部门报告非法干预评审工作的行为。</w:t>
      </w:r>
    </w:p>
    <w:p w14:paraId="2C761DF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23.5</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机构或</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的职责：</w:t>
      </w:r>
    </w:p>
    <w:p w14:paraId="4B360D7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（1）核对评标委员会专家身份和</w:t>
      </w:r>
      <w:r>
        <w:rPr>
          <w:rFonts w:hint="eastAsia" w:ascii="仿宋" w:hAnsi="仿宋" w:eastAsia="仿宋" w:cs="仿宋"/>
          <w:sz w:val="24"/>
          <w:szCs w:val="24"/>
          <w:highlight w:val="none"/>
          <w:lang w:eastAsia="zh-CN"/>
        </w:rPr>
        <w:t>招标人代表授权书（</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，对评标委员会专家在</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活动中的职责履行情况予以记录，并及时将有关违法违规行为向主管部门报告；</w:t>
      </w:r>
    </w:p>
    <w:p w14:paraId="361FCB0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（2）宣布评审纪律；</w:t>
      </w:r>
    </w:p>
    <w:p w14:paraId="118B21A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（3）公布投标人名单，告知评标委员会专家应当回避的情形；</w:t>
      </w:r>
    </w:p>
    <w:p w14:paraId="248A915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（4）组织评标委员会推选评标组长，</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代表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不得担任组长；</w:t>
      </w:r>
    </w:p>
    <w:p w14:paraId="0E33AB1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（5）在评审期间采取必要的通讯管理措施，保证评审活动不受外界干扰；</w:t>
      </w:r>
    </w:p>
    <w:p w14:paraId="40687CB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（6）根据评标委员会的要求介绍阳光国企采购相关政策法规、招标文件；</w:t>
      </w:r>
    </w:p>
    <w:p w14:paraId="7892974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（7）维护评审秩序，监督评标委员会依照招标文件规定的评标程序、方法和标准进行独立评审，及时制止和纠正</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代表、评标专家的倾向性言论或者违法违规行为；</w:t>
      </w:r>
    </w:p>
    <w:p w14:paraId="45E88A6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39935DA1">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0CABB66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（10）处理与评标有关的其他事项。</w:t>
      </w:r>
    </w:p>
    <w:p w14:paraId="511BBD38">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可以在评标前说明项目背景和</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需求，说明内容不得含有歧视性、倾向性意见，不得超出招标文件所述范围。</w:t>
      </w:r>
    </w:p>
    <w:p w14:paraId="7711084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23.6</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评标委员会采用集中办公、封闭方式进行评审。评标前，</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机构工作人员向评标委员会成员宣布评标纪律和工作规则。评标委员会成员签署《无利害关系声明表》，并遵照执行。</w:t>
      </w:r>
    </w:p>
    <w:p w14:paraId="31B006E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23.7</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评标委员会成员对与自己有利害关系的评标项目应当主动提出回避。</w:t>
      </w:r>
    </w:p>
    <w:p w14:paraId="5AD39E7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23.8</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评标委员会将按照招标文件确定的评标原则和方法进行评标。</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评委对投标人进行资格性审查，评标委员会对投标文件的评审内容分为资格性审查、符合性审查、商务评议、技术评议和价格评议。</w:t>
      </w:r>
    </w:p>
    <w:p w14:paraId="29195A4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23.9</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评标委员会独立履行下列职责：</w:t>
      </w:r>
    </w:p>
    <w:p w14:paraId="0AA65ED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（1）审查、评价投标文件是否符合招标文件的商务、技术等实质性要求；</w:t>
      </w:r>
    </w:p>
    <w:p w14:paraId="62BC7BF2">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（2）要求投标人对投标文件有关事项作出澄清或者说明；</w:t>
      </w:r>
    </w:p>
    <w:p w14:paraId="56B6ADC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（3）对投标文件进行比较和评价；</w:t>
      </w:r>
    </w:p>
    <w:p w14:paraId="503EC1E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（4）确定中标候选人名单，以及根据</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委托直接确定中标人；</w:t>
      </w:r>
    </w:p>
    <w:p w14:paraId="78AB802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机构或者有关部门报告评标中发现的违法行为。</w:t>
      </w:r>
    </w:p>
    <w:p w14:paraId="4C22FCC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23.10 评标中因评标委员会成员缺席、回避或者健康等特殊原因导致评标委员会组成不符合本办法规定的，</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应当依法补足后继续评标。被更换的评标委员会成员所作出的评标意见无效。</w:t>
      </w:r>
    </w:p>
    <w:p w14:paraId="082B103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无法及时补足评标委员会成员的，</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机构应当停止评标活动，封存所有投标文件和开标、评标资料，依法重新组建评标委员会进行评标。原评标委员会作出的评标意见无效。</w:t>
      </w:r>
    </w:p>
    <w:p w14:paraId="30B864E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机构应当将变更、重新组建评标委员会的情况予以记录，并随招标文件一并存档。</w:t>
      </w:r>
    </w:p>
    <w:p w14:paraId="3B7D56DB">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24.投标文件的初审</w:t>
      </w:r>
    </w:p>
    <w:p w14:paraId="03D583F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24.1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资格性审查。在</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项目开标结束后,评标委员会对投标人的资格进行审查。合格投标人不足3家的，不得评标。在资格性检查时,如有下列情况之一的，经评标委员会认定，视为非实质性响应，为无效投标：</w:t>
      </w:r>
    </w:p>
    <w:p w14:paraId="3FF88D1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存在利害关系且可能影响</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活动的公正性；</w:t>
      </w:r>
    </w:p>
    <w:p w14:paraId="7F496CC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（2）与本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项目的其他投标人为同一个单位负责人；</w:t>
      </w:r>
    </w:p>
    <w:p w14:paraId="4A1321A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（3）与本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项目的其他投标人存在控股、管理关系；</w:t>
      </w:r>
    </w:p>
    <w:p w14:paraId="06F92C3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（4）为本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项目提供过设计、编制技术规范和其他文件的咨询服务；</w:t>
      </w:r>
    </w:p>
    <w:p w14:paraId="3C8B0B19">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（5）为本项目的相关监理人，或者与本项目的相关监理人存在隶属关系或者其他利害关系；</w:t>
      </w:r>
    </w:p>
    <w:p w14:paraId="0F1DD1B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（6）为本</w:t>
      </w:r>
      <w:bookmarkStart w:id="21" w:name="OLE_LINK4"/>
      <w:r>
        <w:rPr>
          <w:rFonts w:hint="eastAsia" w:ascii="仿宋" w:hAnsi="仿宋" w:eastAsia="仿宋" w:cs="仿宋"/>
          <w:sz w:val="24"/>
          <w:szCs w:val="24"/>
          <w:highlight w:val="none"/>
          <w:lang w:val="en-US" w:eastAsia="zh-CN"/>
        </w:rPr>
        <w:t>招标</w:t>
      </w:r>
      <w:bookmarkEnd w:id="21"/>
      <w:r>
        <w:rPr>
          <w:rFonts w:hint="eastAsia" w:ascii="仿宋" w:hAnsi="仿宋" w:eastAsia="仿宋" w:cs="仿宋"/>
          <w:sz w:val="24"/>
          <w:szCs w:val="24"/>
          <w:highlight w:val="none"/>
        </w:rPr>
        <w:t>项目的代建人；</w:t>
      </w:r>
    </w:p>
    <w:p w14:paraId="2AFE383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（7）为本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项目的</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w:t>
      </w:r>
    </w:p>
    <w:p w14:paraId="4C1CC782">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（8）与本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项目的监理人或代建人或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机构同为一个法定代表人；</w:t>
      </w:r>
    </w:p>
    <w:p w14:paraId="20A9812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（9）与本</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项目的监理人或代建人或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机构存在控股或参股关系；</w:t>
      </w:r>
    </w:p>
    <w:p w14:paraId="4EE89AB2">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（10）被依法暂停或者取消投标资格；</w:t>
      </w:r>
    </w:p>
    <w:p w14:paraId="1675017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（11）被责令停产停业、暂扣或者吊销许可证、暂扣或者吊销执照；</w:t>
      </w:r>
    </w:p>
    <w:p w14:paraId="460F771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（12）进入清算程序，或被宣告破产，或其他丧失履约能力的情形；</w:t>
      </w:r>
    </w:p>
    <w:p w14:paraId="03DE376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（13）法律法规规定的其他情形；</w:t>
      </w:r>
    </w:p>
    <w:p w14:paraId="0E5A0BB1">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（14）投标人资格证明文件不满足招标文件要求和过期失效的。</w:t>
      </w:r>
    </w:p>
    <w:p w14:paraId="5F2A5872">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24.2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符合性审查。</w:t>
      </w:r>
    </w:p>
    <w:p w14:paraId="1C5D126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24.2.1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2F50DB7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具体内容详见《投标须知》-《实质性条款一览表》中符合性审查条件。</w:t>
      </w:r>
    </w:p>
    <w:p w14:paraId="60798B75">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24.2.2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投标人有下列情形之一的，视为投标人串通投标，其投标无效：</w:t>
      </w:r>
    </w:p>
    <w:p w14:paraId="1288ADFD">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（1）不同投标人的投标文件由同一单位或者个人编制的；</w:t>
      </w:r>
    </w:p>
    <w:p w14:paraId="108A8AF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（2）不同投标人使用同一个投标单位或者同一个自然人的IP地址、设备下载招标文件或者制作、上传投标文件的；</w:t>
      </w:r>
    </w:p>
    <w:p w14:paraId="4A8B591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（3）不同投标人委托同一单位或者个人办理投标事宜；</w:t>
      </w:r>
    </w:p>
    <w:p w14:paraId="34A24718">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（4）不同投标人的投标文件载明的项目管理成员或者联系人员为同一人；</w:t>
      </w:r>
    </w:p>
    <w:p w14:paraId="482FEC5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（5）不同投标人的投标文件重要内容异常一致、或者投标报价呈现规律性差异；</w:t>
      </w:r>
    </w:p>
    <w:p w14:paraId="2B47CCD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（6）不同投标人编制的投标文件存在两处以上错误一致的；</w:t>
      </w:r>
    </w:p>
    <w:p w14:paraId="263E33A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（7）不同投标人的投标文件相互混装；</w:t>
      </w:r>
    </w:p>
    <w:p w14:paraId="0062DA1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（8）不同投标人的投标保证金从同一单位或者个人的账户转出；</w:t>
      </w:r>
    </w:p>
    <w:p w14:paraId="614E0BE3">
      <w:pPr>
        <w:snapToGrid w:val="0"/>
        <w:spacing w:line="360" w:lineRule="auto"/>
        <w:ind w:firstLine="480" w:firstLineChars="20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（9）不同投标人制作的电子投标文件经系统审查存在cpu编码、硬盘编码及MAC地址三项编码均相同的</w:t>
      </w:r>
      <w:r>
        <w:rPr>
          <w:rFonts w:hint="eastAsia" w:ascii="仿宋" w:hAnsi="仿宋" w:eastAsia="仿宋" w:cs="仿宋"/>
          <w:sz w:val="24"/>
          <w:szCs w:val="24"/>
          <w:highlight w:val="none"/>
          <w:lang w:eastAsia="zh-CN"/>
        </w:rPr>
        <w:t>；</w:t>
      </w:r>
    </w:p>
    <w:p w14:paraId="7A6616F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（10）法律法规规定的其他情形。</w:t>
      </w:r>
    </w:p>
    <w:p w14:paraId="122D3C45">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24.3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投标截止后投标人不足3家或者通过资格审查或符合性审查的投标人不足3家的，除</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任务取消情形外，按照以下方式处理：</w:t>
      </w:r>
    </w:p>
    <w:p w14:paraId="07803549">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（1）招标文件存在不合理条款或者招标程序不符合规定的，</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机构改正后依法重新招标；</w:t>
      </w:r>
    </w:p>
    <w:p w14:paraId="45F4082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（2）招标文件没有不合理条款、招标程序符合规定，需要采用其他</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方式采购的，</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应当依法报主管部门批准或按照</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管理制度执行。</w:t>
      </w:r>
    </w:p>
    <w:p w14:paraId="60AFC2EF">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25.投标文件的澄清</w:t>
      </w:r>
    </w:p>
    <w:p w14:paraId="6518F39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25.1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AF116B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25.2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投标人的澄清、说明或者补正应当采用书面形式，并加盖公章。投标人的澄清、说明或者补正不得超出投标文件的范围或者改变对投标文件的实质性内容。此书面文件是投标文件的组成部分。</w:t>
      </w:r>
    </w:p>
    <w:p w14:paraId="67088C72">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26.投标文件的评价</w:t>
      </w:r>
    </w:p>
    <w:p w14:paraId="67527C5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评审采用百分制。评标委员会各成员分别独立对实质上响应投标文件的投标人进行逐项评价打分，对评标委员会各成员每一因素的打分汇总后的得分为投标人的得分，汇总得分保留两位小数。</w:t>
      </w:r>
    </w:p>
    <w:p w14:paraId="5CCE44DD">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评标委员会只对确定为实质响应招标文件要求的投标文件进行评价和比较。必要时需标明评审理由。</w:t>
      </w:r>
    </w:p>
    <w:p w14:paraId="709818D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评标采用综合评分法的，价格分值由评审系统根据投标人上传的《投标（报价）一览表》中的投标报价，依据规定公式自动计算，其结果由评标委员会所有成员签字确认。</w:t>
      </w:r>
    </w:p>
    <w:p w14:paraId="542383A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代理机构工作人员负责复核、统计评标委员会成员的评审情况，发现评审意见有失公正时，提请该评标委员会成员修改评审意见，并形成书面意见备查。</w:t>
      </w:r>
    </w:p>
    <w:p w14:paraId="5298F398">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评审时除考虑投标人的报价之外，还将考虑以下因素：</w:t>
      </w:r>
    </w:p>
    <w:p w14:paraId="14F63F38">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（1）投标文件的响应状况（包括是否按照招标文件要求制作）；</w:t>
      </w:r>
    </w:p>
    <w:p w14:paraId="0FEE318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（2）招标文件规定的其它评审因素。</w:t>
      </w:r>
    </w:p>
    <w:p w14:paraId="18C5577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26.5</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BEFDE1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26.6</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评标委员会发现招标文件存在歧义、重大缺陷导致评标工作无法进行，或者招标文件内容违反国家有关强制性规定的，应当停止评标工作，与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或者</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机构沟通并作书面记录。</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确认后，应当修改招标文件，重新组织</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活动。</w:t>
      </w:r>
    </w:p>
    <w:p w14:paraId="20D7596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26.7</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投标人应当遵循公平竞争的原则，不得恶意串通，不得妨碍其他投标人的竞争行为，不得损坏</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或者其他投标人的合法权益。在评标过程中发现投标人有上述情形的，评标委员会应当认定其投标无效，并书面报告本级主管部门。</w:t>
      </w:r>
    </w:p>
    <w:p w14:paraId="45678587">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27.废标条款</w:t>
      </w:r>
    </w:p>
    <w:p w14:paraId="37E7B32D">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在招标</w:t>
      </w:r>
      <w:r>
        <w:rPr>
          <w:rFonts w:hint="eastAsia" w:ascii="仿宋" w:hAnsi="仿宋" w:eastAsia="仿宋" w:cs="仿宋"/>
          <w:sz w:val="24"/>
          <w:szCs w:val="24"/>
          <w:highlight w:val="none"/>
          <w:lang w:val="en-US" w:eastAsia="zh-CN"/>
        </w:rPr>
        <w:t>活动</w:t>
      </w:r>
      <w:r>
        <w:rPr>
          <w:rFonts w:hint="eastAsia" w:ascii="仿宋" w:hAnsi="仿宋" w:eastAsia="仿宋" w:cs="仿宋"/>
          <w:sz w:val="24"/>
          <w:szCs w:val="24"/>
          <w:highlight w:val="none"/>
        </w:rPr>
        <w:t>中，出现下列情形之一的，应予废标：</w:t>
      </w:r>
    </w:p>
    <w:p w14:paraId="577FD6DD">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（1）合格的投标人或参加投标的企业不足三家的；</w:t>
      </w:r>
    </w:p>
    <w:p w14:paraId="7A3F949F">
      <w:pPr>
        <w:snapToGrid w:val="0"/>
        <w:spacing w:line="360" w:lineRule="auto"/>
        <w:ind w:firstLine="480" w:firstLineChars="200"/>
        <w:jc w:val="both"/>
        <w:rPr>
          <w:rFonts w:ascii="仿宋" w:hAnsi="仿宋" w:eastAsia="仿宋" w:cs="仿宋"/>
          <w:sz w:val="24"/>
          <w:szCs w:val="24"/>
          <w:highlight w:val="none"/>
        </w:rPr>
      </w:pPr>
      <w:r>
        <w:rPr>
          <w:rFonts w:hint="eastAsia" w:ascii="仿宋" w:hAnsi="仿宋" w:eastAsia="仿宋" w:cs="仿宋"/>
          <w:sz w:val="24"/>
          <w:szCs w:val="24"/>
          <w:highlight w:val="none"/>
        </w:rPr>
        <w:t>（2）出现影响</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公正的违法、违规行为的；</w:t>
      </w:r>
    </w:p>
    <w:p w14:paraId="10E2C3C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（3）所有投标报价均超过招标文件中规定的招标控制价，</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不能支付的；</w:t>
      </w:r>
    </w:p>
    <w:p w14:paraId="29EF219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（4）因重大变故，</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任务取消的。</w:t>
      </w:r>
    </w:p>
    <w:p w14:paraId="3B97238F">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六、定标</w:t>
      </w:r>
    </w:p>
    <w:p w14:paraId="748A9DAB">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28.确定中标候选人</w:t>
      </w:r>
    </w:p>
    <w:p w14:paraId="20E595B0">
      <w:pPr>
        <w:snapToGrid w:val="0"/>
        <w:spacing w:line="360" w:lineRule="auto"/>
        <w:ind w:firstLine="480" w:firstLineChars="200"/>
        <w:jc w:val="left"/>
        <w:rPr>
          <w:rFonts w:ascii="仿宋" w:hAnsi="仿宋" w:eastAsia="仿宋" w:cs="仿宋"/>
          <w:b/>
          <w:bCs/>
          <w:sz w:val="24"/>
          <w:szCs w:val="24"/>
          <w:highlight w:val="none"/>
        </w:rPr>
      </w:pPr>
      <w:r>
        <w:rPr>
          <w:rFonts w:hint="eastAsia" w:ascii="仿宋" w:hAnsi="仿宋" w:eastAsia="仿宋" w:cs="仿宋"/>
          <w:sz w:val="24"/>
          <w:szCs w:val="24"/>
          <w:highlight w:val="none"/>
        </w:rPr>
        <w:t>28.1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评标委员会按照招标文件确定的评标方法、步骤、标准，对投标文件进行评审。评标结束后，对投标人的评审名次进行排序，确定中标候选人，根据全体评标成员签字的原始评标记录和评标结果编写评标报告。</w:t>
      </w:r>
    </w:p>
    <w:p w14:paraId="4FBA4568">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28.2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评标委员会所有成员应当在评标报告上签字确认，评标报告的主要内容包括：</w:t>
      </w:r>
    </w:p>
    <w:p w14:paraId="179EA34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（1）招标公告刊登的媒介名称、开标日期和地点；</w:t>
      </w:r>
    </w:p>
    <w:p w14:paraId="64B05062">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（2）投标人名单和评标委员会成员名单；</w:t>
      </w:r>
    </w:p>
    <w:p w14:paraId="5F3F30B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（3）评标方法和评标标准；</w:t>
      </w:r>
    </w:p>
    <w:p w14:paraId="1062323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（4）开标记录和评标情况及说明，包括投标无效投标人名单及原因；</w:t>
      </w:r>
    </w:p>
    <w:p w14:paraId="2748732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（5）评标结果，确定的中标候选人名单或者经</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委托直接确定的中标人；</w:t>
      </w:r>
    </w:p>
    <w:p w14:paraId="435D4D3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（6）其他需要说明的情况，包括评标过程中投标人根据评标委员会要求进行澄清、说明或者补正，评标委员会成员的更换等。</w:t>
      </w:r>
    </w:p>
    <w:p w14:paraId="106BE91A">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29.确定中标人</w:t>
      </w:r>
    </w:p>
    <w:p w14:paraId="2DA110D1">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29.1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招标人可委托评标委员会直接定标，确定</w:t>
      </w:r>
      <w:r>
        <w:rPr>
          <w:rFonts w:hint="eastAsia" w:ascii="仿宋" w:hAnsi="仿宋" w:eastAsia="仿宋" w:cs="仿宋"/>
          <w:sz w:val="24"/>
          <w:szCs w:val="24"/>
          <w:highlight w:val="none"/>
          <w:lang w:val="en-US" w:eastAsia="zh-CN"/>
        </w:rPr>
        <w:t>排名第一</w:t>
      </w:r>
      <w:r>
        <w:rPr>
          <w:rFonts w:hint="eastAsia" w:ascii="仿宋" w:hAnsi="仿宋" w:eastAsia="仿宋" w:cs="仿宋"/>
          <w:sz w:val="24"/>
          <w:szCs w:val="24"/>
          <w:highlight w:val="none"/>
        </w:rPr>
        <w:t>的投标人为中标人；也可以自主定标。自主定标的，招标人应当在收到评审报告后3个工作日内确定中标人，招标人逾期未确定中标人且不提出异议的，视为确定评审报告提出的</w:t>
      </w:r>
      <w:r>
        <w:rPr>
          <w:rFonts w:hint="eastAsia" w:ascii="仿宋" w:hAnsi="仿宋" w:eastAsia="仿宋" w:cs="仿宋"/>
          <w:sz w:val="24"/>
          <w:szCs w:val="24"/>
          <w:highlight w:val="none"/>
          <w:lang w:val="en-US" w:eastAsia="zh-CN"/>
        </w:rPr>
        <w:t>排名第一</w:t>
      </w:r>
      <w:r>
        <w:rPr>
          <w:rFonts w:hint="eastAsia" w:ascii="仿宋" w:hAnsi="仿宋" w:eastAsia="仿宋" w:cs="仿宋"/>
          <w:sz w:val="24"/>
          <w:szCs w:val="24"/>
          <w:highlight w:val="none"/>
        </w:rPr>
        <w:t>的投标人为中标人。</w:t>
      </w:r>
    </w:p>
    <w:p w14:paraId="55ACF22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29.2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评标结果汇总完成后，除下列情形外，任何人不得修改评标结果：</w:t>
      </w:r>
    </w:p>
    <w:p w14:paraId="303D3CB3">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（1）分值汇总计算错误的；</w:t>
      </w:r>
    </w:p>
    <w:p w14:paraId="3374FC37">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（2）分项评分超出评分标准范围的；</w:t>
      </w:r>
    </w:p>
    <w:p w14:paraId="211ECDED">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（3）评标委员会成员对客观评审因素评分不一致的；</w:t>
      </w:r>
    </w:p>
    <w:p w14:paraId="1B792C13">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（4）经评标委员会认定评分畸高、畸低的；</w:t>
      </w:r>
    </w:p>
    <w:p w14:paraId="507503A1">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（5）评标委员会认定的其他情形。</w:t>
      </w:r>
    </w:p>
    <w:p w14:paraId="7261FF5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29.3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评标报告签署前，经复核发现存在以上情形之一的，评标委员会应当当场修改评标结果，并在评标报告中记载；评标报告签署后，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机构发现存在以上情形之一的，应当组织原评标委员会进行重新评审，重新评审改变结果的，书面报告本级主管部门。投标人对本条上述情形提出质疑的，</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或者</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代理机构可以组织原评标委员会进行重新评审，重新评审改变评标结果的，应当书面报告主管部门。</w:t>
      </w:r>
    </w:p>
    <w:p w14:paraId="2F4E5D0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29.4</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中标人在规定的期限内无正当理由拒绝签订合同，</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可以按照评审报告推荐的中标候选人名单排序，确定下一候选人为中标人，也可以重新开展招标活动。</w:t>
      </w:r>
    </w:p>
    <w:p w14:paraId="62182CBF">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七、结果公示和公告</w:t>
      </w:r>
    </w:p>
    <w:p w14:paraId="0CC7DE61">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30.结果公告</w:t>
      </w:r>
    </w:p>
    <w:p w14:paraId="1D066AF9">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招标人应当自定标结束后在招标公告发布媒介公示中标人。公示期为</w:t>
      </w:r>
      <w:r>
        <w:rPr>
          <w:rFonts w:hint="eastAsia" w:ascii="仿宋" w:hAnsi="仿宋" w:eastAsia="仿宋" w:cs="仿宋"/>
          <w:sz w:val="24"/>
          <w:szCs w:val="24"/>
          <w:highlight w:val="none"/>
          <w:lang w:val="en-US" w:eastAsia="zh-CN"/>
        </w:rPr>
        <w:t>1个工作日</w:t>
      </w:r>
      <w:r>
        <w:rPr>
          <w:rFonts w:hint="eastAsia" w:ascii="仿宋" w:hAnsi="仿宋" w:eastAsia="仿宋" w:cs="仿宋"/>
          <w:sz w:val="24"/>
          <w:szCs w:val="24"/>
          <w:highlight w:val="none"/>
        </w:rPr>
        <w:t>。</w:t>
      </w:r>
    </w:p>
    <w:p w14:paraId="23B65CBA">
      <w:pPr>
        <w:snapToGrid w:val="0"/>
        <w:spacing w:line="360" w:lineRule="auto"/>
        <w:ind w:left="479" w:leftChars="228"/>
        <w:jc w:val="left"/>
        <w:rPr>
          <w:rFonts w:ascii="仿宋" w:hAnsi="仿宋" w:eastAsia="仿宋" w:cs="仿宋"/>
          <w:sz w:val="24"/>
          <w:szCs w:val="24"/>
          <w:highlight w:val="none"/>
        </w:rPr>
      </w:pPr>
      <w:r>
        <w:rPr>
          <w:rFonts w:hint="eastAsia" w:ascii="仿宋" w:hAnsi="仿宋" w:eastAsia="仿宋" w:cs="仿宋"/>
          <w:b/>
          <w:bCs/>
          <w:sz w:val="24"/>
          <w:szCs w:val="24"/>
          <w:highlight w:val="none"/>
        </w:rPr>
        <w:t>31.签发中标通知书</w:t>
      </w:r>
    </w:p>
    <w:p w14:paraId="0C331DD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中标公告结束且无尚未处理的异议后，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和代理机构联合向中标人发出中标通知书。《中标通知书》是合同的组成部分,对中标人和</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具有同等法律效力。《中标通知书》发出后，</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不得违法改变中标结果，中标人无正当理由不得放弃中标。</w:t>
      </w:r>
    </w:p>
    <w:p w14:paraId="0FC8B7F3">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八、质疑</w:t>
      </w:r>
    </w:p>
    <w:p w14:paraId="2ACED053">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32.质疑</w:t>
      </w:r>
    </w:p>
    <w:p w14:paraId="21CB0421">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32.1</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依据《威海市市属国有企业阳光采购监督管理办法》规定，投标人认为</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过程、成交结果使自己的权益受到损害，应于法律法规的规定期限内以书面形式向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机构提出质疑。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机构应当在收到投标人的书面质疑后3个工作日内做出书面答复，但答复内容不得涉及商业秘密。投标人提出的质疑超出</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对</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机构委托授权范围的，</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机构应当告知投标人向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提出。投标人应按照下列规定进行质疑：</w:t>
      </w:r>
    </w:p>
    <w:p w14:paraId="28E29E8C">
      <w:pPr>
        <w:snapToGrid w:val="0"/>
        <w:spacing w:line="360" w:lineRule="auto"/>
        <w:ind w:firstLine="480" w:firstLineChars="200"/>
        <w:jc w:val="both"/>
        <w:rPr>
          <w:rFonts w:ascii="仿宋" w:hAnsi="仿宋" w:eastAsia="仿宋" w:cs="仿宋"/>
          <w:sz w:val="24"/>
          <w:szCs w:val="24"/>
          <w:highlight w:val="none"/>
        </w:rPr>
      </w:pPr>
      <w:r>
        <w:rPr>
          <w:rFonts w:hint="eastAsia" w:ascii="仿宋" w:hAnsi="仿宋" w:eastAsia="仿宋" w:cs="仿宋"/>
          <w:sz w:val="24"/>
          <w:szCs w:val="24"/>
          <w:highlight w:val="none"/>
        </w:rPr>
        <w:t>32.2</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提出质疑的投标人应当是参与本项目</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活动的投标人。</w:t>
      </w:r>
    </w:p>
    <w:p w14:paraId="7485E60C">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32.3</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投标人应在法定质疑期内一次性提出针对同一</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程序环节的质疑。</w:t>
      </w:r>
    </w:p>
    <w:p w14:paraId="1579DE6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32.4 质疑采用实名制，为了使提出的质疑事项在规定时间内得到有效答复、处理，提交的质疑函务必提供以下内容。</w:t>
      </w:r>
    </w:p>
    <w:p w14:paraId="35C5E72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（1）投标人的姓名或名称、地址（邮箱）、邮编、联系人及联系电话；</w:t>
      </w:r>
    </w:p>
    <w:p w14:paraId="293D6756">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（2）质疑项目的名称、编号；</w:t>
      </w:r>
    </w:p>
    <w:p w14:paraId="56B1D74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（3）具体、明确的质疑事项和与质疑事项相关的请求；</w:t>
      </w:r>
    </w:p>
    <w:p w14:paraId="2155768B">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（4）事实依据；</w:t>
      </w:r>
    </w:p>
    <w:p w14:paraId="1FE6447F">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（5）必要的法律依据；</w:t>
      </w:r>
    </w:p>
    <w:p w14:paraId="697AD5C0">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（6）提出质疑的日期。</w:t>
      </w:r>
    </w:p>
    <w:p w14:paraId="170F420D">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投标人为自然人的，应当由本人签字；投标人为法人或者其他组织的，应当由法定代表人、单位负责人，或者其被授权人签字或者盖章，并加盖公章。</w:t>
      </w:r>
    </w:p>
    <w:p w14:paraId="1A93611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32.5</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招标代理</w:t>
      </w:r>
      <w:r>
        <w:rPr>
          <w:rFonts w:hint="eastAsia" w:ascii="仿宋" w:hAnsi="仿宋" w:eastAsia="仿宋" w:cs="仿宋"/>
          <w:sz w:val="24"/>
          <w:szCs w:val="24"/>
          <w:highlight w:val="none"/>
        </w:rPr>
        <w:t>机构正式受理后方可生效。否则，为无效质疑。</w:t>
      </w:r>
    </w:p>
    <w:p w14:paraId="6C625F9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32.6 有下列情况之一的质疑不予受理：</w:t>
      </w:r>
    </w:p>
    <w:p w14:paraId="58357CB9">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（1）无质疑函件或质疑函件缺少投标人法人印章、投标人法定代表人签字、有效授权书和联系方式之一的质疑；</w:t>
      </w:r>
    </w:p>
    <w:p w14:paraId="038A4E33">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（2）质疑函件无实质性内容或佐证文件资料，主观臆断及推理得出结论的质疑；</w:t>
      </w:r>
    </w:p>
    <w:p w14:paraId="0AAE12E4">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（3）相应证明材料不真实或来源不合法的质疑；</w:t>
      </w:r>
    </w:p>
    <w:p w14:paraId="0A2C901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（4）未按规定时间或超过公示期限提出的质疑；</w:t>
      </w:r>
    </w:p>
    <w:p w14:paraId="42895CCA">
      <w:pPr>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32.7</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对捏造事实，提供虚假材料或者以非法手段取得证明材料进行恶意质疑的，一经查实，将列入平台黑名单。</w:t>
      </w:r>
    </w:p>
    <w:p w14:paraId="0CD58E41">
      <w:pPr>
        <w:snapToGrid w:val="0"/>
        <w:spacing w:line="360" w:lineRule="auto"/>
        <w:ind w:firstLine="482" w:firstLineChars="200"/>
        <w:jc w:val="left"/>
        <w:rPr>
          <w:rFonts w:ascii="仿宋" w:hAnsi="仿宋" w:eastAsia="仿宋" w:cs="仿宋"/>
          <w:sz w:val="24"/>
          <w:szCs w:val="24"/>
          <w:highlight w:val="none"/>
        </w:rPr>
      </w:pPr>
      <w:r>
        <w:rPr>
          <w:rFonts w:hint="eastAsia" w:ascii="仿宋" w:hAnsi="仿宋" w:eastAsia="仿宋" w:cs="仿宋"/>
          <w:b/>
          <w:bCs/>
          <w:sz w:val="24"/>
          <w:szCs w:val="24"/>
          <w:highlight w:val="none"/>
        </w:rPr>
        <w:t>33.仲裁或起诉</w:t>
      </w:r>
    </w:p>
    <w:p w14:paraId="6AB57A6A">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投标人对答复不满意，或者</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、代理机构未在规定的时间内做出书面答复的，投标人可以在答复期满后向</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所在地仲裁机构、人民法院申请仲裁或起诉。</w:t>
      </w:r>
    </w:p>
    <w:p w14:paraId="13999E8D">
      <w:pPr>
        <w:snapToGrid w:val="0"/>
        <w:spacing w:line="360" w:lineRule="auto"/>
        <w:ind w:firstLine="482" w:firstLineChars="200"/>
        <w:jc w:val="left"/>
        <w:rPr>
          <w:rFonts w:ascii="仿宋" w:hAnsi="仿宋" w:eastAsia="仿宋" w:cs="仿宋"/>
          <w:b/>
          <w:bCs/>
          <w:sz w:val="24"/>
          <w:szCs w:val="24"/>
          <w:highlight w:val="none"/>
        </w:rPr>
      </w:pPr>
      <w:r>
        <w:rPr>
          <w:rFonts w:hint="eastAsia" w:ascii="仿宋" w:hAnsi="仿宋" w:eastAsia="仿宋" w:cs="仿宋"/>
          <w:b/>
          <w:bCs/>
          <w:sz w:val="24"/>
          <w:szCs w:val="24"/>
          <w:highlight w:val="none"/>
        </w:rPr>
        <w:t>九、签订合同</w:t>
      </w:r>
    </w:p>
    <w:p w14:paraId="69965CFE">
      <w:pPr>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中标通知书发出之日起30日内，按招标文件、中标人的投标文件签订采购合同。</w:t>
      </w:r>
    </w:p>
    <w:p w14:paraId="6DFFB651">
      <w:pPr>
        <w:snapToGrid w:val="0"/>
        <w:spacing w:line="360" w:lineRule="auto"/>
        <w:ind w:firstLine="480" w:firstLineChars="200"/>
        <w:jc w:val="left"/>
        <w:rPr>
          <w:rFonts w:hint="eastAsia" w:ascii="仿宋" w:hAnsi="仿宋" w:cs="仿宋"/>
          <w:sz w:val="24"/>
          <w:szCs w:val="24"/>
          <w:highlight w:val="none"/>
        </w:rPr>
        <w:sectPr>
          <w:pgSz w:w="11906" w:h="16838"/>
          <w:pgMar w:top="1440" w:right="1800" w:bottom="1440" w:left="1800" w:header="851" w:footer="992" w:gutter="0"/>
          <w:pgNumType w:fmt="decimal"/>
          <w:cols w:space="720" w:num="1"/>
          <w:titlePg/>
          <w:docGrid w:linePitch="319" w:charSpace="0"/>
        </w:sectPr>
      </w:pP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应当按照招标文件和中标人投标文件的规定，与中标人签订书面合同。</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与中标人所签订的合同不得对招标文件和中标人的投标文件作实质性修改。</w:t>
      </w: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rPr>
        <w:t>不得向中标人提出任何不合理的要求，作为签订合同的条件，不得与中标人私下订立背离合同实质性内容的协议。合同原则以第六部分 合同条款及格式为基础，并根据响应、答疑情况进行修改补充，自签订之日起生效。</w:t>
      </w:r>
    </w:p>
    <w:p w14:paraId="2719BEA4">
      <w:pPr>
        <w:pStyle w:val="3"/>
        <w:numPr>
          <w:ilvl w:val="0"/>
          <w:numId w:val="0"/>
        </w:numPr>
        <w:bidi w:val="0"/>
        <w:ind w:leftChars="0"/>
        <w:jc w:val="center"/>
        <w:rPr>
          <w:rFonts w:hint="eastAsia" w:ascii="仿宋" w:hAnsi="仿宋" w:eastAsia="仿宋" w:cs="仿宋"/>
          <w:b w:val="0"/>
          <w:bCs/>
          <w:szCs w:val="30"/>
          <w:highlight w:val="none"/>
        </w:rPr>
      </w:pPr>
      <w:bookmarkStart w:id="22" w:name="_Toc32450"/>
      <w:bookmarkStart w:id="23" w:name="_Toc28730"/>
      <w:r>
        <w:rPr>
          <w:rFonts w:hint="eastAsia"/>
          <w:highlight w:val="none"/>
          <w:lang w:val="en-US" w:eastAsia="zh-CN"/>
        </w:rPr>
        <w:t>第三部分</w:t>
      </w:r>
      <w:r>
        <w:rPr>
          <w:rFonts w:hint="eastAsia"/>
          <w:highlight w:val="none"/>
        </w:rPr>
        <w:t xml:space="preserve"> </w:t>
      </w:r>
      <w:r>
        <w:rPr>
          <w:rFonts w:hint="eastAsia"/>
          <w:highlight w:val="none"/>
          <w:lang w:val="en-US" w:eastAsia="zh-CN"/>
        </w:rPr>
        <w:t>招标</w:t>
      </w:r>
      <w:r>
        <w:rPr>
          <w:rFonts w:hint="eastAsia"/>
          <w:highlight w:val="none"/>
        </w:rPr>
        <w:t>内容与要求</w:t>
      </w:r>
      <w:bookmarkEnd w:id="22"/>
      <w:bookmarkEnd w:id="23"/>
    </w:p>
    <w:p w14:paraId="7A7855B0">
      <w:pPr>
        <w:pStyle w:val="42"/>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textAlignment w:val="auto"/>
        <w:rPr>
          <w:rFonts w:hint="eastAsia" w:ascii="仿宋" w:hAnsi="仿宋" w:eastAsia="仿宋" w:cs="仿宋"/>
          <w:sz w:val="24"/>
          <w:szCs w:val="24"/>
          <w:highlight w:val="none"/>
          <w:lang w:val="en-US" w:eastAsia="zh-CN"/>
        </w:rPr>
      </w:pPr>
      <w:bookmarkStart w:id="24" w:name="_Toc484525621"/>
      <w:r>
        <w:rPr>
          <w:rFonts w:hint="eastAsia" w:ascii="仿宋" w:hAnsi="仿宋" w:eastAsia="仿宋" w:cs="仿宋"/>
          <w:b/>
          <w:bCs w:val="0"/>
          <w:color w:val="000000"/>
          <w:sz w:val="24"/>
          <w:szCs w:val="24"/>
          <w:highlight w:val="none"/>
          <w:lang w:eastAsia="zh-CN"/>
        </w:rPr>
        <w:t>一、</w:t>
      </w:r>
      <w:r>
        <w:rPr>
          <w:rFonts w:hint="eastAsia" w:ascii="仿宋" w:hAnsi="仿宋" w:eastAsia="仿宋" w:cs="仿宋"/>
          <w:b/>
          <w:bCs/>
          <w:sz w:val="24"/>
          <w:szCs w:val="24"/>
          <w:highlight w:val="none"/>
          <w:lang w:val="en-US" w:eastAsia="zh-CN"/>
        </w:rPr>
        <w:t>项目名称</w:t>
      </w:r>
      <w:r>
        <w:rPr>
          <w:rFonts w:hint="eastAsia" w:ascii="仿宋" w:hAnsi="仿宋" w:eastAsia="仿宋" w:cs="仿宋"/>
          <w:sz w:val="24"/>
          <w:szCs w:val="24"/>
          <w:highlight w:val="none"/>
          <w:lang w:val="en-US" w:eastAsia="zh-CN"/>
        </w:rPr>
        <w:t>：临港区学校隔离设施（护学通道）改造工程</w:t>
      </w:r>
    </w:p>
    <w:p w14:paraId="45F4BE1B">
      <w:pPr>
        <w:pStyle w:val="4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2"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二、招标控制价</w:t>
      </w:r>
      <w:r>
        <w:rPr>
          <w:rFonts w:hint="eastAsia" w:ascii="仿宋" w:hAnsi="仿宋" w:eastAsia="仿宋" w:cs="仿宋"/>
          <w:b w:val="0"/>
          <w:bCs w:val="0"/>
          <w:color w:val="auto"/>
          <w:sz w:val="24"/>
          <w:szCs w:val="24"/>
          <w:highlight w:val="none"/>
          <w:lang w:val="en-US" w:eastAsia="zh-CN"/>
        </w:rPr>
        <w:t>：</w:t>
      </w:r>
      <w:r>
        <w:rPr>
          <w:rFonts w:hint="eastAsia" w:ascii="仿宋" w:hAnsi="仿宋" w:eastAsia="仿宋" w:cs="仿宋"/>
          <w:spacing w:val="8"/>
          <w:sz w:val="24"/>
          <w:highlight w:val="none"/>
          <w:lang w:val="en-US" w:eastAsia="zh-CN"/>
        </w:rPr>
        <w:t>789518.15元</w:t>
      </w:r>
    </w:p>
    <w:p w14:paraId="51275349">
      <w:pPr>
        <w:keepNext w:val="0"/>
        <w:keepLines w:val="0"/>
        <w:pageBreakBefore w:val="0"/>
        <w:widowControl/>
        <w:shd w:val="clear" w:color="auto" w:fill="auto"/>
        <w:kinsoku/>
        <w:wordWrap w:val="0"/>
        <w:overflowPunct/>
        <w:topLinePunct w:val="0"/>
        <w:autoSpaceDE/>
        <w:autoSpaceDN/>
        <w:bidi w:val="0"/>
        <w:adjustRightInd w:val="0"/>
        <w:snapToGrid/>
        <w:spacing w:line="360" w:lineRule="auto"/>
        <w:ind w:firstLine="482" w:firstLineChars="200"/>
        <w:jc w:val="left"/>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三、工期：</w:t>
      </w:r>
      <w:r>
        <w:rPr>
          <w:rFonts w:hint="eastAsia" w:ascii="仿宋" w:hAnsi="仿宋" w:eastAsia="仿宋" w:cs="仿宋"/>
          <w:spacing w:val="8"/>
          <w:sz w:val="24"/>
          <w:highlight w:val="none"/>
          <w:lang w:val="en-US" w:eastAsia="zh-CN"/>
        </w:rPr>
        <w:t>40日历天</w:t>
      </w:r>
    </w:p>
    <w:p w14:paraId="63471A45">
      <w:pPr>
        <w:keepNext w:val="0"/>
        <w:keepLines w:val="0"/>
        <w:pageBreakBefore w:val="0"/>
        <w:widowControl/>
        <w:shd w:val="clear" w:color="auto" w:fill="auto"/>
        <w:kinsoku/>
        <w:wordWrap w:val="0"/>
        <w:overflowPunct/>
        <w:topLinePunct w:val="0"/>
        <w:autoSpaceDE/>
        <w:autoSpaceDN/>
        <w:bidi w:val="0"/>
        <w:adjustRightInd w:val="0"/>
        <w:snapToGrid/>
        <w:spacing w:line="360" w:lineRule="auto"/>
        <w:ind w:firstLine="482" w:firstLineChars="200"/>
        <w:jc w:val="left"/>
        <w:textAlignment w:val="auto"/>
        <w:rPr>
          <w:rFonts w:hint="eastAsia" w:ascii="仿宋" w:hAnsi="仿宋" w:eastAsia="仿宋" w:cs="仿宋"/>
          <w:b/>
          <w:bCs/>
          <w:i w:val="0"/>
          <w:iCs w:val="0"/>
          <w:color w:val="auto"/>
          <w:spacing w:val="0"/>
          <w:kern w:val="2"/>
          <w:sz w:val="24"/>
          <w:szCs w:val="24"/>
          <w:highlight w:val="none"/>
          <w:lang w:val="en-US" w:eastAsia="zh-CN" w:bidi="ar-SA"/>
        </w:rPr>
      </w:pP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i w:val="0"/>
          <w:iCs w:val="0"/>
          <w:color w:val="auto"/>
          <w:spacing w:val="0"/>
          <w:kern w:val="2"/>
          <w:sz w:val="24"/>
          <w:szCs w:val="24"/>
          <w:highlight w:val="none"/>
          <w:lang w:val="en-US" w:eastAsia="zh-CN" w:bidi="ar-SA"/>
        </w:rPr>
        <w:t>工程量清单说明</w:t>
      </w:r>
    </w:p>
    <w:tbl>
      <w:tblPr>
        <w:tblStyle w:val="43"/>
        <w:tblW w:w="8826" w:type="dxa"/>
        <w:tblInd w:w="-53" w:type="dxa"/>
        <w:tblLayout w:type="fixed"/>
        <w:tblCellMar>
          <w:top w:w="0" w:type="dxa"/>
          <w:left w:w="108" w:type="dxa"/>
          <w:bottom w:w="0" w:type="dxa"/>
          <w:right w:w="108" w:type="dxa"/>
        </w:tblCellMar>
      </w:tblPr>
      <w:tblGrid>
        <w:gridCol w:w="8826"/>
      </w:tblGrid>
      <w:tr w14:paraId="30C709EC">
        <w:tblPrEx>
          <w:tblCellMar>
            <w:top w:w="0" w:type="dxa"/>
            <w:left w:w="108" w:type="dxa"/>
            <w:bottom w:w="0" w:type="dxa"/>
            <w:right w:w="108" w:type="dxa"/>
          </w:tblCellMar>
        </w:tblPrEx>
        <w:trPr>
          <w:trHeight w:val="7340" w:hRule="atLeast"/>
        </w:trPr>
        <w:tc>
          <w:tcPr>
            <w:tcW w:w="8826" w:type="dxa"/>
            <w:tcBorders>
              <w:top w:val="single" w:color="auto" w:sz="4" w:space="0"/>
              <w:left w:val="single" w:color="auto" w:sz="4" w:space="0"/>
              <w:bottom w:val="single" w:color="auto" w:sz="4" w:space="0"/>
              <w:right w:val="single" w:color="auto" w:sz="4" w:space="0"/>
            </w:tcBorders>
            <w:noWrap w:val="0"/>
            <w:vAlign w:val="center"/>
          </w:tcPr>
          <w:p w14:paraId="0FF856F7">
            <w:pPr>
              <w:pStyle w:val="98"/>
              <w:keepNext w:val="0"/>
              <w:keepLines w:val="0"/>
              <w:pageBreakBefore w:val="0"/>
              <w:widowControl w:val="0"/>
              <w:kinsoku/>
              <w:wordWrap/>
              <w:overflowPunct/>
              <w:topLinePunct w:val="0"/>
              <w:autoSpaceDE/>
              <w:autoSpaceDN/>
              <w:bidi w:val="0"/>
              <w:adjustRightInd/>
              <w:snapToGrid w:val="0"/>
              <w:spacing w:line="44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一、工程概况</w:t>
            </w:r>
          </w:p>
          <w:p w14:paraId="41BFFD68">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工程名称：临港区学校隔离设施（护学通道）改造工程</w:t>
            </w:r>
          </w:p>
          <w:p w14:paraId="037807DE">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建设地点：本工程地点位于威海临港经济技术开发区。</w:t>
            </w:r>
          </w:p>
          <w:p w14:paraId="017A4DC4">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项目概况：本工程为临港经济技术开发区内学校门口护学通道的改造项目，包含地面改造，护栏制作安装，路沿石修复等内容。</w:t>
            </w:r>
          </w:p>
          <w:p w14:paraId="21554AFB">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二、工程招标范围</w:t>
            </w:r>
          </w:p>
          <w:p w14:paraId="327109C1">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工程招标范围为临港区学校隔离设施（护学通道）改造工程施工图图纸中全部内容。</w:t>
            </w:r>
          </w:p>
          <w:p w14:paraId="676F6D74">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三、工程量清单编制依据</w:t>
            </w:r>
          </w:p>
          <w:p w14:paraId="74541188">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1、绿苑规划设计（山东）有限公司提供的《威海临港区学校隔离设施（护学通道）改造工程》施工图纸及相关答复；</w:t>
            </w:r>
          </w:p>
          <w:p w14:paraId="6F5B0678">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2、《建设工程工程量清单计价规范》（GB50500-2013）、《市政工程工程量计算规范》GB50857-2013；</w:t>
            </w:r>
          </w:p>
          <w:p w14:paraId="01F1916B">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3、已拟定的招标文件资料等。</w:t>
            </w:r>
          </w:p>
          <w:p w14:paraId="01CC51DB">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4、与建设项目相关的标准设计图集、规范、技术资料等；</w:t>
            </w:r>
          </w:p>
          <w:p w14:paraId="42A7FB2F">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5、施工现场情况、地勘水文资料、工程特点及常规施工方案等。</w:t>
            </w:r>
          </w:p>
          <w:p w14:paraId="0E3006B9">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四、投标人报价须知</w:t>
            </w:r>
          </w:p>
          <w:p w14:paraId="477CF267">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1、应按工程量清单及其计价格式规定的内容进行编制、填写、签字、盖章。</w:t>
            </w:r>
          </w:p>
          <w:p w14:paraId="61BDFCB0">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2、工程量清单及其计价格式中的任何内容不得随意删除或涂改。</w:t>
            </w:r>
          </w:p>
          <w:p w14:paraId="2F0A741F">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3、工程量清单计价格式中列明的所有需要填报的单价和合价，投标人均应填报，未填报的单价和合价，视为此项费用已包含在工程量清单的其他单价和合价内。</w:t>
            </w:r>
          </w:p>
          <w:p w14:paraId="548A578D">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4、金额（价格）均以人民币表示。</w:t>
            </w:r>
          </w:p>
          <w:p w14:paraId="4FD6757F">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5、清单项目中凡注明“以下、以内、小于”字样者，均包括本身；注明“以上、以外、大于”字样者，均不包括本身。</w:t>
            </w:r>
          </w:p>
          <w:p w14:paraId="71FAFFEF">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投标人参与投标视为已考察工程现场，对现场情况（包括工地位置情况、道路、存贮空间、装运限制及任何其他足以影响报价的情况）已较为了解和充分预计，并能根据已了解情况合理组织完成施工。任何因忽视或误解工地情况而导致的索赔或工期延长将不被批准。</w:t>
            </w:r>
          </w:p>
          <w:p w14:paraId="25A703E2">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投标人在投标报价时，应根据现场条件、招标文件要求，按照《建设工程工程量清单计价规范》（GB50500-2013）、《市政工程工程量计算规范》GB50857-2013或本清单说明及子目规定的计算规则，结合施工方案、技术规范、技术装备、技术能力、施工管理经验及市场行情等规定综合分析及测算，在保证成本且有适当利润的前提下填报。</w:t>
            </w:r>
          </w:p>
          <w:p w14:paraId="4A79570C">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8、投标人在投标报价时，应考虑本工程的招标范围、工期要求与承包方式，并将与此有关的可能产生的费用考虑在相应的投标报价中。</w:t>
            </w:r>
          </w:p>
          <w:p w14:paraId="014FC4F5">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投标人在投标报价时，应根据企业自身实力结合市场信息，充分考虑市场竞争因素和市场风险进行自主报价。工程量清单计价表中的综合单价应包括完成本项目（清单子目）内容所需的人工费、材料费（除税）、机械使用费（除税），管理费、利润、检验试验费、采保费、损耗等费用，并考虑风险因素，以及为完成本工程项目（清单子目）的施工所发生于该工程施工前和施工过程中技术、生活、安全等方面的非工程实体项目费用，以及招标文件和合同中明确的其他责任和义务。</w:t>
            </w:r>
          </w:p>
          <w:p w14:paraId="55174B36">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措施费包干计取使用，结算时工程量按实调整；按给定的清单格式及工程量进行自主报价，填报综合单价时应考虑完成本项目（清单子目）内容所需的人工费、材料费、机械使用费、管理费、利润，并考虑与此项目有关的风险因素等一切费用，结算时不再调整。</w:t>
            </w:r>
          </w:p>
          <w:p w14:paraId="7D9C6BDC">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r>
              <w:rPr>
                <w:rFonts w:hint="eastAsia" w:ascii="仿宋" w:hAnsi="仿宋" w:eastAsia="仿宋" w:cs="仿宋"/>
                <w:b/>
                <w:bCs/>
                <w:color w:val="auto"/>
                <w:sz w:val="24"/>
                <w:szCs w:val="24"/>
                <w:highlight w:val="none"/>
              </w:rPr>
              <w:t>本工程按照增值税一般的计价依据执行。税金按不含税造价的9%计取。</w:t>
            </w:r>
            <w:r>
              <w:rPr>
                <w:rFonts w:hint="eastAsia" w:ascii="仿宋" w:hAnsi="仿宋" w:eastAsia="仿宋" w:cs="仿宋"/>
                <w:color w:val="auto"/>
                <w:sz w:val="24"/>
                <w:szCs w:val="24"/>
                <w:highlight w:val="none"/>
              </w:rPr>
              <w:t>投标报价中的规费、税金为不可竞争费用，应按相应规定足额计取，对上述费用进行让利或者优惠的投标报价将导致否决。</w:t>
            </w:r>
          </w:p>
          <w:p w14:paraId="4EA29AED">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12、综合单价应包含清单项目特征描述的所有工作内容，投标人在投标时应按清单给定的统一格式，按规定内容填写。</w:t>
            </w:r>
          </w:p>
          <w:p w14:paraId="7141CB97">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不论发包人是否给出暂估价格，本工程的材料及设备，发包人有提出更换的权力，发包人可以授权投标人采购部分材料，也可在适当或必要的时候，收回此授权。因发包人提出材料变更导致材料产生差价的，给予找补差价，差价仅计取规费、税金，不再计取其他费用。</w:t>
            </w:r>
          </w:p>
          <w:p w14:paraId="4DED101A">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14、按要求需填报综合单价的部分，工程结算时综合单价不变。严禁投标不平衡报价，不得恶意降低报价扰乱市场，评标委员会有权对不合理报价进行质疑，投标人应给予合理的答复。</w:t>
            </w:r>
          </w:p>
          <w:p w14:paraId="3A9C3235">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15、如果发现中标人的单价中有畸高项目或有明显错误的项目，发包人有权将该项目单价调减到社会平均水平，而不承担任何责任，其它子项也不调整，但投标报价中低价不调整。</w:t>
            </w:r>
          </w:p>
          <w:p w14:paraId="16D30193">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16、投标人必须完成所有按国家相关法律法规、行业规范等文件要求的应由投标人自行检测和验收的项目，由此产生的费用投标人在报价时须予以考虑，结算时不增加此部分费用。</w:t>
            </w:r>
          </w:p>
          <w:p w14:paraId="45C1A8CB">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17、工程施工中，为保证工程质量，中标人自行采取的施工工艺措施项目，均由投标人在报价时自行考虑，结算时不增加此部分费用。</w:t>
            </w:r>
          </w:p>
          <w:p w14:paraId="5DF785F1">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18、在建设过程中发生的诸如市场物价浮动和政策性调价等一切因素，综合单价均不做调整，招标文件另有规定的除外。</w:t>
            </w:r>
          </w:p>
          <w:p w14:paraId="5E15ABED">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19、关于施工规范中有要求的而清单中没有描述清楚的，按施工规范要求应综合考虑在相应清单项中，结算时此部分费用不再计算。</w:t>
            </w:r>
          </w:p>
          <w:p w14:paraId="5814529B">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工程量清单描述与图纸不一致之处，以工程量清单为准。工程量清单中的工作内容和项目特征描述，均为分部分项清单项目的主要内容。所有分部分项工程量清单均以完成该清单项目的所有内容为准考虑到综合报价中，结算时不予调整。</w:t>
            </w:r>
          </w:p>
          <w:p w14:paraId="00027BA2">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21、投标人在投标报价时，应考虑以下几点：</w:t>
            </w:r>
          </w:p>
          <w:p w14:paraId="5AB5D231">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挖土方和回填子目的报价应包含场区内的倒运土。机械挖土方项目应包含人工配合挖土费用。土质综合考虑指包括建筑垃圾、土方、石方、淤泥等所有须挖除部分，结算时不再调整。土石方按实际工程量计算，投标人在报价时需充分考虑挖、填土石方项目场区内的堆放、倒运及运输土方的临时便道的费用。投标人需根据施工组织设计并结合现场实际情况综合考虑运输距离、运输方式及回填方式等相关因素综合报价。</w:t>
            </w:r>
          </w:p>
          <w:p w14:paraId="61204F20">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（2）投标人在开挖土方时，需将地表的种植土收集并集中堆放，堆放点由发包人指定且种植土归发包人所有，不能利用部分需外运，由投标人自行选择弃土点。开挖石方如能利用或出售，全部归建设单位所有。</w:t>
            </w:r>
          </w:p>
          <w:p w14:paraId="371AB645">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（3）投标人在施工期间需注意施工安全，并确保本工程不发生重大安全事故。若因中标人原因发生安全责任事故，中标人承担全部责任和经济损失，若对发包人造成损失，赔偿相应的金额。</w:t>
            </w:r>
          </w:p>
          <w:p w14:paraId="3BA7D692">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（4）进出工地运输的各种散装或粉尘类的建筑材料应采取覆盖措施，防止因泼（扬）洒，泄漏对城市道路或环境造成污染，此部分的费用也包含在投标报价中。</w:t>
            </w:r>
          </w:p>
          <w:p w14:paraId="71B2CA99">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（5）投标人需严格按照相关规定弃土，严禁随意倾倒建筑垃圾、土石方等，如违反规定产生的费用由中标人承担。</w:t>
            </w:r>
          </w:p>
          <w:p w14:paraId="4811E106">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（6）投标人应遵守交通法规，因各种违规行为所产生的费用由中标人承担。</w:t>
            </w:r>
          </w:p>
          <w:p w14:paraId="231A5B9E">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（7）投标人自行选定的弃土点的费用及沿途行驶产生的费用，需包含在投标报价中。</w:t>
            </w:r>
          </w:p>
          <w:p w14:paraId="53C49F43">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（8）投标人应做好土方、建筑垃圾现场及运输途中的洒水保洁工作，防止扬尘。</w:t>
            </w:r>
          </w:p>
          <w:p w14:paraId="4544F871">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（9）投标人必须负责整理施工资料并归档，相应发生的费用也应充分考虑在投标报价中。</w:t>
            </w:r>
          </w:p>
          <w:p w14:paraId="125565AC">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（10）投标人应充分考虑施工设计说明及施工规范要求的相关做法以及编制清单综合单价的要求，并应综合考虑实际可能发生的施工工艺与设计部分的因素，结算时不再因施工工艺的原因调整综合单价。</w:t>
            </w:r>
          </w:p>
          <w:p w14:paraId="5E3F5B80">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所有混凝土项目的报价应结合本工程的实际情况和政府的相关规定考虑混凝土的施工方式，清单中的砼标号如果与实际施工中的砼标号（经现场确认并签字）不同时，结算时可以根据所报材料单价进行换算，调整差价，差价只计取规费、税金；无论采用何种搅拌、运输方式、泵送方式，结算时均不调整报价中的综合单价。砼报价中应包含各种添加剂的费用，结算时不再增加此部分费用。</w:t>
            </w:r>
          </w:p>
          <w:p w14:paraId="707B9080">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（12）所有砂浆项目的报价应结合本工程的实际情况和政府的相关规定考虑砂浆的施工方式，无论采用何种搅拌、运输方式，结算时均不调整报价中的综合单价。</w:t>
            </w:r>
          </w:p>
          <w:p w14:paraId="5B473448">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（13）投标人应综合考虑材料运杂费、运输损耗费、检测实验费、采购及保管费、施工中的二次搬运费用、材料及构件的水平垂直运输等所有费用及在合同期内的所有风险，结算不再另行增加。</w:t>
            </w:r>
          </w:p>
          <w:p w14:paraId="6E4B124D">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（14）所有砼项的报价均考虑模板制作支拆、砼搅拌浇捣养护、相应构件可能发生的脚手架搭拆及水平垂直运输等所有费用。</w:t>
            </w:r>
          </w:p>
          <w:p w14:paraId="1045C049">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（15）钢筋的损耗不另计取，均包括在钢筋的综合单价当中；钢筋项目的报价应考虑所有不同的接头方式，并包括接头费用，实际施工中无论采用何种连接方式，结算均不做调整。</w:t>
            </w:r>
          </w:p>
          <w:p w14:paraId="26C55A06">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（16）措施项目清单与计价表中，投标人应充分考虑施工过程中不论什么原因发生的各种机械多次进出场和机械停滞的费用及风险费用，结算时不再增加此部分费用。</w:t>
            </w:r>
          </w:p>
          <w:p w14:paraId="64DE91AB">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（17）施工现场临时场地、临时水电及施工过程中水、电费用由投标人自行解决，所需费用全部包含在相应的投标报价中，发包人不再另行考虑。</w:t>
            </w:r>
          </w:p>
          <w:p w14:paraId="109895A3">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各专业施工应互相配合，由于交叉施工造成的非工程实体费用，应考虑在清单报价中，结算时不做调整，本工程如与道路施工或周边环境等所产生的配合或其它费用，由中标人进行协调，非工程实体费用包含在投标报价中，结算时不另行增加。</w:t>
            </w:r>
          </w:p>
          <w:p w14:paraId="0C62CE92">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（19）报价中应包括安全警示标志、文明用语标志、围挡等措施，以保证过往行人及车辆安全，结算时不再调整。</w:t>
            </w:r>
          </w:p>
          <w:p w14:paraId="6C15C830">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（20）投标报价要充分考虑施工过程中不可避免的赶工期增加费，结算不予调整。</w:t>
            </w:r>
          </w:p>
          <w:p w14:paraId="65FB6EAD">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（21）投标人应根据现场实际情况，自行考虑临时设施的搭建位置，但必须符合规定。无论场内、场外，结算时不再增加此部分费用。</w:t>
            </w:r>
          </w:p>
          <w:p w14:paraId="49ADE5E1">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（22）投标人为本工程提供的各类设备费用（包括运输、拆卸、拼装等所有费用）应包括在投标报价中，结算时不再增加。</w:t>
            </w:r>
          </w:p>
          <w:p w14:paraId="6EB144ED">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（23）该项目安全文明施工要求必须达到相关主管部门要求，投标单位报价中须充分考虑此部分费用，结算不因任何原因而调整。</w:t>
            </w:r>
          </w:p>
          <w:p w14:paraId="06754434">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在施工过程中可能产生的扬尘、噪音、车辆进出等因素，不得对周围居民的安全、财产及正常生活等造成影响，需采取的措施及费用均需考虑在投标报价当中；若因此引起纠纷及损失，均由投标人自行解决。</w:t>
            </w:r>
          </w:p>
          <w:p w14:paraId="0B99068D">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22、投标人须按照投标报价表顺序逐一填报。材料价格应包含材料费、采保费、检验试验费、材料损耗、场外、场内运输费即购买、运输至现场并使用的费用等。</w:t>
            </w:r>
          </w:p>
          <w:p w14:paraId="6675DFC3">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23、投标人在报价时应根据实际情况考虑主要材料的损耗率，并按规定格式填报在相应报价表中，结算时，不再考虑损耗因素影响的单价变化。</w:t>
            </w:r>
          </w:p>
          <w:p w14:paraId="2CA3585A">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24、所有自主报价主材的选用应符合国标，且使用前应提供样品由发包人单位确认，否则发包人有提出更换的权利，由此所增加的费用不予认可。</w:t>
            </w:r>
          </w:p>
          <w:p w14:paraId="412126F0">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25、模板（含砖、地膜）、脚手架、砼垫层或面层的割缝、花岗岩切割、铺装伸缩缝等费用不单独列项，报价时应充分考虑在各相应项目中。</w:t>
            </w:r>
          </w:p>
          <w:p w14:paraId="6DC48D4A">
            <w:pPr>
              <w:pStyle w:val="98"/>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仿宋" w:hAnsi="仿宋" w:eastAsia="仿宋" w:cs="仿宋"/>
                <w:color w:val="auto"/>
                <w:sz w:val="24"/>
                <w:szCs w:val="24"/>
                <w:highlight w:val="none"/>
                <w:lang w:val="en-US" w:eastAsia="zh-CN"/>
              </w:rPr>
            </w:pPr>
          </w:p>
        </w:tc>
      </w:tr>
    </w:tbl>
    <w:p w14:paraId="23062194">
      <w:pPr>
        <w:keepNext w:val="0"/>
        <w:keepLines w:val="0"/>
        <w:pageBreakBefore w:val="0"/>
        <w:widowControl w:val="0"/>
        <w:kinsoku/>
        <w:wordWrap/>
        <w:overflowPunct/>
        <w:topLinePunct w:val="0"/>
        <w:autoSpaceDE/>
        <w:autoSpaceDN/>
        <w:bidi w:val="0"/>
        <w:spacing w:line="480" w:lineRule="exact"/>
        <w:ind w:left="0" w:leftChars="0" w:firstLine="420" w:firstLineChars="175"/>
        <w:textAlignment w:val="auto"/>
        <w:rPr>
          <w:rFonts w:hint="eastAsia" w:ascii="仿宋" w:hAnsi="仿宋" w:eastAsia="仿宋" w:cs="仿宋"/>
          <w:b w:val="0"/>
          <w:bCs w:val="0"/>
          <w:sz w:val="24"/>
          <w:szCs w:val="24"/>
          <w:highlight w:val="none"/>
          <w:lang w:val="en-US" w:eastAsia="zh-CN"/>
        </w:rPr>
      </w:pPr>
    </w:p>
    <w:p w14:paraId="1F46F409">
      <w:pPr>
        <w:jc w:val="center"/>
        <w:outlineLvl w:val="0"/>
        <w:rPr>
          <w:rFonts w:ascii="仿宋" w:hAnsi="仿宋" w:eastAsia="仿宋" w:cs="仿宋"/>
          <w:b/>
          <w:bCs/>
          <w:sz w:val="30"/>
          <w:szCs w:val="30"/>
          <w:highlight w:val="none"/>
        </w:rPr>
      </w:pPr>
      <w:r>
        <w:rPr>
          <w:rFonts w:hint="eastAsia" w:ascii="仿宋" w:hAnsi="仿宋" w:eastAsia="仿宋" w:cs="仿宋"/>
          <w:b w:val="0"/>
          <w:bCs w:val="0"/>
          <w:sz w:val="30"/>
          <w:szCs w:val="30"/>
          <w:highlight w:val="none"/>
        </w:rPr>
        <w:br w:type="page"/>
      </w:r>
      <w:bookmarkStart w:id="25" w:name="_Toc363"/>
      <w:bookmarkStart w:id="26" w:name="_Toc24995"/>
      <w:r>
        <w:rPr>
          <w:rStyle w:val="126"/>
          <w:rFonts w:hint="eastAsia"/>
          <w:highlight w:val="none"/>
        </w:rPr>
        <w:t>第四部分 评标原则、程序与方法</w:t>
      </w:r>
      <w:bookmarkEnd w:id="25"/>
      <w:bookmarkEnd w:id="26"/>
    </w:p>
    <w:p w14:paraId="3C6D2C6D">
      <w:pPr>
        <w:snapToGrid w:val="0"/>
        <w:spacing w:line="360" w:lineRule="auto"/>
        <w:outlineLvl w:val="1"/>
        <w:rPr>
          <w:rFonts w:ascii="仿宋" w:hAnsi="仿宋" w:eastAsia="仿宋" w:cs="仿宋"/>
          <w:b/>
          <w:sz w:val="24"/>
          <w:szCs w:val="24"/>
          <w:highlight w:val="none"/>
        </w:rPr>
      </w:pPr>
      <w:bookmarkStart w:id="27" w:name="_Toc24876"/>
      <w:r>
        <w:rPr>
          <w:rFonts w:hint="eastAsia" w:ascii="仿宋" w:hAnsi="仿宋" w:eastAsia="仿宋" w:cs="仿宋"/>
          <w:b/>
          <w:sz w:val="24"/>
          <w:szCs w:val="24"/>
          <w:highlight w:val="none"/>
        </w:rPr>
        <w:t>一、评审原则</w:t>
      </w:r>
      <w:bookmarkEnd w:id="27"/>
    </w:p>
    <w:p w14:paraId="1FF1F888">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“公平、公正、科学、择优”为本次评标的基本原则，评标委员会将按照这一原则的要求，公正、平等地对待各投标人，同时，在评标时恪守以下原则：</w:t>
      </w:r>
    </w:p>
    <w:p w14:paraId="03EBE722">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1.客观性原则：评标委员会将严格按照招标文件的要求，对投标人的投标文件进行认真评审，评标委员会对投标文件的评审仅依据投标文件本身，而不依靠投标文件以外的任何因素。</w:t>
      </w:r>
    </w:p>
    <w:p w14:paraId="2DADA9C1">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2.统一性原则：评标委员会将按照统一的评标原则和评标方法，采用统一标准进行评标。</w:t>
      </w:r>
    </w:p>
    <w:p w14:paraId="6D478C10">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3.独立性原则：评标工作在评标委员会内部独立进行，不受外界任何因素的干扰和影响。</w:t>
      </w:r>
    </w:p>
    <w:p w14:paraId="7B6D9493">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4.保密性原则：评标委员会及熟知情况的有关工作人员必须对每位评委的评标意见和投标人的商业秘密严格保密，不得外泄。</w:t>
      </w:r>
    </w:p>
    <w:p w14:paraId="506C990D">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5.综合性原则：评标委员会将综合分析、评审投标人的各项指标，而不以单项指标的优劣评定出中标人。</w:t>
      </w:r>
    </w:p>
    <w:p w14:paraId="455858F2">
      <w:pPr>
        <w:snapToGrid w:val="0"/>
        <w:spacing w:line="360" w:lineRule="auto"/>
        <w:outlineLvl w:val="1"/>
        <w:rPr>
          <w:rFonts w:ascii="仿宋" w:hAnsi="仿宋" w:eastAsia="仿宋" w:cs="仿宋"/>
          <w:b/>
          <w:sz w:val="24"/>
          <w:szCs w:val="24"/>
          <w:highlight w:val="none"/>
        </w:rPr>
      </w:pPr>
      <w:bookmarkStart w:id="28" w:name="_Toc29483"/>
      <w:r>
        <w:rPr>
          <w:rFonts w:hint="eastAsia" w:ascii="仿宋" w:hAnsi="仿宋" w:eastAsia="仿宋" w:cs="仿宋"/>
          <w:b/>
          <w:sz w:val="24"/>
          <w:szCs w:val="24"/>
          <w:highlight w:val="none"/>
        </w:rPr>
        <w:t>二、评标程序</w:t>
      </w:r>
      <w:bookmarkEnd w:id="28"/>
    </w:p>
    <w:p w14:paraId="19FC69B2">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1．宣布评标纪律；</w:t>
      </w:r>
    </w:p>
    <w:p w14:paraId="4268CEE1">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2．公布投标人名单，告知评审专家应当回避的情形；</w:t>
      </w:r>
    </w:p>
    <w:p w14:paraId="1A376A8C">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3．组织评标委员会推选评标组长，</w:t>
      </w:r>
      <w:r>
        <w:rPr>
          <w:rFonts w:hint="eastAsia" w:ascii="仿宋" w:hAnsi="仿宋" w:eastAsia="仿宋" w:cs="仿宋"/>
          <w:bCs/>
          <w:sz w:val="24"/>
          <w:szCs w:val="24"/>
          <w:highlight w:val="none"/>
          <w:lang w:eastAsia="zh-CN"/>
        </w:rPr>
        <w:t>招标人</w:t>
      </w:r>
      <w:r>
        <w:rPr>
          <w:rFonts w:hint="eastAsia" w:ascii="仿宋" w:hAnsi="仿宋" w:eastAsia="仿宋" w:cs="仿宋"/>
          <w:bCs/>
          <w:sz w:val="24"/>
          <w:szCs w:val="24"/>
          <w:highlight w:val="none"/>
        </w:rPr>
        <w:t>代表（若有）不得担任组长；</w:t>
      </w:r>
    </w:p>
    <w:p w14:paraId="78CA98E3">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4．核对评审专家身份和</w:t>
      </w:r>
      <w:r>
        <w:rPr>
          <w:rFonts w:hint="eastAsia" w:ascii="仿宋" w:hAnsi="仿宋" w:eastAsia="仿宋" w:cs="仿宋"/>
          <w:bCs/>
          <w:sz w:val="24"/>
          <w:szCs w:val="24"/>
          <w:highlight w:val="none"/>
          <w:lang w:eastAsia="zh-CN"/>
        </w:rPr>
        <w:t>招标人</w:t>
      </w:r>
      <w:r>
        <w:rPr>
          <w:rFonts w:hint="eastAsia" w:ascii="仿宋" w:hAnsi="仿宋" w:eastAsia="仿宋" w:cs="仿宋"/>
          <w:bCs/>
          <w:sz w:val="24"/>
          <w:szCs w:val="24"/>
          <w:highlight w:val="none"/>
        </w:rPr>
        <w:t>代表授权函（若有）。</w:t>
      </w:r>
    </w:p>
    <w:p w14:paraId="2AEC5480">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5．开标结束后，</w:t>
      </w:r>
      <w:r>
        <w:rPr>
          <w:rFonts w:hint="eastAsia" w:ascii="仿宋" w:hAnsi="仿宋" w:eastAsia="仿宋" w:cs="仿宋"/>
          <w:bCs/>
          <w:sz w:val="24"/>
          <w:szCs w:val="24"/>
          <w:highlight w:val="none"/>
          <w:lang w:eastAsia="zh-CN"/>
        </w:rPr>
        <w:t>招标人</w:t>
      </w:r>
      <w:r>
        <w:rPr>
          <w:rFonts w:hint="eastAsia" w:ascii="仿宋" w:hAnsi="仿宋" w:eastAsia="仿宋" w:cs="仿宋"/>
          <w:bCs/>
          <w:sz w:val="24"/>
          <w:szCs w:val="24"/>
          <w:highlight w:val="none"/>
        </w:rPr>
        <w:t>或者</w:t>
      </w:r>
      <w:r>
        <w:rPr>
          <w:rFonts w:hint="eastAsia" w:ascii="仿宋" w:hAnsi="仿宋" w:eastAsia="仿宋" w:cs="仿宋"/>
          <w:bCs/>
          <w:sz w:val="24"/>
          <w:szCs w:val="24"/>
          <w:highlight w:val="none"/>
          <w:lang w:eastAsia="zh-CN"/>
        </w:rPr>
        <w:t>招标代理</w:t>
      </w:r>
      <w:r>
        <w:rPr>
          <w:rFonts w:hint="eastAsia" w:ascii="仿宋" w:hAnsi="仿宋" w:eastAsia="仿宋" w:cs="仿宋"/>
          <w:bCs/>
          <w:sz w:val="24"/>
          <w:szCs w:val="24"/>
          <w:highlight w:val="none"/>
        </w:rPr>
        <w:t>机构依法对投标人的资格进行审查。</w:t>
      </w:r>
    </w:p>
    <w:p w14:paraId="01A86D33">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6．评标委员会对符合资格的投标人的投标文件进行符合性审查，以确定其是否满足招标文件的实质性要求。</w:t>
      </w:r>
    </w:p>
    <w:p w14:paraId="6A1A2CE9">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7．出现下列情形之一的，视为对招标文件未做出实质性响应，按照无效投标处理。</w:t>
      </w:r>
    </w:p>
    <w:p w14:paraId="0985108B">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详见《投标须知前附表》-《实质性条款一览表》中符合性检查条款。</w:t>
      </w:r>
    </w:p>
    <w:p w14:paraId="66BD9624">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8．属于无效投标的，投标人不能通过修正或撤销投标文件中不符合之处而成为实质性响应的投标，</w:t>
      </w:r>
      <w:r>
        <w:rPr>
          <w:rFonts w:hint="eastAsia" w:ascii="仿宋" w:hAnsi="仿宋" w:eastAsia="仿宋" w:cs="仿宋"/>
          <w:bCs/>
          <w:sz w:val="24"/>
          <w:szCs w:val="24"/>
          <w:highlight w:val="none"/>
          <w:lang w:eastAsia="zh-CN"/>
        </w:rPr>
        <w:t>招标代理</w:t>
      </w:r>
      <w:r>
        <w:rPr>
          <w:rFonts w:hint="eastAsia" w:ascii="仿宋" w:hAnsi="仿宋" w:eastAsia="仿宋" w:cs="仿宋"/>
          <w:bCs/>
          <w:sz w:val="24"/>
          <w:szCs w:val="24"/>
          <w:highlight w:val="none"/>
        </w:rPr>
        <w:t>将通知投标人，并说明无效投标理由；属于有效投标文件的，将进行下一轮次的询标和澄清、说明或补正。</w:t>
      </w:r>
    </w:p>
    <w:p w14:paraId="63829CCC">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9.澄清、说明或者补正</w:t>
      </w:r>
    </w:p>
    <w:p w14:paraId="713AD72D">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6DA2E35">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(2)投标人依据评审要求进行澄清、说明或者补正的内容构成投标文件的组成部分。</w:t>
      </w:r>
    </w:p>
    <w:p w14:paraId="05FF3B21">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10.比较与评价</w:t>
      </w:r>
    </w:p>
    <w:p w14:paraId="050D9079">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评标委员会按招标文件中规定的评标方法和评标标准对有效投标文件的商务和技术进行评估，综合比较和评价，按综合得分高低列出中标候选人排序，若总分相同，以报价得分高的排前；若总分、价格得分都相同，则以投标技术方面得分高的排前。</w:t>
      </w:r>
    </w:p>
    <w:p w14:paraId="1088FB83">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11.出现下列情况之一的，均予以废标</w:t>
      </w:r>
    </w:p>
    <w:p w14:paraId="47C899C5">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(1)合格的投标人或参加投标的企业不足三家的；</w:t>
      </w:r>
    </w:p>
    <w:p w14:paraId="3F2DB5C4">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(2)出现影响招标公正的违法、违规行为的；</w:t>
      </w:r>
    </w:p>
    <w:p w14:paraId="37D5AF10">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(3)投标人的报价均超过了预算上限价格，</w:t>
      </w:r>
      <w:r>
        <w:rPr>
          <w:rFonts w:hint="eastAsia" w:ascii="仿宋" w:hAnsi="仿宋" w:eastAsia="仿宋" w:cs="仿宋"/>
          <w:bCs/>
          <w:sz w:val="24"/>
          <w:szCs w:val="24"/>
          <w:highlight w:val="none"/>
          <w:lang w:eastAsia="zh-CN"/>
        </w:rPr>
        <w:t>招标人</w:t>
      </w:r>
      <w:r>
        <w:rPr>
          <w:rFonts w:hint="eastAsia" w:ascii="仿宋" w:hAnsi="仿宋" w:eastAsia="仿宋" w:cs="仿宋"/>
          <w:bCs/>
          <w:sz w:val="24"/>
          <w:szCs w:val="24"/>
          <w:highlight w:val="none"/>
        </w:rPr>
        <w:t>不能支付的；</w:t>
      </w:r>
    </w:p>
    <w:p w14:paraId="5536FC3B">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(4)因重大变故，招标任务取消的。</w:t>
      </w:r>
    </w:p>
    <w:p w14:paraId="7B9FA40D">
      <w:pPr>
        <w:snapToGrid w:val="0"/>
        <w:spacing w:line="360" w:lineRule="auto"/>
        <w:outlineLvl w:val="1"/>
        <w:rPr>
          <w:rFonts w:ascii="仿宋" w:hAnsi="仿宋" w:eastAsia="仿宋" w:cs="仿宋"/>
          <w:b/>
          <w:sz w:val="24"/>
          <w:szCs w:val="24"/>
          <w:highlight w:val="none"/>
        </w:rPr>
      </w:pPr>
      <w:bookmarkStart w:id="29" w:name="_Toc13278"/>
      <w:r>
        <w:rPr>
          <w:rFonts w:hint="eastAsia" w:ascii="仿宋" w:hAnsi="仿宋" w:eastAsia="仿宋" w:cs="仿宋"/>
          <w:b/>
          <w:sz w:val="24"/>
          <w:szCs w:val="24"/>
          <w:highlight w:val="none"/>
        </w:rPr>
        <w:t>三、评标方法</w:t>
      </w:r>
      <w:bookmarkEnd w:id="29"/>
    </w:p>
    <w:p w14:paraId="60A47354">
      <w:pPr>
        <w:snapToGri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（1）评标方法：综合评分法，即投标人的投标文件满足招标文件全部实质性要求，对评审因素的量化指标进行打分。</w:t>
      </w:r>
    </w:p>
    <w:p w14:paraId="3BA37972">
      <w:pPr>
        <w:snapToGri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（2）评标细则</w:t>
      </w:r>
    </w:p>
    <w:tbl>
      <w:tblPr>
        <w:tblStyle w:val="43"/>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150"/>
        <w:gridCol w:w="5204"/>
        <w:gridCol w:w="1000"/>
        <w:gridCol w:w="799"/>
      </w:tblGrid>
      <w:tr w14:paraId="7EB3C1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675" w:hRule="atLeast"/>
          <w:jc w:val="center"/>
        </w:trPr>
        <w:tc>
          <w:tcPr>
            <w:tcW w:w="826" w:type="dxa"/>
            <w:shd w:val="clear" w:color="auto" w:fill="D9D9D9"/>
            <w:noWrap w:val="0"/>
            <w:vAlign w:val="center"/>
          </w:tcPr>
          <w:p w14:paraId="6D4DC287">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编号</w:t>
            </w:r>
          </w:p>
        </w:tc>
        <w:tc>
          <w:tcPr>
            <w:tcW w:w="773" w:type="dxa"/>
            <w:shd w:val="clear" w:color="auto" w:fill="D9D9D9"/>
            <w:noWrap w:val="0"/>
            <w:vAlign w:val="center"/>
          </w:tcPr>
          <w:p w14:paraId="37863265">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1150" w:type="dxa"/>
            <w:shd w:val="clear" w:color="auto" w:fill="D9D9D9"/>
            <w:noWrap w:val="0"/>
            <w:vAlign w:val="center"/>
          </w:tcPr>
          <w:p w14:paraId="0A9A1A19">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rPr>
              <w:t>评</w:t>
            </w:r>
            <w:r>
              <w:rPr>
                <w:rFonts w:hint="eastAsia" w:ascii="仿宋" w:hAnsi="仿宋" w:eastAsia="仿宋" w:cs="仿宋"/>
                <w:b/>
                <w:color w:val="auto"/>
                <w:sz w:val="24"/>
                <w:szCs w:val="24"/>
                <w:highlight w:val="none"/>
                <w:lang w:val="en-US" w:eastAsia="zh-CN"/>
              </w:rPr>
              <w:t>审项目</w:t>
            </w:r>
          </w:p>
        </w:tc>
        <w:tc>
          <w:tcPr>
            <w:tcW w:w="5204" w:type="dxa"/>
            <w:shd w:val="clear" w:color="auto" w:fill="D9D9D9"/>
            <w:noWrap w:val="0"/>
            <w:vAlign w:val="center"/>
          </w:tcPr>
          <w:p w14:paraId="77B040C9">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1000" w:type="dxa"/>
            <w:shd w:val="clear" w:color="auto" w:fill="D9D9D9"/>
            <w:noWrap w:val="0"/>
            <w:vAlign w:val="center"/>
          </w:tcPr>
          <w:p w14:paraId="1FF18FA7">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799" w:type="dxa"/>
            <w:shd w:val="clear" w:color="auto" w:fill="D9D9D9"/>
            <w:noWrap w:val="0"/>
            <w:vAlign w:val="center"/>
          </w:tcPr>
          <w:p w14:paraId="101E8831">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42D9A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6F616FCA">
            <w:pPr>
              <w:pStyle w:val="13"/>
              <w:keepNext w:val="0"/>
              <w:keepLines w:val="0"/>
              <w:pageBreakBefore w:val="0"/>
              <w:kinsoku/>
              <w:wordWrap/>
              <w:overflowPunct/>
              <w:topLinePunct w:val="0"/>
              <w:autoSpaceDE/>
              <w:autoSpaceDN/>
              <w:bidi w:val="0"/>
              <w:adjustRightInd/>
              <w:snapToGrid/>
              <w:spacing w:line="380" w:lineRule="exact"/>
              <w:ind w:firstLine="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773" w:type="dxa"/>
            <w:noWrap w:val="0"/>
            <w:vAlign w:val="center"/>
          </w:tcPr>
          <w:p w14:paraId="0E713DB9">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w:t>
            </w:r>
          </w:p>
        </w:tc>
        <w:tc>
          <w:tcPr>
            <w:tcW w:w="1150" w:type="dxa"/>
            <w:noWrap w:val="0"/>
            <w:vAlign w:val="center"/>
          </w:tcPr>
          <w:p w14:paraId="024C349A">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报价</w:t>
            </w:r>
          </w:p>
        </w:tc>
        <w:tc>
          <w:tcPr>
            <w:tcW w:w="5204" w:type="dxa"/>
            <w:noWrap w:val="0"/>
            <w:vAlign w:val="center"/>
          </w:tcPr>
          <w:p w14:paraId="6F2932F4">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本次招标设最高限价，最高限价为789518.15元，投标人投标报价超过最高限价的，其投标文件按无效处理。</w:t>
            </w:r>
          </w:p>
          <w:p w14:paraId="387514B9">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投标报价等于评标基准价的，得55分；投标报价每高于评标基准价1％扣0.2分，每低于评标基准价1％扣0.1分，最低计至0分（得分精确到小数点后2位，分数计算过程中，比例不足部分按直线插入法计算）。</w:t>
            </w:r>
          </w:p>
          <w:p w14:paraId="1EA5E850">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评标基准价A：当n（有效投标人个数，以下相同）≤5时，A=所有有效标书报价的算术平均值；</w:t>
            </w:r>
          </w:p>
          <w:p w14:paraId="4D3048F7">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当6≤n＜10时，A=所有有效标书报价中去掉1个最高价、1个最低价后的算术平均值；</w:t>
            </w:r>
          </w:p>
          <w:p w14:paraId="1B05C7B4">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sz w:val="24"/>
                <w:szCs w:val="24"/>
                <w:highlight w:val="none"/>
              </w:rPr>
              <w:t>当n≥10时，A=所有有效标书报价中去掉2个最高价、2个最低价后的算术平均值。</w:t>
            </w:r>
          </w:p>
        </w:tc>
        <w:tc>
          <w:tcPr>
            <w:tcW w:w="1000" w:type="dxa"/>
            <w:noWrap w:val="0"/>
            <w:vAlign w:val="center"/>
          </w:tcPr>
          <w:p w14:paraId="2EC89D3F">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价格分</w:t>
            </w:r>
          </w:p>
        </w:tc>
        <w:tc>
          <w:tcPr>
            <w:tcW w:w="799" w:type="dxa"/>
            <w:noWrap w:val="0"/>
            <w:vAlign w:val="center"/>
          </w:tcPr>
          <w:p w14:paraId="73FFDB47">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55</w:t>
            </w:r>
            <w:r>
              <w:rPr>
                <w:rFonts w:hint="eastAsia" w:ascii="仿宋" w:hAnsi="仿宋" w:eastAsia="仿宋" w:cs="仿宋"/>
                <w:color w:val="auto"/>
                <w:sz w:val="24"/>
                <w:szCs w:val="24"/>
                <w:highlight w:val="none"/>
              </w:rPr>
              <w:t>.00</w:t>
            </w:r>
          </w:p>
        </w:tc>
      </w:tr>
      <w:tr w14:paraId="44628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54FB8751">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773" w:type="dxa"/>
            <w:noWrap w:val="0"/>
            <w:vAlign w:val="center"/>
          </w:tcPr>
          <w:p w14:paraId="6343AFF1">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1150" w:type="dxa"/>
            <w:noWrap w:val="0"/>
            <w:vAlign w:val="center"/>
          </w:tcPr>
          <w:p w14:paraId="1C214538">
            <w:pPr>
              <w:pStyle w:val="13"/>
              <w:keepNext w:val="0"/>
              <w:keepLines w:val="0"/>
              <w:pageBreakBefore w:val="0"/>
              <w:widowControl w:val="0"/>
              <w:kinsoku/>
              <w:wordWrap w:val="0"/>
              <w:overflowPunct/>
              <w:topLinePunct w:val="0"/>
              <w:autoSpaceDE/>
              <w:autoSpaceDN/>
              <w:bidi w:val="0"/>
              <w:adjustRightInd/>
              <w:snapToGrid/>
              <w:spacing w:line="300" w:lineRule="exact"/>
              <w:ind w:firstLine="0" w:firstLineChars="0"/>
              <w:jc w:val="center"/>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企业</w:t>
            </w:r>
            <w:r>
              <w:rPr>
                <w:rFonts w:hint="eastAsia" w:ascii="仿宋" w:hAnsi="仿宋" w:eastAsia="仿宋" w:cs="仿宋"/>
                <w:sz w:val="24"/>
                <w:szCs w:val="24"/>
                <w:highlight w:val="none"/>
              </w:rPr>
              <w:t>信用</w:t>
            </w:r>
            <w:r>
              <w:rPr>
                <w:rFonts w:hint="eastAsia" w:ascii="仿宋" w:hAnsi="仿宋" w:eastAsia="仿宋" w:cs="仿宋"/>
                <w:sz w:val="24"/>
                <w:szCs w:val="24"/>
                <w:highlight w:val="none"/>
                <w:lang w:eastAsia="zh-CN"/>
              </w:rPr>
              <w:t>及考核</w:t>
            </w:r>
          </w:p>
          <w:p w14:paraId="1E7E11A4">
            <w:pPr>
              <w:pStyle w:val="13"/>
              <w:keepNext w:val="0"/>
              <w:keepLines w:val="0"/>
              <w:pageBreakBefore w:val="0"/>
              <w:widowControl w:val="0"/>
              <w:kinsoku/>
              <w:wordWrap w:val="0"/>
              <w:overflowPunct/>
              <w:topLinePunct w:val="0"/>
              <w:autoSpaceDE/>
              <w:autoSpaceDN/>
              <w:bidi w:val="0"/>
              <w:adjustRightInd/>
              <w:snapToGrid/>
              <w:spacing w:line="300" w:lineRule="exact"/>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sz w:val="24"/>
                <w:szCs w:val="24"/>
                <w:highlight w:val="none"/>
                <w:lang w:eastAsia="zh-CN"/>
              </w:rPr>
              <w:t>情况</w:t>
            </w:r>
          </w:p>
        </w:tc>
        <w:tc>
          <w:tcPr>
            <w:tcW w:w="5204" w:type="dxa"/>
            <w:noWrap w:val="0"/>
            <w:vAlign w:val="center"/>
          </w:tcPr>
          <w:p w14:paraId="6CB32A3B">
            <w:pPr>
              <w:pStyle w:val="13"/>
              <w:keepNext w:val="0"/>
              <w:keepLines w:val="0"/>
              <w:pageBreakBefore w:val="0"/>
              <w:widowControl w:val="0"/>
              <w:shd w:val="clear" w:color="auto" w:fill="auto"/>
              <w:kinsoku/>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投标人近一年，在招标投标相关领域、工程质量相关领域、工程安全相关领域没有行政处罚记录的，得基本分2分，如有记录，每有一条记录在基本分2分的基础上扣0.5分，最低计至0分。</w:t>
            </w:r>
          </w:p>
          <w:p w14:paraId="1B58197E">
            <w:pPr>
              <w:pStyle w:val="13"/>
              <w:keepNext w:val="0"/>
              <w:keepLines w:val="0"/>
              <w:pageBreakBefore w:val="0"/>
              <w:widowControl w:val="0"/>
              <w:shd w:val="clear" w:color="auto" w:fill="auto"/>
              <w:kinsoku/>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注：附通过信用中国（查询地址：https：//www.creditchina.gov.cn）或信用中国（山东）（https：//credit.shandong.gov.cn）查询的信用报告。查询日期为招标文件开始获取时间至投标截止时间的任一时间点。</w:t>
            </w:r>
          </w:p>
        </w:tc>
        <w:tc>
          <w:tcPr>
            <w:tcW w:w="1000" w:type="dxa"/>
            <w:noWrap w:val="0"/>
            <w:vAlign w:val="center"/>
          </w:tcPr>
          <w:p w14:paraId="0F655322">
            <w:pPr>
              <w:pStyle w:val="13"/>
              <w:keepNext w:val="0"/>
              <w:keepLines w:val="0"/>
              <w:pageBreakBefore w:val="0"/>
              <w:widowControl w:val="0"/>
              <w:kinsoku/>
              <w:wordWrap w:val="0"/>
              <w:overflowPunct/>
              <w:topLinePunct w:val="0"/>
              <w:autoSpaceDE/>
              <w:autoSpaceDN/>
              <w:bidi w:val="0"/>
              <w:adjustRightInd/>
              <w:snapToGrid/>
              <w:spacing w:line="300" w:lineRule="exact"/>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sz w:val="24"/>
                <w:szCs w:val="24"/>
                <w:highlight w:val="none"/>
              </w:rPr>
              <w:t>客观分</w:t>
            </w:r>
          </w:p>
        </w:tc>
        <w:tc>
          <w:tcPr>
            <w:tcW w:w="799" w:type="dxa"/>
            <w:noWrap w:val="0"/>
            <w:vAlign w:val="center"/>
          </w:tcPr>
          <w:p w14:paraId="2477B19F">
            <w:pPr>
              <w:pStyle w:val="13"/>
              <w:keepNext w:val="0"/>
              <w:keepLines w:val="0"/>
              <w:pageBreakBefore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2.00</w:t>
            </w:r>
          </w:p>
        </w:tc>
      </w:tr>
      <w:tr w14:paraId="0A792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6BC42852">
            <w:pPr>
              <w:pStyle w:val="13"/>
              <w:keepNext w:val="0"/>
              <w:keepLines w:val="0"/>
              <w:pageBreakBefore w:val="0"/>
              <w:widowControl w:val="0"/>
              <w:kinsoku/>
              <w:wordWrap w:val="0"/>
              <w:overflowPunct/>
              <w:topLinePunct w:val="0"/>
              <w:autoSpaceDE/>
              <w:autoSpaceDN/>
              <w:bidi w:val="0"/>
              <w:adjustRightInd/>
              <w:snapToGrid/>
              <w:spacing w:line="300" w:lineRule="exact"/>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sz w:val="24"/>
                <w:szCs w:val="24"/>
                <w:highlight w:val="none"/>
                <w:lang w:val="en-US" w:eastAsia="zh-CN"/>
              </w:rPr>
              <w:t>3</w:t>
            </w:r>
          </w:p>
        </w:tc>
        <w:tc>
          <w:tcPr>
            <w:tcW w:w="773" w:type="dxa"/>
            <w:noWrap w:val="0"/>
            <w:vAlign w:val="center"/>
          </w:tcPr>
          <w:p w14:paraId="61DA34BA">
            <w:pPr>
              <w:pStyle w:val="13"/>
              <w:keepNext w:val="0"/>
              <w:keepLines w:val="0"/>
              <w:pageBreakBefore w:val="0"/>
              <w:widowControl w:val="0"/>
              <w:kinsoku/>
              <w:wordWrap w:val="0"/>
              <w:overflowPunct/>
              <w:topLinePunct w:val="0"/>
              <w:autoSpaceDE/>
              <w:autoSpaceDN/>
              <w:bidi w:val="0"/>
              <w:adjustRightInd/>
              <w:snapToGrid/>
              <w:spacing w:line="300" w:lineRule="exact"/>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商务</w:t>
            </w:r>
          </w:p>
        </w:tc>
        <w:tc>
          <w:tcPr>
            <w:tcW w:w="1150" w:type="dxa"/>
            <w:noWrap w:val="0"/>
            <w:vAlign w:val="center"/>
          </w:tcPr>
          <w:p w14:paraId="7DCCB5CF">
            <w:pPr>
              <w:pStyle w:val="13"/>
              <w:keepNext w:val="0"/>
              <w:keepLines w:val="0"/>
              <w:pageBreakBefore w:val="0"/>
              <w:widowControl w:val="0"/>
              <w:kinsoku/>
              <w:wordWrap w:val="0"/>
              <w:overflowPunct/>
              <w:topLinePunct w:val="0"/>
              <w:autoSpaceDE/>
              <w:autoSpaceDN/>
              <w:bidi w:val="0"/>
              <w:adjustRightInd/>
              <w:snapToGrid/>
              <w:spacing w:line="300" w:lineRule="exact"/>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项目管理机构</w:t>
            </w:r>
          </w:p>
        </w:tc>
        <w:tc>
          <w:tcPr>
            <w:tcW w:w="5204" w:type="dxa"/>
            <w:noWrap w:val="0"/>
            <w:vAlign w:val="center"/>
          </w:tcPr>
          <w:p w14:paraId="282FF130">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管理机构最低定岗标准：项目经理配备必须符合招标公告要求；技术负责人必须持工程系列中级及以上职称或建设类注册证书；其他关键岗位管理人员【包括施工员1人、质量员（质检员）1人、专职安全员1人、材料员1人、资料员1人】，以上人员配备齐全，分工明确，得</w:t>
            </w: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分。</w:t>
            </w:r>
          </w:p>
          <w:p w14:paraId="3D9ED3E2">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注：后附项目管理机构人员近一个月（2026年</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月或2026年</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月）的社保证明（若为退休人员可提供退休及返聘证明材料）和项目经理相关证书扫描件、技术负责人职称证或建设类注册证书的扫描件、专职安全员的安全生产考核合格证（C证）扫描件。</w:t>
            </w:r>
          </w:p>
          <w:p w14:paraId="69D2ACB5">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sz w:val="24"/>
                <w:szCs w:val="24"/>
                <w:highlight w:val="none"/>
              </w:rPr>
              <w:t>投标文件中项目管理班子配备不符合招标文件要求的以上最低标准的，本项不得分。</w:t>
            </w:r>
          </w:p>
        </w:tc>
        <w:tc>
          <w:tcPr>
            <w:tcW w:w="1000" w:type="dxa"/>
            <w:noWrap w:val="0"/>
            <w:vAlign w:val="center"/>
          </w:tcPr>
          <w:p w14:paraId="03B386E8">
            <w:pPr>
              <w:pStyle w:val="13"/>
              <w:keepNext w:val="0"/>
              <w:keepLines w:val="0"/>
              <w:pageBreakBefore w:val="0"/>
              <w:widowControl w:val="0"/>
              <w:kinsoku/>
              <w:wordWrap w:val="0"/>
              <w:overflowPunct/>
              <w:topLinePunct w:val="0"/>
              <w:autoSpaceDE/>
              <w:autoSpaceDN/>
              <w:bidi w:val="0"/>
              <w:adjustRightInd/>
              <w:snapToGrid/>
              <w:spacing w:line="300" w:lineRule="exact"/>
              <w:ind w:firstLine="0" w:firstLineChars="0"/>
              <w:jc w:val="center"/>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客观分</w:t>
            </w:r>
          </w:p>
        </w:tc>
        <w:tc>
          <w:tcPr>
            <w:tcW w:w="799" w:type="dxa"/>
            <w:noWrap w:val="0"/>
            <w:vAlign w:val="center"/>
          </w:tcPr>
          <w:p w14:paraId="0DE2F2A6">
            <w:pPr>
              <w:pStyle w:val="13"/>
              <w:keepNext w:val="0"/>
              <w:keepLines w:val="0"/>
              <w:pageBreakBefore w:val="0"/>
              <w:widowControl w:val="0"/>
              <w:kinsoku/>
              <w:wordWrap w:val="0"/>
              <w:overflowPunct/>
              <w:topLinePunct w:val="0"/>
              <w:autoSpaceDE/>
              <w:autoSpaceDN/>
              <w:bidi w:val="0"/>
              <w:adjustRightInd/>
              <w:snapToGrid/>
              <w:spacing w:line="300" w:lineRule="exact"/>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sz w:val="24"/>
                <w:szCs w:val="24"/>
                <w:highlight w:val="none"/>
                <w:lang w:val="en-US" w:eastAsia="zh-CN"/>
              </w:rPr>
              <w:t>13.00</w:t>
            </w:r>
          </w:p>
        </w:tc>
      </w:tr>
      <w:tr w14:paraId="6A69B0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0670" w:hRule="atLeast"/>
          <w:jc w:val="center"/>
        </w:trPr>
        <w:tc>
          <w:tcPr>
            <w:tcW w:w="826" w:type="dxa"/>
            <w:noWrap w:val="0"/>
            <w:vAlign w:val="center"/>
          </w:tcPr>
          <w:p w14:paraId="7CE8EB2D">
            <w:pPr>
              <w:pStyle w:val="13"/>
              <w:keepNext w:val="0"/>
              <w:keepLines w:val="0"/>
              <w:pageBreakBefore w:val="0"/>
              <w:widowControl w:val="0"/>
              <w:kinsoku/>
              <w:wordWrap w:val="0"/>
              <w:overflowPunct/>
              <w:topLinePunct w:val="0"/>
              <w:autoSpaceDE/>
              <w:autoSpaceDN/>
              <w:bidi w:val="0"/>
              <w:adjustRightInd/>
              <w:snapToGrid/>
              <w:spacing w:line="300" w:lineRule="exact"/>
              <w:ind w:firstLine="0" w:firstLineChars="0"/>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773" w:type="dxa"/>
            <w:noWrap w:val="0"/>
            <w:vAlign w:val="center"/>
          </w:tcPr>
          <w:p w14:paraId="344F3E86">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textAlignment w:val="auto"/>
              <w:rPr>
                <w:rFonts w:hint="default"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技术</w:t>
            </w:r>
          </w:p>
        </w:tc>
        <w:tc>
          <w:tcPr>
            <w:tcW w:w="1150" w:type="dxa"/>
            <w:noWrap w:val="0"/>
            <w:vAlign w:val="center"/>
          </w:tcPr>
          <w:p w14:paraId="660194D7">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jc w:val="center"/>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施工组织设计</w:t>
            </w:r>
          </w:p>
        </w:tc>
        <w:tc>
          <w:tcPr>
            <w:tcW w:w="5204" w:type="dxa"/>
            <w:noWrap w:val="0"/>
            <w:vAlign w:val="center"/>
          </w:tcPr>
          <w:p w14:paraId="6F85D23D">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评标委员会根据各投标人的所提报的施工组织设计内容，按以下标准进行打分：</w:t>
            </w:r>
          </w:p>
          <w:p w14:paraId="14DBFBDF">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1.施工组织设计内容齐全，对工程整体有深刻认识，表述清晰完整，编制水平较高。施工总平面图布置设计合理；</w:t>
            </w:r>
          </w:p>
          <w:p w14:paraId="2694BB7D">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2.施工方案和技术措施合理，对关键工序和关键部位施工具有针对性方案，措施得力、经济、安全、可行；</w:t>
            </w:r>
          </w:p>
          <w:p w14:paraId="609073D4">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3.质量保证体系与措施。有完整的质量保证措施，先进可行。有针对本工程的通病治理措施；</w:t>
            </w:r>
          </w:p>
          <w:p w14:paraId="0D612623">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4.安全文明措施。针对项目实际具有完整的措施和应急救援预案，措施齐全，预案可行；</w:t>
            </w:r>
          </w:p>
          <w:p w14:paraId="631574B0">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5.环境保护措施安全得力，减少噪音、降低环境污染、扬尘污染防治专项措施 (包括(1）落实扬尘控制措施、落实渣土车运输管控措施等污染控制措施等；(2）对于非道路移动机械低排放控制区内的房屋建筑和市政工程项目，应使用国三及以上排放标准的非道路移动机械等控制措施)；</w:t>
            </w:r>
          </w:p>
          <w:p w14:paraId="50D5DBE0">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 xml:space="preserve">6.雨季施工方案； </w:t>
            </w:r>
          </w:p>
          <w:p w14:paraId="1D0ECD09">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7.施工进度计划和进度措施（包括以横道图或标明关键线路的网络进度计划、保障进度计划需要的主要施工机械设备、劳动力需求计划及保证措施、材料设备进场计划及其他保证措施等）；</w:t>
            </w:r>
          </w:p>
          <w:p w14:paraId="2A0229B6">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8.资源配备计划。投入的劳动力、机械设备等计划合理，与进度计划呼应，满足施工需要；</w:t>
            </w:r>
          </w:p>
          <w:p w14:paraId="092FDE4A">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9.项目管理机构人员配备齐全合理；</w:t>
            </w:r>
          </w:p>
          <w:p w14:paraId="114FB476">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10.成品保护、工程保修制度、与发包、监理、设计的配合等。</w:t>
            </w:r>
          </w:p>
          <w:p w14:paraId="530146A0">
            <w:pPr>
              <w:rPr>
                <w:rFonts w:hint="default"/>
                <w:highlight w:val="none"/>
                <w:lang w:val="en-US" w:eastAsia="zh-CN"/>
              </w:rPr>
            </w:pPr>
            <w:r>
              <w:rPr>
                <w:rFonts w:hint="eastAsia" w:ascii="仿宋" w:hAnsi="仿宋" w:eastAsia="仿宋" w:cs="仿宋"/>
                <w:b w:val="0"/>
                <w:bCs w:val="0"/>
                <w:color w:val="auto"/>
                <w:kern w:val="2"/>
                <w:sz w:val="24"/>
                <w:szCs w:val="24"/>
                <w:highlight w:val="none"/>
                <w:lang w:val="en-US" w:eastAsia="zh-CN" w:bidi="ar-SA"/>
              </w:rPr>
              <w:t>注：</w:t>
            </w:r>
            <w:r>
              <w:rPr>
                <w:rFonts w:hint="default" w:ascii="仿宋" w:hAnsi="仿宋" w:eastAsia="仿宋" w:cs="仿宋"/>
                <w:b w:val="0"/>
                <w:bCs w:val="0"/>
                <w:color w:val="auto"/>
                <w:kern w:val="2"/>
                <w:sz w:val="24"/>
                <w:szCs w:val="24"/>
                <w:highlight w:val="none"/>
                <w:lang w:val="en-US" w:eastAsia="zh-CN" w:bidi="ar-SA"/>
              </w:rPr>
              <w:t>由评标委员会根据投标单位施工组织设计编制情况进行打分，每小项</w:t>
            </w:r>
            <w:r>
              <w:rPr>
                <w:rFonts w:hint="eastAsia" w:ascii="仿宋" w:hAnsi="仿宋" w:eastAsia="仿宋" w:cs="仿宋"/>
                <w:b w:val="0"/>
                <w:bCs w:val="0"/>
                <w:color w:val="auto"/>
                <w:kern w:val="2"/>
                <w:sz w:val="24"/>
                <w:szCs w:val="24"/>
                <w:highlight w:val="none"/>
                <w:lang w:val="en-US" w:eastAsia="zh-CN" w:bidi="ar-SA"/>
              </w:rPr>
              <w:t>2.0</w:t>
            </w:r>
            <w:r>
              <w:rPr>
                <w:rFonts w:hint="default" w:ascii="仿宋" w:hAnsi="仿宋" w:eastAsia="仿宋" w:cs="仿宋"/>
                <w:b w:val="0"/>
                <w:bCs w:val="0"/>
                <w:color w:val="auto"/>
                <w:kern w:val="2"/>
                <w:sz w:val="24"/>
                <w:szCs w:val="24"/>
                <w:highlight w:val="none"/>
                <w:lang w:val="en-US" w:eastAsia="zh-CN" w:bidi="ar-SA"/>
              </w:rPr>
              <w:t>分，</w:t>
            </w:r>
            <w:r>
              <w:rPr>
                <w:rFonts w:hint="eastAsia" w:ascii="仿宋" w:hAnsi="仿宋" w:eastAsia="仿宋" w:cs="仿宋"/>
                <w:b w:val="0"/>
                <w:bCs w:val="0"/>
                <w:color w:val="auto"/>
                <w:kern w:val="2"/>
                <w:sz w:val="24"/>
                <w:szCs w:val="24"/>
                <w:highlight w:val="none"/>
                <w:lang w:val="en-US" w:eastAsia="zh-CN" w:bidi="ar-SA"/>
              </w:rPr>
              <w:t>共计20分</w:t>
            </w:r>
            <w:r>
              <w:rPr>
                <w:rFonts w:hint="default" w:ascii="仿宋" w:hAnsi="仿宋" w:eastAsia="仿宋" w:cs="仿宋"/>
                <w:b w:val="0"/>
                <w:bCs w:val="0"/>
                <w:color w:val="auto"/>
                <w:kern w:val="2"/>
                <w:sz w:val="24"/>
                <w:szCs w:val="24"/>
                <w:highlight w:val="none"/>
                <w:lang w:val="en-US" w:eastAsia="zh-CN" w:bidi="ar-SA"/>
              </w:rPr>
              <w:t>。</w:t>
            </w:r>
          </w:p>
        </w:tc>
        <w:tc>
          <w:tcPr>
            <w:tcW w:w="1000" w:type="dxa"/>
            <w:noWrap w:val="0"/>
            <w:vAlign w:val="center"/>
          </w:tcPr>
          <w:p w14:paraId="33DE3817">
            <w:pPr>
              <w:pStyle w:val="81"/>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主观分</w:t>
            </w:r>
          </w:p>
        </w:tc>
        <w:tc>
          <w:tcPr>
            <w:tcW w:w="799" w:type="dxa"/>
            <w:noWrap w:val="0"/>
            <w:vAlign w:val="center"/>
          </w:tcPr>
          <w:p w14:paraId="125FACC3">
            <w:pPr>
              <w:pStyle w:val="81"/>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.00</w:t>
            </w:r>
          </w:p>
        </w:tc>
      </w:tr>
      <w:tr w14:paraId="4573F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026AB60F">
            <w:pPr>
              <w:pStyle w:val="13"/>
              <w:keepNext w:val="0"/>
              <w:keepLines w:val="0"/>
              <w:pageBreakBefore w:val="0"/>
              <w:widowControl w:val="0"/>
              <w:kinsoku/>
              <w:wordWrap w:val="0"/>
              <w:overflowPunct/>
              <w:topLinePunct w:val="0"/>
              <w:autoSpaceDE/>
              <w:autoSpaceDN/>
              <w:bidi w:val="0"/>
              <w:adjustRightInd/>
              <w:snapToGrid/>
              <w:spacing w:line="300" w:lineRule="exact"/>
              <w:ind w:firstLine="0" w:firstLineChars="0"/>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773" w:type="dxa"/>
            <w:noWrap w:val="0"/>
            <w:vAlign w:val="center"/>
          </w:tcPr>
          <w:p w14:paraId="562ECEE4">
            <w:pPr>
              <w:pStyle w:val="13"/>
              <w:keepNext w:val="0"/>
              <w:keepLines w:val="0"/>
              <w:pageBreakBefore w:val="0"/>
              <w:widowControl w:val="0"/>
              <w:kinsoku/>
              <w:wordWrap/>
              <w:overflowPunct/>
              <w:topLinePunct w:val="0"/>
              <w:autoSpaceDE/>
              <w:autoSpaceDN/>
              <w:bidi w:val="0"/>
              <w:adjustRightInd/>
              <w:snapToGrid/>
              <w:spacing w:line="380" w:lineRule="exact"/>
              <w:ind w:left="0" w:leftChars="0" w:firstLine="0" w:firstLineChars="0"/>
              <w:textAlignment w:val="auto"/>
              <w:rPr>
                <w:rFonts w:hint="default"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技术</w:t>
            </w:r>
          </w:p>
        </w:tc>
        <w:tc>
          <w:tcPr>
            <w:tcW w:w="1150" w:type="dxa"/>
            <w:noWrap w:val="0"/>
            <w:vAlign w:val="center"/>
          </w:tcPr>
          <w:p w14:paraId="7C3F1656">
            <w:pPr>
              <w:pStyle w:val="13"/>
              <w:keepNext w:val="0"/>
              <w:keepLines w:val="0"/>
              <w:pageBreakBefore w:val="0"/>
              <w:widowControl w:val="0"/>
              <w:shd w:val="clear" w:color="auto" w:fill="auto"/>
              <w:kinsoku/>
              <w:wordWrap w:val="0"/>
              <w:overflowPunct/>
              <w:topLinePunct w:val="0"/>
              <w:autoSpaceDE/>
              <w:autoSpaceDN/>
              <w:bidi w:val="0"/>
              <w:adjustRightInd/>
              <w:snapToGrid/>
              <w:spacing w:line="440" w:lineRule="exact"/>
              <w:ind w:firstLine="0" w:firstLineChars="0"/>
              <w:jc w:val="center"/>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color w:val="auto"/>
                <w:sz w:val="24"/>
                <w:highlight w:val="none"/>
              </w:rPr>
              <w:t>后续服务承诺</w:t>
            </w:r>
          </w:p>
        </w:tc>
        <w:tc>
          <w:tcPr>
            <w:tcW w:w="5204" w:type="dxa"/>
            <w:noWrap w:val="0"/>
            <w:vAlign w:val="center"/>
          </w:tcPr>
          <w:p w14:paraId="0176BCB5">
            <w:pPr>
              <w:pStyle w:val="13"/>
              <w:keepNext w:val="0"/>
              <w:keepLines w:val="0"/>
              <w:pageBreakBefore w:val="0"/>
              <w:widowControl w:val="0"/>
              <w:shd w:val="clear" w:color="auto" w:fill="auto"/>
              <w:kinsoku/>
              <w:wordWrap w:val="0"/>
              <w:overflowPunct/>
              <w:topLinePunct w:val="0"/>
              <w:autoSpaceDE/>
              <w:autoSpaceDN/>
              <w:bidi w:val="0"/>
              <w:adjustRightInd/>
              <w:snapToGrid/>
              <w:spacing w:line="440" w:lineRule="exact"/>
              <w:ind w:firstLine="480" w:firstLineChars="200"/>
              <w:jc w:val="left"/>
              <w:textAlignment w:val="auto"/>
              <w:rPr>
                <w:rFonts w:hint="default"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评标委员会</w:t>
            </w:r>
            <w:r>
              <w:rPr>
                <w:rFonts w:hint="eastAsia" w:ascii="仿宋" w:hAnsi="仿宋" w:eastAsia="仿宋" w:cs="仿宋"/>
                <w:color w:val="auto"/>
                <w:sz w:val="24"/>
                <w:highlight w:val="none"/>
              </w:rPr>
              <w:t xml:space="preserve">根据投标人服务承诺，如：响应时间、修复时间、服务团队、本地化服务等方面酌情打分。最高计至10分。 </w:t>
            </w:r>
          </w:p>
        </w:tc>
        <w:tc>
          <w:tcPr>
            <w:tcW w:w="1000" w:type="dxa"/>
            <w:noWrap w:val="0"/>
            <w:vAlign w:val="center"/>
          </w:tcPr>
          <w:p w14:paraId="05FA5733">
            <w:pPr>
              <w:pStyle w:val="81"/>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799" w:type="dxa"/>
            <w:noWrap w:val="0"/>
            <w:vAlign w:val="center"/>
          </w:tcPr>
          <w:p w14:paraId="4C5AF9DD">
            <w:pPr>
              <w:pStyle w:val="81"/>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10.00</w:t>
            </w:r>
          </w:p>
        </w:tc>
      </w:tr>
    </w:tbl>
    <w:p w14:paraId="260C7A10">
      <w:pPr>
        <w:spacing w:line="440" w:lineRule="exact"/>
        <w:ind w:firstLine="482" w:firstLineChars="200"/>
        <w:contextualSpacing/>
        <w:rPr>
          <w:rFonts w:ascii="仿宋" w:hAnsi="仿宋" w:eastAsia="仿宋" w:cs="仿宋"/>
          <w:b/>
          <w:sz w:val="24"/>
          <w:szCs w:val="24"/>
          <w:highlight w:val="none"/>
        </w:rPr>
      </w:pPr>
      <w:r>
        <w:rPr>
          <w:rFonts w:hint="eastAsia" w:ascii="仿宋" w:hAnsi="仿宋" w:eastAsia="仿宋" w:cs="仿宋"/>
          <w:b/>
          <w:sz w:val="24"/>
          <w:szCs w:val="24"/>
          <w:highlight w:val="none"/>
        </w:rPr>
        <w:t>注：①本细则只针对有效投标文件予以评分。</w:t>
      </w:r>
    </w:p>
    <w:p w14:paraId="4A804F07">
      <w:pPr>
        <w:spacing w:line="440" w:lineRule="exact"/>
        <w:ind w:firstLine="482" w:firstLineChars="200"/>
        <w:contextualSpacing/>
        <w:rPr>
          <w:rFonts w:ascii="仿宋" w:hAnsi="仿宋" w:eastAsia="仿宋" w:cs="仿宋"/>
          <w:b/>
          <w:sz w:val="24"/>
          <w:szCs w:val="24"/>
          <w:highlight w:val="none"/>
        </w:rPr>
      </w:pPr>
      <w:r>
        <w:rPr>
          <w:rFonts w:hint="eastAsia" w:ascii="仿宋" w:hAnsi="仿宋" w:eastAsia="仿宋" w:cs="仿宋"/>
          <w:b/>
          <w:sz w:val="24"/>
          <w:szCs w:val="24"/>
          <w:highlight w:val="none"/>
        </w:rPr>
        <w:t>②计算得分时，四舍五入保留至小数点后二位。</w:t>
      </w:r>
    </w:p>
    <w:p w14:paraId="7D5BE4F7">
      <w:pPr>
        <w:spacing w:line="440" w:lineRule="exact"/>
        <w:ind w:firstLine="482" w:firstLineChars="200"/>
        <w:contextualSpacing/>
        <w:rPr>
          <w:rFonts w:ascii="仿宋" w:hAnsi="仿宋" w:eastAsia="仿宋" w:cs="仿宋"/>
          <w:b/>
          <w:sz w:val="24"/>
          <w:szCs w:val="24"/>
          <w:highlight w:val="none"/>
        </w:rPr>
      </w:pPr>
      <w:r>
        <w:rPr>
          <w:rFonts w:hint="eastAsia" w:ascii="仿宋" w:hAnsi="仿宋" w:eastAsia="仿宋" w:cs="仿宋"/>
          <w:b/>
          <w:sz w:val="24"/>
          <w:szCs w:val="24"/>
          <w:highlight w:val="none"/>
        </w:rPr>
        <w:t>③汇总各评委打分进行算术平均，计算出各投标人的综合。</w:t>
      </w:r>
    </w:p>
    <w:p w14:paraId="73C73423">
      <w:pPr>
        <w:spacing w:line="440" w:lineRule="exact"/>
        <w:contextualSpacing/>
        <w:outlineLvl w:val="1"/>
        <w:rPr>
          <w:rFonts w:ascii="仿宋" w:hAnsi="仿宋" w:eastAsia="仿宋" w:cs="仿宋"/>
          <w:b/>
          <w:sz w:val="24"/>
          <w:szCs w:val="24"/>
          <w:highlight w:val="none"/>
        </w:rPr>
      </w:pPr>
      <w:bookmarkStart w:id="30" w:name="_Toc11876"/>
      <w:r>
        <w:rPr>
          <w:rFonts w:hint="eastAsia" w:ascii="仿宋" w:hAnsi="仿宋" w:eastAsia="仿宋" w:cs="仿宋"/>
          <w:b/>
          <w:sz w:val="24"/>
          <w:szCs w:val="24"/>
          <w:highlight w:val="none"/>
        </w:rPr>
        <w:t>四、定标</w:t>
      </w:r>
      <w:bookmarkEnd w:id="30"/>
    </w:p>
    <w:p w14:paraId="4A11E42F">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1、评标委员会根据招标文件载明的评标细则进行综合评审，并按评审后得分由高到低顺序排列，确定综合得分前三名为中标候选人。</w:t>
      </w:r>
    </w:p>
    <w:p w14:paraId="7698E61D">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2、评标结束后，公示无异议确定排</w:t>
      </w:r>
      <w:r>
        <w:rPr>
          <w:rFonts w:hint="eastAsia" w:ascii="仿宋" w:hAnsi="仿宋" w:eastAsia="仿宋" w:cs="仿宋"/>
          <w:bCs/>
          <w:sz w:val="24"/>
          <w:szCs w:val="24"/>
          <w:highlight w:val="none"/>
          <w:lang w:val="en-US" w:eastAsia="zh-CN"/>
        </w:rPr>
        <w:t>名第一</w:t>
      </w:r>
      <w:r>
        <w:rPr>
          <w:rFonts w:hint="eastAsia" w:ascii="仿宋" w:hAnsi="仿宋" w:eastAsia="仿宋" w:cs="仿宋"/>
          <w:bCs/>
          <w:sz w:val="24"/>
          <w:szCs w:val="24"/>
          <w:highlight w:val="none"/>
        </w:rPr>
        <w:t>的中标候选人为中标人。如发现中标候选人存在与招标文件、投标文件不符或弄虚作假等其它违法行为，经招标单位同意：取消中标候选人资格，由排名次之的候选人中标，依次类推或重新招标。</w:t>
      </w:r>
    </w:p>
    <w:p w14:paraId="40F92C05">
      <w:pPr>
        <w:spacing w:line="440" w:lineRule="exact"/>
        <w:ind w:firstLine="480" w:firstLineChars="200"/>
        <w:contextualSpacing/>
        <w:rPr>
          <w:rFonts w:ascii="仿宋" w:hAnsi="仿宋" w:eastAsia="仿宋" w:cs="仿宋"/>
          <w:b/>
          <w:sz w:val="24"/>
          <w:szCs w:val="24"/>
          <w:highlight w:val="none"/>
        </w:rPr>
      </w:pPr>
      <w:r>
        <w:rPr>
          <w:rFonts w:hint="eastAsia" w:ascii="仿宋" w:hAnsi="仿宋" w:eastAsia="仿宋" w:cs="仿宋"/>
          <w:bCs/>
          <w:sz w:val="24"/>
          <w:szCs w:val="24"/>
          <w:highlight w:val="none"/>
        </w:rPr>
        <w:t>3、评标结果将在原招标公告发布媒介予以公告。</w:t>
      </w:r>
    </w:p>
    <w:p w14:paraId="0C163D8F">
      <w:pPr>
        <w:spacing w:line="440" w:lineRule="exact"/>
        <w:contextualSpacing/>
        <w:outlineLvl w:val="1"/>
        <w:rPr>
          <w:rFonts w:ascii="仿宋" w:hAnsi="仿宋" w:eastAsia="仿宋" w:cs="仿宋"/>
          <w:b/>
          <w:sz w:val="24"/>
          <w:szCs w:val="24"/>
          <w:highlight w:val="none"/>
        </w:rPr>
      </w:pPr>
      <w:bookmarkStart w:id="31" w:name="_Toc26340"/>
      <w:r>
        <w:rPr>
          <w:rFonts w:hint="eastAsia" w:ascii="仿宋" w:hAnsi="仿宋" w:eastAsia="仿宋" w:cs="仿宋"/>
          <w:b/>
          <w:sz w:val="24"/>
          <w:szCs w:val="24"/>
          <w:highlight w:val="none"/>
        </w:rPr>
        <w:t>五、编写评标报告</w:t>
      </w:r>
      <w:bookmarkEnd w:id="31"/>
    </w:p>
    <w:p w14:paraId="55B2D5C2">
      <w:pPr>
        <w:spacing w:line="440" w:lineRule="exact"/>
        <w:ind w:firstLine="480" w:firstLineChars="200"/>
        <w:contextualSpacing/>
        <w:rPr>
          <w:rFonts w:ascii="仿宋" w:hAnsi="仿宋" w:eastAsia="仿宋" w:cs="仿宋"/>
          <w:bCs/>
          <w:sz w:val="24"/>
          <w:szCs w:val="24"/>
          <w:highlight w:val="none"/>
        </w:rPr>
      </w:pPr>
      <w:r>
        <w:rPr>
          <w:rFonts w:hint="eastAsia" w:ascii="仿宋" w:hAnsi="仿宋" w:eastAsia="仿宋" w:cs="仿宋"/>
          <w:bCs/>
          <w:sz w:val="24"/>
          <w:szCs w:val="24"/>
          <w:highlight w:val="none"/>
        </w:rPr>
        <w:t>依据评委评标签字的原始记录和评标结果，按照规定的内容要求编写评标报告，并由全体评委签名。</w:t>
      </w:r>
    </w:p>
    <w:p w14:paraId="7C710945">
      <w:pPr>
        <w:spacing w:line="440" w:lineRule="exact"/>
        <w:contextualSpacing/>
        <w:outlineLvl w:val="1"/>
        <w:rPr>
          <w:rFonts w:ascii="仿宋" w:hAnsi="仿宋" w:eastAsia="仿宋" w:cs="仿宋"/>
          <w:b/>
          <w:sz w:val="24"/>
          <w:szCs w:val="24"/>
          <w:highlight w:val="none"/>
        </w:rPr>
      </w:pPr>
      <w:bookmarkStart w:id="32" w:name="_Toc27480"/>
      <w:r>
        <w:rPr>
          <w:rFonts w:hint="eastAsia" w:ascii="仿宋" w:hAnsi="仿宋" w:eastAsia="仿宋" w:cs="仿宋"/>
          <w:b/>
          <w:sz w:val="24"/>
          <w:szCs w:val="24"/>
          <w:highlight w:val="none"/>
        </w:rPr>
        <w:t>六、签订合同</w:t>
      </w:r>
      <w:bookmarkEnd w:id="32"/>
      <w:r>
        <w:rPr>
          <w:rFonts w:hint="eastAsia" w:ascii="仿宋" w:hAnsi="仿宋" w:eastAsia="仿宋" w:cs="仿宋"/>
          <w:b/>
          <w:sz w:val="24"/>
          <w:szCs w:val="24"/>
          <w:highlight w:val="none"/>
        </w:rPr>
        <w:t xml:space="preserve"> </w:t>
      </w:r>
    </w:p>
    <w:p w14:paraId="1BC793D9">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1.评标结果公告后，由</w:t>
      </w:r>
      <w:r>
        <w:rPr>
          <w:rFonts w:hint="eastAsia" w:ascii="仿宋" w:hAnsi="仿宋" w:eastAsia="仿宋" w:cs="仿宋"/>
          <w:bCs/>
          <w:sz w:val="24"/>
          <w:szCs w:val="24"/>
          <w:highlight w:val="none"/>
          <w:lang w:eastAsia="zh-CN"/>
        </w:rPr>
        <w:t>招标人</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招标代理</w:t>
      </w:r>
      <w:r>
        <w:rPr>
          <w:rFonts w:hint="eastAsia" w:ascii="仿宋" w:hAnsi="仿宋" w:eastAsia="仿宋" w:cs="仿宋"/>
          <w:bCs/>
          <w:sz w:val="24"/>
          <w:szCs w:val="24"/>
          <w:highlight w:val="none"/>
        </w:rPr>
        <w:t>向中标人签发中标通知书。</w:t>
      </w:r>
    </w:p>
    <w:p w14:paraId="2C635DC7">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 xml:space="preserve">2.中标合同原则以第六部分 </w:t>
      </w:r>
      <w:r>
        <w:rPr>
          <w:rFonts w:hint="eastAsia" w:ascii="仿宋" w:hAnsi="仿宋" w:eastAsia="仿宋" w:cs="仿宋"/>
          <w:sz w:val="24"/>
          <w:szCs w:val="24"/>
          <w:highlight w:val="none"/>
        </w:rPr>
        <w:t>合同条款及格式</w:t>
      </w:r>
      <w:r>
        <w:rPr>
          <w:rFonts w:hint="eastAsia" w:ascii="仿宋" w:hAnsi="仿宋" w:eastAsia="仿宋" w:cs="仿宋"/>
          <w:bCs/>
          <w:sz w:val="24"/>
          <w:szCs w:val="24"/>
          <w:highlight w:val="none"/>
        </w:rPr>
        <w:t>为基础，并根据投标、答疑情况进行修改补充，自签订之日起生效。</w:t>
      </w:r>
    </w:p>
    <w:p w14:paraId="1B85F0E8">
      <w:pPr>
        <w:spacing w:line="440" w:lineRule="exact"/>
        <w:ind w:firstLine="480" w:firstLineChars="200"/>
        <w:contextualSpacing/>
        <w:rPr>
          <w:rFonts w:hint="eastAsia" w:ascii="仿宋" w:hAnsi="仿宋" w:eastAsia="仿宋" w:cs="仿宋"/>
          <w:bCs/>
          <w:sz w:val="24"/>
          <w:szCs w:val="24"/>
          <w:highlight w:val="none"/>
        </w:rPr>
      </w:pPr>
      <w:r>
        <w:rPr>
          <w:rFonts w:hint="eastAsia" w:ascii="仿宋" w:hAnsi="仿宋" w:eastAsia="仿宋" w:cs="仿宋"/>
          <w:bCs/>
          <w:sz w:val="24"/>
          <w:szCs w:val="24"/>
          <w:highlight w:val="none"/>
        </w:rPr>
        <w:t>3.中标人在规定的期限内无正当理由拒绝签订合同,取消原中标决定，与排名次之的中标候选人签订合同或重新组织招标。</w:t>
      </w:r>
    </w:p>
    <w:p w14:paraId="3B37A194">
      <w:pPr>
        <w:jc w:val="center"/>
        <w:outlineLvl w:val="0"/>
        <w:rPr>
          <w:rFonts w:ascii="仿宋" w:hAnsi="仿宋" w:eastAsia="仿宋" w:cs="仿宋"/>
          <w:b/>
          <w:bCs/>
          <w:sz w:val="28"/>
          <w:szCs w:val="28"/>
          <w:highlight w:val="none"/>
        </w:rPr>
      </w:pPr>
      <w:r>
        <w:rPr>
          <w:rFonts w:hint="eastAsia" w:ascii="仿宋" w:hAnsi="仿宋" w:eastAsia="仿宋" w:cs="仿宋"/>
          <w:bCs/>
          <w:sz w:val="24"/>
          <w:szCs w:val="24"/>
          <w:highlight w:val="none"/>
        </w:rPr>
        <w:br w:type="page"/>
      </w:r>
      <w:bookmarkStart w:id="33" w:name="_Toc8592"/>
      <w:bookmarkStart w:id="34" w:name="_Toc6734"/>
      <w:r>
        <w:rPr>
          <w:rStyle w:val="126"/>
          <w:rFonts w:hint="eastAsia"/>
          <w:highlight w:val="none"/>
        </w:rPr>
        <w:t>第五部分 投标文件（格式）</w:t>
      </w:r>
      <w:bookmarkEnd w:id="33"/>
      <w:bookmarkEnd w:id="34"/>
    </w:p>
    <w:p w14:paraId="66C5A528">
      <w:pPr>
        <w:snapToGrid w:val="0"/>
        <w:spacing w:line="360" w:lineRule="auto"/>
        <w:ind w:firstLine="560" w:firstLineChars="200"/>
        <w:rPr>
          <w:rFonts w:ascii="仿宋" w:hAnsi="仿宋" w:eastAsia="仿宋" w:cs="仿宋"/>
          <w:sz w:val="28"/>
          <w:szCs w:val="28"/>
          <w:highlight w:val="none"/>
        </w:rPr>
      </w:pPr>
    </w:p>
    <w:p w14:paraId="510FC948">
      <w:pPr>
        <w:spacing w:line="460" w:lineRule="exact"/>
        <w:jc w:val="left"/>
        <w:rPr>
          <w:rFonts w:ascii="宋体" w:hAnsi="宋体"/>
          <w:b/>
          <w:kern w:val="0"/>
          <w:sz w:val="24"/>
          <w:szCs w:val="24"/>
          <w:highlight w:val="none"/>
        </w:rPr>
      </w:pPr>
      <w:r>
        <w:rPr>
          <w:rFonts w:ascii="宋体" w:hAnsi="宋体" w:cs="Lucida Sans Unicode"/>
          <w:sz w:val="24"/>
          <w:szCs w:val="24"/>
          <w:highlight w:val="none"/>
        </w:rPr>
        <w:fldChar w:fldCharType="begin"/>
      </w:r>
      <w:r>
        <w:rPr>
          <w:rFonts w:ascii="宋体" w:hAnsi="宋体" w:cs="Lucida Sans Unicode"/>
          <w:sz w:val="24"/>
          <w:szCs w:val="24"/>
          <w:highlight w:val="none"/>
        </w:rPr>
        <w:instrText xml:space="preserve">&lt;MK</w:instrText>
      </w:r>
      <w:r>
        <w:rPr>
          <w:rFonts w:hint="eastAsia" w:ascii="宋体" w:hAnsi="宋体" w:cs="Lucida Sans Unicode"/>
          <w:sz w:val="24"/>
          <w:szCs w:val="24"/>
          <w:highlight w:val="none"/>
        </w:rPr>
        <w:instrText xml:space="preserve"> cmd="bus"</w:instrText>
      </w:r>
      <w:r>
        <w:rPr>
          <w:rFonts w:ascii="宋体" w:hAnsi="宋体" w:cs="Lucida Sans Unicode"/>
          <w:sz w:val="24"/>
          <w:szCs w:val="24"/>
          <w:highlight w:val="none"/>
        </w:rPr>
        <w:instrText xml:space="preserve">&gt;</w:instrText>
      </w:r>
      <w:r>
        <w:rPr>
          <w:rFonts w:hint="eastAsia" w:ascii="宋体" w:hAnsi="宋体" w:cs="Lucida Sans Unicode"/>
          <w:sz w:val="24"/>
          <w:szCs w:val="24"/>
          <w:highlight w:val="none"/>
        </w:rPr>
        <w:instrText xml:space="preserve">&lt;def type="query" recs="pro"&gt;"</w:instrText>
      </w:r>
      <w:r>
        <w:rPr>
          <w:rFonts w:ascii="宋体" w:hAnsi="宋体"/>
          <w:sz w:val="24"/>
          <w:szCs w:val="24"/>
          <w:highlight w:val="none"/>
        </w:rPr>
        <w:instrText xml:space="preserve"> </w:instrText>
      </w:r>
      <w:r>
        <w:rPr>
          <w:rFonts w:ascii="宋体" w:hAnsi="宋体" w:cs="Lucida Sans Unicode"/>
          <w:sz w:val="24"/>
          <w:szCs w:val="24"/>
          <w:highlight w:val="none"/>
        </w:rPr>
        <w:instrText xml:space="preserve">select </w:instrText>
      </w:r>
      <w:r>
        <w:rPr>
          <w:rFonts w:hint="eastAsia" w:ascii="宋体" w:hAnsi="宋体" w:cs="Lucida Sans Unicode"/>
          <w:sz w:val="24"/>
          <w:szCs w:val="24"/>
          <w:highlight w:val="none"/>
        </w:rPr>
        <w:instrText xml:space="preserve">b</w:instrText>
      </w:r>
      <w:r>
        <w:rPr>
          <w:rFonts w:ascii="宋体" w:hAnsi="宋体" w:cs="Lucida Sans Unicode"/>
          <w:sz w:val="24"/>
          <w:szCs w:val="24"/>
          <w:highlight w:val="none"/>
        </w:rPr>
        <w:instrText xml:space="preserve">.tradeWay,a.projectCode,a.projectName,</w:instrText>
      </w:r>
      <w:r>
        <w:rPr>
          <w:rFonts w:hint="eastAsia" w:ascii="宋体" w:hAnsi="宋体" w:cs="Lucida Sans Unicode"/>
          <w:sz w:val="24"/>
          <w:szCs w:val="24"/>
          <w:highlight w:val="none"/>
        </w:rPr>
        <w:instrText xml:space="preserve">b.schemecode,b.</w:instrText>
      </w:r>
      <w:r>
        <w:rPr>
          <w:rFonts w:ascii="宋体" w:hAnsi="宋体" w:cs="Lucida Sans Unicode"/>
          <w:sz w:val="24"/>
          <w:szCs w:val="24"/>
          <w:highlight w:val="none"/>
        </w:rPr>
        <w:instrText xml:space="preserve">saleMode</w:instrText>
      </w:r>
      <w:r>
        <w:rPr>
          <w:rFonts w:hint="eastAsia" w:ascii="宋体" w:hAnsi="宋体" w:cs="Lucida Sans Unicode"/>
          <w:sz w:val="24"/>
          <w:szCs w:val="24"/>
          <w:highlight w:val="none"/>
        </w:rPr>
        <w:instrText xml:space="preserve">,b.applycost,</w:instrText>
      </w:r>
      <w:r>
        <w:rPr>
          <w:rFonts w:ascii="宋体" w:hAnsi="宋体" w:cs="Lucida Sans Unicode"/>
          <w:sz w:val="24"/>
          <w:szCs w:val="24"/>
          <w:highlight w:val="none"/>
        </w:rPr>
        <w:instrText xml:space="preserve">b.applystart,b.applystop,b.deliverstop,b.openstart,b.openaddr</w:instrText>
      </w:r>
      <w:r>
        <w:rPr>
          <w:rFonts w:hint="eastAsia" w:ascii="宋体" w:hAnsi="宋体" w:cs="Lucida Sans Unicode"/>
          <w:sz w:val="24"/>
          <w:szCs w:val="24"/>
          <w:highlight w:val="none"/>
        </w:rPr>
        <w:instrText xml:space="preserve">,a.projectid,b.</w:instrText>
      </w:r>
      <w:r>
        <w:rPr>
          <w:rFonts w:ascii="宋体" w:hAnsi="宋体" w:cs="Lucida Sans Unicode"/>
          <w:sz w:val="24"/>
          <w:szCs w:val="24"/>
          <w:highlight w:val="none"/>
        </w:rPr>
        <w:instrText xml:space="preserve">bidvalidity</w:instrText>
      </w:r>
      <w:r>
        <w:rPr>
          <w:rFonts w:hint="eastAsia" w:ascii="宋体" w:hAnsi="宋体" w:cs="Lucida Sans Unicode"/>
          <w:sz w:val="24"/>
          <w:szCs w:val="24"/>
          <w:highlight w:val="none"/>
        </w:rPr>
        <w:instrText xml:space="preserve">,b.</w:instrText>
      </w:r>
      <w:r>
        <w:rPr>
          <w:rFonts w:ascii="宋体" w:hAnsi="宋体" w:cs="Lucida Sans Unicode"/>
          <w:sz w:val="24"/>
          <w:szCs w:val="24"/>
          <w:highlight w:val="none"/>
        </w:rPr>
        <w:instrText xml:space="preserve">canjoint</w:instrText>
      </w:r>
      <w:r>
        <w:rPr>
          <w:rFonts w:hint="eastAsia" w:ascii="宋体" w:hAnsi="宋体" w:cs="Lucida Sans Unicode"/>
          <w:sz w:val="24"/>
          <w:szCs w:val="24"/>
          <w:highlight w:val="none"/>
        </w:rPr>
        <w:instrText xml:space="preserve">,b.</w:instrText>
      </w:r>
      <w:r>
        <w:rPr>
          <w:rFonts w:ascii="宋体" w:hAnsi="宋体" w:cs="Lucida Sans Unicode"/>
          <w:sz w:val="24"/>
          <w:szCs w:val="24"/>
          <w:highlight w:val="none"/>
        </w:rPr>
        <w:instrText xml:space="preserve">judgecount from gp_project a,gp_projectScheme b where a.projectId=b.projectId and </w:instrText>
      </w:r>
      <w:r>
        <w:rPr>
          <w:rFonts w:hint="eastAsia" w:ascii="宋体" w:hAnsi="宋体" w:cs="Lucida Sans Unicode"/>
          <w:sz w:val="24"/>
          <w:szCs w:val="24"/>
          <w:highlight w:val="none"/>
        </w:rPr>
        <w:instrText xml:space="preserve">b</w:instrText>
      </w:r>
      <w:r>
        <w:rPr>
          <w:rFonts w:ascii="宋体" w:hAnsi="宋体" w:cs="Lucida Sans Unicode"/>
          <w:sz w:val="24"/>
          <w:szCs w:val="24"/>
          <w:highlight w:val="none"/>
        </w:rPr>
        <w:instrText xml:space="preserve">.schemeId=</w:instrText>
      </w:r>
      <w:r>
        <w:rPr>
          <w:rFonts w:hint="eastAsia" w:ascii="宋体" w:hAnsi="宋体" w:cs="Lucida Sans Unicode"/>
          <w:sz w:val="24"/>
          <w:szCs w:val="24"/>
          <w:highlight w:val="none"/>
        </w:rPr>
        <w:instrText xml:space="preserve">"+NFV("</w:instrText>
      </w:r>
      <w:r>
        <w:rPr>
          <w:rFonts w:ascii="宋体" w:hAnsi="宋体" w:cs="Lucida Sans Unicode"/>
          <w:sz w:val="24"/>
          <w:szCs w:val="24"/>
          <w:highlight w:val="none"/>
        </w:rPr>
        <w:instrText xml:space="preserve">scheme</w:instrText>
      </w:r>
      <w:r>
        <w:rPr>
          <w:rFonts w:hint="eastAsia" w:ascii="宋体" w:hAnsi="宋体" w:cs="Lucida Sans Unicode"/>
          <w:sz w:val="24"/>
          <w:szCs w:val="24"/>
          <w:highlight w:val="none"/>
        </w:rPr>
        <w:instrText xml:space="preserve">i</w:instrText>
      </w:r>
      <w:r>
        <w:rPr>
          <w:rFonts w:ascii="宋体" w:hAnsi="宋体" w:cs="Lucida Sans Unicode"/>
          <w:sz w:val="24"/>
          <w:szCs w:val="24"/>
          <w:highlight w:val="none"/>
        </w:rPr>
        <w:instrText xml:space="preserve">d</w:instrText>
      </w:r>
      <w:r>
        <w:rPr>
          <w:rFonts w:hint="eastAsia" w:ascii="宋体" w:hAnsi="宋体" w:cs="Lucida Sans Unicode"/>
          <w:sz w:val="24"/>
          <w:szCs w:val="24"/>
          <w:highlight w:val="none"/>
        </w:rPr>
        <w:instrText xml:space="preserve">",-1) &lt;/def&gt;</w:instrText>
      </w:r>
      <w:r>
        <w:rPr>
          <w:rFonts w:ascii="宋体" w:hAnsi="宋体" w:cs="Lucida Sans Unicode"/>
          <w:sz w:val="24"/>
          <w:szCs w:val="24"/>
          <w:highlight w:val="none"/>
        </w:rPr>
        <w:instrText xml:space="preserve">&lt;/MK&gt;</w:instrText>
      </w:r>
      <w:r>
        <w:rPr>
          <w:rFonts w:ascii="宋体" w:hAnsi="宋体" w:cs="Lucida Sans Unicode"/>
          <w:sz w:val="24"/>
          <w:szCs w:val="24"/>
          <w:highlight w:val="none"/>
        </w:rPr>
        <w:fldChar w:fldCharType="separate"/>
      </w:r>
      <w:r>
        <w:rPr>
          <w:rFonts w:ascii="宋体" w:hAnsi="宋体" w:cs="Lucida Sans Unicode"/>
          <w:sz w:val="24"/>
          <w:szCs w:val="24"/>
          <w:highlight w:val="none"/>
        </w:rPr>
        <w:t>!异常的公式结尾</w:t>
      </w:r>
      <w:r>
        <w:rPr>
          <w:rFonts w:ascii="宋体" w:hAnsi="宋体" w:cs="Lucida Sans Unicode"/>
          <w:sz w:val="24"/>
          <w:szCs w:val="24"/>
          <w:highlight w:val="none"/>
        </w:rPr>
        <w:fldChar w:fldCharType="end"/>
      </w:r>
      <w:r>
        <w:rPr>
          <w:rFonts w:ascii="宋体" w:hAnsi="宋体" w:cs="Lucida Sans Unicode"/>
          <w:sz w:val="24"/>
          <w:szCs w:val="24"/>
          <w:highlight w:val="none"/>
        </w:rPr>
        <w:fldChar w:fldCharType="begin"/>
      </w:r>
      <w:r>
        <w:rPr>
          <w:rFonts w:ascii="宋体" w:hAnsi="宋体" w:cs="Lucida Sans Unicode"/>
          <w:sz w:val="24"/>
          <w:szCs w:val="24"/>
          <w:highlight w:val="none"/>
        </w:rPr>
        <w:instrText xml:space="preserve">&lt;MK</w:instrText>
      </w:r>
      <w:r>
        <w:rPr>
          <w:rFonts w:hint="eastAsia" w:ascii="宋体" w:hAnsi="宋体" w:cs="Lucida Sans Unicode"/>
          <w:sz w:val="24"/>
          <w:szCs w:val="24"/>
          <w:highlight w:val="none"/>
        </w:rPr>
        <w:instrText xml:space="preserve"> cmd="bus"</w:instrText>
      </w:r>
      <w:r>
        <w:rPr>
          <w:rFonts w:ascii="宋体" w:hAnsi="宋体" w:cs="Lucida Sans Unicode"/>
          <w:sz w:val="24"/>
          <w:szCs w:val="24"/>
          <w:highlight w:val="none"/>
        </w:rPr>
        <w:instrText xml:space="preserve">&gt;</w:instrText>
      </w:r>
      <w:r>
        <w:rPr>
          <w:rFonts w:hint="eastAsia" w:ascii="宋体" w:hAnsi="宋体" w:cs="Lucida Sans Unicode"/>
          <w:sz w:val="24"/>
          <w:szCs w:val="24"/>
          <w:highlight w:val="none"/>
        </w:rPr>
        <w:instrText xml:space="preserve">&lt;def type="query" recs="org"&gt;"</w:instrText>
      </w:r>
      <w:r>
        <w:rPr>
          <w:rFonts w:ascii="宋体" w:hAnsi="宋体"/>
          <w:sz w:val="24"/>
          <w:szCs w:val="24"/>
          <w:highlight w:val="none"/>
        </w:rPr>
        <w:instrText xml:space="preserve"> </w:instrText>
      </w:r>
      <w:r>
        <w:rPr>
          <w:rFonts w:ascii="宋体" w:hAnsi="宋体" w:cs="Lucida Sans Unicode"/>
          <w:sz w:val="24"/>
          <w:szCs w:val="24"/>
          <w:highlight w:val="none"/>
        </w:rPr>
        <w:instrText xml:space="preserve">select b3.unitaddr,b3.zipcode,b3.linkman,b3.linkphone,</w:instrText>
      </w:r>
      <w:r>
        <w:rPr>
          <w:rFonts w:hint="eastAsia" w:ascii="宋体" w:hAnsi="宋体" w:cs="Lucida Sans Unicode"/>
          <w:sz w:val="24"/>
          <w:szCs w:val="24"/>
          <w:highlight w:val="none"/>
        </w:rPr>
        <w:instrText xml:space="preserve">b3.uniturl,</w:instrText>
      </w:r>
      <w:r>
        <w:rPr>
          <w:rFonts w:ascii="宋体" w:hAnsi="宋体" w:cs="Lucida Sans Unicode"/>
          <w:sz w:val="24"/>
          <w:szCs w:val="24"/>
          <w:highlight w:val="none"/>
        </w:rPr>
        <w:instrText xml:space="preserve">b2.organName from gp_project b1,bas_organ b2,gp_agent b3 where b1.agentOrgan=b2.organId and b2.organId=b3.org</w:instrText>
      </w:r>
      <w:r>
        <w:rPr>
          <w:rFonts w:hint="eastAsia" w:ascii="宋体" w:hAnsi="宋体" w:cs="Lucida Sans Unicode"/>
          <w:sz w:val="24"/>
          <w:szCs w:val="24"/>
          <w:highlight w:val="none"/>
        </w:rPr>
        <w:instrText xml:space="preserve">anid </w:instrText>
      </w:r>
      <w:r>
        <w:rPr>
          <w:rFonts w:ascii="宋体" w:hAnsi="宋体" w:cs="Lucida Sans Unicode"/>
          <w:sz w:val="24"/>
          <w:szCs w:val="24"/>
          <w:highlight w:val="none"/>
        </w:rPr>
        <w:instrText xml:space="preserve">and b1.</w:instrText>
      </w:r>
      <w:r>
        <w:rPr>
          <w:rFonts w:hint="eastAsia" w:ascii="宋体" w:hAnsi="宋体" w:cs="Lucida Sans Unicode"/>
          <w:sz w:val="24"/>
          <w:szCs w:val="24"/>
          <w:highlight w:val="none"/>
        </w:rPr>
        <w:instrText xml:space="preserve">projectid</w:instrText>
      </w:r>
      <w:r>
        <w:rPr>
          <w:rFonts w:ascii="宋体" w:hAnsi="宋体" w:cs="Lucida Sans Unicode"/>
          <w:sz w:val="24"/>
          <w:szCs w:val="24"/>
          <w:highlight w:val="none"/>
        </w:rPr>
        <w:instrText xml:space="preserve"> =</w:instrText>
      </w:r>
      <w:r>
        <w:rPr>
          <w:rFonts w:hint="eastAsia" w:ascii="宋体" w:hAnsi="宋体" w:cs="Lucida Sans Unicode"/>
          <w:sz w:val="24"/>
          <w:szCs w:val="24"/>
          <w:highlight w:val="none"/>
        </w:rPr>
        <w:instrText xml:space="preserve">"+NFV("pro.projectid",-1) &lt;/def&gt;</w:instrText>
      </w:r>
      <w:r>
        <w:rPr>
          <w:rFonts w:ascii="宋体" w:hAnsi="宋体" w:cs="Lucida Sans Unicode"/>
          <w:sz w:val="24"/>
          <w:szCs w:val="24"/>
          <w:highlight w:val="none"/>
        </w:rPr>
        <w:instrText xml:space="preserve">&lt;/MK&gt;</w:instrText>
      </w:r>
      <w:r>
        <w:rPr>
          <w:rFonts w:ascii="宋体" w:hAnsi="宋体" w:cs="Lucida Sans Unicode"/>
          <w:sz w:val="24"/>
          <w:szCs w:val="24"/>
          <w:highlight w:val="none"/>
        </w:rPr>
        <w:fldChar w:fldCharType="separate"/>
      </w:r>
      <w:r>
        <w:rPr>
          <w:rFonts w:ascii="宋体" w:hAnsi="宋体" w:cs="Lucida Sans Unicode"/>
          <w:sz w:val="24"/>
          <w:szCs w:val="24"/>
          <w:highlight w:val="none"/>
        </w:rPr>
        <w:t>!异常的公式结尾</w:t>
      </w:r>
      <w:r>
        <w:rPr>
          <w:rFonts w:ascii="宋体" w:hAnsi="宋体" w:cs="Lucida Sans Unicode"/>
          <w:sz w:val="24"/>
          <w:szCs w:val="24"/>
          <w:highlight w:val="none"/>
        </w:rPr>
        <w:fldChar w:fldCharType="end"/>
      </w:r>
      <w:r>
        <w:rPr>
          <w:rFonts w:ascii="宋体" w:hAnsi="宋体"/>
          <w:sz w:val="24"/>
          <w:szCs w:val="24"/>
          <w:highlight w:val="none"/>
        </w:rPr>
        <w:fldChar w:fldCharType="begin"/>
      </w:r>
      <w:r>
        <w:rPr>
          <w:rFonts w:ascii="宋体" w:hAnsi="宋体"/>
          <w:sz w:val="24"/>
          <w:szCs w:val="24"/>
          <w:highlight w:val="none"/>
        </w:rPr>
        <w:instrText xml:space="preserve">&lt;MK cmd="bus"&gt;&lt;def type="query" recs="</w:instrText>
      </w:r>
      <w:r>
        <w:rPr>
          <w:rFonts w:hint="eastAsia" w:ascii="宋体" w:hAnsi="宋体"/>
          <w:sz w:val="24"/>
          <w:szCs w:val="24"/>
          <w:highlight w:val="none"/>
        </w:rPr>
        <w:instrText xml:space="preserve">totle</w:instrText>
      </w:r>
      <w:r>
        <w:rPr>
          <w:rFonts w:ascii="宋体" w:hAnsi="宋体"/>
          <w:sz w:val="24"/>
          <w:szCs w:val="24"/>
          <w:highlight w:val="none"/>
        </w:rPr>
        <w:instrText xml:space="preserve">"&gt;"SELECT</w:instrText>
      </w:r>
      <w:r>
        <w:rPr>
          <w:rFonts w:hint="eastAsia" w:ascii="宋体" w:hAnsi="宋体"/>
          <w:sz w:val="24"/>
          <w:szCs w:val="24"/>
          <w:highlight w:val="none"/>
        </w:rPr>
        <w:instrText xml:space="preserve"> sum(a.</w:instrText>
      </w:r>
      <w:r>
        <w:rPr>
          <w:rFonts w:ascii="宋体" w:hAnsi="宋体"/>
          <w:sz w:val="24"/>
          <w:szCs w:val="24"/>
          <w:highlight w:val="none"/>
        </w:rPr>
        <w:instrText xml:space="preserve">budgetAmount</w:instrText>
      </w:r>
      <w:r>
        <w:rPr>
          <w:rFonts w:hint="eastAsia" w:ascii="宋体" w:hAnsi="宋体"/>
          <w:sz w:val="24"/>
          <w:szCs w:val="24"/>
          <w:highlight w:val="none"/>
        </w:rPr>
        <w:instrText xml:space="preserve">) budgettotle</w:instrText>
      </w:r>
      <w:r>
        <w:rPr>
          <w:rFonts w:ascii="宋体" w:hAnsi="宋体"/>
          <w:sz w:val="24"/>
          <w:szCs w:val="24"/>
          <w:highlight w:val="none"/>
        </w:rPr>
        <w:instrText xml:space="preserve"> </w:instrText>
      </w:r>
      <w:r>
        <w:rPr>
          <w:rFonts w:hint="eastAsia" w:ascii="宋体" w:hAnsi="宋体"/>
          <w:sz w:val="24"/>
          <w:szCs w:val="24"/>
          <w:highlight w:val="none"/>
        </w:rPr>
        <w:instrText xml:space="preserve">from </w:instrText>
      </w:r>
      <w:r>
        <w:rPr>
          <w:rFonts w:ascii="宋体" w:hAnsi="宋体"/>
          <w:sz w:val="24"/>
          <w:szCs w:val="24"/>
          <w:highlight w:val="none"/>
        </w:rPr>
        <w:instrText xml:space="preserve">gp_goods a,gp_package b,gp_packageScheme c WHERE a.packageId=b.packageId AND b.packageSchemeId=c.packageSchemeId AND</w:instrText>
      </w:r>
      <w:r>
        <w:rPr>
          <w:rFonts w:hint="eastAsia" w:ascii="宋体" w:hAnsi="宋体"/>
          <w:sz w:val="24"/>
          <w:szCs w:val="24"/>
          <w:highlight w:val="none"/>
        </w:rPr>
        <w:instrText xml:space="preserve"> </w:instrText>
      </w:r>
      <w:r>
        <w:rPr>
          <w:rFonts w:ascii="宋体" w:hAnsi="宋体"/>
          <w:sz w:val="24"/>
          <w:szCs w:val="24"/>
          <w:highlight w:val="none"/>
        </w:rPr>
        <w:instrText xml:space="preserve">c.schemeId</w:instrText>
      </w:r>
      <w:r>
        <w:rPr>
          <w:rFonts w:hint="eastAsia" w:ascii="宋体" w:hAnsi="宋体"/>
          <w:sz w:val="24"/>
          <w:szCs w:val="24"/>
          <w:highlight w:val="none"/>
        </w:rPr>
        <w:instrText xml:space="preserve"> ="+NFV("schemeid",-1)</w:instrText>
      </w:r>
      <w:r>
        <w:rPr>
          <w:rFonts w:ascii="宋体" w:hAnsi="宋体"/>
          <w:sz w:val="24"/>
          <w:szCs w:val="24"/>
          <w:highlight w:val="none"/>
        </w:rPr>
        <w:instrText xml:space="preserve">&lt;/def&gt;&lt;/MK&gt;</w:instrText>
      </w:r>
      <w:r>
        <w:rPr>
          <w:rFonts w:ascii="宋体" w:hAnsi="宋体"/>
          <w:sz w:val="24"/>
          <w:szCs w:val="24"/>
          <w:highlight w:val="none"/>
        </w:rPr>
        <w:fldChar w:fldCharType="end"/>
      </w:r>
      <w:r>
        <w:rPr>
          <w:rFonts w:ascii="宋体" w:hAnsi="宋体" w:cs="Lucida Sans Unicode"/>
          <w:sz w:val="24"/>
          <w:szCs w:val="24"/>
          <w:highlight w:val="none"/>
        </w:rPr>
        <w:fldChar w:fldCharType="begin"/>
      </w:r>
      <w:r>
        <w:rPr>
          <w:rFonts w:ascii="宋体" w:hAnsi="宋体" w:cs="Lucida Sans Unicode"/>
          <w:sz w:val="24"/>
          <w:szCs w:val="24"/>
          <w:highlight w:val="none"/>
        </w:rPr>
        <w:instrText xml:space="preserve">&lt;MK cmd="</w:instrText>
      </w:r>
      <w:r>
        <w:rPr>
          <w:rFonts w:hint="eastAsia" w:ascii="宋体" w:hAnsi="宋体" w:cs="Lucida Sans Unicode"/>
          <w:sz w:val="24"/>
          <w:szCs w:val="24"/>
          <w:highlight w:val="none"/>
        </w:rPr>
        <w:instrText xml:space="preserve">bus</w:instrText>
      </w:r>
      <w:r>
        <w:rPr>
          <w:rFonts w:ascii="宋体" w:hAnsi="宋体" w:cs="Lucida Sans Unicode"/>
          <w:sz w:val="24"/>
          <w:szCs w:val="24"/>
          <w:highlight w:val="none"/>
        </w:rPr>
        <w:instrText xml:space="preserve">"&gt;&lt;def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宋体" w:hAnsi="宋体" w:cs="Lucida Sans Unicode"/>
          <w:sz w:val="24"/>
          <w:szCs w:val="24"/>
          <w:highlight w:val="none"/>
        </w:rPr>
        <w:fldChar w:fldCharType="end"/>
      </w:r>
      <w:r>
        <w:rPr>
          <w:rFonts w:ascii="宋体" w:hAnsi="宋体" w:cs="Lucida Sans Unicode"/>
          <w:sz w:val="24"/>
          <w:szCs w:val="24"/>
          <w:highlight w:val="none"/>
        </w:rPr>
        <w:fldChar w:fldCharType="begin"/>
      </w:r>
      <w:r>
        <w:rPr>
          <w:rFonts w:ascii="宋体" w:hAnsi="宋体" w:cs="Lucida Sans Unicode"/>
          <w:sz w:val="24"/>
          <w:szCs w:val="24"/>
          <w:highlight w:val="none"/>
        </w:rPr>
        <w:instrText xml:space="preserve">&lt;MK cmd="</w:instrText>
      </w:r>
      <w:r>
        <w:rPr>
          <w:rFonts w:hint="eastAsia" w:ascii="宋体" w:hAnsi="宋体" w:cs="Lucida Sans Unicode"/>
          <w:sz w:val="24"/>
          <w:szCs w:val="24"/>
          <w:highlight w:val="none"/>
        </w:rPr>
        <w:instrText xml:space="preserve">bus</w:instrText>
      </w:r>
      <w:r>
        <w:rPr>
          <w:rFonts w:ascii="宋体" w:hAnsi="宋体" w:cs="Lucida Sans Unicode"/>
          <w:sz w:val="24"/>
          <w:szCs w:val="24"/>
          <w:highlight w:val="none"/>
        </w:rPr>
        <w:instrText xml:space="preserve">"&gt;&lt;def type="query" recs="filecode"&gt;" SELECT a.grantSymbol FROM gp_plan a WHERE a.planid IN (SELECT DISTINCT b.planId FROM gp_package b,gp_packageScheme c WHERE b.packageSchemeId=c.packageSchemeId AND c.schemeId="+NFV("schemeid")+")"&lt;/def&gt;&lt;/MK&gt;</w:instrText>
      </w:r>
      <w:r>
        <w:rPr>
          <w:rFonts w:ascii="宋体" w:hAnsi="宋体" w:cs="Lucida Sans Unicode"/>
          <w:sz w:val="24"/>
          <w:szCs w:val="24"/>
          <w:highlight w:val="none"/>
        </w:rPr>
        <w:fldChar w:fldCharType="end"/>
      </w:r>
      <w:r>
        <w:rPr>
          <w:rFonts w:ascii="宋体" w:hAnsi="宋体" w:cs="Lucida Sans Unicode"/>
          <w:sz w:val="24"/>
          <w:szCs w:val="24"/>
          <w:highlight w:val="none"/>
        </w:rPr>
        <w:fldChar w:fldCharType="begin"/>
      </w:r>
      <w:r>
        <w:rPr>
          <w:rFonts w:ascii="宋体" w:hAnsi="宋体" w:cs="Lucida Sans Unicode"/>
          <w:sz w:val="24"/>
          <w:szCs w:val="24"/>
          <w:highlight w:val="none"/>
        </w:rPr>
        <w:instrText xml:space="preserve">&lt;MK</w:instrText>
      </w:r>
      <w:r>
        <w:rPr>
          <w:rFonts w:hint="eastAsia" w:ascii="宋体" w:hAnsi="宋体" w:cs="Lucida Sans Unicode"/>
          <w:sz w:val="24"/>
          <w:szCs w:val="24"/>
          <w:highlight w:val="none"/>
        </w:rPr>
        <w:instrText xml:space="preserve"> cmd="bus"</w:instrText>
      </w:r>
      <w:r>
        <w:rPr>
          <w:rFonts w:ascii="宋体" w:hAnsi="宋体" w:cs="Lucida Sans Unicode"/>
          <w:sz w:val="24"/>
          <w:szCs w:val="24"/>
          <w:highlight w:val="none"/>
        </w:rPr>
        <w:instrText xml:space="preserve">&gt;</w:instrText>
      </w:r>
      <w:r>
        <w:rPr>
          <w:rFonts w:hint="eastAsia" w:ascii="宋体" w:hAnsi="宋体" w:cs="Lucida Sans Unicode"/>
          <w:sz w:val="24"/>
          <w:szCs w:val="24"/>
          <w:highlight w:val="none"/>
        </w:rPr>
        <w:instrText xml:space="preserve">&lt;def type="query" recs="mypro"&gt;"</w:instrText>
      </w:r>
      <w:r>
        <w:rPr>
          <w:rFonts w:ascii="宋体" w:hAnsi="宋体" w:cs="Lucida Sans Unicode"/>
          <w:sz w:val="24"/>
          <w:szCs w:val="24"/>
          <w:highlight w:val="none"/>
        </w:rPr>
        <w:instrText xml:space="preserve"> select </w:instrText>
      </w:r>
      <w:r>
        <w:rPr>
          <w:rFonts w:hint="eastAsia" w:ascii="宋体" w:hAnsi="宋体" w:cs="Lucida Sans Unicode"/>
          <w:sz w:val="24"/>
          <w:szCs w:val="24"/>
          <w:highlight w:val="none"/>
        </w:rPr>
        <w:instrText xml:space="preserve">a.agentOrgan,c.organname</w:instrText>
      </w:r>
      <w:r>
        <w:rPr>
          <w:rFonts w:ascii="宋体" w:hAnsi="宋体" w:cs="Lucida Sans Unicode"/>
          <w:sz w:val="24"/>
          <w:szCs w:val="24"/>
          <w:highlight w:val="none"/>
        </w:rPr>
        <w:instrText xml:space="preserve"> from gp_project a,gp_projectScheme b</w:instrText>
      </w:r>
      <w:r>
        <w:rPr>
          <w:rFonts w:hint="eastAsia" w:ascii="宋体" w:hAnsi="宋体" w:cs="Lucida Sans Unicode"/>
          <w:sz w:val="24"/>
          <w:szCs w:val="24"/>
          <w:highlight w:val="none"/>
        </w:rPr>
        <w:instrText xml:space="preserve">,bas_organ c</w:instrText>
      </w:r>
      <w:r>
        <w:rPr>
          <w:rFonts w:ascii="宋体" w:hAnsi="宋体" w:cs="Lucida Sans Unicode"/>
          <w:sz w:val="24"/>
          <w:szCs w:val="24"/>
          <w:highlight w:val="none"/>
        </w:rPr>
        <w:instrText xml:space="preserve"> where a.projectId=b.projectId</w:instrText>
      </w:r>
      <w:r>
        <w:rPr>
          <w:rFonts w:hint="eastAsia" w:ascii="宋体" w:hAnsi="宋体" w:cs="Lucida Sans Unicode"/>
          <w:sz w:val="24"/>
          <w:szCs w:val="24"/>
          <w:highlight w:val="none"/>
        </w:rPr>
        <w:instrText xml:space="preserve"> and a.agentorgan=c.organid</w:instrText>
      </w:r>
      <w:r>
        <w:rPr>
          <w:rFonts w:ascii="宋体" w:hAnsi="宋体" w:cs="Lucida Sans Unicode"/>
          <w:sz w:val="24"/>
          <w:szCs w:val="24"/>
          <w:highlight w:val="none"/>
        </w:rPr>
        <w:instrText xml:space="preserve"> and </w:instrText>
      </w:r>
      <w:r>
        <w:rPr>
          <w:rFonts w:hint="eastAsia" w:ascii="宋体" w:hAnsi="宋体" w:cs="Lucida Sans Unicode"/>
          <w:sz w:val="24"/>
          <w:szCs w:val="24"/>
          <w:highlight w:val="none"/>
        </w:rPr>
        <w:instrText xml:space="preserve">b</w:instrText>
      </w:r>
      <w:r>
        <w:rPr>
          <w:rFonts w:ascii="宋体" w:hAnsi="宋体" w:cs="Lucida Sans Unicode"/>
          <w:sz w:val="24"/>
          <w:szCs w:val="24"/>
          <w:highlight w:val="none"/>
        </w:rPr>
        <w:instrText xml:space="preserve">.schemeId="</w:instrText>
      </w:r>
      <w:r>
        <w:rPr>
          <w:rFonts w:hint="eastAsia" w:ascii="宋体" w:hAnsi="宋体" w:cs="Lucida Sans Unicode"/>
          <w:sz w:val="24"/>
          <w:szCs w:val="24"/>
          <w:highlight w:val="none"/>
        </w:rPr>
        <w:instrText xml:space="preserve">+NFV("</w:instrText>
      </w:r>
      <w:r>
        <w:rPr>
          <w:rFonts w:ascii="宋体" w:hAnsi="宋体" w:cs="Lucida Sans Unicode"/>
          <w:sz w:val="24"/>
          <w:szCs w:val="24"/>
          <w:highlight w:val="none"/>
        </w:rPr>
        <w:instrText xml:space="preserve">schemeid</w:instrText>
      </w:r>
      <w:r>
        <w:rPr>
          <w:rFonts w:hint="eastAsia" w:ascii="宋体" w:hAnsi="宋体" w:cs="Lucida Sans Unicode"/>
          <w:sz w:val="24"/>
          <w:szCs w:val="24"/>
          <w:highlight w:val="none"/>
        </w:rPr>
        <w:instrText xml:space="preserve">",-1)&lt;/def&gt;</w:instrText>
      </w:r>
      <w:r>
        <w:rPr>
          <w:rFonts w:ascii="宋体" w:hAnsi="宋体" w:cs="Lucida Sans Unicode"/>
          <w:sz w:val="24"/>
          <w:szCs w:val="24"/>
          <w:highlight w:val="none"/>
        </w:rPr>
        <w:instrText xml:space="preserve">&lt;/MK&gt;</w:instrText>
      </w:r>
      <w:r>
        <w:rPr>
          <w:rFonts w:ascii="宋体" w:hAnsi="宋体" w:cs="Lucida Sans Unicode"/>
          <w:sz w:val="24"/>
          <w:szCs w:val="24"/>
          <w:highlight w:val="none"/>
        </w:rPr>
        <w:fldChar w:fldCharType="separate"/>
      </w:r>
      <w:r>
        <w:rPr>
          <w:rFonts w:ascii="宋体" w:hAnsi="宋体" w:cs="Lucida Sans Unicode"/>
          <w:sz w:val="24"/>
          <w:szCs w:val="24"/>
          <w:highlight w:val="none"/>
        </w:rPr>
        <w:t>!异常的公式结尾</w:t>
      </w:r>
      <w:r>
        <w:rPr>
          <w:rFonts w:ascii="宋体" w:hAnsi="宋体" w:cs="Lucida Sans Unicode"/>
          <w:sz w:val="24"/>
          <w:szCs w:val="24"/>
          <w:highlight w:val="none"/>
        </w:rPr>
        <w:fldChar w:fldCharType="end"/>
      </w:r>
    </w:p>
    <w:p w14:paraId="6AD64DB1">
      <w:pPr>
        <w:pStyle w:val="37"/>
        <w:rPr>
          <w:rFonts w:hint="eastAsia" w:ascii="仿宋" w:hAnsi="仿宋" w:eastAsia="仿宋" w:cs="仿宋"/>
          <w:bCs/>
          <w:sz w:val="28"/>
          <w:szCs w:val="28"/>
          <w:highlight w:val="none"/>
        </w:rPr>
      </w:pPr>
    </w:p>
    <w:p w14:paraId="4B2FD644">
      <w:pPr>
        <w:pStyle w:val="37"/>
        <w:rPr>
          <w:rFonts w:ascii="仿宋" w:hAnsi="仿宋" w:eastAsia="仿宋" w:cs="仿宋"/>
          <w:bCs/>
          <w:sz w:val="28"/>
          <w:szCs w:val="28"/>
          <w:highlight w:val="none"/>
        </w:rPr>
      </w:pPr>
    </w:p>
    <w:p w14:paraId="1D30C024">
      <w:pPr>
        <w:jc w:val="center"/>
        <w:rPr>
          <w:rFonts w:ascii="仿宋" w:hAnsi="仿宋" w:eastAsia="仿宋" w:cs="仿宋"/>
          <w:bCs/>
          <w:sz w:val="30"/>
          <w:szCs w:val="30"/>
          <w:highlight w:val="none"/>
        </w:rPr>
      </w:pPr>
      <w:r>
        <w:rPr>
          <w:rFonts w:hint="eastAsia" w:ascii="仿宋" w:hAnsi="仿宋" w:eastAsia="仿宋" w:cs="仿宋"/>
          <w:bCs/>
          <w:sz w:val="30"/>
          <w:szCs w:val="30"/>
          <w:highlight w:val="none"/>
        </w:rPr>
        <w:t>投 标 文 件</w:t>
      </w:r>
    </w:p>
    <w:p w14:paraId="7A0C8241">
      <w:pPr>
        <w:jc w:val="center"/>
        <w:rPr>
          <w:rFonts w:ascii="仿宋" w:hAnsi="仿宋" w:eastAsia="仿宋" w:cs="仿宋"/>
          <w:sz w:val="30"/>
          <w:szCs w:val="30"/>
          <w:highlight w:val="none"/>
        </w:rPr>
      </w:pPr>
      <w:r>
        <w:rPr>
          <w:rFonts w:hint="eastAsia" w:ascii="仿宋" w:hAnsi="仿宋" w:eastAsia="仿宋" w:cs="仿宋"/>
          <w:sz w:val="30"/>
          <w:szCs w:val="30"/>
          <w:highlight w:val="none"/>
        </w:rPr>
        <w:t>（第一册）</w:t>
      </w:r>
    </w:p>
    <w:p w14:paraId="3B33F6D4">
      <w:pPr>
        <w:pStyle w:val="37"/>
        <w:rPr>
          <w:sz w:val="30"/>
          <w:szCs w:val="30"/>
          <w:highlight w:val="none"/>
        </w:rPr>
      </w:pPr>
    </w:p>
    <w:p w14:paraId="2537816C">
      <w:pPr>
        <w:ind w:firstLine="900" w:firstLineChars="300"/>
        <w:jc w:val="left"/>
        <w:rPr>
          <w:rFonts w:ascii="仿宋" w:hAnsi="仿宋" w:eastAsia="仿宋" w:cs="仿宋"/>
          <w:bCs/>
          <w:sz w:val="30"/>
          <w:szCs w:val="30"/>
          <w:highlight w:val="none"/>
        </w:rPr>
      </w:pPr>
    </w:p>
    <w:p w14:paraId="309BE115">
      <w:pPr>
        <w:ind w:firstLine="900" w:firstLineChars="300"/>
        <w:jc w:val="left"/>
        <w:rPr>
          <w:rFonts w:ascii="仿宋" w:hAnsi="仿宋" w:eastAsia="仿宋" w:cs="仿宋"/>
          <w:sz w:val="30"/>
          <w:szCs w:val="30"/>
          <w:highlight w:val="none"/>
        </w:rPr>
      </w:pPr>
      <w:r>
        <w:rPr>
          <w:rFonts w:hint="eastAsia" w:ascii="仿宋" w:hAnsi="仿宋" w:eastAsia="仿宋" w:cs="仿宋"/>
          <w:bCs/>
          <w:sz w:val="30"/>
          <w:szCs w:val="30"/>
          <w:highlight w:val="none"/>
        </w:rPr>
        <w:t>项目名称：</w:t>
      </w:r>
    </w:p>
    <w:p w14:paraId="07071EC8">
      <w:pPr>
        <w:ind w:firstLine="900" w:firstLineChars="300"/>
        <w:jc w:val="left"/>
        <w:rPr>
          <w:rFonts w:ascii="仿宋" w:hAnsi="仿宋" w:eastAsia="仿宋" w:cs="仿宋"/>
          <w:bCs/>
          <w:sz w:val="30"/>
          <w:szCs w:val="30"/>
          <w:highlight w:val="none"/>
        </w:rPr>
      </w:pPr>
    </w:p>
    <w:p w14:paraId="5E7B6D54">
      <w:pPr>
        <w:ind w:firstLine="900" w:firstLineChars="300"/>
        <w:jc w:val="left"/>
        <w:rPr>
          <w:rFonts w:hint="eastAsia" w:ascii="仿宋" w:hAnsi="仿宋" w:eastAsia="仿宋" w:cs="仿宋"/>
          <w:sz w:val="30"/>
          <w:szCs w:val="30"/>
          <w:highlight w:val="none"/>
        </w:rPr>
      </w:pPr>
      <w:r>
        <w:rPr>
          <w:rFonts w:hint="eastAsia" w:ascii="仿宋" w:hAnsi="仿宋" w:eastAsia="仿宋" w:cs="仿宋"/>
          <w:bCs/>
          <w:sz w:val="30"/>
          <w:szCs w:val="30"/>
          <w:highlight w:val="none"/>
          <w:lang w:val="en-US" w:eastAsia="zh-CN"/>
        </w:rPr>
        <w:t>招标</w:t>
      </w:r>
      <w:r>
        <w:rPr>
          <w:rFonts w:hint="eastAsia" w:ascii="仿宋" w:hAnsi="仿宋" w:eastAsia="仿宋" w:cs="仿宋"/>
          <w:bCs/>
          <w:sz w:val="30"/>
          <w:szCs w:val="30"/>
          <w:highlight w:val="none"/>
        </w:rPr>
        <w:t>编号：</w:t>
      </w:r>
    </w:p>
    <w:p w14:paraId="4DDAB24C">
      <w:pPr>
        <w:jc w:val="left"/>
        <w:rPr>
          <w:rFonts w:ascii="仿宋" w:hAnsi="仿宋" w:eastAsia="仿宋" w:cs="仿宋"/>
          <w:sz w:val="30"/>
          <w:szCs w:val="30"/>
          <w:highlight w:val="none"/>
        </w:rPr>
      </w:pPr>
    </w:p>
    <w:p w14:paraId="1556888A">
      <w:pPr>
        <w:pStyle w:val="23"/>
        <w:rPr>
          <w:rFonts w:ascii="仿宋" w:hAnsi="仿宋" w:eastAsia="仿宋" w:cs="仿宋"/>
          <w:kern w:val="0"/>
          <w:sz w:val="30"/>
          <w:szCs w:val="30"/>
          <w:highlight w:val="none"/>
        </w:rPr>
      </w:pPr>
    </w:p>
    <w:p w14:paraId="619470BA">
      <w:pPr>
        <w:pStyle w:val="37"/>
        <w:rPr>
          <w:rFonts w:ascii="仿宋" w:hAnsi="仿宋" w:eastAsia="仿宋" w:cs="仿宋"/>
          <w:sz w:val="30"/>
          <w:szCs w:val="30"/>
          <w:highlight w:val="none"/>
        </w:rPr>
      </w:pPr>
    </w:p>
    <w:p w14:paraId="1403938E">
      <w:pPr>
        <w:pStyle w:val="37"/>
        <w:rPr>
          <w:rFonts w:ascii="仿宋" w:hAnsi="仿宋" w:eastAsia="仿宋" w:cs="仿宋"/>
          <w:sz w:val="30"/>
          <w:szCs w:val="30"/>
          <w:highlight w:val="none"/>
        </w:rPr>
      </w:pPr>
    </w:p>
    <w:p w14:paraId="16A15D20">
      <w:pPr>
        <w:pStyle w:val="37"/>
        <w:rPr>
          <w:rFonts w:ascii="仿宋" w:hAnsi="仿宋" w:eastAsia="仿宋" w:cs="仿宋"/>
          <w:sz w:val="30"/>
          <w:szCs w:val="30"/>
          <w:highlight w:val="none"/>
        </w:rPr>
      </w:pPr>
      <w:r>
        <w:rPr>
          <w:rFonts w:hint="eastAsia" w:ascii="仿宋" w:hAnsi="仿宋" w:eastAsia="仿宋" w:cs="仿宋"/>
          <w:sz w:val="30"/>
          <w:szCs w:val="30"/>
          <w:highlight w:val="none"/>
        </w:rPr>
        <w:t xml:space="preserve">       </w:t>
      </w:r>
    </w:p>
    <w:p w14:paraId="319F2859">
      <w:pPr>
        <w:tabs>
          <w:tab w:val="left" w:pos="580"/>
        </w:tabs>
        <w:jc w:val="center"/>
        <w:rPr>
          <w:rFonts w:ascii="仿宋" w:hAnsi="仿宋" w:eastAsia="仿宋" w:cs="仿宋"/>
          <w:kern w:val="0"/>
          <w:sz w:val="30"/>
          <w:szCs w:val="30"/>
          <w:highlight w:val="none"/>
        </w:rPr>
      </w:pPr>
      <w:r>
        <w:rPr>
          <w:rFonts w:hint="eastAsia" w:ascii="仿宋" w:hAnsi="仿宋" w:eastAsia="仿宋" w:cs="仿宋"/>
          <w:kern w:val="0"/>
          <w:sz w:val="30"/>
          <w:szCs w:val="30"/>
          <w:highlight w:val="none"/>
        </w:rPr>
        <w:t>投标人名称： ***有限公司</w:t>
      </w:r>
    </w:p>
    <w:p w14:paraId="388E20D7">
      <w:pPr>
        <w:tabs>
          <w:tab w:val="left" w:pos="580"/>
        </w:tabs>
        <w:jc w:val="center"/>
        <w:rPr>
          <w:rFonts w:hint="eastAsia" w:ascii="仿宋" w:hAnsi="仿宋" w:eastAsia="仿宋" w:cs="仿宋"/>
          <w:kern w:val="0"/>
          <w:sz w:val="30"/>
          <w:szCs w:val="30"/>
          <w:highlight w:val="none"/>
        </w:rPr>
      </w:pPr>
      <w:r>
        <w:rPr>
          <w:rFonts w:hint="eastAsia" w:ascii="仿宋" w:hAnsi="仿宋" w:eastAsia="仿宋" w:cs="仿宋"/>
          <w:kern w:val="0"/>
          <w:sz w:val="30"/>
          <w:szCs w:val="30"/>
          <w:highlight w:val="none"/>
        </w:rPr>
        <w:t>日      期：   年  月  日</w:t>
      </w:r>
    </w:p>
    <w:p w14:paraId="5F8FC289">
      <w:pPr>
        <w:jc w:val="center"/>
        <w:rPr>
          <w:rFonts w:ascii="仿宋" w:hAnsi="仿宋" w:eastAsia="仿宋" w:cs="仿宋"/>
          <w:b/>
          <w:bCs/>
          <w:sz w:val="30"/>
          <w:szCs w:val="30"/>
          <w:highlight w:val="none"/>
        </w:rPr>
      </w:pPr>
      <w:r>
        <w:rPr>
          <w:rFonts w:hint="eastAsia" w:ascii="仿宋" w:hAnsi="仿宋" w:eastAsia="仿宋" w:cs="仿宋"/>
          <w:kern w:val="0"/>
          <w:sz w:val="30"/>
          <w:szCs w:val="30"/>
          <w:highlight w:val="none"/>
        </w:rPr>
        <w:br w:type="page"/>
      </w:r>
      <w:r>
        <w:rPr>
          <w:rFonts w:hint="eastAsia" w:ascii="仿宋" w:hAnsi="仿宋" w:eastAsia="仿宋" w:cs="仿宋"/>
          <w:b/>
          <w:bCs/>
          <w:sz w:val="30"/>
          <w:szCs w:val="30"/>
          <w:highlight w:val="none"/>
        </w:rPr>
        <w:t>目  录</w:t>
      </w:r>
    </w:p>
    <w:p w14:paraId="5A4EF8E3">
      <w:pPr>
        <w:jc w:val="center"/>
        <w:rPr>
          <w:rFonts w:ascii="仿宋" w:hAnsi="仿宋" w:eastAsia="仿宋" w:cs="仿宋"/>
          <w:sz w:val="24"/>
          <w:szCs w:val="24"/>
          <w:highlight w:val="none"/>
        </w:rPr>
      </w:pPr>
      <w:r>
        <w:rPr>
          <w:rFonts w:hint="eastAsia" w:ascii="仿宋" w:hAnsi="仿宋" w:eastAsia="仿宋" w:cs="仿宋"/>
          <w:sz w:val="24"/>
          <w:szCs w:val="24"/>
          <w:highlight w:val="none"/>
        </w:rPr>
        <w:t>（由投标人自行编制）</w:t>
      </w:r>
    </w:p>
    <w:p w14:paraId="12FA5D52">
      <w:pPr>
        <w:jc w:val="center"/>
        <w:rPr>
          <w:rFonts w:ascii="仿宋" w:hAnsi="仿宋" w:eastAsia="仿宋" w:cs="仿宋"/>
          <w:b/>
          <w:bCs/>
          <w:sz w:val="24"/>
          <w:szCs w:val="24"/>
          <w:highlight w:val="none"/>
        </w:rPr>
      </w:pPr>
    </w:p>
    <w:p w14:paraId="2130B9FF">
      <w:pPr>
        <w:jc w:val="center"/>
        <w:rPr>
          <w:rFonts w:ascii="仿宋" w:hAnsi="仿宋" w:eastAsia="仿宋" w:cs="仿宋"/>
          <w:sz w:val="36"/>
          <w:szCs w:val="36"/>
          <w:highlight w:val="none"/>
        </w:rPr>
      </w:pPr>
      <w:r>
        <w:rPr>
          <w:rFonts w:ascii="仿宋" w:hAnsi="仿宋" w:eastAsia="仿宋" w:cs="仿宋"/>
          <w:b/>
          <w:sz w:val="24"/>
          <w:szCs w:val="24"/>
          <w:highlight w:val="none"/>
        </w:rPr>
        <w:br w:type="page"/>
      </w:r>
      <w:r>
        <w:rPr>
          <w:rFonts w:hint="eastAsia" w:ascii="仿宋" w:hAnsi="仿宋" w:eastAsia="仿宋" w:cs="仿宋"/>
          <w:b/>
          <w:bCs/>
          <w:sz w:val="36"/>
          <w:szCs w:val="36"/>
          <w:highlight w:val="none"/>
        </w:rPr>
        <w:t>投标承诺函</w:t>
      </w:r>
    </w:p>
    <w:p w14:paraId="7A626A02">
      <w:pPr>
        <w:snapToGrid w:val="0"/>
        <w:spacing w:line="360" w:lineRule="auto"/>
        <w:rPr>
          <w:rFonts w:ascii="仿宋" w:hAnsi="仿宋" w:eastAsia="仿宋" w:cs="仿宋"/>
          <w:kern w:val="0"/>
          <w:sz w:val="24"/>
          <w:szCs w:val="24"/>
          <w:highlight w:val="none"/>
        </w:rPr>
      </w:pPr>
      <w:r>
        <w:rPr>
          <w:rFonts w:hint="eastAsia" w:ascii="仿宋" w:hAnsi="仿宋" w:eastAsia="仿宋" w:cs="仿宋"/>
          <w:sz w:val="24"/>
          <w:szCs w:val="24"/>
          <w:highlight w:val="none"/>
        </w:rPr>
        <w:t>山东富尔工程咨询管理有限公司</w:t>
      </w:r>
      <w:r>
        <w:rPr>
          <w:rFonts w:hint="eastAsia" w:ascii="仿宋" w:hAnsi="仿宋" w:eastAsia="仿宋" w:cs="仿宋"/>
          <w:kern w:val="0"/>
          <w:sz w:val="24"/>
          <w:szCs w:val="24"/>
          <w:highlight w:val="none"/>
        </w:rPr>
        <w:t>：</w:t>
      </w:r>
    </w:p>
    <w:p w14:paraId="7E234F0B">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我方根据编号为</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的招标文件的要求，经详细研究决定参加投标。</w:t>
      </w:r>
    </w:p>
    <w:p w14:paraId="02073629">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1.我方接受本招标文件中关于电子招投标的各项规定，遵守《中华人民共和国电子签名法》关于电子签名的各项规定。我方愿意按照招标文件的规定和要求提供货物及服务，报价详见《开标（报价）一览表》。</w:t>
      </w:r>
    </w:p>
    <w:p w14:paraId="20E4EDFF">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2.我方同意90天的投标有效期，严格遵守投标文件的各项承诺。在此期限届满之前，本投标文件始终对我方具有约束力，并随时接受中标。我方承诺在投标有效期内不修改、撤销投标文件。</w:t>
      </w:r>
    </w:p>
    <w:p w14:paraId="0204E2FC">
      <w:pPr>
        <w:snapToGrid w:val="0"/>
        <w:spacing w:line="360" w:lineRule="auto"/>
        <w:ind w:firstLine="480" w:firstLineChars="200"/>
        <w:rPr>
          <w:rFonts w:ascii="仿宋" w:hAnsi="仿宋" w:eastAsia="仿宋" w:cs="仿宋"/>
          <w:b/>
          <w:strike/>
          <w:kern w:val="0"/>
          <w:sz w:val="24"/>
          <w:szCs w:val="24"/>
          <w:highlight w:val="none"/>
        </w:rPr>
      </w:pPr>
      <w:r>
        <w:rPr>
          <w:rFonts w:hint="eastAsia" w:ascii="仿宋" w:hAnsi="仿宋" w:eastAsia="仿宋" w:cs="仿宋"/>
          <w:kern w:val="0"/>
          <w:sz w:val="24"/>
          <w:szCs w:val="24"/>
          <w:highlight w:val="none"/>
        </w:rPr>
        <w:t>3. 我方愿意遵守本招标文件的规定和要求并提供招标文件中要求的所有资料，若投标文件中存在虚假资料的，则视为我方隐瞒真实情况、提供虚假资料，我方愿意接受主管部门做出的行政处罚。</w:t>
      </w:r>
    </w:p>
    <w:p w14:paraId="41B641B9">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4.我方同意价格是中标的主要选择标准，但不是唯一的选择标准。</w:t>
      </w:r>
    </w:p>
    <w:p w14:paraId="1DD1D629">
      <w:pPr>
        <w:snapToGrid w:val="0"/>
        <w:spacing w:line="360" w:lineRule="auto"/>
        <w:ind w:firstLine="360" w:firstLineChars="150"/>
        <w:rPr>
          <w:rFonts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5.如果我方中标：</w:t>
      </w:r>
    </w:p>
    <w:p w14:paraId="2235E74A">
      <w:pPr>
        <w:snapToGrid w:val="0"/>
        <w:spacing w:line="360" w:lineRule="auto"/>
        <w:ind w:firstLine="360" w:firstLineChars="150"/>
        <w:rPr>
          <w:rFonts w:ascii="仿宋" w:hAnsi="仿宋" w:eastAsia="仿宋" w:cs="仿宋"/>
          <w:kern w:val="0"/>
          <w:sz w:val="24"/>
          <w:szCs w:val="24"/>
          <w:highlight w:val="none"/>
        </w:rPr>
      </w:pPr>
      <w:r>
        <w:rPr>
          <w:rFonts w:hint="eastAsia" w:ascii="仿宋" w:hAnsi="仿宋" w:eastAsia="仿宋" w:cs="仿宋"/>
          <w:kern w:val="0"/>
          <w:sz w:val="24"/>
          <w:szCs w:val="24"/>
          <w:highlight w:val="none"/>
        </w:rPr>
        <w:t>（1）我方承诺在中标通知书发出后，在规定期限内与</w:t>
      </w:r>
      <w:r>
        <w:rPr>
          <w:rFonts w:hint="eastAsia" w:ascii="仿宋" w:hAnsi="仿宋" w:eastAsia="仿宋" w:cs="仿宋"/>
          <w:kern w:val="0"/>
          <w:sz w:val="24"/>
          <w:szCs w:val="24"/>
          <w:highlight w:val="none"/>
          <w:lang w:eastAsia="zh-CN"/>
        </w:rPr>
        <w:t>招标人</w:t>
      </w:r>
      <w:r>
        <w:rPr>
          <w:rFonts w:hint="eastAsia" w:ascii="仿宋" w:hAnsi="仿宋" w:eastAsia="仿宋" w:cs="仿宋"/>
          <w:kern w:val="0"/>
          <w:sz w:val="24"/>
          <w:szCs w:val="24"/>
          <w:highlight w:val="none"/>
        </w:rPr>
        <w:t>签订合同；</w:t>
      </w:r>
    </w:p>
    <w:p w14:paraId="0537B6F2">
      <w:pPr>
        <w:snapToGrid w:val="0"/>
        <w:spacing w:line="360" w:lineRule="auto"/>
        <w:ind w:firstLine="360" w:firstLineChars="150"/>
        <w:rPr>
          <w:rFonts w:ascii="仿宋" w:hAnsi="仿宋" w:eastAsia="仿宋" w:cs="仿宋"/>
          <w:kern w:val="0"/>
          <w:sz w:val="24"/>
          <w:szCs w:val="24"/>
          <w:highlight w:val="none"/>
        </w:rPr>
      </w:pPr>
      <w:r>
        <w:rPr>
          <w:rFonts w:hint="eastAsia" w:ascii="仿宋" w:hAnsi="仿宋" w:eastAsia="仿宋" w:cs="仿宋"/>
          <w:kern w:val="0"/>
          <w:sz w:val="24"/>
          <w:szCs w:val="24"/>
          <w:highlight w:val="none"/>
        </w:rPr>
        <w:t>（2）我方承诺在合同约定的期限内，按期、保质、保量完成</w:t>
      </w:r>
      <w:r>
        <w:rPr>
          <w:rFonts w:hint="eastAsia" w:ascii="仿宋" w:hAnsi="仿宋" w:eastAsia="仿宋" w:cs="仿宋"/>
          <w:kern w:val="0"/>
          <w:sz w:val="24"/>
          <w:szCs w:val="24"/>
          <w:highlight w:val="none"/>
          <w:lang w:val="en-US" w:eastAsia="zh-CN"/>
        </w:rPr>
        <w:t>施工</w:t>
      </w:r>
      <w:r>
        <w:rPr>
          <w:rFonts w:hint="eastAsia" w:ascii="仿宋" w:hAnsi="仿宋" w:eastAsia="仿宋" w:cs="仿宋"/>
          <w:kern w:val="0"/>
          <w:sz w:val="24"/>
          <w:szCs w:val="24"/>
          <w:highlight w:val="none"/>
        </w:rPr>
        <w:t>任务；</w:t>
      </w:r>
    </w:p>
    <w:p w14:paraId="34EB14E5">
      <w:pPr>
        <w:snapToGrid w:val="0"/>
        <w:spacing w:line="360" w:lineRule="auto"/>
        <w:ind w:firstLine="360" w:firstLineChars="150"/>
        <w:rPr>
          <w:rFonts w:eastAsia="仿宋"/>
          <w:highlight w:val="none"/>
        </w:rPr>
      </w:pPr>
      <w:r>
        <w:rPr>
          <w:rFonts w:hint="eastAsia" w:ascii="仿宋" w:hAnsi="仿宋" w:eastAsia="仿宋" w:cs="仿宋"/>
          <w:kern w:val="0"/>
          <w:sz w:val="24"/>
          <w:szCs w:val="24"/>
          <w:highlight w:val="none"/>
        </w:rPr>
        <w:t>（3）我方承诺响应招标文件中的付款方式；</w:t>
      </w:r>
    </w:p>
    <w:p w14:paraId="2C297D55">
      <w:pPr>
        <w:snapToGrid w:val="0"/>
        <w:spacing w:line="360" w:lineRule="auto"/>
        <w:ind w:firstLine="360" w:firstLineChars="150"/>
        <w:rPr>
          <w:rFonts w:ascii="仿宋" w:hAnsi="仿宋" w:eastAsia="仿宋" w:cs="仿宋"/>
          <w:kern w:val="0"/>
          <w:sz w:val="24"/>
          <w:szCs w:val="24"/>
          <w:highlight w:val="none"/>
        </w:rPr>
      </w:pPr>
      <w:r>
        <w:rPr>
          <w:rFonts w:hint="eastAsia" w:ascii="仿宋" w:hAnsi="仿宋" w:eastAsia="仿宋" w:cs="仿宋"/>
          <w:kern w:val="0"/>
          <w:sz w:val="24"/>
          <w:szCs w:val="24"/>
          <w:highlight w:val="none"/>
        </w:rPr>
        <w:t>（4）我方承诺将按照招标文件的规定全额交纳代理服务费。</w:t>
      </w:r>
    </w:p>
    <w:p w14:paraId="02E9C82C">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6.</w:t>
      </w:r>
      <w:r>
        <w:rPr>
          <w:rFonts w:hint="eastAsia" w:ascii="仿宋" w:hAnsi="仿宋" w:eastAsia="仿宋" w:cs="仿宋"/>
          <w:sz w:val="24"/>
          <w:szCs w:val="24"/>
          <w:highlight w:val="none"/>
        </w:rPr>
        <w:t xml:space="preserve"> </w:t>
      </w:r>
      <w:r>
        <w:rPr>
          <w:rFonts w:hint="eastAsia" w:ascii="仿宋" w:hAnsi="仿宋" w:eastAsia="仿宋" w:cs="仿宋"/>
          <w:kern w:val="0"/>
          <w:sz w:val="24"/>
          <w:szCs w:val="24"/>
          <w:highlight w:val="none"/>
        </w:rPr>
        <w:t>我方在此声明，所递交的投标文件及有关资料内容完整、真实和准确，如有弄虚作假，一旦中标将取消中标资格。</w:t>
      </w:r>
    </w:p>
    <w:p w14:paraId="346B055B">
      <w:pPr>
        <w:snapToGrid w:val="0"/>
        <w:spacing w:line="360" w:lineRule="auto"/>
        <w:ind w:firstLine="480" w:firstLineChars="200"/>
        <w:outlineLvl w:val="1"/>
        <w:rPr>
          <w:rFonts w:ascii="仿宋" w:hAnsi="仿宋" w:eastAsia="仿宋" w:cs="仿宋"/>
          <w:kern w:val="0"/>
          <w:sz w:val="24"/>
          <w:szCs w:val="24"/>
          <w:highlight w:val="none"/>
        </w:rPr>
      </w:pPr>
      <w:bookmarkStart w:id="35" w:name="_Toc3042"/>
      <w:r>
        <w:rPr>
          <w:rFonts w:hint="eastAsia" w:ascii="仿宋" w:hAnsi="仿宋" w:eastAsia="仿宋" w:cs="仿宋"/>
          <w:kern w:val="0"/>
          <w:sz w:val="24"/>
          <w:szCs w:val="24"/>
          <w:highlight w:val="none"/>
        </w:rPr>
        <w:t>7.所有有关本</w:t>
      </w:r>
      <w:r>
        <w:rPr>
          <w:rFonts w:hint="eastAsia" w:ascii="仿宋" w:hAnsi="仿宋" w:eastAsia="仿宋" w:cs="仿宋"/>
          <w:kern w:val="0"/>
          <w:sz w:val="24"/>
          <w:szCs w:val="24"/>
          <w:highlight w:val="none"/>
          <w:lang w:val="en-US" w:eastAsia="zh-CN"/>
        </w:rPr>
        <w:t>投标</w:t>
      </w:r>
      <w:r>
        <w:rPr>
          <w:rFonts w:hint="eastAsia" w:ascii="仿宋" w:hAnsi="仿宋" w:eastAsia="仿宋" w:cs="仿宋"/>
          <w:kern w:val="0"/>
          <w:sz w:val="24"/>
          <w:szCs w:val="24"/>
          <w:highlight w:val="none"/>
        </w:rPr>
        <w:t>的函电，请按下列地址联系：</w:t>
      </w:r>
      <w:bookmarkEnd w:id="35"/>
    </w:p>
    <w:p w14:paraId="3EBF325F">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单    位：                     邮政编码：</w:t>
      </w:r>
    </w:p>
    <w:p w14:paraId="0D15C707">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地    址：                     联 系 人：</w:t>
      </w:r>
    </w:p>
    <w:p w14:paraId="6CEF9FAF">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电    话：                     传    真：</w:t>
      </w:r>
    </w:p>
    <w:p w14:paraId="25B22D69">
      <w:pPr>
        <w:snapToGrid w:val="0"/>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开户名称：                     开户银行：</w:t>
      </w:r>
    </w:p>
    <w:p w14:paraId="2DDC0804">
      <w:pPr>
        <w:snapToGrid w:val="0"/>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开户账号：</w:t>
      </w:r>
    </w:p>
    <w:p w14:paraId="30A75228">
      <w:pPr>
        <w:snapToGrid w:val="0"/>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投标人（盖章）：</w:t>
      </w:r>
    </w:p>
    <w:p w14:paraId="73EB0182">
      <w:pPr>
        <w:snapToGrid w:val="0"/>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法定代表人或被授权人（签字或盖章）：</w:t>
      </w:r>
    </w:p>
    <w:p w14:paraId="2A047A18">
      <w:pPr>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开标日期：××年××月××日</w:t>
      </w:r>
    </w:p>
    <w:p w14:paraId="11C8AAA0">
      <w:pPr>
        <w:jc w:val="center"/>
        <w:rPr>
          <w:rFonts w:ascii="仿宋" w:hAnsi="仿宋" w:eastAsia="仿宋" w:cs="仿宋"/>
          <w:sz w:val="36"/>
          <w:szCs w:val="36"/>
          <w:highlight w:val="none"/>
          <w:u w:val="single"/>
        </w:rPr>
      </w:pPr>
      <w:r>
        <w:rPr>
          <w:rFonts w:hint="eastAsia" w:ascii="仿宋" w:hAnsi="仿宋" w:eastAsia="仿宋" w:cs="仿宋"/>
          <w:sz w:val="24"/>
          <w:szCs w:val="24"/>
          <w:highlight w:val="none"/>
        </w:rPr>
        <w:br w:type="page"/>
      </w:r>
      <w:r>
        <w:rPr>
          <w:rFonts w:hint="eastAsia" w:ascii="仿宋" w:hAnsi="仿宋" w:eastAsia="仿宋" w:cs="仿宋"/>
          <w:b/>
          <w:bCs/>
          <w:sz w:val="36"/>
          <w:szCs w:val="36"/>
          <w:highlight w:val="none"/>
        </w:rPr>
        <w:t>开标一览表</w:t>
      </w:r>
    </w:p>
    <w:p w14:paraId="0D40FBAF">
      <w:pPr>
        <w:pStyle w:val="23"/>
        <w:wordWrap w:val="0"/>
        <w:spacing w:line="520" w:lineRule="exact"/>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招标</w:t>
      </w:r>
      <w:r>
        <w:rPr>
          <w:rFonts w:hint="eastAsia" w:ascii="仿宋" w:hAnsi="仿宋" w:eastAsia="仿宋"/>
          <w:sz w:val="24"/>
          <w:szCs w:val="24"/>
          <w:highlight w:val="none"/>
        </w:rPr>
        <w:t>编号：</w:t>
      </w:r>
      <w:r>
        <w:rPr>
          <w:rFonts w:hint="eastAsia" w:ascii="仿宋" w:hAnsi="仿宋" w:eastAsia="仿宋"/>
          <w:sz w:val="24"/>
          <w:szCs w:val="24"/>
          <w:highlight w:val="none"/>
          <w:lang w:eastAsia="zh-CN"/>
        </w:rPr>
        <w:t>LGCT2026-12</w:t>
      </w:r>
    </w:p>
    <w:p w14:paraId="6A4B5BF4">
      <w:pPr>
        <w:pStyle w:val="23"/>
        <w:wordWrap w:val="0"/>
        <w:spacing w:line="520" w:lineRule="exact"/>
        <w:ind w:left="1200" w:hanging="1200" w:hangingChars="500"/>
        <w:rPr>
          <w:rFonts w:hint="eastAsia" w:ascii="仿宋" w:hAnsi="仿宋" w:eastAsia="仿宋"/>
          <w:sz w:val="24"/>
          <w:szCs w:val="24"/>
          <w:highlight w:val="none"/>
          <w:lang w:eastAsia="zh-CN"/>
        </w:rPr>
      </w:pPr>
      <w:r>
        <w:rPr>
          <w:rFonts w:hint="eastAsia" w:ascii="仿宋" w:hAnsi="仿宋" w:eastAsia="仿宋"/>
          <w:sz w:val="24"/>
          <w:szCs w:val="24"/>
          <w:highlight w:val="none"/>
        </w:rPr>
        <w:t>项目名称：</w:t>
      </w:r>
      <w:r>
        <w:rPr>
          <w:rFonts w:hint="eastAsia" w:ascii="仿宋" w:hAnsi="仿宋" w:eastAsia="仿宋"/>
          <w:sz w:val="24"/>
          <w:szCs w:val="24"/>
          <w:highlight w:val="none"/>
          <w:lang w:val="en-US" w:eastAsia="zh-CN"/>
        </w:rPr>
        <w:t>临港区学校隔离设施（护学通道）改造工程</w:t>
      </w:r>
    </w:p>
    <w:tbl>
      <w:tblPr>
        <w:tblStyle w:val="43"/>
        <w:tblpPr w:leftFromText="180" w:rightFromText="180" w:vertAnchor="text" w:horzAnchor="page" w:tblpX="1199" w:tblpY="317"/>
        <w:tblOverlap w:val="never"/>
        <w:tblW w:w="9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7519"/>
      </w:tblGrid>
      <w:tr w14:paraId="7840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1" w:hRule="atLeast"/>
        </w:trPr>
        <w:tc>
          <w:tcPr>
            <w:tcW w:w="2240" w:type="dxa"/>
            <w:noWrap w:val="0"/>
            <w:vAlign w:val="center"/>
          </w:tcPr>
          <w:p w14:paraId="051CB83F">
            <w:pPr>
              <w:pStyle w:val="37"/>
              <w:spacing w:line="240" w:lineRule="auto"/>
              <w:jc w:val="center"/>
              <w:rPr>
                <w:rFonts w:hint="eastAsia" w:ascii="仿宋" w:hAnsi="仿宋" w:eastAsia="仿宋" w:cs="仿宋"/>
                <w:color w:val="auto"/>
                <w:sz w:val="24"/>
                <w:szCs w:val="24"/>
                <w:highlight w:val="none"/>
                <w:shd w:val="clear" w:color="auto" w:fill="FFFFFF"/>
                <w:lang w:eastAsia="zh-CN"/>
              </w:rPr>
            </w:pPr>
            <w:r>
              <w:rPr>
                <w:rFonts w:hint="eastAsia" w:ascii="仿宋" w:hAnsi="仿宋" w:eastAsia="仿宋" w:cs="仿宋"/>
                <w:b/>
                <w:color w:val="auto"/>
                <w:sz w:val="24"/>
                <w:szCs w:val="24"/>
                <w:highlight w:val="none"/>
                <w:shd w:val="clear" w:color="auto" w:fill="FFFFFF"/>
                <w:lang w:val="en-US" w:eastAsia="zh-CN"/>
              </w:rPr>
              <w:t>投标报价</w:t>
            </w:r>
            <w:r>
              <w:rPr>
                <w:rFonts w:hint="eastAsia" w:ascii="仿宋" w:hAnsi="仿宋" w:eastAsia="仿宋" w:cs="仿宋"/>
                <w:b/>
                <w:color w:val="auto"/>
                <w:sz w:val="24"/>
                <w:szCs w:val="24"/>
                <w:highlight w:val="none"/>
                <w:shd w:val="clear" w:color="auto" w:fill="FFFFFF"/>
                <w:lang w:eastAsia="zh-CN"/>
              </w:rPr>
              <w:t>（</w:t>
            </w:r>
            <w:r>
              <w:rPr>
                <w:rFonts w:hint="eastAsia" w:ascii="仿宋" w:hAnsi="仿宋" w:eastAsia="仿宋" w:cs="仿宋"/>
                <w:b/>
                <w:color w:val="auto"/>
                <w:sz w:val="24"/>
                <w:szCs w:val="24"/>
                <w:highlight w:val="none"/>
                <w:shd w:val="clear" w:color="auto" w:fill="FFFFFF"/>
                <w:lang w:val="en-US" w:eastAsia="zh-CN"/>
              </w:rPr>
              <w:t>含税</w:t>
            </w:r>
            <w:r>
              <w:rPr>
                <w:rFonts w:hint="eastAsia" w:ascii="仿宋" w:hAnsi="仿宋" w:eastAsia="仿宋" w:cs="仿宋"/>
                <w:b/>
                <w:color w:val="auto"/>
                <w:sz w:val="24"/>
                <w:szCs w:val="24"/>
                <w:highlight w:val="none"/>
                <w:shd w:val="clear" w:color="auto" w:fill="FFFFFF"/>
                <w:lang w:eastAsia="zh-CN"/>
              </w:rPr>
              <w:t>）</w:t>
            </w:r>
          </w:p>
        </w:tc>
        <w:tc>
          <w:tcPr>
            <w:tcW w:w="7519" w:type="dxa"/>
            <w:noWrap w:val="0"/>
            <w:vAlign w:val="center"/>
          </w:tcPr>
          <w:p w14:paraId="62B52D0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4"/>
                <w:szCs w:val="24"/>
                <w:highlight w:val="none"/>
                <w:u w:val="none"/>
                <w:shd w:val="clear" w:color="auto" w:fill="FFFFFF"/>
                <w:lang w:val="en-US" w:eastAsia="zh-CN"/>
              </w:rPr>
            </w:pPr>
            <w:r>
              <w:rPr>
                <w:rFonts w:hint="eastAsia" w:ascii="仿宋" w:hAnsi="仿宋" w:eastAsia="仿宋" w:cs="仿宋"/>
                <w:color w:val="auto"/>
                <w:sz w:val="24"/>
                <w:szCs w:val="24"/>
                <w:highlight w:val="none"/>
                <w:u w:val="none"/>
                <w:shd w:val="clear" w:color="auto" w:fill="FFFFFF"/>
                <w:lang w:val="en-US" w:eastAsia="zh-CN"/>
              </w:rPr>
              <w:t>大写：</w:t>
            </w:r>
            <w:r>
              <w:rPr>
                <w:rFonts w:hint="eastAsia" w:ascii="仿宋" w:hAnsi="仿宋" w:eastAsia="仿宋" w:cs="仿宋"/>
                <w:color w:val="auto"/>
                <w:sz w:val="24"/>
                <w:szCs w:val="24"/>
                <w:highlight w:val="none"/>
                <w:u w:val="single"/>
                <w:shd w:val="clear" w:color="auto" w:fill="FFFFFF"/>
                <w:lang w:val="en-US" w:eastAsia="zh-CN"/>
              </w:rPr>
              <w:t xml:space="preserve">              </w:t>
            </w:r>
            <w:r>
              <w:rPr>
                <w:rFonts w:hint="eastAsia" w:ascii="仿宋" w:hAnsi="仿宋" w:eastAsia="仿宋" w:cs="仿宋"/>
                <w:color w:val="auto"/>
                <w:sz w:val="24"/>
                <w:szCs w:val="24"/>
                <w:highlight w:val="none"/>
                <w:u w:val="none"/>
                <w:shd w:val="clear" w:color="auto" w:fill="FFFFFF"/>
                <w:lang w:val="en-US" w:eastAsia="zh-CN"/>
              </w:rPr>
              <w:t>元</w:t>
            </w:r>
          </w:p>
          <w:p w14:paraId="201ED7B8">
            <w:pPr>
              <w:pStyle w:val="86"/>
              <w:jc w:val="left"/>
              <w:rPr>
                <w:rFonts w:hint="eastAsia" w:ascii="仿宋" w:hAnsi="仿宋" w:eastAsia="仿宋" w:cs="仿宋"/>
                <w:sz w:val="24"/>
                <w:szCs w:val="24"/>
                <w:highlight w:val="none"/>
                <w:lang w:val="en-US" w:eastAsia="zh-CN"/>
              </w:rPr>
            </w:pPr>
          </w:p>
          <w:p w14:paraId="20CCB438">
            <w:pPr>
              <w:spacing w:line="240" w:lineRule="auto"/>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shd w:val="clear" w:color="auto" w:fill="FFFFFF"/>
                <w:lang w:val="en-US" w:eastAsia="zh-CN"/>
              </w:rPr>
              <w:t>小写：</w:t>
            </w:r>
            <w:r>
              <w:rPr>
                <w:rFonts w:hint="eastAsia" w:ascii="仿宋" w:hAnsi="仿宋" w:eastAsia="仿宋" w:cs="仿宋"/>
                <w:color w:val="auto"/>
                <w:sz w:val="24"/>
                <w:szCs w:val="24"/>
                <w:highlight w:val="none"/>
                <w:u w:val="single"/>
                <w:shd w:val="clear" w:color="auto" w:fill="FFFFFF"/>
                <w:lang w:val="en-US" w:eastAsia="zh-CN"/>
              </w:rPr>
              <w:t xml:space="preserve">              </w:t>
            </w:r>
            <w:r>
              <w:rPr>
                <w:rFonts w:hint="eastAsia" w:ascii="仿宋" w:hAnsi="仿宋" w:eastAsia="仿宋" w:cs="仿宋"/>
                <w:color w:val="auto"/>
                <w:sz w:val="24"/>
                <w:szCs w:val="24"/>
                <w:highlight w:val="none"/>
                <w:u w:val="none"/>
                <w:shd w:val="clear" w:color="auto" w:fill="FFFFFF"/>
                <w:lang w:val="en-US" w:eastAsia="zh-CN"/>
              </w:rPr>
              <w:t>元</w:t>
            </w:r>
          </w:p>
        </w:tc>
      </w:tr>
      <w:tr w14:paraId="18BC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9" w:hRule="atLeast"/>
        </w:trPr>
        <w:tc>
          <w:tcPr>
            <w:tcW w:w="2240" w:type="dxa"/>
            <w:noWrap w:val="0"/>
            <w:vAlign w:val="center"/>
          </w:tcPr>
          <w:p w14:paraId="24B378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kern w:val="2"/>
                <w:sz w:val="24"/>
                <w:szCs w:val="24"/>
                <w:highlight w:val="none"/>
                <w:shd w:val="clear" w:color="auto" w:fill="FFFFFF"/>
                <w:lang w:val="en-US" w:eastAsia="zh-CN" w:bidi="ar-SA"/>
              </w:rPr>
            </w:pPr>
            <w:r>
              <w:rPr>
                <w:rFonts w:hint="eastAsia" w:ascii="仿宋" w:hAnsi="仿宋" w:eastAsia="仿宋" w:cs="仿宋"/>
                <w:b/>
                <w:color w:val="auto"/>
                <w:sz w:val="24"/>
                <w:szCs w:val="24"/>
                <w:highlight w:val="none"/>
                <w:shd w:val="clear" w:color="auto" w:fill="FFFFFF"/>
                <w:lang w:val="en-US" w:eastAsia="zh-CN"/>
              </w:rPr>
              <w:t>工</w:t>
            </w:r>
            <w:r>
              <w:rPr>
                <w:rFonts w:hint="eastAsia" w:ascii="仿宋" w:hAnsi="仿宋" w:eastAsia="仿宋" w:cs="仿宋"/>
                <w:b/>
                <w:color w:val="auto"/>
                <w:sz w:val="24"/>
                <w:szCs w:val="24"/>
                <w:highlight w:val="none"/>
                <w:shd w:val="clear" w:color="auto" w:fill="FFFFFF"/>
                <w:lang w:eastAsia="zh-CN"/>
              </w:rPr>
              <w:t>期</w:t>
            </w:r>
          </w:p>
        </w:tc>
        <w:tc>
          <w:tcPr>
            <w:tcW w:w="7519" w:type="dxa"/>
            <w:noWrap w:val="0"/>
            <w:vAlign w:val="center"/>
          </w:tcPr>
          <w:p w14:paraId="59F569F5">
            <w:pPr>
              <w:spacing w:line="240" w:lineRule="auto"/>
              <w:jc w:val="left"/>
              <w:rPr>
                <w:rFonts w:hint="eastAsia" w:ascii="仿宋" w:hAnsi="仿宋" w:eastAsia="仿宋" w:cs="仿宋"/>
                <w:color w:val="auto"/>
                <w:sz w:val="24"/>
                <w:szCs w:val="24"/>
                <w:highlight w:val="none"/>
                <w:u w:val="single"/>
                <w:lang w:val="en-US" w:eastAsia="zh-CN"/>
              </w:rPr>
            </w:pPr>
          </w:p>
        </w:tc>
      </w:tr>
      <w:tr w14:paraId="4F607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9" w:hRule="atLeast"/>
        </w:trPr>
        <w:tc>
          <w:tcPr>
            <w:tcW w:w="2240" w:type="dxa"/>
            <w:noWrap w:val="0"/>
            <w:vAlign w:val="center"/>
          </w:tcPr>
          <w:p w14:paraId="4D2363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kern w:val="2"/>
                <w:sz w:val="24"/>
                <w:szCs w:val="24"/>
                <w:highlight w:val="none"/>
                <w:shd w:val="clear" w:color="auto" w:fill="FFFFFF"/>
                <w:lang w:val="en-US" w:eastAsia="zh-CN" w:bidi="ar-SA"/>
              </w:rPr>
            </w:pPr>
            <w:r>
              <w:rPr>
                <w:rFonts w:hint="eastAsia" w:ascii="仿宋" w:hAnsi="仿宋" w:eastAsia="仿宋" w:cs="仿宋"/>
                <w:b/>
                <w:color w:val="auto"/>
                <w:sz w:val="24"/>
                <w:szCs w:val="24"/>
                <w:highlight w:val="none"/>
                <w:shd w:val="clear" w:color="auto" w:fill="FFFFFF"/>
                <w:lang w:val="en-US" w:eastAsia="zh-CN"/>
              </w:rPr>
              <w:t>质量标准</w:t>
            </w:r>
          </w:p>
        </w:tc>
        <w:tc>
          <w:tcPr>
            <w:tcW w:w="7519" w:type="dxa"/>
            <w:noWrap w:val="0"/>
            <w:vAlign w:val="center"/>
          </w:tcPr>
          <w:p w14:paraId="75763844">
            <w:pPr>
              <w:spacing w:line="240" w:lineRule="auto"/>
              <w:jc w:val="left"/>
              <w:rPr>
                <w:rFonts w:hint="eastAsia" w:ascii="仿宋" w:hAnsi="仿宋" w:eastAsia="仿宋" w:cs="仿宋"/>
                <w:color w:val="auto"/>
                <w:sz w:val="24"/>
                <w:szCs w:val="24"/>
                <w:highlight w:val="none"/>
                <w:u w:val="single"/>
                <w:lang w:val="en-US" w:eastAsia="zh-CN"/>
              </w:rPr>
            </w:pPr>
          </w:p>
        </w:tc>
      </w:tr>
      <w:tr w14:paraId="03E92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9" w:hRule="atLeast"/>
        </w:trPr>
        <w:tc>
          <w:tcPr>
            <w:tcW w:w="2240" w:type="dxa"/>
            <w:noWrap w:val="0"/>
            <w:vAlign w:val="center"/>
          </w:tcPr>
          <w:p w14:paraId="2BC23022">
            <w:pPr>
              <w:pStyle w:val="37"/>
              <w:spacing w:line="240" w:lineRule="auto"/>
              <w:jc w:val="center"/>
              <w:rPr>
                <w:rFonts w:hint="eastAsia" w:ascii="仿宋" w:hAnsi="仿宋" w:eastAsia="仿宋" w:cs="仿宋"/>
                <w:color w:val="auto"/>
                <w:sz w:val="24"/>
                <w:szCs w:val="24"/>
                <w:highlight w:val="none"/>
                <w:shd w:val="clear" w:color="auto" w:fill="FFFFFF"/>
                <w:lang w:val="en-US" w:eastAsia="zh-CN"/>
              </w:rPr>
            </w:pPr>
            <w:r>
              <w:rPr>
                <w:rFonts w:hint="eastAsia" w:ascii="仿宋" w:hAnsi="仿宋" w:eastAsia="仿宋" w:cs="仿宋"/>
                <w:b/>
                <w:bCs/>
                <w:color w:val="auto"/>
                <w:sz w:val="24"/>
                <w:szCs w:val="24"/>
                <w:highlight w:val="none"/>
                <w:shd w:val="clear" w:color="auto" w:fill="FFFFFF"/>
                <w:lang w:val="en-US" w:eastAsia="zh-CN"/>
              </w:rPr>
              <w:t>项目经理</w:t>
            </w:r>
          </w:p>
        </w:tc>
        <w:tc>
          <w:tcPr>
            <w:tcW w:w="7519" w:type="dxa"/>
            <w:noWrap w:val="0"/>
            <w:vAlign w:val="center"/>
          </w:tcPr>
          <w:p w14:paraId="0D9DF02C">
            <w:pPr>
              <w:spacing w:line="240" w:lineRule="auto"/>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p>
        </w:tc>
      </w:tr>
      <w:tr w14:paraId="4FEE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2240" w:type="dxa"/>
            <w:noWrap w:val="0"/>
            <w:vAlign w:val="center"/>
          </w:tcPr>
          <w:p w14:paraId="0FD69E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lang w:val="en-US" w:eastAsia="zh-CN"/>
              </w:rPr>
              <w:t>投标</w:t>
            </w:r>
            <w:r>
              <w:rPr>
                <w:rFonts w:hint="eastAsia" w:ascii="仿宋" w:hAnsi="仿宋" w:eastAsia="仿宋" w:cs="仿宋"/>
                <w:b/>
                <w:bCs/>
                <w:color w:val="auto"/>
                <w:sz w:val="24"/>
                <w:szCs w:val="24"/>
                <w:highlight w:val="none"/>
                <w:shd w:val="clear" w:color="auto" w:fill="FFFFFF"/>
              </w:rPr>
              <w:t>声明</w:t>
            </w:r>
          </w:p>
        </w:tc>
        <w:tc>
          <w:tcPr>
            <w:tcW w:w="7519" w:type="dxa"/>
            <w:noWrap w:val="0"/>
            <w:vAlign w:val="center"/>
          </w:tcPr>
          <w:p w14:paraId="0F4A0D2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color w:val="auto"/>
                <w:sz w:val="24"/>
                <w:szCs w:val="24"/>
                <w:highlight w:val="none"/>
                <w:shd w:val="clear" w:color="auto" w:fill="FFFFFF"/>
              </w:rPr>
            </w:pPr>
          </w:p>
        </w:tc>
      </w:tr>
    </w:tbl>
    <w:p w14:paraId="5A889A96">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注：1、</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声明用于填写除</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工</w:t>
      </w:r>
      <w:r>
        <w:rPr>
          <w:rFonts w:hint="eastAsia" w:ascii="仿宋" w:hAnsi="仿宋" w:eastAsia="仿宋" w:cs="仿宋"/>
          <w:color w:val="auto"/>
          <w:sz w:val="24"/>
          <w:szCs w:val="24"/>
          <w:highlight w:val="none"/>
          <w:lang w:eastAsia="zh-CN"/>
        </w:rPr>
        <w:t>期</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质量标准、项目经理外的其它主要内容，由投标人自行确定，做到言简意赅无歧义。</w:t>
      </w:r>
    </w:p>
    <w:p w14:paraId="11DAB54D">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2、未宣读的价格、价格折扣等实质内容，评审时不予承认。</w:t>
      </w:r>
    </w:p>
    <w:p w14:paraId="1B863E7D">
      <w:pPr>
        <w:snapToGrid w:val="0"/>
        <w:spacing w:line="360" w:lineRule="auto"/>
        <w:ind w:firstLine="240" w:firstLineChars="100"/>
        <w:rPr>
          <w:rFonts w:hint="eastAsia" w:ascii="仿宋" w:hAnsi="仿宋" w:eastAsia="仿宋" w:cs="仿宋"/>
          <w:sz w:val="24"/>
          <w:szCs w:val="24"/>
          <w:highlight w:val="none"/>
        </w:rPr>
      </w:pPr>
    </w:p>
    <w:p w14:paraId="284F3CC3">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14:paraId="5776FE44">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14:paraId="55BAD3D9">
      <w:pPr>
        <w:snapToGrid w:val="0"/>
        <w:spacing w:line="360" w:lineRule="auto"/>
        <w:ind w:firstLine="240" w:firstLineChars="100"/>
        <w:rPr>
          <w:rFonts w:hint="eastAsia" w:ascii="仿宋" w:hAnsi="仿宋" w:eastAsia="仿宋" w:cs="仿宋"/>
          <w:sz w:val="24"/>
          <w:szCs w:val="24"/>
          <w:highlight w:val="none"/>
        </w:rPr>
        <w:sectPr>
          <w:headerReference r:id="rId13" w:type="default"/>
          <w:pgSz w:w="11906" w:h="16838"/>
          <w:pgMar w:top="1440" w:right="1803" w:bottom="1440" w:left="1803" w:header="851" w:footer="992" w:gutter="0"/>
          <w:pgNumType w:fmt="decimal"/>
          <w:cols w:space="720" w:num="1"/>
          <w:docGrid w:type="lines" w:linePitch="312" w:charSpace="0"/>
        </w:sectPr>
      </w:pPr>
      <w:r>
        <w:rPr>
          <w:rFonts w:hint="eastAsia" w:ascii="仿宋" w:hAnsi="仿宋" w:eastAsia="仿宋" w:cs="仿宋"/>
          <w:sz w:val="24"/>
          <w:szCs w:val="24"/>
          <w:highlight w:val="none"/>
        </w:rPr>
        <w:t>日期：</w:t>
      </w:r>
    </w:p>
    <w:p w14:paraId="7AB886B7">
      <w:pPr>
        <w:jc w:val="center"/>
        <w:rPr>
          <w:rFonts w:ascii="仿宋" w:hAnsi="仿宋" w:eastAsia="仿宋" w:cs="仿宋"/>
          <w:color w:val="000000"/>
          <w:sz w:val="28"/>
          <w:szCs w:val="28"/>
          <w:highlight w:val="none"/>
        </w:rPr>
      </w:pPr>
      <w:r>
        <w:rPr>
          <w:rFonts w:hint="eastAsia" w:ascii="仿宋" w:hAnsi="仿宋" w:eastAsia="仿宋" w:cs="仿宋"/>
          <w:b/>
          <w:bCs/>
          <w:sz w:val="36"/>
          <w:szCs w:val="36"/>
          <w:highlight w:val="none"/>
        </w:rPr>
        <w:t>投标人信用承诺书</w:t>
      </w:r>
    </w:p>
    <w:p w14:paraId="74AEE63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为营造公平竞争、规范有序的市场环境，树立诚信守法经营形象。本单位郑重承诺：</w:t>
      </w:r>
    </w:p>
    <w:p w14:paraId="541F09E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一、我方在此声明，本次招标投标活动中申报的所有资料都是真实、准确完整的，如发现提供虚假资料，或与事实不符而导致投标无效，甚至造成任何法律和经济责任，完全由我方负责。</w:t>
      </w:r>
    </w:p>
    <w:p w14:paraId="07893EFA">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二、我方在本次投标活动中绝无资质挂靠、串标、围标情形，项目经理未担任其他在建、排名第一的预中标或中标工程项目的项目经理，若经贵方查出，立即取消我方投标资格并承担相应的法律责任。</w:t>
      </w:r>
    </w:p>
    <w:p w14:paraId="0F0DD599">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三、我方在以往的招标投标活动中，无重大违法、违规的不良记录；或虽有不良记录，但已超过处理期限。</w:t>
      </w:r>
    </w:p>
    <w:p w14:paraId="5CE2D3F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四、我方承诺我单位及法定代表人、委托代理人、</w:t>
      </w:r>
      <w:r>
        <w:rPr>
          <w:rFonts w:hint="eastAsia" w:ascii="仿宋" w:hAnsi="仿宋" w:eastAsia="仿宋" w:cs="仿宋"/>
          <w:bCs/>
          <w:color w:val="000000"/>
          <w:sz w:val="24"/>
          <w:szCs w:val="24"/>
          <w:highlight w:val="none"/>
          <w:lang w:val="en-US" w:eastAsia="zh-CN"/>
        </w:rPr>
        <w:t>项目管理机构所有人员</w:t>
      </w:r>
      <w:r>
        <w:rPr>
          <w:rFonts w:hint="eastAsia" w:ascii="仿宋" w:hAnsi="仿宋" w:eastAsia="仿宋" w:cs="仿宋"/>
          <w:bCs/>
          <w:color w:val="000000"/>
          <w:sz w:val="24"/>
          <w:szCs w:val="24"/>
          <w:highlight w:val="none"/>
        </w:rPr>
        <w:t>近三年内无行贿犯罪记录。如有不实，愿意承担一切后果。</w:t>
      </w:r>
    </w:p>
    <w:p w14:paraId="3F478DE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五、我方拟派本工程项目经理，现阶段没有担任其他在建、排名第一的中标候选人或中标工程项目的项目经理（项目负责人）。</w:t>
      </w:r>
    </w:p>
    <w:p w14:paraId="0AFA7AF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六、我方一旦中标，将按规定及时与招标人签订合同，严格按照投标文件中所承诺的报价、质量、工期、投标方案、项目经理等内容组织实施。</w:t>
      </w:r>
    </w:p>
    <w:p w14:paraId="60B09BC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七、为了切实维护农民工的合法权益，确保社会和企业稳定，根据各级政府和相关主管部门的相关要求，我公司承诺如下：</w:t>
      </w:r>
    </w:p>
    <w:p w14:paraId="17FFC35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1、我公司将严格按照上级主管部门关于农民工资发放的相关要求，切实做好农民工工资发放工作；</w:t>
      </w:r>
    </w:p>
    <w:p w14:paraId="231040F6">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2、根据相关农民工工资保证金管理办法要求缴纳农民工工资保证金；</w:t>
      </w:r>
    </w:p>
    <w:p w14:paraId="67130BBD">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3、我公司一定按照规定将农民工工资足额、直接发放到民工手中；</w:t>
      </w:r>
    </w:p>
    <w:p w14:paraId="3D84A22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4、如因民工工资发放、处置不力，导致民工有不同形式的上访、闹访、集访等时间发生，我公司同意按照合同中相应条款对我公司进行处罚。由此造成的一切不良后果或损失由我公司承担。</w:t>
      </w:r>
    </w:p>
    <w:p w14:paraId="4B70E56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八、自觉接受社会各界的监督，依法接受有关行政机关的事中事后监管和执法检查，并如实提供有关情况和材料。</w:t>
      </w:r>
    </w:p>
    <w:p w14:paraId="1B80AC8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九、严格遵守国家法律、法规、规章和相关政策规定，积极参与社会信用体系建设，倡树以信笃行，以诚兴业的传统美德，争当信用市民，争创信用企业。</w:t>
      </w:r>
    </w:p>
    <w:p w14:paraId="4DC0A520">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十、我单位承诺在施工过程中按照有关规定合理配置现场专业人员，否则取消其中标资格。</w:t>
      </w:r>
    </w:p>
    <w:p w14:paraId="395C4E4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十一、本《信用承诺书》同意向社会公开。</w:t>
      </w:r>
    </w:p>
    <w:p w14:paraId="5BC2B310">
      <w:pPr>
        <w:pStyle w:val="86"/>
        <w:keepNext w:val="0"/>
        <w:keepLines w:val="0"/>
        <w:pageBreakBefore w:val="0"/>
        <w:widowControl w:val="0"/>
        <w:kinsoku/>
        <w:wordWrap/>
        <w:overflowPunct/>
        <w:topLinePunct w:val="0"/>
        <w:bidi w:val="0"/>
        <w:spacing w:line="360" w:lineRule="auto"/>
        <w:textAlignment w:val="auto"/>
        <w:rPr>
          <w:rFonts w:hint="eastAsia" w:ascii="仿宋" w:hAnsi="仿宋" w:eastAsia="仿宋" w:cs="仿宋"/>
          <w:bCs/>
          <w:color w:val="000000"/>
          <w:sz w:val="24"/>
          <w:szCs w:val="24"/>
          <w:highlight w:val="none"/>
        </w:rPr>
      </w:pPr>
    </w:p>
    <w:p w14:paraId="699A6192">
      <w:pPr>
        <w:pStyle w:val="87"/>
        <w:keepNext w:val="0"/>
        <w:keepLines w:val="0"/>
        <w:pageBreakBefore w:val="0"/>
        <w:widowControl w:val="0"/>
        <w:kinsoku/>
        <w:wordWrap/>
        <w:overflowPunct/>
        <w:topLinePunct w:val="0"/>
        <w:bidi w:val="0"/>
        <w:spacing w:line="360" w:lineRule="auto"/>
        <w:textAlignment w:val="auto"/>
        <w:rPr>
          <w:rFonts w:hint="eastAsia"/>
          <w:highlight w:val="none"/>
        </w:rPr>
      </w:pPr>
    </w:p>
    <w:p w14:paraId="2B9DA387">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承诺单位：                          （盖章）</w:t>
      </w:r>
    </w:p>
    <w:p w14:paraId="2C8CDC6D">
      <w:pPr>
        <w:keepNext w:val="0"/>
        <w:keepLines w:val="0"/>
        <w:pageBreakBefore w:val="0"/>
        <w:widowControl w:val="0"/>
        <w:kinsoku/>
        <w:wordWrap/>
        <w:overflowPunct/>
        <w:topLinePunct w:val="0"/>
        <w:bidi w:val="0"/>
        <w:snapToGrid w:val="0"/>
        <w:spacing w:line="360" w:lineRule="auto"/>
        <w:ind w:firstLine="3360" w:firstLineChars="1400"/>
        <w:textAlignment w:val="auto"/>
        <w:rPr>
          <w:rFonts w:hint="eastAsia" w:ascii="仿宋" w:hAnsi="仿宋" w:eastAsia="仿宋" w:cs="仿宋"/>
          <w:bCs/>
          <w:color w:val="000000"/>
          <w:sz w:val="24"/>
          <w:szCs w:val="24"/>
          <w:highlight w:val="none"/>
        </w:rPr>
        <w:sectPr>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bCs/>
          <w:color w:val="000000"/>
          <w:sz w:val="24"/>
          <w:szCs w:val="24"/>
          <w:highlight w:val="none"/>
        </w:rPr>
        <w:t xml:space="preserve"> </w:t>
      </w:r>
      <w:r>
        <w:rPr>
          <w:rFonts w:hint="eastAsia" w:ascii="仿宋" w:hAnsi="仿宋" w:eastAsia="仿宋" w:cs="仿宋"/>
          <w:bCs/>
          <w:color w:val="000000"/>
          <w:sz w:val="24"/>
          <w:szCs w:val="24"/>
          <w:highlight w:val="none"/>
          <w:lang w:val="en-US" w:eastAsia="zh-CN"/>
        </w:rPr>
        <w:t xml:space="preserve">   </w:t>
      </w:r>
      <w:r>
        <w:rPr>
          <w:rFonts w:hint="eastAsia" w:ascii="仿宋" w:hAnsi="仿宋" w:eastAsia="仿宋" w:cs="仿宋"/>
          <w:bCs/>
          <w:color w:val="000000"/>
          <w:sz w:val="24"/>
          <w:szCs w:val="24"/>
          <w:highlight w:val="none"/>
        </w:rPr>
        <w:t>年    月    日</w:t>
      </w:r>
    </w:p>
    <w:p w14:paraId="5DC58115">
      <w:pPr>
        <w:pStyle w:val="37"/>
        <w:jc w:val="center"/>
        <w:rPr>
          <w:rFonts w:ascii="仿宋" w:hAnsi="仿宋" w:eastAsia="仿宋" w:cs="仿宋"/>
          <w:b/>
          <w:bCs/>
          <w:sz w:val="36"/>
          <w:szCs w:val="36"/>
          <w:highlight w:val="none"/>
        </w:rPr>
      </w:pPr>
      <w:r>
        <w:rPr>
          <w:rFonts w:hint="eastAsia" w:ascii="仿宋" w:hAnsi="仿宋" w:eastAsia="仿宋" w:cs="仿宋"/>
          <w:b/>
          <w:bCs/>
          <w:kern w:val="2"/>
          <w:sz w:val="36"/>
          <w:szCs w:val="36"/>
          <w:highlight w:val="none"/>
        </w:rPr>
        <w:t>投标人资格证明文件</w:t>
      </w:r>
    </w:p>
    <w:p w14:paraId="47952410">
      <w:pPr>
        <w:pStyle w:val="23"/>
        <w:wordWrap w:val="0"/>
        <w:spacing w:line="520" w:lineRule="exact"/>
        <w:rPr>
          <w:rFonts w:hint="eastAsia" w:ascii="仿宋" w:hAnsi="仿宋" w:eastAsia="仿宋" w:cs="仿宋"/>
          <w:b/>
          <w:bCs/>
          <w:sz w:val="24"/>
          <w:szCs w:val="24"/>
          <w:highlight w:val="none"/>
        </w:rPr>
      </w:pPr>
      <w:bookmarkStart w:id="36" w:name="_Toc376531086"/>
      <w:bookmarkStart w:id="37" w:name="_Toc421535651"/>
      <w:bookmarkStart w:id="38" w:name="_Toc152042580"/>
      <w:bookmarkStart w:id="39" w:name="_Toc247085877"/>
      <w:bookmarkStart w:id="40" w:name="_Toc246996359"/>
      <w:bookmarkStart w:id="41" w:name="_Toc152045791"/>
      <w:bookmarkStart w:id="42" w:name="_Toc246997102"/>
      <w:bookmarkStart w:id="43" w:name="_Toc179632811"/>
      <w:bookmarkStart w:id="44" w:name="_Toc144974860"/>
    </w:p>
    <w:p w14:paraId="0B00F2BF">
      <w:pPr>
        <w:pStyle w:val="23"/>
        <w:wordWrap w:val="0"/>
        <w:spacing w:line="520" w:lineRule="exac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有效的营业执照副本扫描件</w:t>
      </w:r>
    </w:p>
    <w:p w14:paraId="25CDAE8C">
      <w:pPr>
        <w:pStyle w:val="23"/>
        <w:spacing w:line="520" w:lineRule="exact"/>
        <w:rPr>
          <w:rFonts w:hint="eastAsia" w:ascii="仿宋" w:hAnsi="仿宋" w:eastAsia="仿宋" w:cs="仿宋"/>
          <w:b/>
          <w:sz w:val="44"/>
          <w:szCs w:val="44"/>
          <w:highlight w:val="none"/>
        </w:rPr>
      </w:pPr>
    </w:p>
    <w:p w14:paraId="30FCBB19">
      <w:pPr>
        <w:pStyle w:val="23"/>
        <w:spacing w:line="520" w:lineRule="exact"/>
        <w:jc w:val="right"/>
        <w:rPr>
          <w:rFonts w:hint="eastAsia" w:ascii="仿宋" w:hAnsi="仿宋" w:eastAsia="仿宋" w:cs="仿宋"/>
          <w:b/>
          <w:bCs/>
          <w:sz w:val="30"/>
          <w:szCs w:val="30"/>
          <w:highlight w:val="none"/>
        </w:rPr>
      </w:pPr>
    </w:p>
    <w:p w14:paraId="40D5469B">
      <w:pPr>
        <w:pStyle w:val="23"/>
        <w:spacing w:line="520" w:lineRule="exact"/>
        <w:jc w:val="right"/>
        <w:rPr>
          <w:rFonts w:hint="eastAsia" w:ascii="仿宋" w:hAnsi="仿宋" w:eastAsia="仿宋" w:cs="仿宋"/>
          <w:b/>
          <w:bCs/>
          <w:sz w:val="30"/>
          <w:szCs w:val="30"/>
          <w:highlight w:val="none"/>
        </w:rPr>
      </w:pPr>
    </w:p>
    <w:p w14:paraId="0C84699D">
      <w:pPr>
        <w:pStyle w:val="23"/>
        <w:spacing w:line="520" w:lineRule="exact"/>
        <w:jc w:val="left"/>
        <w:rPr>
          <w:rFonts w:hint="eastAsia" w:ascii="仿宋" w:hAnsi="仿宋" w:eastAsia="仿宋" w:cs="仿宋"/>
          <w:sz w:val="24"/>
          <w:szCs w:val="24"/>
          <w:highlight w:val="none"/>
        </w:rPr>
      </w:pPr>
    </w:p>
    <w:p w14:paraId="0EA4A59B">
      <w:pPr>
        <w:pStyle w:val="23"/>
        <w:spacing w:line="520" w:lineRule="exact"/>
        <w:jc w:val="left"/>
        <w:rPr>
          <w:rFonts w:hint="eastAsia" w:ascii="仿宋" w:hAnsi="仿宋" w:eastAsia="仿宋" w:cs="仿宋"/>
          <w:sz w:val="24"/>
          <w:szCs w:val="24"/>
          <w:highlight w:val="none"/>
        </w:rPr>
      </w:pPr>
    </w:p>
    <w:p w14:paraId="01D8D288">
      <w:pPr>
        <w:pStyle w:val="23"/>
        <w:spacing w:line="520" w:lineRule="exact"/>
        <w:jc w:val="left"/>
        <w:rPr>
          <w:rFonts w:hint="eastAsia" w:ascii="仿宋" w:hAnsi="仿宋" w:eastAsia="仿宋" w:cs="仿宋"/>
          <w:sz w:val="24"/>
          <w:szCs w:val="24"/>
          <w:highlight w:val="none"/>
        </w:rPr>
      </w:pPr>
    </w:p>
    <w:p w14:paraId="7397C19A">
      <w:pPr>
        <w:pStyle w:val="23"/>
        <w:spacing w:line="520" w:lineRule="exact"/>
        <w:jc w:val="left"/>
        <w:rPr>
          <w:rFonts w:hint="eastAsia" w:ascii="仿宋" w:hAnsi="仿宋" w:eastAsia="仿宋" w:cs="仿宋"/>
          <w:sz w:val="24"/>
          <w:szCs w:val="24"/>
          <w:highlight w:val="none"/>
        </w:rPr>
      </w:pPr>
    </w:p>
    <w:p w14:paraId="63D18615">
      <w:pPr>
        <w:pStyle w:val="23"/>
        <w:spacing w:line="520" w:lineRule="exact"/>
        <w:jc w:val="left"/>
        <w:rPr>
          <w:rFonts w:hint="eastAsia" w:ascii="仿宋" w:hAnsi="仿宋" w:eastAsia="仿宋" w:cs="仿宋"/>
          <w:sz w:val="24"/>
          <w:szCs w:val="24"/>
          <w:highlight w:val="none"/>
        </w:rPr>
      </w:pPr>
    </w:p>
    <w:p w14:paraId="075AC3E9">
      <w:pPr>
        <w:pStyle w:val="23"/>
        <w:spacing w:line="520" w:lineRule="exact"/>
        <w:jc w:val="left"/>
        <w:rPr>
          <w:rFonts w:hint="eastAsia" w:ascii="仿宋" w:hAnsi="仿宋" w:eastAsia="仿宋" w:cs="仿宋"/>
          <w:sz w:val="24"/>
          <w:szCs w:val="24"/>
          <w:highlight w:val="none"/>
        </w:rPr>
      </w:pPr>
    </w:p>
    <w:p w14:paraId="13EE29A9">
      <w:pPr>
        <w:pStyle w:val="23"/>
        <w:spacing w:line="52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投标单位(盖章)：</w:t>
      </w:r>
    </w:p>
    <w:p w14:paraId="46089AFB">
      <w:pPr>
        <w:snapToGrid w:val="0"/>
        <w:spacing w:line="360" w:lineRule="auto"/>
        <w:jc w:val="left"/>
        <w:rPr>
          <w:rFonts w:hint="eastAsia" w:ascii="仿宋" w:hAnsi="仿宋" w:eastAsia="仿宋" w:cs="仿宋"/>
          <w:b/>
          <w:bCs/>
          <w:sz w:val="24"/>
          <w:szCs w:val="24"/>
          <w:highlight w:val="none"/>
          <w:lang w:val="en-US" w:eastAsia="zh-CN"/>
        </w:rPr>
      </w:pPr>
      <w:r>
        <w:rPr>
          <w:rFonts w:hint="eastAsia" w:ascii="仿宋" w:hAnsi="仿宋" w:eastAsia="仿宋" w:cs="仿宋"/>
          <w:sz w:val="24"/>
          <w:szCs w:val="24"/>
          <w:highlight w:val="none"/>
        </w:rPr>
        <w:br w:type="page"/>
      </w:r>
      <w:bookmarkEnd w:id="36"/>
      <w:bookmarkEnd w:id="37"/>
      <w:bookmarkEnd w:id="38"/>
      <w:bookmarkEnd w:id="39"/>
      <w:bookmarkEnd w:id="40"/>
      <w:bookmarkEnd w:id="41"/>
      <w:bookmarkEnd w:id="42"/>
      <w:bookmarkEnd w:id="43"/>
      <w:bookmarkEnd w:id="44"/>
      <w:bookmarkStart w:id="45" w:name="_Toc24302"/>
      <w:r>
        <w:rPr>
          <w:rFonts w:hint="eastAsia" w:ascii="仿宋" w:hAnsi="仿宋" w:eastAsia="仿宋" w:cs="仿宋"/>
          <w:b/>
          <w:bCs/>
          <w:sz w:val="24"/>
          <w:szCs w:val="24"/>
          <w:highlight w:val="none"/>
          <w:lang w:val="en-US" w:eastAsia="zh-CN"/>
        </w:rPr>
        <w:t>有效的市政公用工程施工总承包三级及以上资质及</w:t>
      </w:r>
      <w:r>
        <w:rPr>
          <w:rFonts w:hint="eastAsia" w:ascii="仿宋" w:hAnsi="仿宋" w:eastAsia="仿宋" w:cs="仿宋"/>
          <w:b/>
          <w:bCs/>
          <w:sz w:val="24"/>
          <w:szCs w:val="24"/>
          <w:highlight w:val="none"/>
          <w:lang w:eastAsia="zh-CN"/>
        </w:rPr>
        <w:t>安全生产许可</w:t>
      </w:r>
      <w:r>
        <w:rPr>
          <w:rFonts w:hint="eastAsia" w:ascii="仿宋" w:hAnsi="仿宋" w:eastAsia="仿宋" w:cs="仿宋"/>
          <w:b/>
          <w:bCs/>
          <w:sz w:val="24"/>
          <w:szCs w:val="24"/>
          <w:highlight w:val="none"/>
          <w:lang w:val="en-US" w:eastAsia="zh-CN"/>
        </w:rPr>
        <w:t>证的证书扫描件</w:t>
      </w:r>
    </w:p>
    <w:p w14:paraId="23070034">
      <w:pPr>
        <w:snapToGrid w:val="0"/>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br w:type="page"/>
      </w:r>
      <w:r>
        <w:rPr>
          <w:rFonts w:hint="eastAsia" w:ascii="仿宋" w:hAnsi="仿宋" w:eastAsia="仿宋" w:cs="仿宋"/>
          <w:b/>
          <w:bCs/>
          <w:sz w:val="24"/>
          <w:szCs w:val="24"/>
          <w:highlight w:val="none"/>
        </w:rPr>
        <w:t>拟派项目经理</w:t>
      </w:r>
      <w:r>
        <w:rPr>
          <w:rFonts w:hint="eastAsia" w:ascii="仿宋" w:hAnsi="仿宋" w:eastAsia="仿宋" w:cs="仿宋"/>
          <w:b/>
          <w:bCs/>
          <w:sz w:val="24"/>
          <w:szCs w:val="24"/>
          <w:highlight w:val="none"/>
          <w:lang w:val="en-US" w:eastAsia="zh-CN"/>
        </w:rPr>
        <w:t>的</w:t>
      </w:r>
      <w:r>
        <w:rPr>
          <w:rFonts w:hint="eastAsia" w:ascii="仿宋" w:hAnsi="仿宋" w:eastAsia="仿宋" w:cs="仿宋"/>
          <w:b/>
          <w:bCs/>
          <w:sz w:val="24"/>
          <w:szCs w:val="24"/>
          <w:highlight w:val="none"/>
        </w:rPr>
        <w:t>市政公用工程专业二级及以上注册建造师</w:t>
      </w:r>
      <w:r>
        <w:rPr>
          <w:rFonts w:hint="eastAsia" w:ascii="仿宋" w:hAnsi="仿宋" w:eastAsia="仿宋" w:cs="仿宋"/>
          <w:b/>
          <w:bCs/>
          <w:sz w:val="24"/>
          <w:szCs w:val="24"/>
          <w:highlight w:val="none"/>
          <w:lang w:val="en-US" w:eastAsia="zh-CN"/>
        </w:rPr>
        <w:t>执业资格</w:t>
      </w:r>
      <w:r>
        <w:rPr>
          <w:rFonts w:hint="eastAsia" w:ascii="仿宋" w:hAnsi="仿宋" w:eastAsia="仿宋" w:cs="仿宋"/>
          <w:b/>
          <w:bCs/>
          <w:sz w:val="24"/>
          <w:szCs w:val="24"/>
          <w:highlight w:val="none"/>
        </w:rPr>
        <w:t>证书</w:t>
      </w:r>
      <w:r>
        <w:rPr>
          <w:rFonts w:hint="eastAsia" w:ascii="仿宋" w:hAnsi="仿宋" w:eastAsia="仿宋" w:cs="仿宋"/>
          <w:b/>
          <w:bCs/>
          <w:sz w:val="24"/>
          <w:szCs w:val="24"/>
          <w:highlight w:val="none"/>
          <w:lang w:val="en-US" w:eastAsia="zh-CN"/>
        </w:rPr>
        <w:t>扫描件</w:t>
      </w:r>
      <w:r>
        <w:rPr>
          <w:rFonts w:hint="eastAsia" w:ascii="仿宋" w:hAnsi="仿宋" w:eastAsia="仿宋" w:cs="仿宋"/>
          <w:b/>
          <w:bCs/>
          <w:sz w:val="24"/>
          <w:szCs w:val="24"/>
          <w:highlight w:val="none"/>
        </w:rPr>
        <w:t>、安全生产考核合格证（B证）扫描件，项目经理近一个月（202</w:t>
      </w:r>
      <w:r>
        <w:rPr>
          <w:rFonts w:hint="eastAsia" w:ascii="仿宋" w:hAnsi="仿宋" w:eastAsia="仿宋" w:cs="仿宋"/>
          <w:b/>
          <w:bCs/>
          <w:sz w:val="24"/>
          <w:szCs w:val="24"/>
          <w:highlight w:val="none"/>
          <w:lang w:val="en-US" w:eastAsia="zh-CN"/>
        </w:rPr>
        <w:t>6</w:t>
      </w:r>
      <w:r>
        <w:rPr>
          <w:rFonts w:hint="eastAsia" w:ascii="仿宋" w:hAnsi="仿宋" w:eastAsia="仿宋" w:cs="仿宋"/>
          <w:b/>
          <w:bCs/>
          <w:sz w:val="24"/>
          <w:szCs w:val="24"/>
          <w:highlight w:val="none"/>
        </w:rPr>
        <w:t>年</w:t>
      </w:r>
      <w:r>
        <w:rPr>
          <w:rFonts w:hint="eastAsia" w:ascii="仿宋" w:hAnsi="仿宋" w:eastAsia="仿宋" w:cs="仿宋"/>
          <w:b/>
          <w:bCs/>
          <w:sz w:val="24"/>
          <w:szCs w:val="24"/>
          <w:highlight w:val="none"/>
          <w:lang w:val="en-US" w:eastAsia="zh-CN"/>
        </w:rPr>
        <w:t>7</w:t>
      </w:r>
      <w:r>
        <w:rPr>
          <w:rFonts w:hint="eastAsia" w:ascii="仿宋" w:hAnsi="仿宋" w:eastAsia="仿宋" w:cs="仿宋"/>
          <w:b/>
          <w:bCs/>
          <w:sz w:val="24"/>
          <w:szCs w:val="24"/>
          <w:highlight w:val="none"/>
        </w:rPr>
        <w:t>月或202</w:t>
      </w:r>
      <w:r>
        <w:rPr>
          <w:rFonts w:hint="eastAsia" w:ascii="仿宋" w:hAnsi="仿宋" w:eastAsia="仿宋" w:cs="仿宋"/>
          <w:b/>
          <w:bCs/>
          <w:sz w:val="24"/>
          <w:szCs w:val="24"/>
          <w:highlight w:val="none"/>
          <w:lang w:val="en-US" w:eastAsia="zh-CN"/>
        </w:rPr>
        <w:t>6</w:t>
      </w:r>
      <w:r>
        <w:rPr>
          <w:rFonts w:hint="eastAsia" w:ascii="仿宋" w:hAnsi="仿宋" w:eastAsia="仿宋" w:cs="仿宋"/>
          <w:b/>
          <w:bCs/>
          <w:sz w:val="24"/>
          <w:szCs w:val="24"/>
          <w:highlight w:val="none"/>
        </w:rPr>
        <w:t>年</w:t>
      </w:r>
      <w:r>
        <w:rPr>
          <w:rFonts w:hint="eastAsia" w:ascii="仿宋" w:hAnsi="仿宋" w:eastAsia="仿宋" w:cs="仿宋"/>
          <w:b/>
          <w:bCs/>
          <w:sz w:val="24"/>
          <w:szCs w:val="24"/>
          <w:highlight w:val="none"/>
          <w:lang w:val="en-US" w:eastAsia="zh-CN"/>
        </w:rPr>
        <w:t>8</w:t>
      </w:r>
      <w:r>
        <w:rPr>
          <w:rFonts w:hint="eastAsia" w:ascii="仿宋" w:hAnsi="仿宋" w:eastAsia="仿宋" w:cs="仿宋"/>
          <w:b/>
          <w:bCs/>
          <w:sz w:val="24"/>
          <w:szCs w:val="24"/>
          <w:highlight w:val="none"/>
        </w:rPr>
        <w:t>月）社保证明</w:t>
      </w:r>
    </w:p>
    <w:p w14:paraId="5F36A1A0">
      <w:pPr>
        <w:snapToGrid w:val="0"/>
        <w:spacing w:line="360" w:lineRule="auto"/>
        <w:jc w:val="center"/>
        <w:rPr>
          <w:rFonts w:hint="eastAsia" w:ascii="仿宋" w:hAnsi="仿宋" w:eastAsia="仿宋" w:cs="仿宋"/>
          <w:b/>
          <w:bCs/>
          <w:color w:val="auto"/>
          <w:sz w:val="24"/>
          <w:szCs w:val="24"/>
          <w:highlight w:val="none"/>
          <w:lang w:val="en-US" w:eastAsia="zh-CN"/>
        </w:rPr>
      </w:pPr>
    </w:p>
    <w:p w14:paraId="2484C31D">
      <w:pPr>
        <w:snapToGrid w:val="0"/>
        <w:spacing w:line="360" w:lineRule="auto"/>
        <w:jc w:val="center"/>
        <w:rPr>
          <w:rFonts w:hint="eastAsia" w:ascii="仿宋" w:hAnsi="仿宋" w:eastAsia="仿宋" w:cs="仿宋"/>
          <w:b/>
          <w:bCs/>
          <w:color w:val="auto"/>
          <w:sz w:val="24"/>
          <w:szCs w:val="24"/>
          <w:highlight w:val="none"/>
          <w:lang w:val="en-US" w:eastAsia="zh-CN"/>
        </w:rPr>
      </w:pPr>
    </w:p>
    <w:p w14:paraId="4A2A76CE">
      <w:pPr>
        <w:snapToGrid w:val="0"/>
        <w:spacing w:line="360" w:lineRule="auto"/>
        <w:jc w:val="center"/>
        <w:rPr>
          <w:rFonts w:hint="eastAsia" w:ascii="仿宋" w:hAnsi="仿宋" w:eastAsia="仿宋" w:cs="仿宋"/>
          <w:b/>
          <w:bCs/>
          <w:color w:val="auto"/>
          <w:sz w:val="24"/>
          <w:szCs w:val="24"/>
          <w:highlight w:val="none"/>
          <w:lang w:val="en-US" w:eastAsia="zh-CN"/>
        </w:rPr>
      </w:pPr>
    </w:p>
    <w:p w14:paraId="7B5EBD9E">
      <w:pPr>
        <w:snapToGrid w:val="0"/>
        <w:spacing w:line="360" w:lineRule="auto"/>
        <w:jc w:val="center"/>
        <w:rPr>
          <w:rFonts w:hint="eastAsia" w:ascii="仿宋" w:hAnsi="仿宋" w:eastAsia="仿宋" w:cs="仿宋"/>
          <w:b/>
          <w:bCs/>
          <w:color w:val="auto"/>
          <w:sz w:val="24"/>
          <w:szCs w:val="24"/>
          <w:highlight w:val="none"/>
          <w:lang w:val="en-US" w:eastAsia="zh-CN"/>
        </w:rPr>
      </w:pPr>
    </w:p>
    <w:p w14:paraId="7BF0F283">
      <w:pPr>
        <w:snapToGrid w:val="0"/>
        <w:spacing w:line="360" w:lineRule="auto"/>
        <w:jc w:val="center"/>
        <w:rPr>
          <w:rFonts w:hint="eastAsia" w:ascii="仿宋" w:hAnsi="仿宋" w:eastAsia="仿宋" w:cs="仿宋"/>
          <w:b/>
          <w:bCs/>
          <w:color w:val="auto"/>
          <w:sz w:val="24"/>
          <w:szCs w:val="24"/>
          <w:highlight w:val="none"/>
          <w:lang w:val="en-US" w:eastAsia="zh-CN"/>
        </w:rPr>
      </w:pPr>
    </w:p>
    <w:p w14:paraId="67594B4B">
      <w:pPr>
        <w:snapToGrid w:val="0"/>
        <w:spacing w:line="360" w:lineRule="auto"/>
        <w:jc w:val="center"/>
        <w:rPr>
          <w:rFonts w:hint="eastAsia" w:ascii="仿宋" w:hAnsi="仿宋" w:eastAsia="仿宋" w:cs="仿宋"/>
          <w:b/>
          <w:bCs/>
          <w:color w:val="auto"/>
          <w:sz w:val="24"/>
          <w:szCs w:val="24"/>
          <w:highlight w:val="none"/>
          <w:lang w:val="en-US" w:eastAsia="zh-CN"/>
        </w:rPr>
      </w:pPr>
    </w:p>
    <w:p w14:paraId="243CA346">
      <w:pPr>
        <w:snapToGrid w:val="0"/>
        <w:spacing w:line="360" w:lineRule="auto"/>
        <w:jc w:val="center"/>
        <w:rPr>
          <w:rFonts w:hint="eastAsia" w:ascii="仿宋" w:hAnsi="仿宋" w:eastAsia="仿宋" w:cs="仿宋"/>
          <w:b/>
          <w:bCs/>
          <w:color w:val="auto"/>
          <w:sz w:val="24"/>
          <w:szCs w:val="24"/>
          <w:highlight w:val="none"/>
          <w:lang w:val="en-US" w:eastAsia="zh-CN"/>
        </w:rPr>
      </w:pPr>
    </w:p>
    <w:p w14:paraId="1C75C3AA">
      <w:pPr>
        <w:snapToGrid w:val="0"/>
        <w:spacing w:line="360" w:lineRule="auto"/>
        <w:jc w:val="center"/>
        <w:rPr>
          <w:rFonts w:hint="eastAsia" w:ascii="仿宋" w:hAnsi="仿宋" w:eastAsia="仿宋" w:cs="仿宋"/>
          <w:b/>
          <w:bCs/>
          <w:color w:val="auto"/>
          <w:sz w:val="24"/>
          <w:szCs w:val="24"/>
          <w:highlight w:val="none"/>
          <w:lang w:val="en-US" w:eastAsia="zh-CN"/>
        </w:rPr>
      </w:pPr>
    </w:p>
    <w:p w14:paraId="5716AAA7">
      <w:pPr>
        <w:snapToGrid w:val="0"/>
        <w:spacing w:line="360" w:lineRule="auto"/>
        <w:jc w:val="center"/>
        <w:rPr>
          <w:rFonts w:hint="eastAsia" w:ascii="仿宋" w:hAnsi="仿宋" w:eastAsia="仿宋" w:cs="仿宋"/>
          <w:b/>
          <w:bCs/>
          <w:color w:val="auto"/>
          <w:sz w:val="24"/>
          <w:szCs w:val="24"/>
          <w:highlight w:val="none"/>
          <w:lang w:val="en-US" w:eastAsia="zh-CN"/>
        </w:rPr>
      </w:pPr>
    </w:p>
    <w:p w14:paraId="2C64B2A8">
      <w:pPr>
        <w:snapToGrid w:val="0"/>
        <w:spacing w:line="360" w:lineRule="auto"/>
        <w:jc w:val="center"/>
        <w:rPr>
          <w:rFonts w:hint="eastAsia" w:ascii="仿宋" w:hAnsi="仿宋" w:eastAsia="仿宋" w:cs="仿宋"/>
          <w:b/>
          <w:bCs/>
          <w:color w:val="auto"/>
          <w:sz w:val="24"/>
          <w:szCs w:val="24"/>
          <w:highlight w:val="none"/>
          <w:lang w:val="en-US" w:eastAsia="zh-CN"/>
        </w:rPr>
      </w:pPr>
    </w:p>
    <w:p w14:paraId="4B1F7655">
      <w:pPr>
        <w:snapToGrid w:val="0"/>
        <w:spacing w:line="360" w:lineRule="auto"/>
        <w:jc w:val="center"/>
        <w:rPr>
          <w:rFonts w:hint="eastAsia" w:ascii="仿宋" w:hAnsi="仿宋" w:eastAsia="仿宋" w:cs="仿宋"/>
          <w:b/>
          <w:bCs/>
          <w:color w:val="auto"/>
          <w:sz w:val="24"/>
          <w:szCs w:val="24"/>
          <w:highlight w:val="none"/>
          <w:lang w:val="en-US" w:eastAsia="zh-CN"/>
        </w:rPr>
      </w:pPr>
    </w:p>
    <w:p w14:paraId="4D97DF86">
      <w:pPr>
        <w:snapToGrid w:val="0"/>
        <w:spacing w:line="360" w:lineRule="auto"/>
        <w:jc w:val="center"/>
        <w:rPr>
          <w:rFonts w:hint="eastAsia" w:ascii="仿宋" w:hAnsi="仿宋" w:eastAsia="仿宋" w:cs="仿宋"/>
          <w:b/>
          <w:bCs/>
          <w:color w:val="auto"/>
          <w:sz w:val="24"/>
          <w:szCs w:val="24"/>
          <w:highlight w:val="none"/>
          <w:lang w:val="en-US" w:eastAsia="zh-CN"/>
        </w:rPr>
      </w:pPr>
    </w:p>
    <w:p w14:paraId="46F76A07">
      <w:pPr>
        <w:snapToGrid w:val="0"/>
        <w:spacing w:line="360" w:lineRule="auto"/>
        <w:jc w:val="center"/>
        <w:rPr>
          <w:rFonts w:hint="eastAsia" w:ascii="仿宋" w:hAnsi="仿宋" w:eastAsia="仿宋" w:cs="仿宋"/>
          <w:b/>
          <w:bCs/>
          <w:color w:val="auto"/>
          <w:sz w:val="24"/>
          <w:szCs w:val="24"/>
          <w:highlight w:val="none"/>
          <w:lang w:val="en-US" w:eastAsia="zh-CN"/>
        </w:rPr>
      </w:pPr>
    </w:p>
    <w:p w14:paraId="0E441170">
      <w:pPr>
        <w:snapToGrid w:val="0"/>
        <w:spacing w:line="360" w:lineRule="auto"/>
        <w:jc w:val="center"/>
        <w:rPr>
          <w:rFonts w:hint="eastAsia" w:ascii="仿宋" w:hAnsi="仿宋" w:eastAsia="仿宋" w:cs="仿宋"/>
          <w:b/>
          <w:bCs/>
          <w:color w:val="auto"/>
          <w:sz w:val="24"/>
          <w:szCs w:val="24"/>
          <w:highlight w:val="none"/>
          <w:lang w:val="en-US" w:eastAsia="zh-CN"/>
        </w:rPr>
      </w:pPr>
    </w:p>
    <w:p w14:paraId="16209DB2">
      <w:pPr>
        <w:snapToGrid w:val="0"/>
        <w:spacing w:line="360" w:lineRule="auto"/>
        <w:jc w:val="center"/>
        <w:rPr>
          <w:rFonts w:hint="eastAsia" w:ascii="仿宋" w:hAnsi="仿宋" w:eastAsia="仿宋" w:cs="仿宋"/>
          <w:b/>
          <w:bCs/>
          <w:color w:val="auto"/>
          <w:sz w:val="24"/>
          <w:szCs w:val="24"/>
          <w:highlight w:val="none"/>
          <w:lang w:val="en-US" w:eastAsia="zh-CN"/>
        </w:rPr>
      </w:pPr>
    </w:p>
    <w:p w14:paraId="54FE5D3C">
      <w:pPr>
        <w:snapToGrid w:val="0"/>
        <w:spacing w:line="360" w:lineRule="auto"/>
        <w:jc w:val="center"/>
        <w:rPr>
          <w:rFonts w:hint="eastAsia" w:ascii="仿宋" w:hAnsi="仿宋" w:eastAsia="仿宋" w:cs="仿宋"/>
          <w:b/>
          <w:bCs/>
          <w:color w:val="auto"/>
          <w:sz w:val="24"/>
          <w:szCs w:val="24"/>
          <w:highlight w:val="none"/>
          <w:lang w:val="en-US" w:eastAsia="zh-CN"/>
        </w:rPr>
      </w:pPr>
    </w:p>
    <w:p w14:paraId="6DEB5A4A">
      <w:pPr>
        <w:snapToGrid w:val="0"/>
        <w:spacing w:line="360" w:lineRule="auto"/>
        <w:jc w:val="center"/>
        <w:rPr>
          <w:rFonts w:hint="eastAsia" w:ascii="仿宋" w:hAnsi="仿宋" w:eastAsia="仿宋" w:cs="仿宋"/>
          <w:b/>
          <w:bCs/>
          <w:color w:val="auto"/>
          <w:sz w:val="24"/>
          <w:szCs w:val="24"/>
          <w:highlight w:val="none"/>
          <w:lang w:val="en-US" w:eastAsia="zh-CN"/>
        </w:rPr>
      </w:pPr>
    </w:p>
    <w:p w14:paraId="21687E58">
      <w:pPr>
        <w:snapToGrid w:val="0"/>
        <w:spacing w:line="360" w:lineRule="auto"/>
        <w:jc w:val="center"/>
        <w:rPr>
          <w:rFonts w:hint="eastAsia" w:ascii="仿宋" w:hAnsi="仿宋" w:eastAsia="仿宋" w:cs="仿宋"/>
          <w:b/>
          <w:bCs/>
          <w:color w:val="auto"/>
          <w:sz w:val="24"/>
          <w:szCs w:val="24"/>
          <w:highlight w:val="none"/>
          <w:lang w:val="en-US" w:eastAsia="zh-CN"/>
        </w:rPr>
      </w:pPr>
    </w:p>
    <w:p w14:paraId="670CCB5A">
      <w:pPr>
        <w:snapToGrid w:val="0"/>
        <w:spacing w:line="360" w:lineRule="auto"/>
        <w:jc w:val="center"/>
        <w:rPr>
          <w:rFonts w:hint="eastAsia" w:ascii="仿宋" w:hAnsi="仿宋" w:eastAsia="仿宋" w:cs="仿宋"/>
          <w:b/>
          <w:bCs/>
          <w:color w:val="auto"/>
          <w:sz w:val="24"/>
          <w:szCs w:val="24"/>
          <w:highlight w:val="none"/>
          <w:lang w:val="en-US" w:eastAsia="zh-CN"/>
        </w:rPr>
      </w:pPr>
    </w:p>
    <w:p w14:paraId="2BC8445C">
      <w:pPr>
        <w:snapToGrid w:val="0"/>
        <w:spacing w:line="360" w:lineRule="auto"/>
        <w:jc w:val="center"/>
        <w:rPr>
          <w:rFonts w:hint="eastAsia" w:ascii="仿宋" w:hAnsi="仿宋" w:eastAsia="仿宋" w:cs="仿宋"/>
          <w:b/>
          <w:bCs/>
          <w:color w:val="auto"/>
          <w:sz w:val="24"/>
          <w:szCs w:val="24"/>
          <w:highlight w:val="none"/>
          <w:lang w:val="en-US" w:eastAsia="zh-CN"/>
        </w:rPr>
      </w:pPr>
    </w:p>
    <w:p w14:paraId="29CD0F9D">
      <w:pPr>
        <w:snapToGrid w:val="0"/>
        <w:spacing w:line="360" w:lineRule="auto"/>
        <w:jc w:val="center"/>
        <w:rPr>
          <w:rFonts w:hint="eastAsia" w:ascii="仿宋" w:hAnsi="仿宋" w:eastAsia="仿宋" w:cs="仿宋"/>
          <w:b/>
          <w:bCs/>
          <w:color w:val="auto"/>
          <w:sz w:val="24"/>
          <w:szCs w:val="24"/>
          <w:highlight w:val="none"/>
          <w:lang w:val="en-US" w:eastAsia="zh-CN"/>
        </w:rPr>
      </w:pPr>
    </w:p>
    <w:p w14:paraId="745DBA44">
      <w:pPr>
        <w:snapToGrid w:val="0"/>
        <w:spacing w:line="360" w:lineRule="auto"/>
        <w:jc w:val="center"/>
        <w:rPr>
          <w:rFonts w:hint="eastAsia" w:ascii="仿宋" w:hAnsi="仿宋" w:eastAsia="仿宋" w:cs="仿宋"/>
          <w:b/>
          <w:bCs/>
          <w:color w:val="auto"/>
          <w:sz w:val="24"/>
          <w:szCs w:val="24"/>
          <w:highlight w:val="none"/>
          <w:lang w:val="en-US" w:eastAsia="zh-CN"/>
        </w:rPr>
      </w:pPr>
    </w:p>
    <w:p w14:paraId="5A4C6798">
      <w:pPr>
        <w:snapToGrid w:val="0"/>
        <w:spacing w:line="360" w:lineRule="auto"/>
        <w:jc w:val="center"/>
        <w:rPr>
          <w:rFonts w:hint="eastAsia" w:ascii="仿宋" w:hAnsi="仿宋" w:eastAsia="仿宋" w:cs="仿宋"/>
          <w:b/>
          <w:bCs/>
          <w:color w:val="auto"/>
          <w:sz w:val="24"/>
          <w:szCs w:val="24"/>
          <w:highlight w:val="none"/>
          <w:lang w:val="en-US" w:eastAsia="zh-CN"/>
        </w:rPr>
      </w:pPr>
    </w:p>
    <w:p w14:paraId="1A691221">
      <w:pPr>
        <w:snapToGrid w:val="0"/>
        <w:spacing w:line="360" w:lineRule="auto"/>
        <w:jc w:val="center"/>
        <w:rPr>
          <w:rFonts w:hint="eastAsia" w:ascii="仿宋" w:hAnsi="仿宋" w:eastAsia="仿宋" w:cs="仿宋"/>
          <w:b/>
          <w:bCs/>
          <w:color w:val="auto"/>
          <w:sz w:val="24"/>
          <w:szCs w:val="24"/>
          <w:highlight w:val="none"/>
          <w:lang w:val="en-US" w:eastAsia="zh-CN"/>
        </w:rPr>
      </w:pPr>
    </w:p>
    <w:p w14:paraId="37D7ED52">
      <w:pPr>
        <w:snapToGrid w:val="0"/>
        <w:spacing w:line="360" w:lineRule="auto"/>
        <w:jc w:val="center"/>
        <w:rPr>
          <w:rFonts w:hint="eastAsia" w:ascii="仿宋" w:hAnsi="仿宋" w:eastAsia="仿宋" w:cs="仿宋"/>
          <w:b/>
          <w:bCs/>
          <w:color w:val="auto"/>
          <w:sz w:val="24"/>
          <w:szCs w:val="24"/>
          <w:highlight w:val="none"/>
          <w:lang w:val="en-US" w:eastAsia="zh-CN"/>
        </w:rPr>
      </w:pPr>
    </w:p>
    <w:p w14:paraId="10ADE2D1">
      <w:pPr>
        <w:snapToGrid w:val="0"/>
        <w:spacing w:line="360" w:lineRule="auto"/>
        <w:jc w:val="center"/>
        <w:rPr>
          <w:rFonts w:hint="eastAsia" w:ascii="仿宋" w:hAnsi="仿宋" w:eastAsia="仿宋" w:cs="仿宋"/>
          <w:b/>
          <w:bCs/>
          <w:color w:val="auto"/>
          <w:sz w:val="24"/>
          <w:szCs w:val="24"/>
          <w:highlight w:val="none"/>
          <w:lang w:val="en-US" w:eastAsia="zh-CN"/>
        </w:rPr>
      </w:pPr>
    </w:p>
    <w:p w14:paraId="47870E3E">
      <w:pPr>
        <w:snapToGrid w:val="0"/>
        <w:spacing w:line="360" w:lineRule="auto"/>
        <w:jc w:val="center"/>
        <w:rPr>
          <w:rFonts w:hint="eastAsia" w:ascii="仿宋" w:hAnsi="仿宋" w:eastAsia="仿宋" w:cs="仿宋"/>
          <w:b/>
          <w:bCs/>
          <w:color w:val="auto"/>
          <w:sz w:val="24"/>
          <w:szCs w:val="24"/>
          <w:highlight w:val="none"/>
          <w:lang w:val="en-US" w:eastAsia="zh-CN"/>
        </w:rPr>
      </w:pPr>
    </w:p>
    <w:p w14:paraId="13E886F7">
      <w:pPr>
        <w:pStyle w:val="4"/>
        <w:jc w:val="center"/>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法定代表人身份证明</w:t>
      </w:r>
      <w:bookmarkEnd w:id="45"/>
    </w:p>
    <w:p w14:paraId="632DA5F0">
      <w:pPr>
        <w:spacing w:line="440" w:lineRule="exact"/>
        <w:rPr>
          <w:szCs w:val="20"/>
          <w:highlight w:val="none"/>
        </w:rPr>
      </w:pPr>
    </w:p>
    <w:p w14:paraId="7D0689C3">
      <w:pPr>
        <w:spacing w:line="440" w:lineRule="exact"/>
        <w:rPr>
          <w:szCs w:val="21"/>
          <w:highlight w:val="none"/>
        </w:rPr>
      </w:pPr>
    </w:p>
    <w:p w14:paraId="77499B82">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投标人名称：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4EADF123">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单位性质：</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5B5C68DB">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r>
        <w:rPr>
          <w:rFonts w:hint="eastAsia" w:ascii="仿宋" w:hAnsi="仿宋" w:eastAsia="仿宋" w:cs="仿宋"/>
          <w:sz w:val="24"/>
          <w:szCs w:val="24"/>
          <w:highlight w:val="none"/>
          <w:u w:val="single"/>
        </w:rPr>
        <w:t xml:space="preserve">                                   </w:t>
      </w:r>
    </w:p>
    <w:p w14:paraId="0A9D1B26">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422C0F98">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3BC23330">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职务：</w:t>
      </w:r>
      <w:r>
        <w:rPr>
          <w:rFonts w:hint="eastAsia" w:ascii="仿宋" w:hAnsi="仿宋" w:eastAsia="仿宋" w:cs="仿宋"/>
          <w:sz w:val="24"/>
          <w:szCs w:val="24"/>
          <w:highlight w:val="none"/>
          <w:u w:val="single"/>
        </w:rPr>
        <w:t xml:space="preserve">        </w:t>
      </w:r>
    </w:p>
    <w:p w14:paraId="36F60DDD">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（投标人名称）的法定代表人。</w:t>
      </w:r>
    </w:p>
    <w:p w14:paraId="1ECF743B">
      <w:pPr>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40F7C37A">
      <w:pPr>
        <w:spacing w:line="440" w:lineRule="exact"/>
        <w:rPr>
          <w:rFonts w:hint="eastAsia" w:ascii="仿宋" w:hAnsi="仿宋" w:eastAsia="仿宋" w:cs="仿宋"/>
          <w:sz w:val="24"/>
          <w:szCs w:val="24"/>
          <w:highlight w:val="none"/>
        </w:rPr>
      </w:pPr>
    </w:p>
    <w:p w14:paraId="6542B92A">
      <w:pPr>
        <w:spacing w:line="440" w:lineRule="exact"/>
        <w:rPr>
          <w:rFonts w:hint="eastAsia" w:ascii="仿宋" w:hAnsi="仿宋" w:eastAsia="仿宋" w:cs="仿宋"/>
          <w:sz w:val="24"/>
          <w:szCs w:val="24"/>
          <w:highlight w:val="none"/>
        </w:rPr>
      </w:pPr>
    </w:p>
    <w:p w14:paraId="1F279F8E">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14:paraId="77FFC351">
      <w:pPr>
        <w:snapToGrid w:val="0"/>
        <w:spacing w:line="360" w:lineRule="auto"/>
        <w:ind w:firstLine="240" w:firstLineChars="100"/>
        <w:rPr>
          <w:rFonts w:ascii="仿宋" w:hAnsi="仿宋" w:eastAsia="仿宋" w:cs="仿宋"/>
          <w:sz w:val="24"/>
          <w:szCs w:val="24"/>
          <w:highlight w:val="none"/>
          <w:lang w:val="zh-CN"/>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14:paraId="75FF40A9">
      <w:pPr>
        <w:spacing w:line="440" w:lineRule="exact"/>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日期：    </w:t>
      </w:r>
    </w:p>
    <w:p w14:paraId="363CB1CE">
      <w:pPr>
        <w:spacing w:line="440" w:lineRule="exact"/>
        <w:rPr>
          <w:rFonts w:eastAsia="黑体"/>
          <w:szCs w:val="20"/>
          <w:highlight w:val="none"/>
        </w:rPr>
      </w:pPr>
    </w:p>
    <w:tbl>
      <w:tblPr>
        <w:tblStyle w:val="43"/>
        <w:tblpPr w:leftFromText="180" w:rightFromText="180" w:vertAnchor="text" w:horzAnchor="page" w:tblpX="3555" w:tblpY="968"/>
        <w:tblOverlap w:val="never"/>
        <w:tblW w:w="4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06C3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4961" w:type="dxa"/>
            <w:noWrap w:val="0"/>
            <w:vAlign w:val="center"/>
          </w:tcPr>
          <w:p w14:paraId="79347F19">
            <w:pPr>
              <w:pStyle w:val="38"/>
              <w:spacing w:line="440" w:lineRule="exact"/>
              <w:jc w:val="center"/>
              <w:rPr>
                <w:rFonts w:ascii="仿宋" w:hAnsi="仿宋" w:eastAsia="仿宋" w:cs="仿宋"/>
                <w:color w:val="auto"/>
                <w:highlight w:val="none"/>
              </w:rPr>
            </w:pPr>
            <w:r>
              <w:rPr>
                <w:rFonts w:hint="eastAsia" w:ascii="仿宋" w:hAnsi="仿宋" w:eastAsia="仿宋" w:cs="仿宋"/>
                <w:color w:val="auto"/>
                <w:kern w:val="2"/>
                <w:highlight w:val="none"/>
              </w:rPr>
              <w:t>（法定代表人身份证</w:t>
            </w:r>
            <w:r>
              <w:rPr>
                <w:rFonts w:hint="eastAsia" w:ascii="仿宋" w:hAnsi="仿宋" w:eastAsia="仿宋" w:cs="仿宋"/>
                <w:color w:val="auto"/>
                <w:kern w:val="2"/>
                <w:highlight w:val="none"/>
                <w:lang w:val="en-US" w:eastAsia="zh-CN"/>
              </w:rPr>
              <w:t>正、反面</w:t>
            </w:r>
            <w:r>
              <w:rPr>
                <w:rFonts w:hint="eastAsia" w:ascii="仿宋" w:hAnsi="仿宋" w:eastAsia="仿宋" w:cs="仿宋"/>
                <w:color w:val="auto"/>
                <w:kern w:val="2"/>
                <w:highlight w:val="none"/>
              </w:rPr>
              <w:t>扫描件）</w:t>
            </w:r>
          </w:p>
        </w:tc>
      </w:tr>
    </w:tbl>
    <w:p w14:paraId="4D7B5AF8">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br w:type="page"/>
      </w:r>
      <w:r>
        <w:rPr>
          <w:rFonts w:hint="eastAsia" w:ascii="仿宋" w:hAnsi="仿宋" w:eastAsia="仿宋" w:cs="仿宋"/>
          <w:b/>
          <w:bCs/>
          <w:sz w:val="24"/>
          <w:szCs w:val="24"/>
          <w:highlight w:val="none"/>
        </w:rPr>
        <w:t>法定代表人授权委托书</w:t>
      </w:r>
    </w:p>
    <w:p w14:paraId="5D8AF134">
      <w:pPr>
        <w:pStyle w:val="23"/>
        <w:spacing w:line="520" w:lineRule="exact"/>
        <w:ind w:firstLine="1110"/>
        <w:jc w:val="center"/>
        <w:rPr>
          <w:rFonts w:ascii="仿宋" w:hAnsi="仿宋" w:eastAsia="仿宋" w:cs="仿宋"/>
          <w:b/>
          <w:bCs/>
          <w:sz w:val="24"/>
          <w:szCs w:val="24"/>
          <w:highlight w:val="none"/>
        </w:rPr>
      </w:pPr>
    </w:p>
    <w:p w14:paraId="08F4D4F3">
      <w:pPr>
        <w:pStyle w:val="23"/>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本授权书声明：注册于</w:t>
      </w:r>
      <w:r>
        <w:rPr>
          <w:rFonts w:hint="eastAsia" w:ascii="仿宋" w:hAnsi="仿宋" w:eastAsia="仿宋" w:cs="仿宋"/>
          <w:sz w:val="24"/>
          <w:szCs w:val="24"/>
          <w:highlight w:val="none"/>
          <w:u w:val="single"/>
        </w:rPr>
        <w:t xml:space="preserve">   (国家或地区的名称)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  (公司名称)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 (法人代表姓名、职务)  </w:t>
      </w:r>
      <w:r>
        <w:rPr>
          <w:rFonts w:hint="eastAsia" w:ascii="仿宋" w:hAnsi="仿宋" w:eastAsia="仿宋" w:cs="仿宋"/>
          <w:sz w:val="24"/>
          <w:szCs w:val="24"/>
          <w:highlight w:val="none"/>
        </w:rPr>
        <w:t>，代表本公司授权</w:t>
      </w:r>
      <w:r>
        <w:rPr>
          <w:rFonts w:hint="eastAsia" w:ascii="仿宋" w:hAnsi="仿宋" w:eastAsia="仿宋" w:cs="仿宋"/>
          <w:sz w:val="24"/>
          <w:szCs w:val="24"/>
          <w:highlight w:val="none"/>
          <w:u w:val="single"/>
        </w:rPr>
        <w:t xml:space="preserve">  (被授权单位名称)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        (被授权人的姓名、职务)</w:t>
      </w:r>
      <w:r>
        <w:rPr>
          <w:rFonts w:hint="eastAsia" w:ascii="仿宋" w:hAnsi="仿宋" w:eastAsia="仿宋" w:cs="仿宋"/>
          <w:sz w:val="24"/>
          <w:szCs w:val="24"/>
          <w:highlight w:val="none"/>
        </w:rPr>
        <w:t>为本公司的合法代理人，参加编号为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号的公开招标活动，以本公司名义处理一切与之有关的事宜。</w:t>
      </w:r>
    </w:p>
    <w:p w14:paraId="2F2C3C2C">
      <w:pPr>
        <w:pStyle w:val="23"/>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如果本公司在此次</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活动中中标，被授权人有权代表本公司签署合同。</w:t>
      </w:r>
    </w:p>
    <w:p w14:paraId="4D66123D">
      <w:pPr>
        <w:pStyle w:val="23"/>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本授权书于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日法定代表人签字或盖章并由被授权人签字、单位盖章生效，特此声明。</w:t>
      </w:r>
    </w:p>
    <w:p w14:paraId="56347EAB">
      <w:pPr>
        <w:pStyle w:val="23"/>
        <w:spacing w:line="52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    被授权人无转委托权。</w:t>
      </w:r>
    </w:p>
    <w:p w14:paraId="2776F866">
      <w:pPr>
        <w:pStyle w:val="23"/>
        <w:spacing w:line="520" w:lineRule="exact"/>
        <w:ind w:firstLine="1111"/>
        <w:rPr>
          <w:rFonts w:ascii="仿宋" w:hAnsi="仿宋" w:eastAsia="仿宋" w:cs="仿宋"/>
          <w:sz w:val="24"/>
          <w:szCs w:val="24"/>
          <w:highlight w:val="none"/>
        </w:rPr>
      </w:pPr>
    </w:p>
    <w:p w14:paraId="124F4A10">
      <w:pPr>
        <w:pStyle w:val="23"/>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法定代表人签字或盖章：</w:t>
      </w:r>
    </w:p>
    <w:p w14:paraId="128756C1">
      <w:pPr>
        <w:pStyle w:val="23"/>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被授权人签字：</w:t>
      </w:r>
    </w:p>
    <w:p w14:paraId="1B164485">
      <w:pPr>
        <w:pStyle w:val="23"/>
        <w:spacing w:line="52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投标人公章:</w:t>
      </w:r>
    </w:p>
    <w:p w14:paraId="3ABA5C5A">
      <w:pPr>
        <w:pStyle w:val="23"/>
        <w:spacing w:line="520" w:lineRule="exact"/>
        <w:rPr>
          <w:rFonts w:ascii="仿宋" w:hAnsi="仿宋" w:eastAsia="仿宋" w:cs="仿宋"/>
          <w:sz w:val="24"/>
          <w:szCs w:val="24"/>
          <w:highlight w:val="none"/>
        </w:rPr>
      </w:pPr>
    </w:p>
    <w:tbl>
      <w:tblPr>
        <w:tblStyle w:val="43"/>
        <w:tblpPr w:leftFromText="180" w:rightFromText="180" w:vertAnchor="text" w:tblpXSpec="center" w:tblpY="1"/>
        <w:tblOverlap w:val="never"/>
        <w:tblW w:w="4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76AA3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4961" w:type="dxa"/>
            <w:noWrap w:val="0"/>
            <w:vAlign w:val="center"/>
          </w:tcPr>
          <w:p w14:paraId="3D784886">
            <w:pPr>
              <w:pStyle w:val="38"/>
              <w:spacing w:line="440" w:lineRule="exact"/>
              <w:jc w:val="center"/>
              <w:rPr>
                <w:rFonts w:ascii="仿宋" w:hAnsi="仿宋" w:eastAsia="仿宋" w:cs="仿宋"/>
                <w:color w:val="auto"/>
                <w:highlight w:val="none"/>
              </w:rPr>
            </w:pPr>
            <w:r>
              <w:rPr>
                <w:rFonts w:hint="eastAsia" w:ascii="仿宋" w:hAnsi="仿宋" w:eastAsia="仿宋" w:cs="仿宋"/>
                <w:color w:val="auto"/>
                <w:kern w:val="2"/>
                <w:highlight w:val="none"/>
              </w:rPr>
              <w:t>（被授权人身份证</w:t>
            </w:r>
            <w:r>
              <w:rPr>
                <w:rFonts w:hint="eastAsia" w:ascii="仿宋" w:hAnsi="仿宋" w:eastAsia="仿宋" w:cs="仿宋"/>
                <w:color w:val="auto"/>
                <w:kern w:val="2"/>
                <w:highlight w:val="none"/>
                <w:lang w:val="en-US" w:eastAsia="zh-CN"/>
              </w:rPr>
              <w:t>正、反面</w:t>
            </w:r>
            <w:r>
              <w:rPr>
                <w:rFonts w:hint="eastAsia" w:ascii="仿宋" w:hAnsi="仿宋" w:eastAsia="仿宋" w:cs="仿宋"/>
                <w:color w:val="auto"/>
                <w:kern w:val="2"/>
                <w:highlight w:val="none"/>
              </w:rPr>
              <w:t>扫描件）</w:t>
            </w:r>
          </w:p>
        </w:tc>
      </w:tr>
    </w:tbl>
    <w:p w14:paraId="3F111159">
      <w:pPr>
        <w:snapToGrid w:val="0"/>
        <w:spacing w:line="360" w:lineRule="auto"/>
        <w:ind w:firstLine="480" w:firstLineChars="200"/>
        <w:jc w:val="left"/>
        <w:rPr>
          <w:rFonts w:ascii="仿宋" w:hAnsi="仿宋" w:eastAsia="仿宋" w:cs="仿宋"/>
          <w:sz w:val="24"/>
          <w:szCs w:val="24"/>
          <w:highlight w:val="none"/>
        </w:rPr>
      </w:pPr>
    </w:p>
    <w:p w14:paraId="0A2366EE">
      <w:pPr>
        <w:snapToGrid w:val="0"/>
        <w:spacing w:line="360" w:lineRule="auto"/>
        <w:ind w:firstLine="480" w:firstLineChars="200"/>
        <w:jc w:val="left"/>
        <w:rPr>
          <w:rFonts w:ascii="仿宋" w:hAnsi="仿宋" w:eastAsia="仿宋" w:cs="仿宋"/>
          <w:sz w:val="24"/>
          <w:szCs w:val="24"/>
          <w:highlight w:val="none"/>
        </w:rPr>
      </w:pPr>
    </w:p>
    <w:p w14:paraId="178455B3">
      <w:pPr>
        <w:snapToGrid w:val="0"/>
        <w:spacing w:line="360" w:lineRule="auto"/>
        <w:ind w:firstLine="480" w:firstLineChars="200"/>
        <w:jc w:val="left"/>
        <w:rPr>
          <w:rFonts w:ascii="仿宋" w:hAnsi="仿宋" w:eastAsia="仿宋" w:cs="仿宋"/>
          <w:sz w:val="24"/>
          <w:szCs w:val="24"/>
          <w:highlight w:val="none"/>
        </w:rPr>
      </w:pPr>
    </w:p>
    <w:p w14:paraId="7746CFAD">
      <w:pPr>
        <w:snapToGrid w:val="0"/>
        <w:spacing w:line="360" w:lineRule="auto"/>
        <w:ind w:firstLine="480" w:firstLineChars="200"/>
        <w:jc w:val="left"/>
        <w:rPr>
          <w:rFonts w:ascii="仿宋" w:hAnsi="仿宋" w:eastAsia="仿宋" w:cs="仿宋"/>
          <w:sz w:val="24"/>
          <w:szCs w:val="24"/>
          <w:highlight w:val="none"/>
        </w:rPr>
      </w:pPr>
    </w:p>
    <w:p w14:paraId="48D69A17">
      <w:pPr>
        <w:snapToGrid w:val="0"/>
        <w:spacing w:line="360" w:lineRule="auto"/>
        <w:ind w:firstLine="480" w:firstLineChars="200"/>
        <w:jc w:val="left"/>
        <w:rPr>
          <w:rFonts w:ascii="仿宋" w:hAnsi="仿宋" w:eastAsia="仿宋" w:cs="仿宋"/>
          <w:sz w:val="24"/>
          <w:szCs w:val="24"/>
          <w:highlight w:val="none"/>
        </w:rPr>
      </w:pPr>
    </w:p>
    <w:p w14:paraId="636E70DA">
      <w:pPr>
        <w:snapToGrid w:val="0"/>
        <w:spacing w:line="360" w:lineRule="auto"/>
        <w:ind w:firstLine="480" w:firstLineChars="200"/>
        <w:jc w:val="left"/>
        <w:rPr>
          <w:rFonts w:ascii="仿宋" w:hAnsi="仿宋" w:eastAsia="仿宋" w:cs="仿宋"/>
          <w:sz w:val="24"/>
          <w:szCs w:val="24"/>
          <w:highlight w:val="none"/>
        </w:rPr>
      </w:pPr>
    </w:p>
    <w:p w14:paraId="57F18CE9">
      <w:pPr>
        <w:snapToGrid w:val="0"/>
        <w:spacing w:line="360" w:lineRule="auto"/>
        <w:ind w:firstLine="480" w:firstLineChars="200"/>
        <w:jc w:val="left"/>
        <w:rPr>
          <w:rFonts w:ascii="仿宋" w:hAnsi="仿宋" w:eastAsia="仿宋" w:cs="仿宋"/>
          <w:sz w:val="24"/>
          <w:szCs w:val="24"/>
          <w:highlight w:val="none"/>
        </w:rPr>
      </w:pPr>
    </w:p>
    <w:p w14:paraId="61818178">
      <w:pPr>
        <w:snapToGrid w:val="0"/>
        <w:spacing w:line="360" w:lineRule="auto"/>
        <w:ind w:firstLine="480" w:firstLineChars="200"/>
        <w:jc w:val="left"/>
        <w:rPr>
          <w:rFonts w:ascii="仿宋" w:hAnsi="仿宋" w:eastAsia="仿宋" w:cs="仿宋"/>
          <w:sz w:val="24"/>
          <w:szCs w:val="24"/>
          <w:highlight w:val="none"/>
        </w:rPr>
      </w:pPr>
    </w:p>
    <w:p w14:paraId="12FC5C3D">
      <w:pPr>
        <w:snapToGrid w:val="0"/>
        <w:spacing w:line="360" w:lineRule="auto"/>
        <w:jc w:val="both"/>
        <w:rPr>
          <w:rFonts w:hint="eastAsia" w:ascii="仿宋" w:hAnsi="仿宋" w:eastAsia="仿宋" w:cs="仿宋"/>
          <w:b/>
          <w:bCs/>
          <w:sz w:val="24"/>
          <w:szCs w:val="24"/>
          <w:highlight w:val="none"/>
        </w:rPr>
      </w:pPr>
      <w:r>
        <w:rPr>
          <w:rFonts w:hint="eastAsia" w:ascii="仿宋" w:hAnsi="仿宋" w:eastAsia="仿宋" w:cs="仿宋"/>
          <w:sz w:val="24"/>
          <w:szCs w:val="24"/>
          <w:highlight w:val="none"/>
        </w:rPr>
        <w:t>注：若由法定代表人亲自签署投标文件并参与相关活动，则无需提供授权委托书；若为授权委托代理人，则需提供授权委托书。</w:t>
      </w:r>
    </w:p>
    <w:p w14:paraId="33667920">
      <w:pPr>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r>
        <w:rPr>
          <w:rFonts w:hint="eastAsia" w:ascii="仿宋" w:hAnsi="仿宋" w:eastAsia="仿宋" w:cs="仿宋"/>
          <w:b/>
          <w:bCs/>
          <w:sz w:val="24"/>
          <w:szCs w:val="24"/>
          <w:highlight w:val="none"/>
        </w:rPr>
        <w:t>投标人参与投标的声明函</w:t>
      </w:r>
    </w:p>
    <w:p w14:paraId="18D15A8C">
      <w:pPr>
        <w:pStyle w:val="23"/>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我单位郑重承诺如下：</w:t>
      </w:r>
    </w:p>
    <w:p w14:paraId="4C29A8AD">
      <w:pPr>
        <w:pStyle w:val="23"/>
        <w:spacing w:line="520" w:lineRule="exact"/>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具有独立承担民事责任的能力</w:t>
      </w:r>
      <w:r>
        <w:rPr>
          <w:rFonts w:hint="eastAsia" w:ascii="仿宋" w:hAnsi="仿宋" w:eastAsia="仿宋" w:cs="仿宋"/>
          <w:sz w:val="24"/>
          <w:szCs w:val="24"/>
          <w:highlight w:val="none"/>
        </w:rPr>
        <w:t>；</w:t>
      </w:r>
    </w:p>
    <w:p w14:paraId="34F8DD68">
      <w:pPr>
        <w:pStyle w:val="23"/>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2、具有良好的商业信誉和健全的财务会计制度；</w:t>
      </w:r>
    </w:p>
    <w:p w14:paraId="234CE597">
      <w:pPr>
        <w:pStyle w:val="23"/>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3、具有履行合同所必须的设备和人员，并能提供优质的服务；</w:t>
      </w:r>
    </w:p>
    <w:p w14:paraId="682D6F9D">
      <w:pPr>
        <w:pStyle w:val="23"/>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4、具有依法缴纳税收和社会保障资金的良好记录；</w:t>
      </w:r>
    </w:p>
    <w:p w14:paraId="7C09B373">
      <w:pPr>
        <w:pStyle w:val="23"/>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5、参加本次</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活动前三年内，在经营活动中没有重大违法记录；</w:t>
      </w:r>
    </w:p>
    <w:p w14:paraId="1DE5B558">
      <w:pPr>
        <w:pStyle w:val="23"/>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6、我单位及法定代表人、委托代理人</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项目管理机构所有人员</w:t>
      </w:r>
      <w:r>
        <w:rPr>
          <w:rFonts w:hint="eastAsia" w:ascii="仿宋" w:hAnsi="仿宋" w:eastAsia="仿宋" w:cs="仿宋"/>
          <w:sz w:val="24"/>
          <w:szCs w:val="24"/>
          <w:highlight w:val="none"/>
        </w:rPr>
        <w:t>未被最高法院列入失信被执行人；</w:t>
      </w:r>
    </w:p>
    <w:p w14:paraId="42A7F3AC">
      <w:pPr>
        <w:pStyle w:val="23"/>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7、我单位近一年在“信用中国”或“信用中国（山东）”无严重失信记录；</w:t>
      </w:r>
    </w:p>
    <w:p w14:paraId="16C5EFE4">
      <w:pPr>
        <w:pStyle w:val="23"/>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8、我单位及其法定代表人、委托代理人</w:t>
      </w:r>
      <w:r>
        <w:rPr>
          <w:rFonts w:hint="eastAsia" w:ascii="仿宋" w:hAnsi="仿宋" w:eastAsia="仿宋" w:cs="仿宋"/>
          <w:sz w:val="24"/>
          <w:szCs w:val="24"/>
          <w:highlight w:val="none"/>
          <w:lang w:eastAsia="zh-CN"/>
        </w:rPr>
        <w:t>、项目管理机构所有人员</w:t>
      </w:r>
      <w:r>
        <w:rPr>
          <w:rFonts w:hint="eastAsia" w:ascii="仿宋" w:hAnsi="仿宋" w:eastAsia="仿宋" w:cs="仿宋"/>
          <w:sz w:val="24"/>
          <w:szCs w:val="24"/>
          <w:highlight w:val="none"/>
        </w:rPr>
        <w:t>近三年内无行贿犯罪行为记录；</w:t>
      </w:r>
    </w:p>
    <w:p w14:paraId="2F789311">
      <w:pPr>
        <w:pStyle w:val="23"/>
        <w:spacing w:line="520" w:lineRule="exact"/>
        <w:ind w:firstLine="480" w:firstLineChars="200"/>
        <w:outlineLvl w:val="1"/>
        <w:rPr>
          <w:rFonts w:hint="eastAsia" w:ascii="仿宋" w:hAnsi="仿宋" w:eastAsia="仿宋" w:cs="仿宋"/>
          <w:sz w:val="24"/>
          <w:szCs w:val="24"/>
          <w:highlight w:val="none"/>
        </w:rPr>
      </w:pPr>
      <w:bookmarkStart w:id="46" w:name="_Toc17649"/>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、我单位本次非联合体投标。</w:t>
      </w:r>
      <w:bookmarkEnd w:id="46"/>
    </w:p>
    <w:p w14:paraId="35127044">
      <w:pPr>
        <w:pStyle w:val="23"/>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如我单位中标，我单位承诺不分包或转包本项目。若我单位提供虚假承诺，我单位同意所递交的投标文件做无效投标处理，并愿意接受通报，按照有关法律法规规定接受处罚，由此造成的一切经济责任和法律责任由我单位自行承担。</w:t>
      </w:r>
    </w:p>
    <w:p w14:paraId="7515D2A7">
      <w:pPr>
        <w:snapToGrid w:val="0"/>
        <w:spacing w:line="560" w:lineRule="exact"/>
        <w:ind w:firstLine="562" w:firstLineChars="201"/>
        <w:rPr>
          <w:rFonts w:ascii="宋体" w:hAnsi="宋体"/>
          <w:sz w:val="28"/>
          <w:szCs w:val="28"/>
          <w:highlight w:val="none"/>
        </w:rPr>
      </w:pPr>
    </w:p>
    <w:p w14:paraId="5D12F80B">
      <w:pPr>
        <w:snapToGrid w:val="0"/>
        <w:spacing w:line="360" w:lineRule="auto"/>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投标单位：（盖章）</w:t>
      </w:r>
    </w:p>
    <w:p w14:paraId="0621A131">
      <w:pPr>
        <w:snapToGrid w:val="0"/>
        <w:spacing w:line="360" w:lineRule="auto"/>
        <w:ind w:firstLine="240" w:firstLineChars="100"/>
        <w:outlineLvl w:val="0"/>
        <w:rPr>
          <w:rFonts w:hint="eastAsia" w:ascii="仿宋" w:hAnsi="仿宋" w:eastAsia="仿宋" w:cs="仿宋"/>
          <w:sz w:val="24"/>
          <w:szCs w:val="24"/>
          <w:highlight w:val="none"/>
        </w:rPr>
      </w:pPr>
      <w:bookmarkStart w:id="47" w:name="_Toc3795"/>
      <w:bookmarkStart w:id="48" w:name="_Toc30184"/>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bookmarkEnd w:id="47"/>
      <w:bookmarkEnd w:id="48"/>
    </w:p>
    <w:p w14:paraId="6003B5CC">
      <w:pPr>
        <w:snapToGrid w:val="0"/>
        <w:spacing w:line="360" w:lineRule="auto"/>
        <w:ind w:firstLine="240" w:firstLineChars="100"/>
        <w:rPr>
          <w:rFonts w:hint="eastAsia" w:ascii="仿宋" w:hAnsi="仿宋" w:eastAsia="仿宋" w:cs="仿宋"/>
          <w:sz w:val="24"/>
          <w:szCs w:val="24"/>
          <w:highlight w:val="none"/>
        </w:rPr>
        <w:sectPr>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4"/>
          <w:szCs w:val="24"/>
          <w:highlight w:val="none"/>
        </w:rPr>
        <w:t>日期：</w:t>
      </w:r>
    </w:p>
    <w:p w14:paraId="25836A0A">
      <w:pPr>
        <w:snapToGrid w:val="0"/>
        <w:spacing w:line="360" w:lineRule="auto"/>
        <w:jc w:val="center"/>
        <w:rPr>
          <w:rFonts w:hint="eastAsia" w:ascii="仿宋" w:hAnsi="仿宋" w:eastAsia="仿宋" w:cs="仿宋"/>
          <w:b/>
          <w:bCs/>
          <w:sz w:val="24"/>
          <w:szCs w:val="24"/>
          <w:highlight w:val="none"/>
          <w:lang w:val="en-US" w:eastAsia="zh-CN"/>
        </w:rPr>
      </w:pPr>
      <w:bookmarkStart w:id="49" w:name="_Toc23357"/>
      <w:r>
        <w:rPr>
          <w:rFonts w:hint="eastAsia" w:ascii="仿宋" w:hAnsi="仿宋" w:eastAsia="仿宋" w:cs="仿宋"/>
          <w:b/>
          <w:bCs/>
          <w:sz w:val="24"/>
          <w:szCs w:val="24"/>
          <w:highlight w:val="none"/>
          <w:lang w:val="en-US" w:eastAsia="zh-CN"/>
        </w:rPr>
        <w:t>关联关系声明函</w:t>
      </w:r>
    </w:p>
    <w:p w14:paraId="65055EE8">
      <w:pPr>
        <w:spacing w:line="480" w:lineRule="exact"/>
        <w:rPr>
          <w:rFonts w:hint="eastAsia"/>
          <w:bCs/>
          <w:color w:val="auto"/>
          <w:highlight w:val="none"/>
        </w:rPr>
      </w:pPr>
    </w:p>
    <w:p w14:paraId="4F5CC538">
      <w:pPr>
        <w:spacing w:line="480" w:lineRule="exac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山东富尔工程咨询管理有限公司</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3B74B023">
      <w:pPr>
        <w:spacing w:line="560" w:lineRule="exact"/>
        <w:ind w:firstLine="480" w:firstLineChars="200"/>
        <w:rPr>
          <w:rFonts w:hint="eastAsia" w:ascii="仿宋" w:hAnsi="仿宋" w:eastAsia="仿宋" w:cs="仿宋"/>
          <w:color w:val="auto"/>
          <w:sz w:val="24"/>
          <w:szCs w:val="24"/>
          <w:highlight w:val="none"/>
        </w:rPr>
      </w:pPr>
    </w:p>
    <w:p w14:paraId="5981726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关联单位的说明：</w:t>
      </w:r>
    </w:p>
    <w:p w14:paraId="15A56A5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1.与我公司单位负责人为同一人的其他单位为：</w:t>
      </w:r>
    </w:p>
    <w:p w14:paraId="6BB0A5AA">
      <w:pPr>
        <w:spacing w:line="560" w:lineRule="exact"/>
        <w:rPr>
          <w:rFonts w:hint="eastAsia" w:ascii="仿宋" w:hAnsi="仿宋" w:eastAsia="仿宋" w:cs="仿宋"/>
          <w:color w:val="auto"/>
          <w:sz w:val="24"/>
          <w:szCs w:val="24"/>
          <w:highlight w:val="none"/>
        </w:rPr>
      </w:pPr>
    </w:p>
    <w:p w14:paraId="507B6D37">
      <w:pPr>
        <w:spacing w:line="560" w:lineRule="exact"/>
        <w:rPr>
          <w:rFonts w:hint="eastAsia" w:ascii="仿宋" w:hAnsi="仿宋" w:eastAsia="仿宋" w:cs="仿宋"/>
          <w:color w:val="auto"/>
          <w:sz w:val="24"/>
          <w:szCs w:val="24"/>
          <w:highlight w:val="none"/>
        </w:rPr>
      </w:pPr>
    </w:p>
    <w:p w14:paraId="3456705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2.与我公司存在直接控股、管理关系的其他单位为：</w:t>
      </w:r>
    </w:p>
    <w:p w14:paraId="48E99FFD">
      <w:pPr>
        <w:spacing w:line="560" w:lineRule="exact"/>
        <w:rPr>
          <w:rFonts w:hint="eastAsia" w:ascii="仿宋" w:hAnsi="仿宋" w:eastAsia="仿宋" w:cs="仿宋"/>
          <w:color w:val="auto"/>
          <w:sz w:val="24"/>
          <w:szCs w:val="24"/>
          <w:highlight w:val="none"/>
        </w:rPr>
      </w:pPr>
    </w:p>
    <w:p w14:paraId="1B7A4916">
      <w:pPr>
        <w:spacing w:line="560" w:lineRule="exact"/>
        <w:rPr>
          <w:rFonts w:hint="eastAsia" w:ascii="仿宋" w:hAnsi="仿宋" w:eastAsia="仿宋" w:cs="仿宋"/>
          <w:color w:val="auto"/>
          <w:sz w:val="24"/>
          <w:szCs w:val="24"/>
          <w:highlight w:val="none"/>
        </w:rPr>
      </w:pPr>
    </w:p>
    <w:p w14:paraId="30F52D69">
      <w:pPr>
        <w:pStyle w:val="13"/>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以上声明完全属实，如有瞒报、虚报，我公司自行承担因此产生的所有法律责任。</w:t>
      </w:r>
    </w:p>
    <w:p w14:paraId="22D73672">
      <w:pPr>
        <w:pStyle w:val="13"/>
        <w:spacing w:line="360" w:lineRule="auto"/>
        <w:ind w:left="0" w:leftChars="0" w:firstLine="0" w:firstLineChars="0"/>
        <w:jc w:val="center"/>
        <w:rPr>
          <w:rFonts w:hint="eastAsia" w:ascii="仿宋" w:hAnsi="仿宋" w:eastAsia="仿宋" w:cs="仿宋"/>
          <w:color w:val="auto"/>
          <w:sz w:val="24"/>
          <w:szCs w:val="24"/>
          <w:highlight w:val="none"/>
        </w:rPr>
      </w:pPr>
    </w:p>
    <w:p w14:paraId="533157C0">
      <w:pPr>
        <w:pStyle w:val="13"/>
        <w:spacing w:line="360" w:lineRule="auto"/>
        <w:ind w:left="0" w:leftChars="0" w:firstLine="0" w:firstLineChars="0"/>
        <w:jc w:val="center"/>
        <w:rPr>
          <w:rFonts w:hint="eastAsia" w:ascii="仿宋" w:hAnsi="仿宋" w:eastAsia="仿宋" w:cs="仿宋"/>
          <w:color w:val="auto"/>
          <w:sz w:val="24"/>
          <w:szCs w:val="24"/>
          <w:highlight w:val="none"/>
        </w:rPr>
      </w:pPr>
    </w:p>
    <w:p w14:paraId="2FC981AD">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14:paraId="6B5BB9D9">
      <w:pPr>
        <w:snapToGrid w:val="0"/>
        <w:spacing w:line="360" w:lineRule="auto"/>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14:paraId="237FBA56">
      <w:pPr>
        <w:pStyle w:val="13"/>
        <w:spacing w:line="360" w:lineRule="auto"/>
        <w:ind w:left="0" w:lef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p w14:paraId="039998FD">
      <w:pPr>
        <w:snapToGrid w:val="0"/>
        <w:spacing w:line="360" w:lineRule="auto"/>
        <w:jc w:val="left"/>
        <w:rPr>
          <w:rFonts w:hint="eastAsia" w:ascii="仿宋" w:hAnsi="仿宋" w:eastAsia="仿宋" w:cs="仿宋"/>
          <w:b/>
          <w:bCs/>
          <w:sz w:val="24"/>
          <w:szCs w:val="24"/>
          <w:highlight w:val="none"/>
        </w:rPr>
      </w:pPr>
      <w:r>
        <w:rPr>
          <w:rFonts w:ascii="仿宋" w:hAnsi="仿宋" w:eastAsia="仿宋"/>
          <w:highlight w:val="none"/>
        </w:rPr>
        <w:br w:type="page"/>
      </w:r>
      <w:bookmarkEnd w:id="49"/>
      <w:r>
        <w:rPr>
          <w:rFonts w:hint="eastAsia" w:ascii="仿宋" w:hAnsi="仿宋" w:eastAsia="仿宋" w:cs="仿宋"/>
          <w:b/>
          <w:bCs/>
          <w:sz w:val="24"/>
          <w:szCs w:val="24"/>
          <w:highlight w:val="none"/>
        </w:rPr>
        <w:t>交纳投标保证金的证明材料（两者缺一不可）：（1）企业银行基本账户开户证明（如开户许可证或银行开户证明等）、（2）电汇凭证或电子汇款截图扫描件。</w:t>
      </w:r>
    </w:p>
    <w:p w14:paraId="716F2DAD">
      <w:pPr>
        <w:snapToGrid w:val="0"/>
        <w:spacing w:line="360" w:lineRule="auto"/>
        <w:jc w:val="center"/>
        <w:rPr>
          <w:rFonts w:hint="eastAsia" w:ascii="仿宋" w:hAnsi="仿宋" w:eastAsia="仿宋" w:cs="仿宋"/>
          <w:b/>
          <w:bCs/>
          <w:sz w:val="36"/>
          <w:szCs w:val="36"/>
          <w:highlight w:val="none"/>
        </w:rPr>
      </w:pPr>
    </w:p>
    <w:p w14:paraId="73B628B4">
      <w:pPr>
        <w:snapToGrid w:val="0"/>
        <w:spacing w:line="360" w:lineRule="auto"/>
        <w:jc w:val="center"/>
        <w:rPr>
          <w:rFonts w:hint="eastAsia" w:ascii="仿宋" w:hAnsi="仿宋" w:eastAsia="仿宋" w:cs="仿宋"/>
          <w:b/>
          <w:bCs/>
          <w:sz w:val="36"/>
          <w:szCs w:val="36"/>
          <w:highlight w:val="none"/>
        </w:rPr>
      </w:pPr>
    </w:p>
    <w:p w14:paraId="5A526950">
      <w:pPr>
        <w:snapToGrid w:val="0"/>
        <w:spacing w:line="360" w:lineRule="auto"/>
        <w:jc w:val="center"/>
        <w:rPr>
          <w:rFonts w:hint="eastAsia" w:ascii="仿宋" w:hAnsi="仿宋" w:eastAsia="仿宋" w:cs="仿宋"/>
          <w:b/>
          <w:bCs/>
          <w:sz w:val="36"/>
          <w:szCs w:val="36"/>
          <w:highlight w:val="none"/>
        </w:rPr>
      </w:pPr>
    </w:p>
    <w:p w14:paraId="45399E31">
      <w:pPr>
        <w:snapToGrid w:val="0"/>
        <w:spacing w:line="360" w:lineRule="auto"/>
        <w:jc w:val="center"/>
        <w:rPr>
          <w:rFonts w:hint="eastAsia" w:ascii="仿宋" w:hAnsi="仿宋" w:eastAsia="仿宋" w:cs="仿宋"/>
          <w:b/>
          <w:bCs/>
          <w:sz w:val="36"/>
          <w:szCs w:val="36"/>
          <w:highlight w:val="none"/>
        </w:rPr>
      </w:pPr>
    </w:p>
    <w:p w14:paraId="58659255">
      <w:pPr>
        <w:snapToGrid w:val="0"/>
        <w:spacing w:line="360" w:lineRule="auto"/>
        <w:jc w:val="center"/>
        <w:rPr>
          <w:rFonts w:hint="eastAsia" w:ascii="仿宋" w:hAnsi="仿宋" w:eastAsia="仿宋" w:cs="仿宋"/>
          <w:b/>
          <w:bCs/>
          <w:sz w:val="36"/>
          <w:szCs w:val="36"/>
          <w:highlight w:val="none"/>
        </w:rPr>
      </w:pPr>
    </w:p>
    <w:p w14:paraId="320789CD">
      <w:pPr>
        <w:snapToGrid w:val="0"/>
        <w:spacing w:line="360" w:lineRule="auto"/>
        <w:jc w:val="center"/>
        <w:rPr>
          <w:rFonts w:hint="eastAsia" w:ascii="仿宋" w:hAnsi="仿宋" w:eastAsia="仿宋" w:cs="仿宋"/>
          <w:b/>
          <w:bCs/>
          <w:sz w:val="36"/>
          <w:szCs w:val="36"/>
          <w:highlight w:val="none"/>
        </w:rPr>
      </w:pPr>
    </w:p>
    <w:p w14:paraId="305E79C9">
      <w:pPr>
        <w:snapToGrid w:val="0"/>
        <w:spacing w:line="360" w:lineRule="auto"/>
        <w:jc w:val="center"/>
        <w:rPr>
          <w:rFonts w:hint="eastAsia" w:ascii="仿宋" w:hAnsi="仿宋" w:eastAsia="仿宋" w:cs="仿宋"/>
          <w:b/>
          <w:bCs/>
          <w:sz w:val="36"/>
          <w:szCs w:val="36"/>
          <w:highlight w:val="none"/>
        </w:rPr>
      </w:pPr>
    </w:p>
    <w:p w14:paraId="6B8C2ACE">
      <w:pPr>
        <w:snapToGrid w:val="0"/>
        <w:spacing w:line="360" w:lineRule="auto"/>
        <w:jc w:val="center"/>
        <w:rPr>
          <w:rFonts w:hint="eastAsia" w:ascii="仿宋" w:hAnsi="仿宋" w:eastAsia="仿宋" w:cs="仿宋"/>
          <w:b/>
          <w:bCs/>
          <w:sz w:val="36"/>
          <w:szCs w:val="36"/>
          <w:highlight w:val="none"/>
        </w:rPr>
      </w:pPr>
    </w:p>
    <w:p w14:paraId="4D9636EC">
      <w:pPr>
        <w:snapToGrid w:val="0"/>
        <w:spacing w:line="360" w:lineRule="auto"/>
        <w:jc w:val="center"/>
        <w:rPr>
          <w:rFonts w:hint="eastAsia" w:ascii="仿宋" w:hAnsi="仿宋" w:eastAsia="仿宋" w:cs="仿宋"/>
          <w:b/>
          <w:bCs/>
          <w:sz w:val="36"/>
          <w:szCs w:val="36"/>
          <w:highlight w:val="none"/>
        </w:rPr>
      </w:pPr>
    </w:p>
    <w:p w14:paraId="6B58C37E">
      <w:pPr>
        <w:snapToGrid w:val="0"/>
        <w:spacing w:line="360" w:lineRule="auto"/>
        <w:jc w:val="center"/>
        <w:rPr>
          <w:rFonts w:hint="eastAsia" w:ascii="仿宋" w:hAnsi="仿宋" w:eastAsia="仿宋" w:cs="仿宋"/>
          <w:b/>
          <w:bCs/>
          <w:sz w:val="36"/>
          <w:szCs w:val="36"/>
          <w:highlight w:val="none"/>
        </w:rPr>
      </w:pPr>
    </w:p>
    <w:p w14:paraId="5E6F03D8">
      <w:pPr>
        <w:snapToGrid w:val="0"/>
        <w:spacing w:line="360" w:lineRule="auto"/>
        <w:jc w:val="center"/>
        <w:rPr>
          <w:rFonts w:hint="eastAsia" w:ascii="仿宋" w:hAnsi="仿宋" w:eastAsia="仿宋" w:cs="仿宋"/>
          <w:b/>
          <w:bCs/>
          <w:sz w:val="36"/>
          <w:szCs w:val="36"/>
          <w:highlight w:val="none"/>
        </w:rPr>
      </w:pPr>
    </w:p>
    <w:p w14:paraId="06751313">
      <w:pPr>
        <w:snapToGrid w:val="0"/>
        <w:spacing w:line="360" w:lineRule="auto"/>
        <w:jc w:val="center"/>
        <w:rPr>
          <w:rFonts w:hint="eastAsia" w:ascii="仿宋" w:hAnsi="仿宋" w:eastAsia="仿宋" w:cs="仿宋"/>
          <w:b/>
          <w:bCs/>
          <w:sz w:val="36"/>
          <w:szCs w:val="36"/>
          <w:highlight w:val="none"/>
        </w:rPr>
      </w:pPr>
    </w:p>
    <w:p w14:paraId="505539A6">
      <w:pPr>
        <w:snapToGrid w:val="0"/>
        <w:spacing w:line="360" w:lineRule="auto"/>
        <w:jc w:val="center"/>
        <w:rPr>
          <w:rFonts w:hint="eastAsia" w:ascii="仿宋" w:hAnsi="仿宋" w:eastAsia="仿宋" w:cs="仿宋"/>
          <w:b/>
          <w:bCs/>
          <w:sz w:val="36"/>
          <w:szCs w:val="36"/>
          <w:highlight w:val="none"/>
        </w:rPr>
      </w:pPr>
    </w:p>
    <w:p w14:paraId="75145A0F">
      <w:pPr>
        <w:snapToGrid w:val="0"/>
        <w:spacing w:line="360" w:lineRule="auto"/>
        <w:jc w:val="center"/>
        <w:rPr>
          <w:rFonts w:hint="eastAsia" w:ascii="仿宋" w:hAnsi="仿宋" w:eastAsia="仿宋" w:cs="仿宋"/>
          <w:b/>
          <w:bCs/>
          <w:sz w:val="36"/>
          <w:szCs w:val="36"/>
          <w:highlight w:val="none"/>
        </w:rPr>
      </w:pPr>
    </w:p>
    <w:p w14:paraId="4F0056A2">
      <w:pPr>
        <w:snapToGrid w:val="0"/>
        <w:spacing w:line="360" w:lineRule="auto"/>
        <w:jc w:val="center"/>
        <w:rPr>
          <w:rFonts w:hint="eastAsia" w:ascii="仿宋" w:hAnsi="仿宋" w:eastAsia="仿宋" w:cs="仿宋"/>
          <w:b/>
          <w:bCs/>
          <w:sz w:val="36"/>
          <w:szCs w:val="36"/>
          <w:highlight w:val="none"/>
        </w:rPr>
      </w:pPr>
    </w:p>
    <w:p w14:paraId="42135468">
      <w:pPr>
        <w:snapToGrid w:val="0"/>
        <w:spacing w:line="360" w:lineRule="auto"/>
        <w:jc w:val="center"/>
        <w:rPr>
          <w:rFonts w:hint="eastAsia" w:ascii="仿宋" w:hAnsi="仿宋" w:eastAsia="仿宋" w:cs="仿宋"/>
          <w:b/>
          <w:bCs/>
          <w:sz w:val="36"/>
          <w:szCs w:val="36"/>
          <w:highlight w:val="none"/>
        </w:rPr>
      </w:pPr>
    </w:p>
    <w:p w14:paraId="41A829D0">
      <w:pPr>
        <w:snapToGrid w:val="0"/>
        <w:spacing w:line="360" w:lineRule="auto"/>
        <w:jc w:val="center"/>
        <w:rPr>
          <w:rFonts w:hint="eastAsia" w:ascii="仿宋" w:hAnsi="仿宋" w:eastAsia="仿宋" w:cs="仿宋"/>
          <w:b/>
          <w:bCs/>
          <w:sz w:val="36"/>
          <w:szCs w:val="36"/>
          <w:highlight w:val="none"/>
        </w:rPr>
      </w:pPr>
    </w:p>
    <w:p w14:paraId="0E3BE5B7">
      <w:pPr>
        <w:snapToGrid w:val="0"/>
        <w:spacing w:line="360" w:lineRule="auto"/>
        <w:jc w:val="center"/>
        <w:rPr>
          <w:rFonts w:hint="eastAsia" w:ascii="仿宋" w:hAnsi="仿宋" w:eastAsia="仿宋" w:cs="仿宋"/>
          <w:b/>
          <w:bCs/>
          <w:sz w:val="36"/>
          <w:szCs w:val="36"/>
          <w:highlight w:val="none"/>
        </w:rPr>
      </w:pPr>
    </w:p>
    <w:p w14:paraId="4D8EEA6C">
      <w:pPr>
        <w:snapToGrid w:val="0"/>
        <w:spacing w:line="5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t>投标人及其法定代表人、委托代理人、项目管理机构所有人员未被最高法院</w:t>
      </w:r>
      <w:r>
        <w:rPr>
          <w:rFonts w:hint="eastAsia" w:ascii="仿宋" w:hAnsi="仿宋" w:eastAsia="仿宋" w:cs="仿宋"/>
          <w:b/>
          <w:bCs/>
          <w:sz w:val="24"/>
          <w:szCs w:val="24"/>
          <w:highlight w:val="none"/>
        </w:rPr>
        <w:t>（查询网址为：</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"http://zxgk.court.gov.cn/shixin/）列入失信被执行人。" </w:instrText>
      </w:r>
      <w:r>
        <w:rPr>
          <w:rFonts w:hint="eastAsia" w:ascii="仿宋" w:hAnsi="仿宋" w:eastAsia="仿宋" w:cs="仿宋"/>
          <w:b/>
          <w:bCs/>
          <w:sz w:val="24"/>
          <w:szCs w:val="24"/>
          <w:highlight w:val="none"/>
        </w:rPr>
        <w:fldChar w:fldCharType="separate"/>
      </w:r>
      <w:r>
        <w:rPr>
          <w:rStyle w:val="54"/>
          <w:rFonts w:ascii="仿宋" w:hAnsi="仿宋" w:eastAsia="仿宋" w:cs="仿宋"/>
          <w:b/>
          <w:bCs/>
          <w:sz w:val="24"/>
          <w:szCs w:val="24"/>
          <w:highlight w:val="none"/>
        </w:rPr>
        <w:t>http://zxgk.court.gov.cn/shixin/）列入失信被执行人查询截图</w:t>
      </w:r>
      <w:r>
        <w:rPr>
          <w:rFonts w:hint="eastAsia" w:ascii="仿宋" w:hAnsi="仿宋" w:eastAsia="仿宋" w:cs="仿宋"/>
          <w:b/>
          <w:bCs/>
          <w:sz w:val="24"/>
          <w:szCs w:val="24"/>
          <w:highlight w:val="none"/>
        </w:rPr>
        <w:fldChar w:fldCharType="end"/>
      </w:r>
    </w:p>
    <w:p w14:paraId="585359E7">
      <w:pPr>
        <w:pStyle w:val="2"/>
        <w:rPr>
          <w:rFonts w:hint="eastAsia"/>
          <w:highlight w:val="none"/>
        </w:rPr>
      </w:pPr>
    </w:p>
    <w:p w14:paraId="2D92F43E">
      <w:pPr>
        <w:pStyle w:val="25"/>
        <w:ind w:left="5250"/>
        <w:rPr>
          <w:rFonts w:hint="eastAsia"/>
          <w:highlight w:val="none"/>
        </w:rPr>
      </w:pPr>
    </w:p>
    <w:p w14:paraId="79A11DAC">
      <w:pPr>
        <w:rPr>
          <w:rFonts w:hint="eastAsia"/>
          <w:highlight w:val="none"/>
        </w:rPr>
      </w:pPr>
    </w:p>
    <w:p w14:paraId="6CD0A2E4">
      <w:pPr>
        <w:pStyle w:val="2"/>
        <w:rPr>
          <w:rFonts w:hint="eastAsia"/>
          <w:highlight w:val="none"/>
        </w:rPr>
      </w:pPr>
    </w:p>
    <w:p w14:paraId="3B29E560">
      <w:pPr>
        <w:pStyle w:val="25"/>
        <w:ind w:left="5250"/>
        <w:rPr>
          <w:rFonts w:hint="eastAsia"/>
          <w:highlight w:val="none"/>
        </w:rPr>
      </w:pPr>
    </w:p>
    <w:p w14:paraId="45DFB42A">
      <w:pPr>
        <w:rPr>
          <w:rFonts w:hint="eastAsia"/>
          <w:highlight w:val="none"/>
        </w:rPr>
      </w:pPr>
    </w:p>
    <w:p w14:paraId="3BE9D84F">
      <w:pPr>
        <w:pStyle w:val="2"/>
        <w:rPr>
          <w:rFonts w:hint="eastAsia"/>
          <w:highlight w:val="none"/>
        </w:rPr>
      </w:pPr>
    </w:p>
    <w:p w14:paraId="404CBB3C">
      <w:pPr>
        <w:pStyle w:val="25"/>
        <w:ind w:left="5250"/>
        <w:rPr>
          <w:rFonts w:hint="eastAsia"/>
          <w:highlight w:val="none"/>
        </w:rPr>
      </w:pPr>
    </w:p>
    <w:p w14:paraId="2B79A774">
      <w:pPr>
        <w:rPr>
          <w:rFonts w:hint="eastAsia"/>
          <w:highlight w:val="none"/>
        </w:rPr>
      </w:pPr>
    </w:p>
    <w:p w14:paraId="03857961">
      <w:pPr>
        <w:pStyle w:val="2"/>
        <w:rPr>
          <w:rFonts w:hint="eastAsia"/>
          <w:highlight w:val="none"/>
        </w:rPr>
      </w:pPr>
    </w:p>
    <w:p w14:paraId="6BAB713D">
      <w:pPr>
        <w:pStyle w:val="25"/>
        <w:ind w:left="5250"/>
        <w:rPr>
          <w:rFonts w:hint="eastAsia"/>
          <w:highlight w:val="none"/>
        </w:rPr>
      </w:pPr>
    </w:p>
    <w:p w14:paraId="507C12BD">
      <w:pPr>
        <w:rPr>
          <w:rFonts w:hint="eastAsia"/>
          <w:highlight w:val="none"/>
        </w:rPr>
      </w:pPr>
    </w:p>
    <w:p w14:paraId="0324D091">
      <w:pPr>
        <w:pStyle w:val="2"/>
        <w:rPr>
          <w:rFonts w:hint="eastAsia"/>
          <w:highlight w:val="none"/>
        </w:rPr>
      </w:pPr>
    </w:p>
    <w:p w14:paraId="7557CDAC">
      <w:pPr>
        <w:pStyle w:val="25"/>
        <w:ind w:left="5250"/>
        <w:rPr>
          <w:rFonts w:hint="eastAsia"/>
          <w:highlight w:val="none"/>
        </w:rPr>
      </w:pPr>
    </w:p>
    <w:p w14:paraId="599A6722">
      <w:pPr>
        <w:rPr>
          <w:rFonts w:hint="eastAsia"/>
          <w:highlight w:val="none"/>
        </w:rPr>
      </w:pPr>
    </w:p>
    <w:p w14:paraId="3D0CB1AB">
      <w:pPr>
        <w:pStyle w:val="2"/>
        <w:rPr>
          <w:rFonts w:hint="eastAsia"/>
          <w:highlight w:val="none"/>
        </w:rPr>
      </w:pPr>
    </w:p>
    <w:p w14:paraId="2C680EB6">
      <w:pPr>
        <w:pStyle w:val="25"/>
        <w:ind w:left="5250"/>
        <w:rPr>
          <w:rFonts w:hint="eastAsia"/>
          <w:highlight w:val="none"/>
        </w:rPr>
      </w:pPr>
    </w:p>
    <w:p w14:paraId="65CEA841">
      <w:pPr>
        <w:rPr>
          <w:rFonts w:hint="eastAsia"/>
          <w:highlight w:val="none"/>
        </w:rPr>
      </w:pPr>
    </w:p>
    <w:p w14:paraId="19FBA5A6">
      <w:pPr>
        <w:pStyle w:val="2"/>
        <w:rPr>
          <w:rFonts w:hint="eastAsia"/>
          <w:highlight w:val="none"/>
        </w:rPr>
      </w:pPr>
    </w:p>
    <w:p w14:paraId="6C177581">
      <w:pPr>
        <w:pStyle w:val="25"/>
        <w:ind w:left="5250"/>
        <w:rPr>
          <w:rFonts w:hint="eastAsia"/>
          <w:highlight w:val="none"/>
        </w:rPr>
      </w:pPr>
    </w:p>
    <w:p w14:paraId="3E6AAC8E">
      <w:pPr>
        <w:snapToGrid w:val="0"/>
        <w:spacing w:line="560" w:lineRule="exact"/>
        <w:ind w:firstLine="482" w:firstLineChars="201"/>
        <w:jc w:val="lef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注：</w:t>
      </w:r>
      <w:r>
        <w:rPr>
          <w:rFonts w:ascii="仿宋" w:hAnsi="仿宋" w:eastAsia="仿宋" w:cs="仿宋"/>
          <w:color w:val="000000"/>
          <w:sz w:val="24"/>
          <w:szCs w:val="24"/>
          <w:highlight w:val="none"/>
        </w:rPr>
        <w:t>附通过网站查询信息记录，包含投标人及其法定代表人、授权委托代理人</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项目管理机构所有人员</w:t>
      </w:r>
      <w:r>
        <w:rPr>
          <w:rFonts w:ascii="仿宋" w:hAnsi="仿宋" w:eastAsia="仿宋" w:cs="仿宋"/>
          <w:color w:val="000000"/>
          <w:sz w:val="24"/>
          <w:szCs w:val="24"/>
          <w:highlight w:val="none"/>
        </w:rPr>
        <w:t>失信被执行人情况网页截图（省份为全部）</w:t>
      </w:r>
    </w:p>
    <w:p w14:paraId="1F7553C9">
      <w:pPr>
        <w:rPr>
          <w:rFonts w:hint="eastAsia"/>
          <w:highlight w:val="none"/>
        </w:rPr>
      </w:pPr>
    </w:p>
    <w:p w14:paraId="6002171B">
      <w:pPr>
        <w:pStyle w:val="2"/>
        <w:rPr>
          <w:rFonts w:hint="eastAsia"/>
          <w:highlight w:val="none"/>
        </w:rPr>
      </w:pPr>
    </w:p>
    <w:p w14:paraId="3CF00CE1">
      <w:pPr>
        <w:pStyle w:val="2"/>
        <w:jc w:val="center"/>
        <w:rPr>
          <w:rFonts w:hint="eastAsia" w:ascii="仿宋" w:hAnsi="仿宋" w:eastAsia="仿宋" w:cs="仿宋"/>
          <w:b/>
          <w:bCs/>
          <w:kern w:val="2"/>
          <w:sz w:val="24"/>
          <w:highlight w:val="none"/>
        </w:rPr>
      </w:pPr>
      <w:r>
        <w:rPr>
          <w:rFonts w:hint="eastAsia" w:ascii="仿宋" w:hAnsi="仿宋" w:eastAsia="仿宋" w:cs="仿宋"/>
          <w:b/>
          <w:bCs/>
          <w:sz w:val="24"/>
          <w:highlight w:val="none"/>
        </w:rPr>
        <w:br w:type="page"/>
      </w:r>
      <w:r>
        <w:rPr>
          <w:rFonts w:hint="eastAsia" w:ascii="仿宋" w:hAnsi="仿宋" w:eastAsia="仿宋" w:cs="仿宋"/>
          <w:b/>
          <w:bCs/>
          <w:kern w:val="2"/>
          <w:sz w:val="24"/>
          <w:highlight w:val="none"/>
        </w:rPr>
        <w:t>投标人近一年无严重失信记录</w:t>
      </w:r>
    </w:p>
    <w:p w14:paraId="5759F806">
      <w:pPr>
        <w:snapToGrid w:val="0"/>
        <w:spacing w:line="560" w:lineRule="exact"/>
        <w:ind w:firstLine="482" w:firstLineChars="201"/>
        <w:jc w:val="lef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附通过信用中国（查询网址：</w:t>
      </w:r>
      <w:r>
        <w:rPr>
          <w:rFonts w:ascii="仿宋" w:hAnsi="仿宋" w:eastAsia="仿宋" w:cs="仿宋"/>
          <w:color w:val="000000"/>
          <w:sz w:val="24"/>
          <w:szCs w:val="24"/>
          <w:highlight w:val="none"/>
        </w:rPr>
        <w:t>https://www.creditchina.gov.cn）或信用中国（山东）（https://credit.shandong.gov.cn）查询的信用报告</w:t>
      </w:r>
    </w:p>
    <w:p w14:paraId="69BE2237">
      <w:pPr>
        <w:pStyle w:val="13"/>
        <w:rPr>
          <w:rFonts w:hint="eastAsia" w:ascii="仿宋" w:hAnsi="仿宋" w:eastAsia="仿宋" w:cs="仿宋"/>
          <w:b/>
          <w:bCs/>
          <w:color w:val="000000"/>
          <w:sz w:val="24"/>
          <w:szCs w:val="24"/>
          <w:highlight w:val="none"/>
          <w:lang w:val="en-US" w:eastAsia="zh-CN"/>
        </w:rPr>
      </w:pPr>
    </w:p>
    <w:p w14:paraId="149FB082">
      <w:pPr>
        <w:pStyle w:val="13"/>
        <w:rPr>
          <w:rFonts w:hint="eastAsia" w:ascii="仿宋" w:hAnsi="仿宋" w:eastAsia="仿宋" w:cs="仿宋"/>
          <w:b/>
          <w:bCs/>
          <w:color w:val="000000"/>
          <w:sz w:val="24"/>
          <w:szCs w:val="24"/>
          <w:highlight w:val="none"/>
          <w:lang w:val="en-US" w:eastAsia="zh-CN"/>
        </w:rPr>
      </w:pPr>
    </w:p>
    <w:p w14:paraId="47AA6A5E">
      <w:pPr>
        <w:pStyle w:val="13"/>
        <w:spacing w:line="360" w:lineRule="auto"/>
        <w:rPr>
          <w:rFonts w:hint="eastAsia" w:ascii="仿宋" w:hAnsi="仿宋" w:eastAsia="仿宋" w:cs="仿宋"/>
          <w:b/>
          <w:bCs/>
          <w:color w:val="000000"/>
          <w:sz w:val="24"/>
          <w:szCs w:val="24"/>
          <w:highlight w:val="none"/>
          <w:lang w:val="en-US" w:eastAsia="zh-CN"/>
        </w:rPr>
      </w:pPr>
    </w:p>
    <w:p w14:paraId="71AEA065">
      <w:pPr>
        <w:snapToGrid w:val="0"/>
        <w:spacing w:line="360" w:lineRule="auto"/>
        <w:jc w:val="center"/>
        <w:rPr>
          <w:rFonts w:hint="eastAsia" w:ascii="仿宋" w:hAnsi="仿宋" w:eastAsia="仿宋" w:cs="仿宋"/>
          <w:b/>
          <w:bCs/>
          <w:sz w:val="24"/>
          <w:szCs w:val="24"/>
          <w:highlight w:val="none"/>
        </w:rPr>
      </w:pPr>
    </w:p>
    <w:p w14:paraId="31C730A6">
      <w:pPr>
        <w:snapToGrid w:val="0"/>
        <w:spacing w:line="360" w:lineRule="auto"/>
        <w:jc w:val="center"/>
        <w:rPr>
          <w:rFonts w:hint="eastAsia" w:ascii="仿宋" w:hAnsi="仿宋" w:eastAsia="仿宋" w:cs="仿宋"/>
          <w:b/>
          <w:bCs/>
          <w:sz w:val="24"/>
          <w:szCs w:val="24"/>
          <w:highlight w:val="none"/>
        </w:rPr>
      </w:pPr>
    </w:p>
    <w:p w14:paraId="4FA8EE61">
      <w:pPr>
        <w:snapToGrid w:val="0"/>
        <w:spacing w:line="360" w:lineRule="auto"/>
        <w:jc w:val="center"/>
        <w:rPr>
          <w:rFonts w:hint="eastAsia" w:ascii="仿宋" w:hAnsi="仿宋" w:eastAsia="仿宋" w:cs="仿宋"/>
          <w:b/>
          <w:bCs/>
          <w:sz w:val="24"/>
          <w:szCs w:val="24"/>
          <w:highlight w:val="none"/>
        </w:rPr>
      </w:pPr>
    </w:p>
    <w:p w14:paraId="32C2664F">
      <w:pPr>
        <w:snapToGrid w:val="0"/>
        <w:spacing w:line="360" w:lineRule="auto"/>
        <w:jc w:val="center"/>
        <w:rPr>
          <w:rFonts w:hint="eastAsia" w:ascii="仿宋" w:hAnsi="仿宋" w:eastAsia="仿宋" w:cs="仿宋"/>
          <w:b/>
          <w:bCs/>
          <w:sz w:val="24"/>
          <w:szCs w:val="24"/>
          <w:highlight w:val="none"/>
        </w:rPr>
      </w:pPr>
    </w:p>
    <w:p w14:paraId="6AA7DF82">
      <w:pPr>
        <w:snapToGrid w:val="0"/>
        <w:spacing w:line="360" w:lineRule="auto"/>
        <w:jc w:val="center"/>
        <w:rPr>
          <w:rFonts w:hint="eastAsia" w:ascii="仿宋" w:hAnsi="仿宋" w:eastAsia="仿宋" w:cs="仿宋"/>
          <w:b/>
          <w:bCs/>
          <w:sz w:val="24"/>
          <w:szCs w:val="24"/>
          <w:highlight w:val="none"/>
        </w:rPr>
      </w:pPr>
    </w:p>
    <w:p w14:paraId="5999F429">
      <w:pPr>
        <w:snapToGrid w:val="0"/>
        <w:spacing w:line="360" w:lineRule="auto"/>
        <w:jc w:val="center"/>
        <w:rPr>
          <w:rFonts w:hint="eastAsia" w:ascii="仿宋" w:hAnsi="仿宋" w:eastAsia="仿宋" w:cs="仿宋"/>
          <w:b/>
          <w:bCs/>
          <w:sz w:val="24"/>
          <w:szCs w:val="24"/>
          <w:highlight w:val="none"/>
        </w:rPr>
      </w:pPr>
    </w:p>
    <w:p w14:paraId="18C52BAC">
      <w:pPr>
        <w:snapToGrid w:val="0"/>
        <w:spacing w:line="360" w:lineRule="auto"/>
        <w:jc w:val="center"/>
        <w:rPr>
          <w:rFonts w:hint="eastAsia" w:ascii="仿宋" w:hAnsi="仿宋" w:eastAsia="仿宋" w:cs="仿宋"/>
          <w:b/>
          <w:bCs/>
          <w:sz w:val="24"/>
          <w:szCs w:val="24"/>
          <w:highlight w:val="none"/>
        </w:rPr>
      </w:pPr>
    </w:p>
    <w:p w14:paraId="5EAD9AF1">
      <w:pPr>
        <w:pStyle w:val="37"/>
        <w:rPr>
          <w:rFonts w:hint="eastAsia" w:ascii="仿宋" w:hAnsi="仿宋" w:eastAsia="仿宋" w:cs="仿宋"/>
          <w:b/>
          <w:bCs/>
          <w:sz w:val="24"/>
          <w:szCs w:val="24"/>
          <w:highlight w:val="none"/>
        </w:rPr>
      </w:pPr>
    </w:p>
    <w:p w14:paraId="51CF4606">
      <w:pPr>
        <w:pStyle w:val="37"/>
        <w:rPr>
          <w:rFonts w:hint="eastAsia" w:ascii="仿宋" w:hAnsi="仿宋" w:eastAsia="仿宋" w:cs="仿宋"/>
          <w:b/>
          <w:bCs/>
          <w:sz w:val="24"/>
          <w:szCs w:val="24"/>
          <w:highlight w:val="none"/>
        </w:rPr>
      </w:pPr>
    </w:p>
    <w:p w14:paraId="722BF1CB">
      <w:pPr>
        <w:pStyle w:val="37"/>
        <w:rPr>
          <w:rFonts w:hint="eastAsia" w:ascii="仿宋" w:hAnsi="仿宋" w:eastAsia="仿宋" w:cs="仿宋"/>
          <w:b/>
          <w:bCs/>
          <w:sz w:val="24"/>
          <w:szCs w:val="24"/>
          <w:highlight w:val="none"/>
        </w:rPr>
      </w:pPr>
    </w:p>
    <w:p w14:paraId="1E1D772B">
      <w:pPr>
        <w:pStyle w:val="37"/>
        <w:rPr>
          <w:rFonts w:hint="eastAsia" w:ascii="仿宋" w:hAnsi="仿宋" w:eastAsia="仿宋" w:cs="仿宋"/>
          <w:b/>
          <w:bCs/>
          <w:sz w:val="24"/>
          <w:szCs w:val="24"/>
          <w:highlight w:val="none"/>
        </w:rPr>
      </w:pPr>
    </w:p>
    <w:p w14:paraId="739301BB">
      <w:pPr>
        <w:pStyle w:val="37"/>
        <w:rPr>
          <w:rFonts w:hint="eastAsia" w:ascii="仿宋" w:hAnsi="仿宋" w:eastAsia="仿宋" w:cs="仿宋"/>
          <w:b/>
          <w:bCs/>
          <w:sz w:val="24"/>
          <w:szCs w:val="24"/>
          <w:highlight w:val="none"/>
        </w:rPr>
      </w:pPr>
    </w:p>
    <w:p w14:paraId="07F8D6A7">
      <w:pPr>
        <w:pStyle w:val="37"/>
        <w:rPr>
          <w:rFonts w:hint="eastAsia" w:ascii="仿宋" w:hAnsi="仿宋" w:eastAsia="仿宋" w:cs="仿宋"/>
          <w:b/>
          <w:bCs/>
          <w:sz w:val="24"/>
          <w:szCs w:val="24"/>
          <w:highlight w:val="none"/>
        </w:rPr>
      </w:pPr>
    </w:p>
    <w:p w14:paraId="0A4E0663">
      <w:pPr>
        <w:pStyle w:val="37"/>
        <w:rPr>
          <w:rFonts w:hint="eastAsia" w:ascii="仿宋" w:hAnsi="仿宋" w:eastAsia="仿宋" w:cs="仿宋"/>
          <w:b/>
          <w:bCs/>
          <w:sz w:val="24"/>
          <w:szCs w:val="24"/>
          <w:highlight w:val="none"/>
        </w:rPr>
      </w:pPr>
    </w:p>
    <w:p w14:paraId="5B2C68F9">
      <w:pPr>
        <w:snapToGrid w:val="0"/>
        <w:spacing w:line="560" w:lineRule="exact"/>
        <w:ind w:firstLine="482" w:firstLineChars="201"/>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注：近一年是指2025年1月1日至查询日止，查询日期不早于招标文件开始获取日期。</w:t>
      </w:r>
    </w:p>
    <w:p w14:paraId="5C5AF077">
      <w:pPr>
        <w:snapToGrid w:val="0"/>
        <w:spacing w:line="560" w:lineRule="exact"/>
        <w:ind w:firstLine="482" w:firstLineChars="201"/>
        <w:jc w:val="left"/>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此报告亦可用于商务标企业信用的评审依据，无需重复提供。</w:t>
      </w:r>
    </w:p>
    <w:p w14:paraId="1DDCB949">
      <w:pPr>
        <w:snapToGrid w:val="0"/>
        <w:spacing w:line="360" w:lineRule="auto"/>
        <w:jc w:val="both"/>
        <w:rPr>
          <w:rFonts w:hint="eastAsia" w:ascii="仿宋" w:hAnsi="仿宋" w:eastAsia="仿宋" w:cs="仿宋"/>
          <w:b/>
          <w:bCs/>
          <w:sz w:val="24"/>
          <w:szCs w:val="24"/>
          <w:highlight w:val="none"/>
        </w:rPr>
      </w:pPr>
    </w:p>
    <w:p w14:paraId="01AF17BA">
      <w:pPr>
        <w:snapToGrid w:val="0"/>
        <w:spacing w:line="360" w:lineRule="auto"/>
        <w:jc w:val="center"/>
        <w:rPr>
          <w:rFonts w:hint="eastAsia" w:ascii="仿宋" w:hAnsi="仿宋" w:eastAsia="仿宋" w:cs="仿宋"/>
          <w:b/>
          <w:bCs/>
          <w:sz w:val="24"/>
          <w:szCs w:val="24"/>
          <w:highlight w:val="none"/>
        </w:rPr>
      </w:pPr>
    </w:p>
    <w:p w14:paraId="6A85A672">
      <w:pPr>
        <w:snapToGrid w:val="0"/>
        <w:spacing w:line="360" w:lineRule="auto"/>
        <w:jc w:val="center"/>
        <w:rPr>
          <w:rFonts w:hint="eastAsia" w:ascii="仿宋" w:hAnsi="仿宋" w:eastAsia="仿宋" w:cs="仿宋"/>
          <w:b/>
          <w:bCs/>
          <w:sz w:val="24"/>
          <w:szCs w:val="24"/>
          <w:highlight w:val="none"/>
        </w:rPr>
      </w:pPr>
    </w:p>
    <w:p w14:paraId="1C66A05D">
      <w:pPr>
        <w:snapToGrid w:val="0"/>
        <w:spacing w:line="360" w:lineRule="auto"/>
        <w:jc w:val="center"/>
        <w:rPr>
          <w:rFonts w:hint="eastAsia" w:ascii="仿宋" w:hAnsi="仿宋" w:eastAsia="仿宋" w:cs="仿宋"/>
          <w:b/>
          <w:bCs/>
          <w:sz w:val="24"/>
          <w:szCs w:val="24"/>
          <w:highlight w:val="none"/>
        </w:rPr>
      </w:pPr>
    </w:p>
    <w:p w14:paraId="5D0CDD44">
      <w:pPr>
        <w:snapToGrid w:val="0"/>
        <w:spacing w:line="360" w:lineRule="auto"/>
        <w:jc w:val="center"/>
        <w:rPr>
          <w:rFonts w:hint="eastAsia" w:ascii="仿宋" w:hAnsi="仿宋" w:eastAsia="仿宋" w:cs="仿宋"/>
          <w:b/>
          <w:bCs/>
          <w:sz w:val="24"/>
          <w:szCs w:val="24"/>
          <w:highlight w:val="none"/>
        </w:rPr>
      </w:pPr>
    </w:p>
    <w:p w14:paraId="168AAB7E">
      <w:pPr>
        <w:snapToGrid w:val="0"/>
        <w:spacing w:line="360" w:lineRule="auto"/>
        <w:jc w:val="center"/>
        <w:rPr>
          <w:rFonts w:hint="eastAsia" w:ascii="仿宋" w:hAnsi="仿宋" w:eastAsia="仿宋" w:cs="仿宋"/>
          <w:b/>
          <w:bCs/>
          <w:sz w:val="24"/>
          <w:szCs w:val="24"/>
          <w:highlight w:val="none"/>
        </w:rPr>
      </w:pPr>
    </w:p>
    <w:p w14:paraId="04781351">
      <w:pPr>
        <w:snapToGrid w:val="0"/>
        <w:spacing w:line="360" w:lineRule="auto"/>
        <w:jc w:val="both"/>
        <w:rPr>
          <w:rFonts w:hint="eastAsia" w:ascii="仿宋" w:hAnsi="仿宋" w:eastAsia="仿宋" w:cs="仿宋"/>
          <w:b/>
          <w:bCs/>
          <w:sz w:val="24"/>
          <w:szCs w:val="24"/>
          <w:highlight w:val="none"/>
        </w:rPr>
      </w:pPr>
    </w:p>
    <w:p w14:paraId="1003FEC5">
      <w:pPr>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r>
        <w:rPr>
          <w:rFonts w:hint="eastAsia" w:ascii="仿宋" w:hAnsi="仿宋" w:eastAsia="仿宋" w:cs="仿宋"/>
          <w:b/>
          <w:bCs/>
          <w:sz w:val="24"/>
          <w:szCs w:val="24"/>
          <w:highlight w:val="none"/>
        </w:rPr>
        <w:t>投标人认为需要提供的其他资质资格证明文件</w:t>
      </w:r>
    </w:p>
    <w:p w14:paraId="63C56A01">
      <w:pPr>
        <w:snapToGrid w:val="0"/>
        <w:spacing w:line="360" w:lineRule="auto"/>
        <w:ind w:left="559" w:leftChars="266" w:firstLine="2400" w:firstLineChars="1000"/>
        <w:jc w:val="left"/>
        <w:rPr>
          <w:rFonts w:ascii="仿宋" w:hAnsi="仿宋" w:eastAsia="仿宋" w:cs="仿宋"/>
          <w:sz w:val="24"/>
          <w:szCs w:val="24"/>
          <w:highlight w:val="none"/>
        </w:rPr>
      </w:pPr>
    </w:p>
    <w:p w14:paraId="0E30849E">
      <w:pPr>
        <w:snapToGrid w:val="0"/>
        <w:spacing w:line="360" w:lineRule="auto"/>
        <w:ind w:left="559" w:leftChars="266" w:firstLine="2400" w:firstLineChars="1000"/>
        <w:jc w:val="left"/>
        <w:rPr>
          <w:rFonts w:ascii="仿宋" w:hAnsi="仿宋" w:eastAsia="仿宋" w:cs="仿宋"/>
          <w:sz w:val="24"/>
          <w:szCs w:val="24"/>
          <w:highlight w:val="none"/>
        </w:rPr>
      </w:pPr>
    </w:p>
    <w:p w14:paraId="5B6F6AB0">
      <w:pPr>
        <w:snapToGrid w:val="0"/>
        <w:spacing w:line="360" w:lineRule="auto"/>
        <w:ind w:left="559" w:leftChars="266" w:firstLine="2400" w:firstLineChars="1000"/>
        <w:jc w:val="left"/>
        <w:rPr>
          <w:rFonts w:ascii="仿宋" w:hAnsi="仿宋" w:eastAsia="仿宋" w:cs="仿宋"/>
          <w:sz w:val="24"/>
          <w:szCs w:val="24"/>
          <w:highlight w:val="none"/>
        </w:rPr>
      </w:pPr>
    </w:p>
    <w:p w14:paraId="4E68CCC0">
      <w:pPr>
        <w:snapToGrid w:val="0"/>
        <w:spacing w:line="360" w:lineRule="auto"/>
        <w:ind w:left="559" w:leftChars="266" w:firstLine="2400" w:firstLineChars="1000"/>
        <w:jc w:val="left"/>
        <w:rPr>
          <w:rFonts w:ascii="仿宋" w:hAnsi="仿宋" w:eastAsia="仿宋" w:cs="仿宋"/>
          <w:sz w:val="24"/>
          <w:szCs w:val="24"/>
          <w:highlight w:val="none"/>
        </w:rPr>
      </w:pPr>
    </w:p>
    <w:p w14:paraId="22D7ED49">
      <w:pPr>
        <w:snapToGrid w:val="0"/>
        <w:spacing w:line="360" w:lineRule="auto"/>
        <w:ind w:left="559" w:leftChars="266" w:firstLine="2400" w:firstLineChars="1000"/>
        <w:jc w:val="left"/>
        <w:rPr>
          <w:rFonts w:ascii="仿宋" w:hAnsi="仿宋" w:eastAsia="仿宋" w:cs="仿宋"/>
          <w:sz w:val="24"/>
          <w:szCs w:val="24"/>
          <w:highlight w:val="none"/>
        </w:rPr>
      </w:pPr>
    </w:p>
    <w:p w14:paraId="7B447ED2">
      <w:pPr>
        <w:snapToGrid w:val="0"/>
        <w:spacing w:line="360" w:lineRule="auto"/>
        <w:ind w:left="559" w:leftChars="266" w:firstLine="2400" w:firstLineChars="1000"/>
        <w:jc w:val="left"/>
        <w:rPr>
          <w:rFonts w:ascii="仿宋" w:hAnsi="仿宋" w:eastAsia="仿宋" w:cs="仿宋"/>
          <w:sz w:val="24"/>
          <w:szCs w:val="24"/>
          <w:highlight w:val="none"/>
        </w:rPr>
      </w:pPr>
    </w:p>
    <w:p w14:paraId="7BA9286D">
      <w:pPr>
        <w:pStyle w:val="37"/>
        <w:rPr>
          <w:rFonts w:ascii="仿宋" w:hAnsi="仿宋" w:eastAsia="仿宋" w:cs="仿宋"/>
          <w:szCs w:val="24"/>
          <w:highlight w:val="none"/>
        </w:rPr>
      </w:pPr>
    </w:p>
    <w:p w14:paraId="2926DD56">
      <w:pPr>
        <w:pStyle w:val="37"/>
        <w:rPr>
          <w:rFonts w:ascii="仿宋" w:hAnsi="仿宋" w:eastAsia="仿宋" w:cs="仿宋"/>
          <w:szCs w:val="24"/>
          <w:highlight w:val="none"/>
        </w:rPr>
      </w:pPr>
    </w:p>
    <w:p w14:paraId="3BFEFD3E">
      <w:pPr>
        <w:pStyle w:val="37"/>
        <w:rPr>
          <w:rFonts w:ascii="仿宋" w:hAnsi="仿宋" w:eastAsia="仿宋" w:cs="仿宋"/>
          <w:szCs w:val="24"/>
          <w:highlight w:val="none"/>
        </w:rPr>
      </w:pPr>
    </w:p>
    <w:p w14:paraId="71357CCA">
      <w:pPr>
        <w:pStyle w:val="37"/>
        <w:rPr>
          <w:rFonts w:ascii="仿宋" w:hAnsi="仿宋" w:eastAsia="仿宋" w:cs="仿宋"/>
          <w:szCs w:val="24"/>
          <w:highlight w:val="none"/>
        </w:rPr>
      </w:pPr>
    </w:p>
    <w:p w14:paraId="62BFF6EF">
      <w:pPr>
        <w:pStyle w:val="37"/>
        <w:rPr>
          <w:rFonts w:ascii="仿宋" w:hAnsi="仿宋" w:eastAsia="仿宋" w:cs="仿宋"/>
          <w:szCs w:val="24"/>
          <w:highlight w:val="none"/>
        </w:rPr>
      </w:pPr>
    </w:p>
    <w:p w14:paraId="17CB42CF">
      <w:pPr>
        <w:pStyle w:val="37"/>
        <w:rPr>
          <w:rFonts w:ascii="仿宋" w:hAnsi="仿宋" w:eastAsia="仿宋" w:cs="仿宋"/>
          <w:szCs w:val="24"/>
          <w:highlight w:val="none"/>
        </w:rPr>
      </w:pPr>
    </w:p>
    <w:p w14:paraId="625F860D">
      <w:pPr>
        <w:pStyle w:val="37"/>
        <w:rPr>
          <w:rFonts w:ascii="仿宋" w:hAnsi="仿宋" w:eastAsia="仿宋" w:cs="仿宋"/>
          <w:szCs w:val="24"/>
          <w:highlight w:val="none"/>
        </w:rPr>
      </w:pPr>
    </w:p>
    <w:p w14:paraId="0AF78DA1">
      <w:pPr>
        <w:pStyle w:val="37"/>
        <w:rPr>
          <w:rFonts w:ascii="仿宋" w:hAnsi="仿宋" w:eastAsia="仿宋" w:cs="仿宋"/>
          <w:szCs w:val="24"/>
          <w:highlight w:val="none"/>
        </w:rPr>
      </w:pPr>
    </w:p>
    <w:p w14:paraId="2B8C0061">
      <w:pPr>
        <w:pStyle w:val="37"/>
        <w:rPr>
          <w:rFonts w:ascii="仿宋" w:hAnsi="仿宋" w:eastAsia="仿宋" w:cs="仿宋"/>
          <w:szCs w:val="24"/>
          <w:highlight w:val="none"/>
        </w:rPr>
      </w:pPr>
    </w:p>
    <w:p w14:paraId="3F301FE7">
      <w:pPr>
        <w:pStyle w:val="37"/>
        <w:rPr>
          <w:rFonts w:ascii="仿宋" w:hAnsi="仿宋" w:eastAsia="仿宋" w:cs="仿宋"/>
          <w:szCs w:val="24"/>
          <w:highlight w:val="none"/>
        </w:rPr>
      </w:pPr>
    </w:p>
    <w:p w14:paraId="242D83ED">
      <w:pPr>
        <w:spacing w:line="360" w:lineRule="exact"/>
        <w:ind w:right="1120"/>
        <w:rPr>
          <w:rFonts w:hint="eastAsia" w:ascii="仿宋" w:hAnsi="仿宋" w:eastAsia="仿宋" w:cs="仿宋"/>
          <w:sz w:val="24"/>
          <w:highlight w:val="none"/>
        </w:rPr>
      </w:pPr>
    </w:p>
    <w:p w14:paraId="78D913A2">
      <w:pPr>
        <w:spacing w:line="360" w:lineRule="exact"/>
        <w:ind w:right="1120"/>
        <w:rPr>
          <w:rFonts w:hint="eastAsia" w:ascii="仿宋" w:hAnsi="仿宋" w:eastAsia="仿宋" w:cs="仿宋"/>
          <w:sz w:val="24"/>
          <w:highlight w:val="none"/>
        </w:rPr>
      </w:pPr>
    </w:p>
    <w:p w14:paraId="2462AB80">
      <w:pPr>
        <w:spacing w:line="360" w:lineRule="exact"/>
        <w:ind w:right="1120" w:firstLine="3000" w:firstLineChars="1250"/>
        <w:rPr>
          <w:rFonts w:hint="eastAsia" w:ascii="仿宋" w:hAnsi="仿宋" w:eastAsia="仿宋" w:cs="仿宋"/>
          <w:sz w:val="24"/>
          <w:highlight w:val="none"/>
        </w:rPr>
      </w:pPr>
    </w:p>
    <w:p w14:paraId="2910F098">
      <w:pPr>
        <w:spacing w:line="360" w:lineRule="exact"/>
        <w:ind w:right="1120" w:firstLine="3000" w:firstLineChars="1250"/>
        <w:rPr>
          <w:rFonts w:hint="eastAsia" w:ascii="仿宋" w:hAnsi="仿宋" w:eastAsia="仿宋" w:cs="仿宋"/>
          <w:sz w:val="24"/>
          <w:highlight w:val="none"/>
        </w:rPr>
      </w:pPr>
    </w:p>
    <w:p w14:paraId="25A605B2">
      <w:pPr>
        <w:spacing w:line="360" w:lineRule="exact"/>
        <w:ind w:right="1120" w:firstLine="3000" w:firstLineChars="1250"/>
        <w:rPr>
          <w:rFonts w:hint="eastAsia" w:ascii="仿宋" w:hAnsi="仿宋" w:eastAsia="仿宋" w:cs="仿宋"/>
          <w:sz w:val="24"/>
          <w:highlight w:val="none"/>
        </w:rPr>
      </w:pPr>
    </w:p>
    <w:p w14:paraId="4D950159">
      <w:pPr>
        <w:spacing w:line="360" w:lineRule="exact"/>
        <w:ind w:right="1120" w:firstLine="3000" w:firstLineChars="1250"/>
        <w:rPr>
          <w:rFonts w:hint="eastAsia" w:ascii="仿宋" w:hAnsi="仿宋" w:eastAsia="仿宋" w:cs="仿宋"/>
          <w:sz w:val="24"/>
          <w:highlight w:val="none"/>
        </w:rPr>
      </w:pPr>
    </w:p>
    <w:p w14:paraId="6B711A22">
      <w:pPr>
        <w:spacing w:line="360" w:lineRule="exact"/>
        <w:ind w:right="1120"/>
        <w:jc w:val="left"/>
        <w:rPr>
          <w:rFonts w:hint="eastAsia" w:ascii="仿宋" w:hAnsi="仿宋" w:eastAsia="仿宋" w:cs="仿宋"/>
          <w:sz w:val="24"/>
          <w:highlight w:val="none"/>
        </w:rPr>
      </w:pPr>
      <w:r>
        <w:rPr>
          <w:rFonts w:hint="eastAsia" w:ascii="仿宋" w:hAnsi="仿宋" w:eastAsia="仿宋" w:cs="仿宋"/>
          <w:sz w:val="24"/>
          <w:szCs w:val="24"/>
          <w:highlight w:val="none"/>
        </w:rPr>
        <w:t>投标单位：（盖章）</w:t>
      </w:r>
      <w:r>
        <w:rPr>
          <w:rFonts w:hint="eastAsia" w:ascii="仿宋" w:hAnsi="仿宋" w:eastAsia="仿宋" w:cs="仿宋"/>
          <w:sz w:val="24"/>
          <w:highlight w:val="none"/>
        </w:rPr>
        <w:t xml:space="preserve"> </w:t>
      </w:r>
    </w:p>
    <w:p w14:paraId="7F2C5033">
      <w:pPr>
        <w:pStyle w:val="75"/>
        <w:ind w:left="480" w:firstLine="0"/>
        <w:rPr>
          <w:rFonts w:ascii="仿宋" w:hAnsi="仿宋" w:eastAsia="仿宋" w:cs="仿宋"/>
          <w:bCs/>
          <w:szCs w:val="24"/>
          <w:highlight w:val="none"/>
        </w:rPr>
      </w:pPr>
    </w:p>
    <w:p w14:paraId="50BF691E">
      <w:pPr>
        <w:pStyle w:val="75"/>
        <w:ind w:firstLine="0"/>
        <w:rPr>
          <w:rFonts w:ascii="仿宋" w:hAnsi="仿宋" w:eastAsia="仿宋" w:cs="仿宋"/>
          <w:bCs/>
          <w:szCs w:val="24"/>
          <w:highlight w:val="none"/>
        </w:rPr>
      </w:pPr>
    </w:p>
    <w:p w14:paraId="07CDE5A3">
      <w:pPr>
        <w:pStyle w:val="75"/>
        <w:ind w:left="480" w:firstLine="0"/>
        <w:rPr>
          <w:rFonts w:ascii="仿宋" w:hAnsi="仿宋" w:eastAsia="仿宋" w:cs="仿宋"/>
          <w:bCs/>
          <w:szCs w:val="24"/>
          <w:highlight w:val="none"/>
        </w:rPr>
      </w:pPr>
    </w:p>
    <w:p w14:paraId="17869CA0">
      <w:pPr>
        <w:pStyle w:val="23"/>
        <w:tabs>
          <w:tab w:val="left" w:pos="580"/>
        </w:tabs>
        <w:ind w:right="560"/>
        <w:jc w:val="center"/>
        <w:rPr>
          <w:rFonts w:hint="eastAsia" w:ascii="仿宋" w:hAnsi="仿宋" w:eastAsia="仿宋" w:cs="仿宋"/>
          <w:b/>
          <w:bCs/>
          <w:sz w:val="36"/>
          <w:szCs w:val="36"/>
          <w:highlight w:val="none"/>
        </w:rPr>
      </w:pPr>
    </w:p>
    <w:p w14:paraId="28527769">
      <w:pPr>
        <w:pStyle w:val="23"/>
        <w:tabs>
          <w:tab w:val="left" w:pos="580"/>
        </w:tabs>
        <w:ind w:right="560"/>
        <w:jc w:val="center"/>
        <w:rPr>
          <w:rFonts w:hint="eastAsia" w:ascii="仿宋" w:hAnsi="仿宋" w:eastAsia="仿宋" w:cs="仿宋"/>
          <w:b/>
          <w:bCs/>
          <w:sz w:val="36"/>
          <w:szCs w:val="36"/>
          <w:highlight w:val="none"/>
        </w:rPr>
      </w:pPr>
    </w:p>
    <w:p w14:paraId="68FFD66B">
      <w:pPr>
        <w:pStyle w:val="23"/>
        <w:tabs>
          <w:tab w:val="left" w:pos="580"/>
        </w:tabs>
        <w:ind w:right="560"/>
        <w:jc w:val="center"/>
        <w:rPr>
          <w:rFonts w:hint="eastAsia" w:ascii="仿宋" w:hAnsi="仿宋" w:eastAsia="仿宋" w:cs="仿宋"/>
          <w:b/>
          <w:bCs/>
          <w:sz w:val="36"/>
          <w:szCs w:val="36"/>
          <w:highlight w:val="none"/>
        </w:rPr>
      </w:pPr>
    </w:p>
    <w:p w14:paraId="3DFD0BC7">
      <w:pPr>
        <w:pStyle w:val="23"/>
        <w:tabs>
          <w:tab w:val="left" w:pos="580"/>
        </w:tabs>
        <w:ind w:right="560"/>
        <w:jc w:val="center"/>
        <w:rPr>
          <w:rFonts w:hint="eastAsia" w:ascii="仿宋" w:hAnsi="仿宋" w:eastAsia="仿宋" w:cs="仿宋"/>
          <w:b/>
          <w:bCs/>
          <w:sz w:val="36"/>
          <w:szCs w:val="36"/>
          <w:highlight w:val="none"/>
        </w:rPr>
      </w:pPr>
    </w:p>
    <w:p w14:paraId="566A80DB">
      <w:pPr>
        <w:pStyle w:val="23"/>
        <w:tabs>
          <w:tab w:val="left" w:pos="580"/>
        </w:tabs>
        <w:ind w:right="560"/>
        <w:jc w:val="center"/>
        <w:rPr>
          <w:rFonts w:hint="eastAsia" w:ascii="仿宋" w:hAnsi="仿宋" w:eastAsia="仿宋" w:cs="仿宋"/>
          <w:b/>
          <w:bCs/>
          <w:sz w:val="36"/>
          <w:szCs w:val="36"/>
          <w:highlight w:val="none"/>
        </w:rPr>
      </w:pPr>
    </w:p>
    <w:p w14:paraId="262059BD">
      <w:pPr>
        <w:pStyle w:val="23"/>
        <w:tabs>
          <w:tab w:val="left" w:pos="580"/>
          <w:tab w:val="left" w:pos="8400"/>
        </w:tabs>
        <w:ind w:right="100" w:rightChars="0"/>
        <w:jc w:val="center"/>
        <w:rPr>
          <w:rFonts w:ascii="仿宋" w:hAnsi="仿宋" w:eastAsia="仿宋" w:cs="仿宋"/>
          <w:b/>
          <w:bCs/>
          <w:sz w:val="36"/>
          <w:szCs w:val="36"/>
          <w:highlight w:val="none"/>
        </w:rPr>
      </w:pPr>
      <w:r>
        <w:rPr>
          <w:rFonts w:hint="eastAsia" w:ascii="仿宋" w:hAnsi="仿宋" w:eastAsia="仿宋" w:cs="仿宋"/>
          <w:b/>
          <w:bCs/>
          <w:sz w:val="36"/>
          <w:szCs w:val="36"/>
          <w:highlight w:val="none"/>
        </w:rPr>
        <w:br w:type="page"/>
      </w:r>
      <w:r>
        <w:rPr>
          <w:rFonts w:hint="eastAsia" w:ascii="仿宋" w:hAnsi="仿宋" w:eastAsia="仿宋" w:cs="仿宋"/>
          <w:b/>
          <w:bCs/>
          <w:sz w:val="30"/>
          <w:szCs w:val="30"/>
          <w:highlight w:val="none"/>
        </w:rPr>
        <w:t>投标人基本情况表</w:t>
      </w:r>
    </w:p>
    <w:tbl>
      <w:tblPr>
        <w:tblStyle w:val="43"/>
        <w:tblW w:w="9720" w:type="dxa"/>
        <w:jc w:val="center"/>
        <w:tblLayout w:type="fixed"/>
        <w:tblCellMar>
          <w:top w:w="0" w:type="dxa"/>
          <w:left w:w="108" w:type="dxa"/>
          <w:bottom w:w="0" w:type="dxa"/>
          <w:right w:w="108" w:type="dxa"/>
        </w:tblCellMar>
      </w:tblPr>
      <w:tblGrid>
        <w:gridCol w:w="1960"/>
        <w:gridCol w:w="1218"/>
        <w:gridCol w:w="879"/>
        <w:gridCol w:w="1430"/>
        <w:gridCol w:w="353"/>
        <w:gridCol w:w="1399"/>
        <w:gridCol w:w="379"/>
        <w:gridCol w:w="975"/>
        <w:gridCol w:w="1127"/>
      </w:tblGrid>
      <w:tr w14:paraId="72EFAE15">
        <w:tblPrEx>
          <w:tblCellMar>
            <w:top w:w="0" w:type="dxa"/>
            <w:left w:w="108" w:type="dxa"/>
            <w:bottom w:w="0" w:type="dxa"/>
            <w:right w:w="108" w:type="dxa"/>
          </w:tblCellMar>
        </w:tblPrEx>
        <w:trPr>
          <w:trHeight w:val="512" w:hRule="atLeast"/>
          <w:jc w:val="center"/>
        </w:trPr>
        <w:tc>
          <w:tcPr>
            <w:tcW w:w="1960" w:type="dxa"/>
            <w:tcBorders>
              <w:top w:val="single" w:color="auto" w:sz="4" w:space="0"/>
              <w:left w:val="single" w:color="auto" w:sz="4" w:space="0"/>
              <w:bottom w:val="single" w:color="auto" w:sz="4" w:space="0"/>
              <w:right w:val="single" w:color="auto" w:sz="4" w:space="0"/>
            </w:tcBorders>
            <w:noWrap w:val="0"/>
            <w:vAlign w:val="center"/>
          </w:tcPr>
          <w:p w14:paraId="497A1643">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投标单位名称</w:t>
            </w:r>
          </w:p>
        </w:tc>
        <w:tc>
          <w:tcPr>
            <w:tcW w:w="7760" w:type="dxa"/>
            <w:gridSpan w:val="8"/>
            <w:tcBorders>
              <w:top w:val="single" w:color="auto" w:sz="4" w:space="0"/>
              <w:left w:val="nil"/>
              <w:bottom w:val="single" w:color="auto" w:sz="4" w:space="0"/>
              <w:right w:val="single" w:color="auto" w:sz="4" w:space="0"/>
            </w:tcBorders>
            <w:noWrap w:val="0"/>
            <w:vAlign w:val="center"/>
          </w:tcPr>
          <w:p w14:paraId="23280CBF">
            <w:pPr>
              <w:topLinePunct/>
              <w:snapToGrid w:val="0"/>
              <w:spacing w:line="240" w:lineRule="atLeast"/>
              <w:jc w:val="center"/>
              <w:rPr>
                <w:rFonts w:ascii="仿宋" w:hAnsi="仿宋" w:eastAsia="仿宋" w:cs="仿宋"/>
                <w:sz w:val="24"/>
                <w:szCs w:val="24"/>
                <w:highlight w:val="none"/>
              </w:rPr>
            </w:pPr>
          </w:p>
        </w:tc>
      </w:tr>
      <w:tr w14:paraId="64152C56">
        <w:tblPrEx>
          <w:tblCellMar>
            <w:top w:w="0" w:type="dxa"/>
            <w:left w:w="108" w:type="dxa"/>
            <w:bottom w:w="0" w:type="dxa"/>
            <w:right w:w="108" w:type="dxa"/>
          </w:tblCellMar>
        </w:tblPrEx>
        <w:trPr>
          <w:trHeight w:val="643" w:hRule="atLeast"/>
          <w:jc w:val="center"/>
        </w:trPr>
        <w:tc>
          <w:tcPr>
            <w:tcW w:w="1960" w:type="dxa"/>
            <w:tcBorders>
              <w:top w:val="single" w:color="auto" w:sz="4" w:space="0"/>
              <w:left w:val="single" w:color="auto" w:sz="4" w:space="0"/>
              <w:bottom w:val="single" w:color="auto" w:sz="4" w:space="0"/>
              <w:right w:val="single" w:color="auto" w:sz="4" w:space="0"/>
            </w:tcBorders>
            <w:noWrap w:val="0"/>
            <w:vAlign w:val="center"/>
          </w:tcPr>
          <w:p w14:paraId="71623884">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注册地址</w:t>
            </w:r>
          </w:p>
        </w:tc>
        <w:tc>
          <w:tcPr>
            <w:tcW w:w="3880" w:type="dxa"/>
            <w:gridSpan w:val="4"/>
            <w:tcBorders>
              <w:top w:val="single" w:color="auto" w:sz="4" w:space="0"/>
              <w:left w:val="nil"/>
              <w:bottom w:val="single" w:color="auto" w:sz="4" w:space="0"/>
              <w:right w:val="single" w:color="auto" w:sz="4" w:space="0"/>
            </w:tcBorders>
            <w:noWrap w:val="0"/>
            <w:vAlign w:val="center"/>
          </w:tcPr>
          <w:p w14:paraId="355F4EC8">
            <w:pPr>
              <w:topLinePunct/>
              <w:snapToGrid w:val="0"/>
              <w:spacing w:line="240" w:lineRule="atLeast"/>
              <w:jc w:val="center"/>
              <w:rPr>
                <w:rFonts w:ascii="仿宋" w:hAnsi="仿宋" w:eastAsia="仿宋" w:cs="仿宋"/>
                <w:sz w:val="24"/>
                <w:szCs w:val="24"/>
                <w:highlight w:val="none"/>
              </w:rPr>
            </w:pPr>
          </w:p>
        </w:tc>
        <w:tc>
          <w:tcPr>
            <w:tcW w:w="1399" w:type="dxa"/>
            <w:tcBorders>
              <w:top w:val="single" w:color="auto" w:sz="4" w:space="0"/>
              <w:left w:val="nil"/>
              <w:bottom w:val="single" w:color="auto" w:sz="4" w:space="0"/>
              <w:right w:val="single" w:color="auto" w:sz="4" w:space="0"/>
            </w:tcBorders>
            <w:noWrap w:val="0"/>
            <w:vAlign w:val="center"/>
          </w:tcPr>
          <w:p w14:paraId="06050393">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邮政编码</w:t>
            </w:r>
          </w:p>
        </w:tc>
        <w:tc>
          <w:tcPr>
            <w:tcW w:w="2481" w:type="dxa"/>
            <w:gridSpan w:val="3"/>
            <w:tcBorders>
              <w:top w:val="single" w:color="auto" w:sz="4" w:space="0"/>
              <w:left w:val="nil"/>
              <w:bottom w:val="single" w:color="auto" w:sz="4" w:space="0"/>
              <w:right w:val="single" w:color="auto" w:sz="4" w:space="0"/>
            </w:tcBorders>
            <w:noWrap w:val="0"/>
            <w:vAlign w:val="center"/>
          </w:tcPr>
          <w:p w14:paraId="19D2D3EA">
            <w:pPr>
              <w:topLinePunct/>
              <w:snapToGrid w:val="0"/>
              <w:spacing w:line="240" w:lineRule="atLeast"/>
              <w:jc w:val="center"/>
              <w:rPr>
                <w:rFonts w:ascii="仿宋" w:hAnsi="仿宋" w:eastAsia="仿宋" w:cs="仿宋"/>
                <w:sz w:val="24"/>
                <w:szCs w:val="24"/>
                <w:highlight w:val="none"/>
              </w:rPr>
            </w:pPr>
          </w:p>
        </w:tc>
      </w:tr>
      <w:tr w14:paraId="18A23BD3">
        <w:tblPrEx>
          <w:tblCellMar>
            <w:top w:w="0" w:type="dxa"/>
            <w:left w:w="108" w:type="dxa"/>
            <w:bottom w:w="0" w:type="dxa"/>
            <w:right w:w="108" w:type="dxa"/>
          </w:tblCellMar>
        </w:tblPrEx>
        <w:trPr>
          <w:cantSplit/>
          <w:trHeight w:val="637" w:hRule="atLeast"/>
          <w:jc w:val="center"/>
        </w:trPr>
        <w:tc>
          <w:tcPr>
            <w:tcW w:w="1960" w:type="dxa"/>
            <w:vMerge w:val="restart"/>
            <w:tcBorders>
              <w:top w:val="nil"/>
              <w:left w:val="single" w:color="auto" w:sz="4" w:space="0"/>
              <w:bottom w:val="single" w:color="auto" w:sz="4" w:space="0"/>
              <w:right w:val="single" w:color="auto" w:sz="4" w:space="0"/>
            </w:tcBorders>
            <w:noWrap w:val="0"/>
            <w:vAlign w:val="center"/>
          </w:tcPr>
          <w:p w14:paraId="2FBC571F">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联系方式</w:t>
            </w:r>
          </w:p>
        </w:tc>
        <w:tc>
          <w:tcPr>
            <w:tcW w:w="1218" w:type="dxa"/>
            <w:tcBorders>
              <w:top w:val="single" w:color="auto" w:sz="4" w:space="0"/>
              <w:left w:val="nil"/>
              <w:bottom w:val="single" w:color="auto" w:sz="4" w:space="0"/>
              <w:right w:val="single" w:color="auto" w:sz="4" w:space="0"/>
            </w:tcBorders>
            <w:noWrap w:val="0"/>
            <w:vAlign w:val="center"/>
          </w:tcPr>
          <w:p w14:paraId="6E848A1E">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联系人</w:t>
            </w:r>
          </w:p>
        </w:tc>
        <w:tc>
          <w:tcPr>
            <w:tcW w:w="2662" w:type="dxa"/>
            <w:gridSpan w:val="3"/>
            <w:tcBorders>
              <w:top w:val="single" w:color="auto" w:sz="4" w:space="0"/>
              <w:left w:val="nil"/>
              <w:bottom w:val="single" w:color="auto" w:sz="4" w:space="0"/>
              <w:right w:val="single" w:color="auto" w:sz="4" w:space="0"/>
            </w:tcBorders>
            <w:noWrap w:val="0"/>
            <w:vAlign w:val="center"/>
          </w:tcPr>
          <w:p w14:paraId="71A84A31">
            <w:pPr>
              <w:topLinePunct/>
              <w:snapToGrid w:val="0"/>
              <w:spacing w:line="240" w:lineRule="atLeast"/>
              <w:jc w:val="center"/>
              <w:rPr>
                <w:rFonts w:ascii="仿宋" w:hAnsi="仿宋" w:eastAsia="仿宋" w:cs="仿宋"/>
                <w:sz w:val="24"/>
                <w:szCs w:val="24"/>
                <w:highlight w:val="none"/>
              </w:rPr>
            </w:pPr>
          </w:p>
        </w:tc>
        <w:tc>
          <w:tcPr>
            <w:tcW w:w="1399" w:type="dxa"/>
            <w:tcBorders>
              <w:top w:val="single" w:color="auto" w:sz="4" w:space="0"/>
              <w:left w:val="nil"/>
              <w:bottom w:val="single" w:color="auto" w:sz="4" w:space="0"/>
              <w:right w:val="single" w:color="auto" w:sz="4" w:space="0"/>
            </w:tcBorders>
            <w:noWrap w:val="0"/>
            <w:vAlign w:val="center"/>
          </w:tcPr>
          <w:p w14:paraId="2EE4F001">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电 话</w:t>
            </w:r>
          </w:p>
        </w:tc>
        <w:tc>
          <w:tcPr>
            <w:tcW w:w="2481" w:type="dxa"/>
            <w:gridSpan w:val="3"/>
            <w:tcBorders>
              <w:top w:val="single" w:color="auto" w:sz="4" w:space="0"/>
              <w:left w:val="nil"/>
              <w:bottom w:val="single" w:color="auto" w:sz="4" w:space="0"/>
              <w:right w:val="single" w:color="auto" w:sz="4" w:space="0"/>
            </w:tcBorders>
            <w:noWrap w:val="0"/>
            <w:vAlign w:val="center"/>
          </w:tcPr>
          <w:p w14:paraId="355BE994">
            <w:pPr>
              <w:topLinePunct/>
              <w:snapToGrid w:val="0"/>
              <w:spacing w:line="240" w:lineRule="atLeast"/>
              <w:jc w:val="center"/>
              <w:rPr>
                <w:rFonts w:ascii="仿宋" w:hAnsi="仿宋" w:eastAsia="仿宋" w:cs="仿宋"/>
                <w:sz w:val="24"/>
                <w:szCs w:val="24"/>
                <w:highlight w:val="none"/>
              </w:rPr>
            </w:pPr>
          </w:p>
        </w:tc>
      </w:tr>
      <w:tr w14:paraId="7A3D486C">
        <w:tblPrEx>
          <w:tblCellMar>
            <w:top w:w="0" w:type="dxa"/>
            <w:left w:w="108" w:type="dxa"/>
            <w:bottom w:w="0" w:type="dxa"/>
            <w:right w:w="108" w:type="dxa"/>
          </w:tblCellMar>
        </w:tblPrEx>
        <w:trPr>
          <w:cantSplit/>
          <w:trHeight w:val="645" w:hRule="atLeast"/>
          <w:jc w:val="center"/>
        </w:trPr>
        <w:tc>
          <w:tcPr>
            <w:tcW w:w="1960" w:type="dxa"/>
            <w:vMerge w:val="continue"/>
            <w:tcBorders>
              <w:top w:val="nil"/>
              <w:left w:val="single" w:color="auto" w:sz="4" w:space="0"/>
              <w:bottom w:val="single" w:color="auto" w:sz="4" w:space="0"/>
              <w:right w:val="single" w:color="auto" w:sz="4" w:space="0"/>
            </w:tcBorders>
            <w:noWrap w:val="0"/>
            <w:vAlign w:val="center"/>
          </w:tcPr>
          <w:p w14:paraId="39E68937">
            <w:pPr>
              <w:widowControl/>
              <w:snapToGrid w:val="0"/>
              <w:spacing w:line="240" w:lineRule="atLeast"/>
              <w:jc w:val="left"/>
              <w:rPr>
                <w:rFonts w:ascii="仿宋" w:hAnsi="仿宋" w:eastAsia="仿宋" w:cs="仿宋"/>
                <w:sz w:val="24"/>
                <w:szCs w:val="24"/>
                <w:highlight w:val="none"/>
              </w:rPr>
            </w:pPr>
          </w:p>
        </w:tc>
        <w:tc>
          <w:tcPr>
            <w:tcW w:w="1218" w:type="dxa"/>
            <w:tcBorders>
              <w:top w:val="single" w:color="auto" w:sz="4" w:space="0"/>
              <w:left w:val="nil"/>
              <w:bottom w:val="single" w:color="auto" w:sz="4" w:space="0"/>
              <w:right w:val="single" w:color="auto" w:sz="4" w:space="0"/>
            </w:tcBorders>
            <w:noWrap w:val="0"/>
            <w:vAlign w:val="center"/>
          </w:tcPr>
          <w:p w14:paraId="3E4D0ABD">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传  真</w:t>
            </w:r>
          </w:p>
        </w:tc>
        <w:tc>
          <w:tcPr>
            <w:tcW w:w="2662" w:type="dxa"/>
            <w:gridSpan w:val="3"/>
            <w:tcBorders>
              <w:top w:val="single" w:color="auto" w:sz="4" w:space="0"/>
              <w:left w:val="nil"/>
              <w:bottom w:val="single" w:color="auto" w:sz="4" w:space="0"/>
              <w:right w:val="single" w:color="auto" w:sz="4" w:space="0"/>
            </w:tcBorders>
            <w:noWrap w:val="0"/>
            <w:vAlign w:val="center"/>
          </w:tcPr>
          <w:p w14:paraId="5E0516C8">
            <w:pPr>
              <w:topLinePunct/>
              <w:snapToGrid w:val="0"/>
              <w:spacing w:line="240" w:lineRule="atLeast"/>
              <w:jc w:val="center"/>
              <w:rPr>
                <w:rFonts w:ascii="仿宋" w:hAnsi="仿宋" w:eastAsia="仿宋" w:cs="仿宋"/>
                <w:sz w:val="24"/>
                <w:szCs w:val="24"/>
                <w:highlight w:val="none"/>
              </w:rPr>
            </w:pPr>
          </w:p>
        </w:tc>
        <w:tc>
          <w:tcPr>
            <w:tcW w:w="1399" w:type="dxa"/>
            <w:tcBorders>
              <w:top w:val="single" w:color="auto" w:sz="4" w:space="0"/>
              <w:left w:val="nil"/>
              <w:bottom w:val="single" w:color="auto" w:sz="4" w:space="0"/>
              <w:right w:val="single" w:color="auto" w:sz="4" w:space="0"/>
            </w:tcBorders>
            <w:noWrap w:val="0"/>
            <w:vAlign w:val="center"/>
          </w:tcPr>
          <w:p w14:paraId="501A0F69">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网 址</w:t>
            </w:r>
          </w:p>
        </w:tc>
        <w:tc>
          <w:tcPr>
            <w:tcW w:w="2481" w:type="dxa"/>
            <w:gridSpan w:val="3"/>
            <w:tcBorders>
              <w:top w:val="single" w:color="auto" w:sz="4" w:space="0"/>
              <w:left w:val="nil"/>
              <w:bottom w:val="single" w:color="auto" w:sz="4" w:space="0"/>
              <w:right w:val="single" w:color="auto" w:sz="4" w:space="0"/>
            </w:tcBorders>
            <w:noWrap w:val="0"/>
            <w:vAlign w:val="center"/>
          </w:tcPr>
          <w:p w14:paraId="4CCB32CF">
            <w:pPr>
              <w:topLinePunct/>
              <w:snapToGrid w:val="0"/>
              <w:spacing w:line="240" w:lineRule="atLeast"/>
              <w:jc w:val="center"/>
              <w:rPr>
                <w:rFonts w:ascii="仿宋" w:hAnsi="仿宋" w:eastAsia="仿宋" w:cs="仿宋"/>
                <w:sz w:val="24"/>
                <w:szCs w:val="24"/>
                <w:highlight w:val="none"/>
              </w:rPr>
            </w:pPr>
          </w:p>
        </w:tc>
      </w:tr>
      <w:tr w14:paraId="00DC90E9">
        <w:tblPrEx>
          <w:tblCellMar>
            <w:top w:w="0" w:type="dxa"/>
            <w:left w:w="108" w:type="dxa"/>
            <w:bottom w:w="0" w:type="dxa"/>
            <w:right w:w="108" w:type="dxa"/>
          </w:tblCellMar>
        </w:tblPrEx>
        <w:trPr>
          <w:trHeight w:val="640" w:hRule="atLeast"/>
          <w:jc w:val="center"/>
        </w:trPr>
        <w:tc>
          <w:tcPr>
            <w:tcW w:w="1960" w:type="dxa"/>
            <w:tcBorders>
              <w:top w:val="single" w:color="auto" w:sz="4" w:space="0"/>
              <w:left w:val="single" w:color="auto" w:sz="4" w:space="0"/>
              <w:bottom w:val="single" w:color="auto" w:sz="4" w:space="0"/>
              <w:right w:val="single" w:color="auto" w:sz="4" w:space="0"/>
            </w:tcBorders>
            <w:noWrap w:val="0"/>
            <w:vAlign w:val="center"/>
          </w:tcPr>
          <w:p w14:paraId="5AEF5B3B">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218" w:type="dxa"/>
            <w:tcBorders>
              <w:top w:val="single" w:color="auto" w:sz="4" w:space="0"/>
              <w:left w:val="nil"/>
              <w:bottom w:val="single" w:color="auto" w:sz="4" w:space="0"/>
              <w:right w:val="single" w:color="auto" w:sz="4" w:space="0"/>
            </w:tcBorders>
            <w:noWrap w:val="0"/>
            <w:vAlign w:val="center"/>
          </w:tcPr>
          <w:p w14:paraId="57AFE218">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姓名</w:t>
            </w:r>
          </w:p>
        </w:tc>
        <w:tc>
          <w:tcPr>
            <w:tcW w:w="879" w:type="dxa"/>
            <w:tcBorders>
              <w:top w:val="single" w:color="auto" w:sz="4" w:space="0"/>
              <w:left w:val="nil"/>
              <w:bottom w:val="single" w:color="auto" w:sz="4" w:space="0"/>
              <w:right w:val="single" w:color="auto" w:sz="4" w:space="0"/>
            </w:tcBorders>
            <w:noWrap w:val="0"/>
            <w:vAlign w:val="center"/>
          </w:tcPr>
          <w:p w14:paraId="170EBA6D">
            <w:pPr>
              <w:topLinePunct/>
              <w:snapToGrid w:val="0"/>
              <w:spacing w:line="240" w:lineRule="atLeast"/>
              <w:jc w:val="center"/>
              <w:rPr>
                <w:rFonts w:ascii="仿宋" w:hAnsi="仿宋" w:eastAsia="仿宋" w:cs="仿宋"/>
                <w:sz w:val="24"/>
                <w:szCs w:val="24"/>
                <w:highlight w:val="none"/>
              </w:rPr>
            </w:pPr>
          </w:p>
        </w:tc>
        <w:tc>
          <w:tcPr>
            <w:tcW w:w="1430" w:type="dxa"/>
            <w:tcBorders>
              <w:top w:val="single" w:color="auto" w:sz="4" w:space="0"/>
              <w:left w:val="nil"/>
              <w:bottom w:val="single" w:color="auto" w:sz="4" w:space="0"/>
              <w:right w:val="single" w:color="auto" w:sz="4" w:space="0"/>
            </w:tcBorders>
            <w:noWrap w:val="0"/>
            <w:vAlign w:val="center"/>
          </w:tcPr>
          <w:p w14:paraId="3663B401">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技术职称</w:t>
            </w:r>
          </w:p>
        </w:tc>
        <w:tc>
          <w:tcPr>
            <w:tcW w:w="2131" w:type="dxa"/>
            <w:gridSpan w:val="3"/>
            <w:tcBorders>
              <w:top w:val="single" w:color="auto" w:sz="4" w:space="0"/>
              <w:left w:val="nil"/>
              <w:bottom w:val="single" w:color="auto" w:sz="4" w:space="0"/>
              <w:right w:val="single" w:color="auto" w:sz="4" w:space="0"/>
            </w:tcBorders>
            <w:noWrap w:val="0"/>
            <w:vAlign w:val="center"/>
          </w:tcPr>
          <w:p w14:paraId="4C410D2A">
            <w:pPr>
              <w:topLinePunct/>
              <w:snapToGrid w:val="0"/>
              <w:spacing w:line="240" w:lineRule="atLeast"/>
              <w:jc w:val="center"/>
              <w:rPr>
                <w:rFonts w:ascii="仿宋" w:hAnsi="仿宋" w:eastAsia="仿宋" w:cs="仿宋"/>
                <w:sz w:val="24"/>
                <w:szCs w:val="24"/>
                <w:highlight w:val="none"/>
              </w:rPr>
            </w:pPr>
          </w:p>
        </w:tc>
        <w:tc>
          <w:tcPr>
            <w:tcW w:w="975" w:type="dxa"/>
            <w:tcBorders>
              <w:top w:val="single" w:color="auto" w:sz="4" w:space="0"/>
              <w:left w:val="nil"/>
              <w:bottom w:val="single" w:color="auto" w:sz="4" w:space="0"/>
              <w:right w:val="single" w:color="auto" w:sz="4" w:space="0"/>
            </w:tcBorders>
            <w:noWrap w:val="0"/>
            <w:vAlign w:val="center"/>
          </w:tcPr>
          <w:p w14:paraId="0E6C9B68">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电话</w:t>
            </w:r>
          </w:p>
        </w:tc>
        <w:tc>
          <w:tcPr>
            <w:tcW w:w="1127" w:type="dxa"/>
            <w:tcBorders>
              <w:top w:val="single" w:color="auto" w:sz="4" w:space="0"/>
              <w:left w:val="nil"/>
              <w:bottom w:val="single" w:color="auto" w:sz="4" w:space="0"/>
              <w:right w:val="single" w:color="auto" w:sz="4" w:space="0"/>
            </w:tcBorders>
            <w:noWrap w:val="0"/>
            <w:vAlign w:val="center"/>
          </w:tcPr>
          <w:p w14:paraId="735BE441">
            <w:pPr>
              <w:topLinePunct/>
              <w:snapToGrid w:val="0"/>
              <w:spacing w:line="240" w:lineRule="atLeast"/>
              <w:jc w:val="center"/>
              <w:rPr>
                <w:rFonts w:ascii="仿宋" w:hAnsi="仿宋" w:eastAsia="仿宋" w:cs="仿宋"/>
                <w:sz w:val="24"/>
                <w:szCs w:val="24"/>
                <w:highlight w:val="none"/>
              </w:rPr>
            </w:pPr>
          </w:p>
        </w:tc>
      </w:tr>
      <w:tr w14:paraId="5786ED91">
        <w:tblPrEx>
          <w:tblCellMar>
            <w:top w:w="0" w:type="dxa"/>
            <w:left w:w="108" w:type="dxa"/>
            <w:bottom w:w="0" w:type="dxa"/>
            <w:right w:w="108" w:type="dxa"/>
          </w:tblCellMar>
        </w:tblPrEx>
        <w:trPr>
          <w:trHeight w:val="1181" w:hRule="atLeast"/>
          <w:jc w:val="center"/>
        </w:trPr>
        <w:tc>
          <w:tcPr>
            <w:tcW w:w="1960" w:type="dxa"/>
            <w:tcBorders>
              <w:top w:val="single" w:color="auto" w:sz="4" w:space="0"/>
              <w:left w:val="single" w:color="auto" w:sz="4" w:space="0"/>
              <w:right w:val="single" w:color="auto" w:sz="4" w:space="0"/>
            </w:tcBorders>
            <w:noWrap w:val="0"/>
            <w:vAlign w:val="center"/>
          </w:tcPr>
          <w:p w14:paraId="3107F175">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成立时间</w:t>
            </w:r>
          </w:p>
        </w:tc>
        <w:tc>
          <w:tcPr>
            <w:tcW w:w="2097" w:type="dxa"/>
            <w:gridSpan w:val="2"/>
            <w:tcBorders>
              <w:top w:val="single" w:color="auto" w:sz="4" w:space="0"/>
              <w:left w:val="nil"/>
              <w:right w:val="single" w:color="auto" w:sz="4" w:space="0"/>
            </w:tcBorders>
            <w:noWrap w:val="0"/>
            <w:vAlign w:val="center"/>
          </w:tcPr>
          <w:p w14:paraId="0A39A035">
            <w:pPr>
              <w:topLinePunct/>
              <w:snapToGrid w:val="0"/>
              <w:spacing w:line="240" w:lineRule="atLeast"/>
              <w:jc w:val="center"/>
              <w:rPr>
                <w:rFonts w:ascii="仿宋" w:hAnsi="仿宋" w:eastAsia="仿宋" w:cs="仿宋"/>
                <w:sz w:val="24"/>
                <w:szCs w:val="24"/>
                <w:highlight w:val="none"/>
              </w:rPr>
            </w:pPr>
          </w:p>
        </w:tc>
        <w:tc>
          <w:tcPr>
            <w:tcW w:w="5663" w:type="dxa"/>
            <w:gridSpan w:val="6"/>
            <w:tcBorders>
              <w:top w:val="single" w:color="auto" w:sz="4" w:space="0"/>
              <w:left w:val="nil"/>
              <w:bottom w:val="single" w:color="auto" w:sz="4" w:space="0"/>
              <w:right w:val="single" w:color="auto" w:sz="4" w:space="0"/>
            </w:tcBorders>
            <w:noWrap w:val="0"/>
            <w:vAlign w:val="center"/>
          </w:tcPr>
          <w:p w14:paraId="3D234101">
            <w:pPr>
              <w:topLinePunct/>
              <w:snapToGrid w:val="0"/>
              <w:spacing w:line="240" w:lineRule="atLeast"/>
              <w:jc w:val="left"/>
              <w:rPr>
                <w:rFonts w:ascii="仿宋" w:hAnsi="仿宋" w:eastAsia="仿宋" w:cs="仿宋"/>
                <w:sz w:val="24"/>
                <w:szCs w:val="24"/>
                <w:highlight w:val="none"/>
              </w:rPr>
            </w:pPr>
            <w:r>
              <w:rPr>
                <w:rFonts w:hint="eastAsia" w:ascii="仿宋" w:hAnsi="仿宋" w:eastAsia="仿宋" w:cs="仿宋"/>
                <w:sz w:val="24"/>
                <w:szCs w:val="24"/>
                <w:highlight w:val="none"/>
              </w:rPr>
              <w:t>员工总人数：</w:t>
            </w:r>
          </w:p>
        </w:tc>
      </w:tr>
      <w:tr w14:paraId="55EA942B">
        <w:tblPrEx>
          <w:tblCellMar>
            <w:top w:w="0" w:type="dxa"/>
            <w:left w:w="108" w:type="dxa"/>
            <w:bottom w:w="0" w:type="dxa"/>
            <w:right w:w="108" w:type="dxa"/>
          </w:tblCellMar>
        </w:tblPrEx>
        <w:trPr>
          <w:cantSplit/>
          <w:trHeight w:val="642" w:hRule="atLeast"/>
          <w:jc w:val="center"/>
        </w:trPr>
        <w:tc>
          <w:tcPr>
            <w:tcW w:w="1960" w:type="dxa"/>
            <w:tcBorders>
              <w:top w:val="single" w:color="auto" w:sz="4" w:space="0"/>
              <w:left w:val="single" w:color="auto" w:sz="4" w:space="0"/>
              <w:bottom w:val="single" w:color="auto" w:sz="4" w:space="0"/>
              <w:right w:val="single" w:color="auto" w:sz="4" w:space="0"/>
            </w:tcBorders>
            <w:noWrap w:val="0"/>
            <w:vAlign w:val="center"/>
          </w:tcPr>
          <w:p w14:paraId="60A50AF2">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营业执照号</w:t>
            </w:r>
          </w:p>
        </w:tc>
        <w:tc>
          <w:tcPr>
            <w:tcW w:w="7760" w:type="dxa"/>
            <w:gridSpan w:val="8"/>
            <w:tcBorders>
              <w:top w:val="single" w:color="auto" w:sz="4" w:space="0"/>
              <w:left w:val="nil"/>
              <w:bottom w:val="single" w:color="auto" w:sz="4" w:space="0"/>
              <w:right w:val="single" w:color="auto" w:sz="4" w:space="0"/>
            </w:tcBorders>
            <w:noWrap w:val="0"/>
            <w:vAlign w:val="center"/>
          </w:tcPr>
          <w:p w14:paraId="617CDBCD">
            <w:pPr>
              <w:topLinePunct/>
              <w:snapToGrid w:val="0"/>
              <w:spacing w:line="240" w:lineRule="atLeast"/>
              <w:jc w:val="center"/>
              <w:rPr>
                <w:rFonts w:ascii="仿宋" w:hAnsi="仿宋" w:eastAsia="仿宋" w:cs="仿宋"/>
                <w:sz w:val="24"/>
                <w:szCs w:val="24"/>
                <w:highlight w:val="none"/>
              </w:rPr>
            </w:pPr>
          </w:p>
        </w:tc>
      </w:tr>
      <w:tr w14:paraId="70CAFC44">
        <w:tblPrEx>
          <w:tblCellMar>
            <w:top w:w="0" w:type="dxa"/>
            <w:left w:w="108" w:type="dxa"/>
            <w:bottom w:w="0" w:type="dxa"/>
            <w:right w:w="108" w:type="dxa"/>
          </w:tblCellMar>
        </w:tblPrEx>
        <w:trPr>
          <w:cantSplit/>
          <w:trHeight w:val="636" w:hRule="atLeast"/>
          <w:jc w:val="center"/>
        </w:trPr>
        <w:tc>
          <w:tcPr>
            <w:tcW w:w="1960" w:type="dxa"/>
            <w:tcBorders>
              <w:top w:val="single" w:color="auto" w:sz="4" w:space="0"/>
              <w:left w:val="single" w:color="auto" w:sz="4" w:space="0"/>
              <w:bottom w:val="single" w:color="auto" w:sz="4" w:space="0"/>
              <w:right w:val="single" w:color="auto" w:sz="4" w:space="0"/>
            </w:tcBorders>
            <w:noWrap w:val="0"/>
            <w:vAlign w:val="center"/>
          </w:tcPr>
          <w:p w14:paraId="79361711">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注册资金</w:t>
            </w:r>
          </w:p>
        </w:tc>
        <w:tc>
          <w:tcPr>
            <w:tcW w:w="7760" w:type="dxa"/>
            <w:gridSpan w:val="8"/>
            <w:tcBorders>
              <w:top w:val="single" w:color="auto" w:sz="4" w:space="0"/>
              <w:left w:val="nil"/>
              <w:bottom w:val="single" w:color="auto" w:sz="4" w:space="0"/>
              <w:right w:val="single" w:color="auto" w:sz="4" w:space="0"/>
            </w:tcBorders>
            <w:noWrap w:val="0"/>
            <w:vAlign w:val="center"/>
          </w:tcPr>
          <w:p w14:paraId="28F54DF0">
            <w:pPr>
              <w:topLinePunct/>
              <w:snapToGrid w:val="0"/>
              <w:spacing w:line="240" w:lineRule="atLeast"/>
              <w:jc w:val="center"/>
              <w:rPr>
                <w:rFonts w:ascii="仿宋" w:hAnsi="仿宋" w:eastAsia="仿宋" w:cs="仿宋"/>
                <w:sz w:val="24"/>
                <w:szCs w:val="24"/>
                <w:highlight w:val="none"/>
              </w:rPr>
            </w:pPr>
          </w:p>
        </w:tc>
      </w:tr>
      <w:tr w14:paraId="24231054">
        <w:tblPrEx>
          <w:tblCellMar>
            <w:top w:w="0" w:type="dxa"/>
            <w:left w:w="108" w:type="dxa"/>
            <w:bottom w:w="0" w:type="dxa"/>
            <w:right w:w="108" w:type="dxa"/>
          </w:tblCellMar>
        </w:tblPrEx>
        <w:trPr>
          <w:cantSplit/>
          <w:trHeight w:val="658" w:hRule="atLeast"/>
          <w:jc w:val="center"/>
        </w:trPr>
        <w:tc>
          <w:tcPr>
            <w:tcW w:w="1960" w:type="dxa"/>
            <w:tcBorders>
              <w:top w:val="single" w:color="auto" w:sz="4" w:space="0"/>
              <w:left w:val="single" w:color="auto" w:sz="4" w:space="0"/>
              <w:bottom w:val="single" w:color="auto" w:sz="4" w:space="0"/>
              <w:right w:val="single" w:color="auto" w:sz="4" w:space="0"/>
            </w:tcBorders>
            <w:noWrap w:val="0"/>
            <w:vAlign w:val="center"/>
          </w:tcPr>
          <w:p w14:paraId="61AF1741">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基本账户</w:t>
            </w:r>
          </w:p>
          <w:p w14:paraId="71CBC611">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7760" w:type="dxa"/>
            <w:gridSpan w:val="8"/>
            <w:tcBorders>
              <w:top w:val="single" w:color="auto" w:sz="4" w:space="0"/>
              <w:left w:val="nil"/>
              <w:bottom w:val="single" w:color="auto" w:sz="4" w:space="0"/>
              <w:right w:val="single" w:color="auto" w:sz="4" w:space="0"/>
            </w:tcBorders>
            <w:noWrap w:val="0"/>
            <w:vAlign w:val="center"/>
          </w:tcPr>
          <w:p w14:paraId="24BABA36">
            <w:pPr>
              <w:topLinePunct/>
              <w:snapToGrid w:val="0"/>
              <w:spacing w:line="240" w:lineRule="atLeast"/>
              <w:jc w:val="center"/>
              <w:rPr>
                <w:rFonts w:ascii="仿宋" w:hAnsi="仿宋" w:eastAsia="仿宋" w:cs="仿宋"/>
                <w:sz w:val="24"/>
                <w:szCs w:val="24"/>
                <w:highlight w:val="none"/>
              </w:rPr>
            </w:pPr>
          </w:p>
        </w:tc>
      </w:tr>
      <w:tr w14:paraId="2568FDBC">
        <w:tblPrEx>
          <w:tblCellMar>
            <w:top w:w="0" w:type="dxa"/>
            <w:left w:w="108" w:type="dxa"/>
            <w:bottom w:w="0" w:type="dxa"/>
            <w:right w:w="108" w:type="dxa"/>
          </w:tblCellMar>
        </w:tblPrEx>
        <w:trPr>
          <w:cantSplit/>
          <w:trHeight w:val="430" w:hRule="atLeast"/>
          <w:jc w:val="center"/>
        </w:trPr>
        <w:tc>
          <w:tcPr>
            <w:tcW w:w="1960" w:type="dxa"/>
            <w:tcBorders>
              <w:top w:val="single" w:color="auto" w:sz="4" w:space="0"/>
              <w:left w:val="single" w:color="auto" w:sz="4" w:space="0"/>
              <w:bottom w:val="single" w:color="auto" w:sz="4" w:space="0"/>
              <w:right w:val="single" w:color="auto" w:sz="4" w:space="0"/>
            </w:tcBorders>
            <w:noWrap w:val="0"/>
            <w:vAlign w:val="center"/>
          </w:tcPr>
          <w:p w14:paraId="7C594593">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基本账户账号</w:t>
            </w:r>
          </w:p>
        </w:tc>
        <w:tc>
          <w:tcPr>
            <w:tcW w:w="7760" w:type="dxa"/>
            <w:gridSpan w:val="8"/>
            <w:tcBorders>
              <w:top w:val="single" w:color="auto" w:sz="4" w:space="0"/>
              <w:left w:val="nil"/>
              <w:bottom w:val="single" w:color="auto" w:sz="4" w:space="0"/>
              <w:right w:val="single" w:color="auto" w:sz="4" w:space="0"/>
            </w:tcBorders>
            <w:noWrap w:val="0"/>
            <w:vAlign w:val="center"/>
          </w:tcPr>
          <w:p w14:paraId="351EAE13">
            <w:pPr>
              <w:topLinePunct/>
              <w:snapToGrid w:val="0"/>
              <w:spacing w:line="240" w:lineRule="atLeast"/>
              <w:jc w:val="center"/>
              <w:rPr>
                <w:rFonts w:ascii="仿宋" w:hAnsi="仿宋" w:eastAsia="仿宋" w:cs="仿宋"/>
                <w:sz w:val="24"/>
                <w:szCs w:val="24"/>
                <w:highlight w:val="none"/>
              </w:rPr>
            </w:pPr>
          </w:p>
        </w:tc>
      </w:tr>
      <w:tr w14:paraId="0BA9B0E5">
        <w:tblPrEx>
          <w:tblCellMar>
            <w:top w:w="0" w:type="dxa"/>
            <w:left w:w="108" w:type="dxa"/>
            <w:bottom w:w="0" w:type="dxa"/>
            <w:right w:w="108" w:type="dxa"/>
          </w:tblCellMar>
        </w:tblPrEx>
        <w:trPr>
          <w:trHeight w:val="1639" w:hRule="atLeast"/>
          <w:jc w:val="center"/>
        </w:trPr>
        <w:tc>
          <w:tcPr>
            <w:tcW w:w="1960" w:type="dxa"/>
            <w:tcBorders>
              <w:top w:val="single" w:color="auto" w:sz="4" w:space="0"/>
              <w:left w:val="single" w:color="auto" w:sz="4" w:space="0"/>
              <w:right w:val="single" w:color="auto" w:sz="4" w:space="0"/>
            </w:tcBorders>
            <w:noWrap w:val="0"/>
            <w:vAlign w:val="center"/>
          </w:tcPr>
          <w:p w14:paraId="54402F67">
            <w:pPr>
              <w:topLinePunct/>
              <w:snapToGrid w:val="0"/>
              <w:spacing w:line="240" w:lineRule="atLeast"/>
              <w:ind w:firstLine="240" w:firstLineChars="100"/>
              <w:jc w:val="center"/>
              <w:rPr>
                <w:rFonts w:ascii="仿宋" w:hAnsi="仿宋" w:eastAsia="仿宋" w:cs="仿宋"/>
                <w:sz w:val="24"/>
                <w:szCs w:val="24"/>
                <w:highlight w:val="none"/>
              </w:rPr>
            </w:pPr>
            <w:r>
              <w:rPr>
                <w:rFonts w:hint="eastAsia" w:ascii="仿宋" w:hAnsi="仿宋" w:eastAsia="仿宋" w:cs="仿宋"/>
                <w:sz w:val="24"/>
                <w:szCs w:val="24"/>
                <w:highlight w:val="none"/>
              </w:rPr>
              <w:t>经营范围</w:t>
            </w:r>
          </w:p>
        </w:tc>
        <w:tc>
          <w:tcPr>
            <w:tcW w:w="7760" w:type="dxa"/>
            <w:gridSpan w:val="8"/>
            <w:tcBorders>
              <w:top w:val="single" w:color="auto" w:sz="4" w:space="0"/>
              <w:left w:val="nil"/>
              <w:right w:val="single" w:color="auto" w:sz="4" w:space="0"/>
            </w:tcBorders>
            <w:noWrap w:val="0"/>
            <w:vAlign w:val="center"/>
          </w:tcPr>
          <w:p w14:paraId="3A2F7EC9">
            <w:pPr>
              <w:topLinePunct/>
              <w:snapToGrid w:val="0"/>
              <w:spacing w:line="240" w:lineRule="atLeast"/>
              <w:rPr>
                <w:rFonts w:ascii="仿宋" w:hAnsi="仿宋" w:eastAsia="仿宋" w:cs="仿宋"/>
                <w:sz w:val="24"/>
                <w:szCs w:val="24"/>
                <w:highlight w:val="none"/>
              </w:rPr>
            </w:pPr>
          </w:p>
        </w:tc>
      </w:tr>
      <w:tr w14:paraId="0619F65F">
        <w:tblPrEx>
          <w:tblCellMar>
            <w:top w:w="0" w:type="dxa"/>
            <w:left w:w="108" w:type="dxa"/>
            <w:bottom w:w="0" w:type="dxa"/>
            <w:right w:w="108" w:type="dxa"/>
          </w:tblCellMar>
        </w:tblPrEx>
        <w:trPr>
          <w:trHeight w:val="1086" w:hRule="atLeast"/>
          <w:jc w:val="center"/>
        </w:trPr>
        <w:tc>
          <w:tcPr>
            <w:tcW w:w="1960" w:type="dxa"/>
            <w:tcBorders>
              <w:top w:val="single" w:color="auto" w:sz="4" w:space="0"/>
              <w:left w:val="single" w:color="auto" w:sz="4" w:space="0"/>
              <w:bottom w:val="single" w:color="auto" w:sz="4" w:space="0"/>
              <w:right w:val="single" w:color="auto" w:sz="4" w:space="0"/>
            </w:tcBorders>
            <w:noWrap w:val="0"/>
            <w:vAlign w:val="center"/>
          </w:tcPr>
          <w:p w14:paraId="6D4063D6">
            <w:pPr>
              <w:topLinePunct/>
              <w:snapToGrid w:val="0"/>
              <w:spacing w:line="240" w:lineRule="atLeast"/>
              <w:jc w:val="center"/>
              <w:rPr>
                <w:rFonts w:ascii="仿宋" w:hAnsi="仿宋" w:eastAsia="仿宋" w:cs="仿宋"/>
                <w:sz w:val="24"/>
                <w:szCs w:val="24"/>
                <w:highlight w:val="none"/>
              </w:rPr>
            </w:pPr>
            <w:r>
              <w:rPr>
                <w:rFonts w:hint="eastAsia" w:ascii="仿宋" w:hAnsi="仿宋" w:eastAsia="仿宋" w:cs="仿宋"/>
                <w:sz w:val="24"/>
                <w:szCs w:val="24"/>
                <w:highlight w:val="none"/>
              </w:rPr>
              <w:t>备注</w:t>
            </w:r>
          </w:p>
        </w:tc>
        <w:tc>
          <w:tcPr>
            <w:tcW w:w="7760" w:type="dxa"/>
            <w:gridSpan w:val="8"/>
            <w:tcBorders>
              <w:top w:val="single" w:color="auto" w:sz="4" w:space="0"/>
              <w:left w:val="nil"/>
              <w:bottom w:val="single" w:color="auto" w:sz="4" w:space="0"/>
              <w:right w:val="single" w:color="auto" w:sz="4" w:space="0"/>
            </w:tcBorders>
            <w:noWrap w:val="0"/>
            <w:vAlign w:val="center"/>
          </w:tcPr>
          <w:p w14:paraId="712B224F">
            <w:pPr>
              <w:topLinePunct/>
              <w:snapToGrid w:val="0"/>
              <w:spacing w:line="240" w:lineRule="atLeast"/>
              <w:jc w:val="center"/>
              <w:rPr>
                <w:rFonts w:ascii="仿宋" w:hAnsi="仿宋" w:eastAsia="仿宋" w:cs="仿宋"/>
                <w:sz w:val="24"/>
                <w:szCs w:val="24"/>
                <w:highlight w:val="none"/>
              </w:rPr>
            </w:pPr>
          </w:p>
        </w:tc>
      </w:tr>
    </w:tbl>
    <w:p w14:paraId="2F4168A6">
      <w:pPr>
        <w:spacing w:line="520" w:lineRule="exact"/>
        <w:jc w:val="left"/>
        <w:rPr>
          <w:rFonts w:ascii="仿宋" w:hAnsi="仿宋" w:eastAsia="仿宋" w:cs="仿宋"/>
          <w:sz w:val="24"/>
          <w:szCs w:val="24"/>
          <w:highlight w:val="none"/>
        </w:rPr>
      </w:pPr>
    </w:p>
    <w:p w14:paraId="7B622744">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14:paraId="5F67D803">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14:paraId="450FFBC2">
      <w:pPr>
        <w:snapToGrid w:val="0"/>
        <w:spacing w:line="360" w:lineRule="auto"/>
        <w:ind w:firstLine="240" w:firstLineChars="100"/>
        <w:rPr>
          <w:rFonts w:ascii="仿宋" w:hAnsi="仿宋" w:eastAsia="仿宋" w:cs="仿宋"/>
          <w:b/>
          <w:bCs/>
          <w:sz w:val="24"/>
          <w:szCs w:val="24"/>
          <w:highlight w:val="none"/>
        </w:rPr>
      </w:pPr>
      <w:r>
        <w:rPr>
          <w:rFonts w:hint="eastAsia" w:ascii="仿宋" w:hAnsi="仿宋" w:eastAsia="仿宋" w:cs="仿宋"/>
          <w:sz w:val="24"/>
          <w:szCs w:val="24"/>
          <w:highlight w:val="none"/>
        </w:rPr>
        <w:t>日期：</w:t>
      </w:r>
    </w:p>
    <w:p w14:paraId="1AE902D2">
      <w:pPr>
        <w:snapToGrid w:val="0"/>
        <w:spacing w:line="360" w:lineRule="auto"/>
        <w:rPr>
          <w:rFonts w:ascii="仿宋" w:hAnsi="仿宋" w:eastAsia="仿宋" w:cs="仿宋"/>
          <w:b/>
          <w:bCs/>
          <w:sz w:val="24"/>
          <w:szCs w:val="24"/>
          <w:highlight w:val="none"/>
        </w:rPr>
      </w:pPr>
    </w:p>
    <w:p w14:paraId="3E0CB9F5">
      <w:pPr>
        <w:pStyle w:val="13"/>
        <w:spacing w:line="360" w:lineRule="auto"/>
        <w:ind w:left="0" w:leftChars="0" w:firstLine="0" w:firstLineChars="0"/>
        <w:jc w:val="center"/>
        <w:rPr>
          <w:rFonts w:hint="eastAsia" w:ascii="仿宋" w:hAnsi="仿宋" w:eastAsia="仿宋" w:cs="仿宋"/>
          <w:b/>
          <w:bCs/>
          <w:sz w:val="30"/>
          <w:szCs w:val="30"/>
          <w:highlight w:val="none"/>
        </w:rPr>
      </w:pPr>
      <w:r>
        <w:rPr>
          <w:rFonts w:ascii="仿宋" w:hAnsi="仿宋" w:eastAsia="仿宋"/>
          <w:highlight w:val="none"/>
        </w:rPr>
        <w:br w:type="page"/>
      </w:r>
      <w:bookmarkStart w:id="50" w:name="_Toc12525"/>
      <w:r>
        <w:rPr>
          <w:rFonts w:hint="eastAsia" w:ascii="仿宋" w:hAnsi="仿宋" w:eastAsia="仿宋" w:cs="仿宋"/>
          <w:b/>
          <w:bCs/>
          <w:sz w:val="30"/>
          <w:szCs w:val="30"/>
          <w:highlight w:val="none"/>
        </w:rPr>
        <w:t>项目管理机构</w:t>
      </w:r>
      <w:bookmarkEnd w:id="50"/>
      <w:r>
        <w:rPr>
          <w:rFonts w:hint="eastAsia" w:ascii="仿宋" w:hAnsi="仿宋" w:eastAsia="仿宋" w:cs="仿宋"/>
          <w:b/>
          <w:bCs/>
          <w:sz w:val="30"/>
          <w:szCs w:val="30"/>
          <w:highlight w:val="none"/>
        </w:rPr>
        <w:t>人员组成表</w:t>
      </w:r>
    </w:p>
    <w:tbl>
      <w:tblPr>
        <w:tblStyle w:val="43"/>
        <w:tblW w:w="10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2319"/>
        <w:gridCol w:w="2659"/>
        <w:gridCol w:w="3570"/>
      </w:tblGrid>
      <w:tr w14:paraId="08D16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470" w:type="dxa"/>
            <w:noWrap w:val="0"/>
            <w:vAlign w:val="center"/>
          </w:tcPr>
          <w:p w14:paraId="036DC5F6">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319" w:type="dxa"/>
            <w:noWrap w:val="0"/>
            <w:vAlign w:val="center"/>
          </w:tcPr>
          <w:p w14:paraId="322107D0">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本项目岗位</w:t>
            </w:r>
          </w:p>
        </w:tc>
        <w:tc>
          <w:tcPr>
            <w:tcW w:w="2659" w:type="dxa"/>
            <w:noWrap w:val="0"/>
            <w:vAlign w:val="center"/>
          </w:tcPr>
          <w:p w14:paraId="0C4B5572">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p>
        </w:tc>
        <w:tc>
          <w:tcPr>
            <w:tcW w:w="3570" w:type="dxa"/>
            <w:noWrap w:val="0"/>
            <w:vAlign w:val="center"/>
          </w:tcPr>
          <w:p w14:paraId="3FF8D9EC">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养老保险账号</w:t>
            </w:r>
          </w:p>
        </w:tc>
      </w:tr>
      <w:tr w14:paraId="191E2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470" w:type="dxa"/>
            <w:noWrap w:val="0"/>
            <w:vAlign w:val="center"/>
          </w:tcPr>
          <w:p w14:paraId="205DCA36">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319" w:type="dxa"/>
            <w:noWrap w:val="0"/>
            <w:vAlign w:val="center"/>
          </w:tcPr>
          <w:p w14:paraId="3CB47806">
            <w:pPr>
              <w:shd w:val="clear" w:color="auto" w:fill="auto"/>
              <w:spacing w:line="440" w:lineRule="exact"/>
              <w:jc w:val="center"/>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项目经理</w:t>
            </w:r>
          </w:p>
        </w:tc>
        <w:tc>
          <w:tcPr>
            <w:tcW w:w="2659" w:type="dxa"/>
            <w:noWrap w:val="0"/>
            <w:vAlign w:val="center"/>
          </w:tcPr>
          <w:p w14:paraId="2F0D4D22">
            <w:pPr>
              <w:spacing w:line="440" w:lineRule="exact"/>
              <w:rPr>
                <w:rFonts w:hint="eastAsia" w:ascii="仿宋" w:hAnsi="仿宋" w:eastAsia="仿宋" w:cs="仿宋"/>
                <w:sz w:val="24"/>
                <w:szCs w:val="24"/>
                <w:highlight w:val="none"/>
              </w:rPr>
            </w:pPr>
          </w:p>
        </w:tc>
        <w:tc>
          <w:tcPr>
            <w:tcW w:w="3570" w:type="dxa"/>
            <w:noWrap w:val="0"/>
            <w:vAlign w:val="center"/>
          </w:tcPr>
          <w:p w14:paraId="06A46B6A">
            <w:pPr>
              <w:spacing w:line="440" w:lineRule="exact"/>
              <w:rPr>
                <w:rFonts w:hint="eastAsia" w:ascii="仿宋" w:hAnsi="仿宋" w:eastAsia="仿宋" w:cs="仿宋"/>
                <w:sz w:val="24"/>
                <w:szCs w:val="24"/>
                <w:highlight w:val="none"/>
              </w:rPr>
            </w:pPr>
          </w:p>
        </w:tc>
      </w:tr>
      <w:tr w14:paraId="4964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470" w:type="dxa"/>
            <w:noWrap w:val="0"/>
            <w:vAlign w:val="center"/>
          </w:tcPr>
          <w:p w14:paraId="4DD34790">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319" w:type="dxa"/>
            <w:noWrap w:val="0"/>
            <w:vAlign w:val="center"/>
          </w:tcPr>
          <w:p w14:paraId="333397D9">
            <w:pPr>
              <w:shd w:val="clear" w:color="auto" w:fill="auto"/>
              <w:spacing w:line="440" w:lineRule="exact"/>
              <w:jc w:val="center"/>
              <w:rPr>
                <w:rFonts w:hint="eastAsia" w:ascii="仿宋" w:hAnsi="仿宋" w:eastAsia="仿宋" w:cs="仿宋"/>
                <w:sz w:val="24"/>
                <w:szCs w:val="24"/>
                <w:highlight w:val="none"/>
              </w:rPr>
            </w:pPr>
            <w:r>
              <w:rPr>
                <w:rFonts w:hint="eastAsia" w:ascii="仿宋" w:hAnsi="仿宋" w:eastAsia="仿宋" w:cs="仿宋"/>
                <w:color w:val="auto"/>
                <w:sz w:val="24"/>
                <w:szCs w:val="24"/>
                <w:highlight w:val="none"/>
                <w:lang w:val="en-US" w:eastAsia="zh-CN"/>
              </w:rPr>
              <w:t>技术负责人</w:t>
            </w:r>
          </w:p>
        </w:tc>
        <w:tc>
          <w:tcPr>
            <w:tcW w:w="2659" w:type="dxa"/>
            <w:noWrap w:val="0"/>
            <w:vAlign w:val="center"/>
          </w:tcPr>
          <w:p w14:paraId="7F156375">
            <w:pPr>
              <w:spacing w:line="440" w:lineRule="exact"/>
              <w:rPr>
                <w:rFonts w:hint="eastAsia" w:ascii="仿宋" w:hAnsi="仿宋" w:eastAsia="仿宋" w:cs="仿宋"/>
                <w:sz w:val="24"/>
                <w:szCs w:val="24"/>
                <w:highlight w:val="none"/>
              </w:rPr>
            </w:pPr>
          </w:p>
        </w:tc>
        <w:tc>
          <w:tcPr>
            <w:tcW w:w="3570" w:type="dxa"/>
            <w:noWrap w:val="0"/>
            <w:vAlign w:val="center"/>
          </w:tcPr>
          <w:p w14:paraId="52E09038">
            <w:pPr>
              <w:spacing w:line="440" w:lineRule="exact"/>
              <w:rPr>
                <w:rFonts w:hint="eastAsia" w:ascii="仿宋" w:hAnsi="仿宋" w:eastAsia="仿宋" w:cs="仿宋"/>
                <w:sz w:val="24"/>
                <w:szCs w:val="24"/>
                <w:highlight w:val="none"/>
              </w:rPr>
            </w:pPr>
          </w:p>
        </w:tc>
      </w:tr>
      <w:tr w14:paraId="04E3D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470" w:type="dxa"/>
            <w:noWrap w:val="0"/>
            <w:vAlign w:val="center"/>
          </w:tcPr>
          <w:p w14:paraId="3E5752BF">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319" w:type="dxa"/>
            <w:noWrap w:val="0"/>
            <w:vAlign w:val="center"/>
          </w:tcPr>
          <w:p w14:paraId="2872E24C">
            <w:pPr>
              <w:shd w:val="clear" w:color="auto" w:fill="auto"/>
              <w:spacing w:line="440" w:lineRule="exact"/>
              <w:jc w:val="center"/>
              <w:rPr>
                <w:rFonts w:ascii="仿宋" w:hAnsi="仿宋" w:eastAsia="仿宋" w:cs="仿宋"/>
                <w:sz w:val="24"/>
                <w:szCs w:val="24"/>
                <w:highlight w:val="none"/>
              </w:rPr>
            </w:pPr>
            <w:r>
              <w:rPr>
                <w:rFonts w:hint="eastAsia" w:ascii="仿宋" w:hAnsi="仿宋" w:eastAsia="仿宋" w:cs="仿宋"/>
                <w:color w:val="auto"/>
                <w:sz w:val="24"/>
                <w:szCs w:val="24"/>
                <w:highlight w:val="none"/>
              </w:rPr>
              <w:t>施工员</w:t>
            </w:r>
          </w:p>
        </w:tc>
        <w:tc>
          <w:tcPr>
            <w:tcW w:w="2659" w:type="dxa"/>
            <w:noWrap w:val="0"/>
            <w:vAlign w:val="center"/>
          </w:tcPr>
          <w:p w14:paraId="60F6C0FD">
            <w:pPr>
              <w:spacing w:line="440" w:lineRule="exact"/>
              <w:rPr>
                <w:rFonts w:hint="eastAsia" w:ascii="仿宋" w:hAnsi="仿宋" w:eastAsia="仿宋" w:cs="仿宋"/>
                <w:sz w:val="24"/>
                <w:szCs w:val="24"/>
                <w:highlight w:val="none"/>
              </w:rPr>
            </w:pPr>
          </w:p>
        </w:tc>
        <w:tc>
          <w:tcPr>
            <w:tcW w:w="3570" w:type="dxa"/>
            <w:noWrap w:val="0"/>
            <w:vAlign w:val="center"/>
          </w:tcPr>
          <w:p w14:paraId="355F1D3F">
            <w:pPr>
              <w:spacing w:line="440" w:lineRule="exact"/>
              <w:rPr>
                <w:rFonts w:hint="eastAsia" w:ascii="仿宋" w:hAnsi="仿宋" w:eastAsia="仿宋" w:cs="仿宋"/>
                <w:sz w:val="24"/>
                <w:szCs w:val="24"/>
                <w:highlight w:val="none"/>
              </w:rPr>
            </w:pPr>
          </w:p>
        </w:tc>
      </w:tr>
      <w:tr w14:paraId="0F9B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470" w:type="dxa"/>
            <w:noWrap w:val="0"/>
            <w:vAlign w:val="center"/>
          </w:tcPr>
          <w:p w14:paraId="07FC2207">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319" w:type="dxa"/>
            <w:noWrap w:val="0"/>
            <w:vAlign w:val="center"/>
          </w:tcPr>
          <w:p w14:paraId="1A5071E7">
            <w:pPr>
              <w:shd w:val="clear" w:color="auto" w:fill="auto"/>
              <w:spacing w:line="440" w:lineRule="exact"/>
              <w:jc w:val="center"/>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质检（量）员</w:t>
            </w:r>
          </w:p>
        </w:tc>
        <w:tc>
          <w:tcPr>
            <w:tcW w:w="2659" w:type="dxa"/>
            <w:noWrap w:val="0"/>
            <w:vAlign w:val="center"/>
          </w:tcPr>
          <w:p w14:paraId="72489E13">
            <w:pPr>
              <w:spacing w:line="440" w:lineRule="exact"/>
              <w:rPr>
                <w:rFonts w:hint="eastAsia" w:ascii="仿宋" w:hAnsi="仿宋" w:eastAsia="仿宋" w:cs="仿宋"/>
                <w:sz w:val="24"/>
                <w:szCs w:val="24"/>
                <w:highlight w:val="none"/>
              </w:rPr>
            </w:pPr>
          </w:p>
        </w:tc>
        <w:tc>
          <w:tcPr>
            <w:tcW w:w="3570" w:type="dxa"/>
            <w:noWrap w:val="0"/>
            <w:vAlign w:val="center"/>
          </w:tcPr>
          <w:p w14:paraId="4B7946AE">
            <w:pPr>
              <w:spacing w:line="440" w:lineRule="exact"/>
              <w:rPr>
                <w:rFonts w:hint="eastAsia" w:ascii="仿宋" w:hAnsi="仿宋" w:eastAsia="仿宋" w:cs="仿宋"/>
                <w:sz w:val="24"/>
                <w:szCs w:val="24"/>
                <w:highlight w:val="none"/>
              </w:rPr>
            </w:pPr>
          </w:p>
        </w:tc>
      </w:tr>
      <w:tr w14:paraId="6376A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470" w:type="dxa"/>
            <w:noWrap w:val="0"/>
            <w:vAlign w:val="center"/>
          </w:tcPr>
          <w:p w14:paraId="5694BD3B">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319" w:type="dxa"/>
            <w:noWrap w:val="0"/>
            <w:vAlign w:val="center"/>
          </w:tcPr>
          <w:p w14:paraId="08D75B79">
            <w:pPr>
              <w:shd w:val="clear" w:color="auto" w:fill="auto"/>
              <w:spacing w:line="440" w:lineRule="exact"/>
              <w:jc w:val="center"/>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专职安全员</w:t>
            </w:r>
          </w:p>
        </w:tc>
        <w:tc>
          <w:tcPr>
            <w:tcW w:w="2659" w:type="dxa"/>
            <w:noWrap w:val="0"/>
            <w:vAlign w:val="center"/>
          </w:tcPr>
          <w:p w14:paraId="481C2287">
            <w:pPr>
              <w:spacing w:line="440" w:lineRule="exact"/>
              <w:rPr>
                <w:rFonts w:hint="eastAsia" w:ascii="仿宋" w:hAnsi="仿宋" w:eastAsia="仿宋" w:cs="仿宋"/>
                <w:sz w:val="24"/>
                <w:szCs w:val="24"/>
                <w:highlight w:val="none"/>
              </w:rPr>
            </w:pPr>
          </w:p>
        </w:tc>
        <w:tc>
          <w:tcPr>
            <w:tcW w:w="3570" w:type="dxa"/>
            <w:noWrap w:val="0"/>
            <w:vAlign w:val="center"/>
          </w:tcPr>
          <w:p w14:paraId="5477E29F">
            <w:pPr>
              <w:spacing w:line="440" w:lineRule="exact"/>
              <w:rPr>
                <w:rFonts w:hint="eastAsia" w:ascii="仿宋" w:hAnsi="仿宋" w:eastAsia="仿宋" w:cs="仿宋"/>
                <w:sz w:val="24"/>
                <w:szCs w:val="24"/>
                <w:highlight w:val="none"/>
              </w:rPr>
            </w:pPr>
          </w:p>
        </w:tc>
      </w:tr>
      <w:tr w14:paraId="6561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470" w:type="dxa"/>
            <w:noWrap w:val="0"/>
            <w:vAlign w:val="center"/>
          </w:tcPr>
          <w:p w14:paraId="3E88B14D">
            <w:pPr>
              <w:spacing w:line="44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2319" w:type="dxa"/>
            <w:noWrap w:val="0"/>
            <w:vAlign w:val="center"/>
          </w:tcPr>
          <w:p w14:paraId="0A92F9F3">
            <w:pPr>
              <w:shd w:val="clear" w:color="auto" w:fill="auto"/>
              <w:spacing w:line="440" w:lineRule="exact"/>
              <w:jc w:val="center"/>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材料员</w:t>
            </w:r>
          </w:p>
        </w:tc>
        <w:tc>
          <w:tcPr>
            <w:tcW w:w="2659" w:type="dxa"/>
            <w:noWrap w:val="0"/>
            <w:vAlign w:val="center"/>
          </w:tcPr>
          <w:p w14:paraId="29D24A61">
            <w:pPr>
              <w:spacing w:line="440" w:lineRule="exact"/>
              <w:rPr>
                <w:rFonts w:hint="eastAsia" w:ascii="仿宋" w:hAnsi="仿宋" w:eastAsia="仿宋" w:cs="仿宋"/>
                <w:sz w:val="24"/>
                <w:szCs w:val="24"/>
                <w:highlight w:val="none"/>
              </w:rPr>
            </w:pPr>
          </w:p>
        </w:tc>
        <w:tc>
          <w:tcPr>
            <w:tcW w:w="3570" w:type="dxa"/>
            <w:noWrap w:val="0"/>
            <w:vAlign w:val="center"/>
          </w:tcPr>
          <w:p w14:paraId="4F56E844">
            <w:pPr>
              <w:spacing w:line="440" w:lineRule="exact"/>
              <w:rPr>
                <w:rFonts w:hint="eastAsia" w:ascii="仿宋" w:hAnsi="仿宋" w:eastAsia="仿宋" w:cs="仿宋"/>
                <w:sz w:val="24"/>
                <w:szCs w:val="24"/>
                <w:highlight w:val="none"/>
              </w:rPr>
            </w:pPr>
          </w:p>
        </w:tc>
      </w:tr>
      <w:tr w14:paraId="09E12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470" w:type="dxa"/>
            <w:noWrap w:val="0"/>
            <w:vAlign w:val="center"/>
          </w:tcPr>
          <w:p w14:paraId="7889C61E">
            <w:pPr>
              <w:spacing w:line="440" w:lineRule="exact"/>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7</w:t>
            </w:r>
          </w:p>
        </w:tc>
        <w:tc>
          <w:tcPr>
            <w:tcW w:w="2319" w:type="dxa"/>
            <w:noWrap w:val="0"/>
            <w:vAlign w:val="center"/>
          </w:tcPr>
          <w:p w14:paraId="27B565A5">
            <w:pPr>
              <w:shd w:val="clear" w:color="auto" w:fill="auto"/>
              <w:spacing w:line="440" w:lineRule="exact"/>
              <w:jc w:val="center"/>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资料员</w:t>
            </w:r>
          </w:p>
        </w:tc>
        <w:tc>
          <w:tcPr>
            <w:tcW w:w="2659" w:type="dxa"/>
            <w:noWrap w:val="0"/>
            <w:vAlign w:val="center"/>
          </w:tcPr>
          <w:p w14:paraId="1CE64757">
            <w:pPr>
              <w:spacing w:line="440" w:lineRule="exact"/>
              <w:rPr>
                <w:rFonts w:hint="eastAsia" w:ascii="仿宋" w:hAnsi="仿宋" w:eastAsia="仿宋" w:cs="仿宋"/>
                <w:sz w:val="24"/>
                <w:szCs w:val="24"/>
                <w:highlight w:val="none"/>
              </w:rPr>
            </w:pPr>
          </w:p>
        </w:tc>
        <w:tc>
          <w:tcPr>
            <w:tcW w:w="3570" w:type="dxa"/>
            <w:noWrap w:val="0"/>
            <w:vAlign w:val="center"/>
          </w:tcPr>
          <w:p w14:paraId="43B1A5A6">
            <w:pPr>
              <w:spacing w:line="440" w:lineRule="exact"/>
              <w:rPr>
                <w:rFonts w:hint="eastAsia" w:ascii="仿宋" w:hAnsi="仿宋" w:eastAsia="仿宋" w:cs="仿宋"/>
                <w:sz w:val="24"/>
                <w:szCs w:val="24"/>
                <w:highlight w:val="none"/>
              </w:rPr>
            </w:pPr>
          </w:p>
        </w:tc>
      </w:tr>
      <w:tr w14:paraId="6CA4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470" w:type="dxa"/>
            <w:noWrap w:val="0"/>
            <w:vAlign w:val="center"/>
          </w:tcPr>
          <w:p w14:paraId="467D6818">
            <w:pPr>
              <w:spacing w:line="440" w:lineRule="exact"/>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w:t>
            </w:r>
          </w:p>
        </w:tc>
        <w:tc>
          <w:tcPr>
            <w:tcW w:w="2319" w:type="dxa"/>
            <w:noWrap w:val="0"/>
            <w:vAlign w:val="center"/>
          </w:tcPr>
          <w:p w14:paraId="0E827A27">
            <w:pPr>
              <w:spacing w:line="440" w:lineRule="exact"/>
              <w:jc w:val="center"/>
              <w:rPr>
                <w:rFonts w:hint="eastAsia" w:ascii="仿宋" w:hAnsi="仿宋" w:eastAsia="仿宋" w:cs="仿宋"/>
                <w:sz w:val="24"/>
                <w:szCs w:val="24"/>
                <w:highlight w:val="none"/>
              </w:rPr>
            </w:pPr>
          </w:p>
        </w:tc>
        <w:tc>
          <w:tcPr>
            <w:tcW w:w="2659" w:type="dxa"/>
            <w:noWrap w:val="0"/>
            <w:vAlign w:val="center"/>
          </w:tcPr>
          <w:p w14:paraId="1F1939BF">
            <w:pPr>
              <w:spacing w:line="440" w:lineRule="exact"/>
              <w:rPr>
                <w:rFonts w:hint="eastAsia" w:ascii="仿宋" w:hAnsi="仿宋" w:eastAsia="仿宋" w:cs="仿宋"/>
                <w:sz w:val="24"/>
                <w:szCs w:val="24"/>
                <w:highlight w:val="none"/>
              </w:rPr>
            </w:pPr>
          </w:p>
        </w:tc>
        <w:tc>
          <w:tcPr>
            <w:tcW w:w="3570" w:type="dxa"/>
            <w:noWrap w:val="0"/>
            <w:vAlign w:val="center"/>
          </w:tcPr>
          <w:p w14:paraId="0289E225">
            <w:pPr>
              <w:spacing w:line="440" w:lineRule="exact"/>
              <w:rPr>
                <w:rFonts w:hint="eastAsia" w:ascii="仿宋" w:hAnsi="仿宋" w:eastAsia="仿宋" w:cs="仿宋"/>
                <w:sz w:val="24"/>
                <w:szCs w:val="24"/>
                <w:highlight w:val="none"/>
              </w:rPr>
            </w:pPr>
          </w:p>
        </w:tc>
      </w:tr>
    </w:tbl>
    <w:p w14:paraId="73F94A22">
      <w:pPr>
        <w:tabs>
          <w:tab w:val="left" w:pos="4860"/>
        </w:tabs>
        <w:topLinePunct/>
        <w:spacing w:line="440" w:lineRule="exact"/>
        <w:rPr>
          <w:rFonts w:hint="eastAsia" w:ascii="仿宋" w:hAnsi="仿宋" w:eastAsia="仿宋" w:cs="仿宋"/>
          <w:sz w:val="24"/>
          <w:szCs w:val="24"/>
          <w:highlight w:val="none"/>
        </w:rPr>
      </w:pPr>
    </w:p>
    <w:p w14:paraId="313E8505">
      <w:pPr>
        <w:snapToGrid w:val="0"/>
        <w:spacing w:line="360" w:lineRule="auto"/>
        <w:ind w:firstLine="240" w:firstLineChars="1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注：附评标办法要求的相关证明材料扫描件。</w:t>
      </w:r>
    </w:p>
    <w:p w14:paraId="74710BCA">
      <w:pPr>
        <w:snapToGrid w:val="0"/>
        <w:spacing w:line="360" w:lineRule="auto"/>
        <w:ind w:firstLine="240" w:firstLineChars="100"/>
        <w:rPr>
          <w:rFonts w:hint="eastAsia" w:ascii="仿宋" w:hAnsi="仿宋" w:eastAsia="仿宋" w:cs="仿宋"/>
          <w:sz w:val="24"/>
          <w:szCs w:val="24"/>
          <w:highlight w:val="none"/>
        </w:rPr>
      </w:pPr>
    </w:p>
    <w:p w14:paraId="64105794">
      <w:pPr>
        <w:snapToGrid w:val="0"/>
        <w:spacing w:line="360" w:lineRule="auto"/>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投标单位：（盖章）</w:t>
      </w:r>
    </w:p>
    <w:p w14:paraId="5606398F">
      <w:pPr>
        <w:snapToGrid w:val="0"/>
        <w:spacing w:line="360" w:lineRule="auto"/>
        <w:ind w:firstLine="240" w:firstLineChars="10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14:paraId="24832247">
      <w:pPr>
        <w:snapToGrid w:val="0"/>
        <w:spacing w:line="360" w:lineRule="auto"/>
        <w:ind w:firstLine="240" w:firstLineChars="100"/>
        <w:rPr>
          <w:rFonts w:hint="eastAsia" w:ascii="仿宋" w:hAnsi="仿宋" w:eastAsia="仿宋" w:cs="仿宋"/>
          <w:sz w:val="24"/>
          <w:szCs w:val="24"/>
          <w:highlight w:val="none"/>
        </w:rPr>
        <w:sectPr>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4"/>
          <w:szCs w:val="24"/>
          <w:highlight w:val="none"/>
        </w:rPr>
        <w:t>日期：</w:t>
      </w:r>
    </w:p>
    <w:p w14:paraId="6026C72F">
      <w:pPr>
        <w:snapToGrid w:val="0"/>
        <w:spacing w:line="360" w:lineRule="auto"/>
        <w:jc w:val="center"/>
        <w:rPr>
          <w:rFonts w:hint="eastAsia" w:ascii="仿宋" w:hAnsi="仿宋" w:eastAsia="仿宋" w:cs="仿宋"/>
          <w:b/>
          <w:bCs/>
          <w:kern w:val="0"/>
          <w:sz w:val="30"/>
          <w:szCs w:val="30"/>
          <w:highlight w:val="none"/>
          <w:lang w:val="en-US" w:eastAsia="zh-CN" w:bidi="ar-SA"/>
        </w:rPr>
      </w:pPr>
      <w:r>
        <w:rPr>
          <w:rFonts w:hint="eastAsia" w:ascii="仿宋" w:hAnsi="仿宋" w:eastAsia="仿宋" w:cs="仿宋"/>
          <w:b/>
          <w:bCs/>
          <w:kern w:val="0"/>
          <w:sz w:val="30"/>
          <w:szCs w:val="30"/>
          <w:highlight w:val="none"/>
          <w:lang w:val="en-US" w:eastAsia="zh-CN" w:bidi="ar-SA"/>
        </w:rPr>
        <w:t>项目经理情况表</w:t>
      </w:r>
    </w:p>
    <w:tbl>
      <w:tblPr>
        <w:tblStyle w:val="43"/>
        <w:tblpPr w:leftFromText="180" w:rightFromText="180" w:vertAnchor="text" w:horzAnchor="margin" w:tblpXSpec="center" w:tblpY="267"/>
        <w:tblW w:w="9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654"/>
        <w:gridCol w:w="279"/>
        <w:gridCol w:w="741"/>
        <w:gridCol w:w="1326"/>
        <w:gridCol w:w="171"/>
        <w:gridCol w:w="1510"/>
        <w:gridCol w:w="247"/>
        <w:gridCol w:w="1256"/>
        <w:gridCol w:w="165"/>
        <w:gridCol w:w="2099"/>
      </w:tblGrid>
      <w:tr w14:paraId="07BF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9880" w:type="dxa"/>
            <w:gridSpan w:val="11"/>
            <w:tcBorders>
              <w:top w:val="single" w:color="auto" w:sz="4" w:space="0"/>
              <w:left w:val="single" w:color="auto" w:sz="4" w:space="0"/>
              <w:bottom w:val="single" w:color="auto" w:sz="4" w:space="0"/>
              <w:right w:val="single" w:color="auto" w:sz="4" w:space="0"/>
            </w:tcBorders>
            <w:noWrap w:val="0"/>
            <w:vAlign w:val="top"/>
          </w:tcPr>
          <w:p w14:paraId="3B164EA4">
            <w:pPr>
              <w:spacing w:line="460" w:lineRule="exact"/>
              <w:jc w:val="center"/>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eastAsia="zh-CN"/>
              </w:rPr>
              <w:t>经理</w:t>
            </w:r>
            <w:r>
              <w:rPr>
                <w:rFonts w:hint="eastAsia" w:ascii="仿宋" w:hAnsi="仿宋" w:eastAsia="仿宋" w:cs="仿宋"/>
                <w:color w:val="auto"/>
                <w:sz w:val="24"/>
                <w:szCs w:val="24"/>
                <w:highlight w:val="none"/>
              </w:rPr>
              <w:t>情况</w:t>
            </w:r>
          </w:p>
        </w:tc>
      </w:tr>
      <w:tr w14:paraId="06A9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432" w:type="dxa"/>
            <w:tcBorders>
              <w:top w:val="single" w:color="auto" w:sz="4" w:space="0"/>
              <w:left w:val="single" w:color="auto" w:sz="4" w:space="0"/>
              <w:bottom w:val="single" w:color="auto" w:sz="4" w:space="0"/>
              <w:right w:val="single" w:color="auto" w:sz="4" w:space="0"/>
            </w:tcBorders>
            <w:noWrap w:val="0"/>
            <w:vAlign w:val="center"/>
          </w:tcPr>
          <w:p w14:paraId="3F1CDA33">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p>
        </w:tc>
        <w:tc>
          <w:tcPr>
            <w:tcW w:w="1674" w:type="dxa"/>
            <w:gridSpan w:val="3"/>
            <w:tcBorders>
              <w:top w:val="single" w:color="auto" w:sz="4" w:space="0"/>
              <w:left w:val="single" w:color="auto" w:sz="4" w:space="0"/>
              <w:bottom w:val="single" w:color="auto" w:sz="4" w:space="0"/>
              <w:right w:val="single" w:color="auto" w:sz="4" w:space="0"/>
            </w:tcBorders>
            <w:noWrap w:val="0"/>
            <w:vAlign w:val="center"/>
          </w:tcPr>
          <w:p w14:paraId="32DDC13D">
            <w:pPr>
              <w:spacing w:line="460" w:lineRule="exact"/>
              <w:jc w:val="center"/>
              <w:rPr>
                <w:rFonts w:hint="eastAsia" w:ascii="仿宋" w:hAnsi="仿宋" w:eastAsia="仿宋" w:cs="仿宋"/>
                <w:color w:val="auto"/>
                <w:sz w:val="24"/>
                <w:szCs w:val="24"/>
                <w:highlight w:val="none"/>
              </w:rPr>
            </w:pPr>
          </w:p>
        </w:tc>
        <w:tc>
          <w:tcPr>
            <w:tcW w:w="1326" w:type="dxa"/>
            <w:tcBorders>
              <w:top w:val="single" w:color="auto" w:sz="4" w:space="0"/>
              <w:left w:val="single" w:color="auto" w:sz="4" w:space="0"/>
              <w:bottom w:val="single" w:color="auto" w:sz="4" w:space="0"/>
              <w:right w:val="single" w:color="auto" w:sz="4" w:space="0"/>
            </w:tcBorders>
            <w:noWrap w:val="0"/>
            <w:vAlign w:val="center"/>
          </w:tcPr>
          <w:p w14:paraId="55DD84D6">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性别</w:t>
            </w:r>
          </w:p>
        </w:tc>
        <w:tc>
          <w:tcPr>
            <w:tcW w:w="1681" w:type="dxa"/>
            <w:gridSpan w:val="2"/>
            <w:tcBorders>
              <w:top w:val="single" w:color="auto" w:sz="4" w:space="0"/>
              <w:left w:val="single" w:color="auto" w:sz="4" w:space="0"/>
              <w:bottom w:val="single" w:color="auto" w:sz="4" w:space="0"/>
              <w:right w:val="single" w:color="auto" w:sz="4" w:space="0"/>
            </w:tcBorders>
            <w:noWrap w:val="0"/>
            <w:vAlign w:val="center"/>
          </w:tcPr>
          <w:p w14:paraId="1DB19A6A">
            <w:pPr>
              <w:spacing w:line="460" w:lineRule="exact"/>
              <w:jc w:val="center"/>
              <w:rPr>
                <w:rFonts w:hint="eastAsia" w:ascii="仿宋" w:hAnsi="仿宋" w:eastAsia="仿宋" w:cs="仿宋"/>
                <w:color w:val="auto"/>
                <w:sz w:val="24"/>
                <w:szCs w:val="24"/>
                <w:highlight w:val="none"/>
              </w:rPr>
            </w:pPr>
          </w:p>
        </w:tc>
        <w:tc>
          <w:tcPr>
            <w:tcW w:w="1503" w:type="dxa"/>
            <w:gridSpan w:val="2"/>
            <w:tcBorders>
              <w:top w:val="single" w:color="auto" w:sz="4" w:space="0"/>
              <w:left w:val="single" w:color="auto" w:sz="4" w:space="0"/>
              <w:bottom w:val="single" w:color="auto" w:sz="4" w:space="0"/>
              <w:right w:val="single" w:color="auto" w:sz="4" w:space="0"/>
            </w:tcBorders>
            <w:noWrap w:val="0"/>
            <w:vAlign w:val="center"/>
          </w:tcPr>
          <w:p w14:paraId="7DB9F8C3">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年龄</w:t>
            </w:r>
          </w:p>
        </w:tc>
        <w:tc>
          <w:tcPr>
            <w:tcW w:w="2264" w:type="dxa"/>
            <w:gridSpan w:val="2"/>
            <w:tcBorders>
              <w:top w:val="single" w:color="auto" w:sz="4" w:space="0"/>
              <w:left w:val="single" w:color="auto" w:sz="4" w:space="0"/>
              <w:bottom w:val="single" w:color="auto" w:sz="4" w:space="0"/>
              <w:right w:val="single" w:color="auto" w:sz="4" w:space="0"/>
            </w:tcBorders>
            <w:noWrap w:val="0"/>
            <w:vAlign w:val="center"/>
          </w:tcPr>
          <w:p w14:paraId="6B9D05DA">
            <w:pPr>
              <w:spacing w:line="460" w:lineRule="exact"/>
              <w:jc w:val="center"/>
              <w:rPr>
                <w:rFonts w:hint="eastAsia" w:ascii="仿宋" w:hAnsi="仿宋" w:eastAsia="仿宋" w:cs="仿宋"/>
                <w:color w:val="auto"/>
                <w:sz w:val="24"/>
                <w:szCs w:val="24"/>
                <w:highlight w:val="none"/>
              </w:rPr>
            </w:pPr>
          </w:p>
        </w:tc>
      </w:tr>
      <w:tr w14:paraId="7199C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432" w:type="dxa"/>
            <w:tcBorders>
              <w:top w:val="single" w:color="auto" w:sz="4" w:space="0"/>
              <w:left w:val="single" w:color="auto" w:sz="4" w:space="0"/>
              <w:bottom w:val="single" w:color="auto" w:sz="4" w:space="0"/>
              <w:right w:val="single" w:color="auto" w:sz="4" w:space="0"/>
            </w:tcBorders>
            <w:noWrap w:val="0"/>
            <w:vAlign w:val="center"/>
          </w:tcPr>
          <w:p w14:paraId="0355F254">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4681" w:type="dxa"/>
            <w:gridSpan w:val="6"/>
            <w:tcBorders>
              <w:top w:val="single" w:color="auto" w:sz="4" w:space="0"/>
              <w:left w:val="single" w:color="auto" w:sz="4" w:space="0"/>
              <w:bottom w:val="single" w:color="auto" w:sz="4" w:space="0"/>
              <w:right w:val="single" w:color="auto" w:sz="4" w:space="0"/>
            </w:tcBorders>
            <w:noWrap w:val="0"/>
            <w:vAlign w:val="center"/>
          </w:tcPr>
          <w:p w14:paraId="5DA7DD8E">
            <w:pPr>
              <w:spacing w:line="460" w:lineRule="exact"/>
              <w:jc w:val="center"/>
              <w:rPr>
                <w:rFonts w:hint="eastAsia" w:ascii="仿宋" w:hAnsi="仿宋" w:eastAsia="仿宋" w:cs="仿宋"/>
                <w:color w:val="auto"/>
                <w:sz w:val="24"/>
                <w:szCs w:val="24"/>
                <w:highlight w:val="none"/>
              </w:rPr>
            </w:pPr>
          </w:p>
        </w:tc>
        <w:tc>
          <w:tcPr>
            <w:tcW w:w="1503" w:type="dxa"/>
            <w:gridSpan w:val="2"/>
            <w:tcBorders>
              <w:top w:val="single" w:color="auto" w:sz="4" w:space="0"/>
              <w:left w:val="single" w:color="auto" w:sz="4" w:space="0"/>
              <w:bottom w:val="single" w:color="auto" w:sz="4" w:space="0"/>
              <w:right w:val="single" w:color="auto" w:sz="4" w:space="0"/>
            </w:tcBorders>
            <w:noWrap w:val="0"/>
            <w:vAlign w:val="center"/>
          </w:tcPr>
          <w:p w14:paraId="55DF7D26">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学历</w:t>
            </w:r>
          </w:p>
        </w:tc>
        <w:tc>
          <w:tcPr>
            <w:tcW w:w="2264" w:type="dxa"/>
            <w:gridSpan w:val="2"/>
            <w:tcBorders>
              <w:top w:val="single" w:color="auto" w:sz="4" w:space="0"/>
              <w:left w:val="single" w:color="auto" w:sz="4" w:space="0"/>
              <w:bottom w:val="single" w:color="auto" w:sz="4" w:space="0"/>
              <w:right w:val="single" w:color="auto" w:sz="4" w:space="0"/>
            </w:tcBorders>
            <w:noWrap w:val="0"/>
            <w:vAlign w:val="center"/>
          </w:tcPr>
          <w:p w14:paraId="53561C04">
            <w:pPr>
              <w:spacing w:line="460" w:lineRule="exact"/>
              <w:jc w:val="center"/>
              <w:rPr>
                <w:rFonts w:hint="eastAsia" w:ascii="仿宋" w:hAnsi="仿宋" w:eastAsia="仿宋" w:cs="仿宋"/>
                <w:color w:val="auto"/>
                <w:sz w:val="24"/>
                <w:szCs w:val="24"/>
                <w:highlight w:val="none"/>
              </w:rPr>
            </w:pPr>
          </w:p>
        </w:tc>
      </w:tr>
      <w:tr w14:paraId="6A28A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365" w:type="dxa"/>
            <w:gridSpan w:val="3"/>
            <w:tcBorders>
              <w:top w:val="single" w:color="auto" w:sz="4" w:space="0"/>
              <w:left w:val="single" w:color="auto" w:sz="4" w:space="0"/>
              <w:bottom w:val="single" w:color="auto" w:sz="4" w:space="0"/>
              <w:right w:val="single" w:color="auto" w:sz="4" w:space="0"/>
            </w:tcBorders>
            <w:noWrap w:val="0"/>
            <w:vAlign w:val="center"/>
          </w:tcPr>
          <w:p w14:paraId="175000DB">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参加工作时间</w:t>
            </w:r>
          </w:p>
        </w:tc>
        <w:tc>
          <w:tcPr>
            <w:tcW w:w="2067" w:type="dxa"/>
            <w:gridSpan w:val="2"/>
            <w:tcBorders>
              <w:top w:val="single" w:color="auto" w:sz="4" w:space="0"/>
              <w:left w:val="single" w:color="auto" w:sz="4" w:space="0"/>
              <w:bottom w:val="single" w:color="auto" w:sz="4" w:space="0"/>
              <w:right w:val="single" w:color="auto" w:sz="4" w:space="0"/>
            </w:tcBorders>
            <w:noWrap w:val="0"/>
            <w:vAlign w:val="center"/>
          </w:tcPr>
          <w:p w14:paraId="71768985">
            <w:pPr>
              <w:spacing w:line="460" w:lineRule="exact"/>
              <w:jc w:val="center"/>
              <w:rPr>
                <w:rFonts w:hint="eastAsia" w:ascii="仿宋" w:hAnsi="仿宋" w:eastAsia="仿宋" w:cs="仿宋"/>
                <w:color w:val="auto"/>
                <w:sz w:val="24"/>
                <w:szCs w:val="24"/>
                <w:highlight w:val="none"/>
              </w:rPr>
            </w:pPr>
          </w:p>
        </w:tc>
        <w:tc>
          <w:tcPr>
            <w:tcW w:w="3184" w:type="dxa"/>
            <w:gridSpan w:val="4"/>
            <w:tcBorders>
              <w:top w:val="single" w:color="auto" w:sz="4" w:space="0"/>
              <w:left w:val="single" w:color="auto" w:sz="4" w:space="0"/>
              <w:bottom w:val="single" w:color="auto" w:sz="4" w:space="0"/>
              <w:right w:val="single" w:color="auto" w:sz="4" w:space="0"/>
            </w:tcBorders>
            <w:noWrap w:val="0"/>
            <w:vAlign w:val="center"/>
          </w:tcPr>
          <w:p w14:paraId="6DDF4537">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从事该工作时间</w:t>
            </w:r>
          </w:p>
        </w:tc>
        <w:tc>
          <w:tcPr>
            <w:tcW w:w="2264" w:type="dxa"/>
            <w:gridSpan w:val="2"/>
            <w:tcBorders>
              <w:top w:val="single" w:color="auto" w:sz="4" w:space="0"/>
              <w:left w:val="single" w:color="auto" w:sz="4" w:space="0"/>
              <w:bottom w:val="single" w:color="auto" w:sz="4" w:space="0"/>
              <w:right w:val="single" w:color="auto" w:sz="4" w:space="0"/>
            </w:tcBorders>
            <w:noWrap w:val="0"/>
            <w:vAlign w:val="center"/>
          </w:tcPr>
          <w:p w14:paraId="3C8B8BAB">
            <w:pPr>
              <w:spacing w:line="460" w:lineRule="exact"/>
              <w:jc w:val="center"/>
              <w:rPr>
                <w:rFonts w:hint="eastAsia" w:ascii="仿宋" w:hAnsi="仿宋" w:eastAsia="仿宋" w:cs="仿宋"/>
                <w:color w:val="auto"/>
                <w:sz w:val="24"/>
                <w:szCs w:val="24"/>
                <w:highlight w:val="none"/>
              </w:rPr>
            </w:pPr>
          </w:p>
        </w:tc>
      </w:tr>
      <w:tr w14:paraId="4483D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2365" w:type="dxa"/>
            <w:gridSpan w:val="3"/>
            <w:tcBorders>
              <w:top w:val="single" w:color="auto" w:sz="4" w:space="0"/>
              <w:left w:val="single" w:color="auto" w:sz="4" w:space="0"/>
              <w:bottom w:val="single" w:color="auto" w:sz="4" w:space="0"/>
              <w:right w:val="single" w:color="auto" w:sz="4" w:space="0"/>
            </w:tcBorders>
            <w:noWrap w:val="0"/>
            <w:vAlign w:val="center"/>
          </w:tcPr>
          <w:p w14:paraId="52B653A1">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职称</w:t>
            </w:r>
          </w:p>
        </w:tc>
        <w:tc>
          <w:tcPr>
            <w:tcW w:w="2067" w:type="dxa"/>
            <w:gridSpan w:val="2"/>
            <w:tcBorders>
              <w:top w:val="single" w:color="auto" w:sz="4" w:space="0"/>
              <w:left w:val="single" w:color="auto" w:sz="4" w:space="0"/>
              <w:bottom w:val="single" w:color="auto" w:sz="4" w:space="0"/>
              <w:right w:val="single" w:color="auto" w:sz="4" w:space="0"/>
            </w:tcBorders>
            <w:noWrap w:val="0"/>
            <w:vAlign w:val="center"/>
          </w:tcPr>
          <w:p w14:paraId="6008D1C3">
            <w:pPr>
              <w:spacing w:line="460" w:lineRule="exact"/>
              <w:jc w:val="center"/>
              <w:rPr>
                <w:rFonts w:hint="eastAsia" w:ascii="仿宋" w:hAnsi="仿宋" w:eastAsia="仿宋" w:cs="仿宋"/>
                <w:color w:val="auto"/>
                <w:sz w:val="24"/>
                <w:szCs w:val="24"/>
                <w:highlight w:val="none"/>
              </w:rPr>
            </w:pPr>
          </w:p>
        </w:tc>
        <w:tc>
          <w:tcPr>
            <w:tcW w:w="3184" w:type="dxa"/>
            <w:gridSpan w:val="4"/>
            <w:tcBorders>
              <w:top w:val="single" w:color="auto" w:sz="4" w:space="0"/>
              <w:left w:val="single" w:color="auto" w:sz="4" w:space="0"/>
              <w:bottom w:val="single" w:color="auto" w:sz="4" w:space="0"/>
              <w:right w:val="single" w:color="auto" w:sz="4" w:space="0"/>
            </w:tcBorders>
            <w:noWrap w:val="0"/>
            <w:vAlign w:val="center"/>
          </w:tcPr>
          <w:p w14:paraId="6B0D6F48">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证书编号</w:t>
            </w:r>
          </w:p>
        </w:tc>
        <w:tc>
          <w:tcPr>
            <w:tcW w:w="2264" w:type="dxa"/>
            <w:gridSpan w:val="2"/>
            <w:tcBorders>
              <w:top w:val="single" w:color="auto" w:sz="4" w:space="0"/>
              <w:left w:val="single" w:color="auto" w:sz="4" w:space="0"/>
              <w:bottom w:val="single" w:color="auto" w:sz="4" w:space="0"/>
              <w:right w:val="single" w:color="auto" w:sz="4" w:space="0"/>
            </w:tcBorders>
            <w:noWrap w:val="0"/>
            <w:vAlign w:val="center"/>
          </w:tcPr>
          <w:p w14:paraId="15AD2D26">
            <w:pPr>
              <w:spacing w:line="460" w:lineRule="exact"/>
              <w:jc w:val="center"/>
              <w:rPr>
                <w:rFonts w:hint="eastAsia" w:ascii="仿宋" w:hAnsi="仿宋" w:eastAsia="仿宋" w:cs="仿宋"/>
                <w:color w:val="auto"/>
                <w:sz w:val="24"/>
                <w:szCs w:val="24"/>
                <w:highlight w:val="none"/>
              </w:rPr>
            </w:pPr>
          </w:p>
        </w:tc>
      </w:tr>
      <w:tr w14:paraId="045A0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9880" w:type="dxa"/>
            <w:gridSpan w:val="11"/>
            <w:tcBorders>
              <w:top w:val="single" w:color="auto" w:sz="4" w:space="0"/>
              <w:left w:val="single" w:color="auto" w:sz="4" w:space="0"/>
              <w:bottom w:val="single" w:color="auto" w:sz="4" w:space="0"/>
              <w:right w:val="single" w:color="auto" w:sz="4" w:space="0"/>
            </w:tcBorders>
            <w:noWrap w:val="0"/>
            <w:vAlign w:val="center"/>
          </w:tcPr>
          <w:p w14:paraId="3FF31D89">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近三年承担的项目情况一览表</w:t>
            </w:r>
          </w:p>
        </w:tc>
      </w:tr>
      <w:tr w14:paraId="6049C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086" w:type="dxa"/>
            <w:gridSpan w:val="2"/>
            <w:tcBorders>
              <w:top w:val="single" w:color="auto" w:sz="4" w:space="0"/>
              <w:left w:val="single" w:color="auto" w:sz="4" w:space="0"/>
              <w:bottom w:val="single" w:color="auto" w:sz="4" w:space="0"/>
              <w:right w:val="single" w:color="auto" w:sz="4" w:space="0"/>
            </w:tcBorders>
            <w:noWrap w:val="0"/>
            <w:vAlign w:val="center"/>
          </w:tcPr>
          <w:p w14:paraId="45535B43">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2517" w:type="dxa"/>
            <w:gridSpan w:val="4"/>
            <w:tcBorders>
              <w:top w:val="single" w:color="auto" w:sz="4" w:space="0"/>
              <w:left w:val="single" w:color="auto" w:sz="4" w:space="0"/>
              <w:bottom w:val="single" w:color="auto" w:sz="4" w:space="0"/>
              <w:right w:val="single" w:color="auto" w:sz="4" w:space="0"/>
            </w:tcBorders>
            <w:noWrap w:val="0"/>
            <w:vAlign w:val="center"/>
          </w:tcPr>
          <w:p w14:paraId="5282D969">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委托单位</w:t>
            </w:r>
          </w:p>
        </w:tc>
        <w:tc>
          <w:tcPr>
            <w:tcW w:w="1757" w:type="dxa"/>
            <w:gridSpan w:val="2"/>
            <w:tcBorders>
              <w:top w:val="single" w:color="auto" w:sz="4" w:space="0"/>
              <w:left w:val="single" w:color="auto" w:sz="4" w:space="0"/>
              <w:bottom w:val="single" w:color="auto" w:sz="4" w:space="0"/>
              <w:right w:val="single" w:color="auto" w:sz="4" w:space="0"/>
            </w:tcBorders>
            <w:noWrap w:val="0"/>
            <w:vAlign w:val="center"/>
          </w:tcPr>
          <w:p w14:paraId="5D952F34">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合同额</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315251C0">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验收时间</w:t>
            </w:r>
          </w:p>
        </w:tc>
        <w:tc>
          <w:tcPr>
            <w:tcW w:w="2099" w:type="dxa"/>
            <w:tcBorders>
              <w:top w:val="single" w:color="auto" w:sz="4" w:space="0"/>
              <w:left w:val="single" w:color="auto" w:sz="4" w:space="0"/>
              <w:bottom w:val="single" w:color="auto" w:sz="4" w:space="0"/>
              <w:right w:val="single" w:color="auto" w:sz="4" w:space="0"/>
            </w:tcBorders>
            <w:noWrap w:val="0"/>
            <w:vAlign w:val="center"/>
          </w:tcPr>
          <w:p w14:paraId="7B6CE33B">
            <w:pPr>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联系人及电话</w:t>
            </w:r>
          </w:p>
        </w:tc>
      </w:tr>
      <w:tr w14:paraId="4D63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2086" w:type="dxa"/>
            <w:gridSpan w:val="2"/>
            <w:tcBorders>
              <w:top w:val="single" w:color="auto" w:sz="4" w:space="0"/>
              <w:left w:val="single" w:color="auto" w:sz="4" w:space="0"/>
              <w:bottom w:val="single" w:color="auto" w:sz="4" w:space="0"/>
              <w:right w:val="single" w:color="auto" w:sz="4" w:space="0"/>
            </w:tcBorders>
            <w:noWrap w:val="0"/>
            <w:vAlign w:val="center"/>
          </w:tcPr>
          <w:p w14:paraId="66C2EE6F">
            <w:pPr>
              <w:spacing w:line="460" w:lineRule="exact"/>
              <w:jc w:val="center"/>
              <w:rPr>
                <w:rFonts w:hint="eastAsia" w:ascii="仿宋" w:hAnsi="仿宋" w:eastAsia="仿宋" w:cs="仿宋"/>
                <w:color w:val="auto"/>
                <w:sz w:val="24"/>
                <w:szCs w:val="24"/>
                <w:highlight w:val="none"/>
              </w:rPr>
            </w:pPr>
          </w:p>
        </w:tc>
        <w:tc>
          <w:tcPr>
            <w:tcW w:w="2517" w:type="dxa"/>
            <w:gridSpan w:val="4"/>
            <w:tcBorders>
              <w:top w:val="single" w:color="auto" w:sz="4" w:space="0"/>
              <w:left w:val="single" w:color="auto" w:sz="4" w:space="0"/>
              <w:bottom w:val="single" w:color="auto" w:sz="4" w:space="0"/>
              <w:right w:val="single" w:color="auto" w:sz="4" w:space="0"/>
            </w:tcBorders>
            <w:noWrap w:val="0"/>
            <w:vAlign w:val="center"/>
          </w:tcPr>
          <w:p w14:paraId="23BB0350">
            <w:pPr>
              <w:spacing w:line="460" w:lineRule="exact"/>
              <w:jc w:val="center"/>
              <w:rPr>
                <w:rFonts w:hint="eastAsia" w:ascii="仿宋" w:hAnsi="仿宋" w:eastAsia="仿宋" w:cs="仿宋"/>
                <w:color w:val="auto"/>
                <w:sz w:val="24"/>
                <w:szCs w:val="24"/>
                <w:highlight w:val="none"/>
              </w:rPr>
            </w:pPr>
          </w:p>
        </w:tc>
        <w:tc>
          <w:tcPr>
            <w:tcW w:w="1757" w:type="dxa"/>
            <w:gridSpan w:val="2"/>
            <w:tcBorders>
              <w:top w:val="single" w:color="auto" w:sz="4" w:space="0"/>
              <w:left w:val="single" w:color="auto" w:sz="4" w:space="0"/>
              <w:bottom w:val="single" w:color="auto" w:sz="4" w:space="0"/>
              <w:right w:val="single" w:color="auto" w:sz="4" w:space="0"/>
            </w:tcBorders>
            <w:noWrap w:val="0"/>
            <w:vAlign w:val="center"/>
          </w:tcPr>
          <w:p w14:paraId="1011EB89">
            <w:pPr>
              <w:spacing w:line="460" w:lineRule="exact"/>
              <w:jc w:val="center"/>
              <w:rPr>
                <w:rFonts w:hint="eastAsia" w:ascii="仿宋" w:hAnsi="仿宋" w:eastAsia="仿宋" w:cs="仿宋"/>
                <w:color w:val="auto"/>
                <w:sz w:val="24"/>
                <w:szCs w:val="24"/>
                <w:highlight w:val="none"/>
              </w:rPr>
            </w:pP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11268B9F">
            <w:pPr>
              <w:spacing w:line="460" w:lineRule="exact"/>
              <w:jc w:val="center"/>
              <w:rPr>
                <w:rFonts w:hint="eastAsia" w:ascii="仿宋" w:hAnsi="仿宋" w:eastAsia="仿宋" w:cs="仿宋"/>
                <w:color w:val="auto"/>
                <w:sz w:val="24"/>
                <w:szCs w:val="24"/>
                <w:highlight w:val="none"/>
              </w:rPr>
            </w:pPr>
          </w:p>
        </w:tc>
        <w:tc>
          <w:tcPr>
            <w:tcW w:w="2099" w:type="dxa"/>
            <w:tcBorders>
              <w:top w:val="single" w:color="auto" w:sz="4" w:space="0"/>
              <w:left w:val="single" w:color="auto" w:sz="4" w:space="0"/>
              <w:bottom w:val="single" w:color="auto" w:sz="4" w:space="0"/>
              <w:right w:val="single" w:color="auto" w:sz="4" w:space="0"/>
            </w:tcBorders>
            <w:noWrap w:val="0"/>
            <w:vAlign w:val="center"/>
          </w:tcPr>
          <w:p w14:paraId="4B80BF4A">
            <w:pPr>
              <w:spacing w:line="460" w:lineRule="exact"/>
              <w:jc w:val="center"/>
              <w:rPr>
                <w:rFonts w:hint="eastAsia" w:ascii="仿宋" w:hAnsi="仿宋" w:eastAsia="仿宋" w:cs="仿宋"/>
                <w:color w:val="auto"/>
                <w:sz w:val="24"/>
                <w:szCs w:val="24"/>
                <w:highlight w:val="none"/>
              </w:rPr>
            </w:pPr>
          </w:p>
        </w:tc>
      </w:tr>
      <w:tr w14:paraId="4421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086" w:type="dxa"/>
            <w:gridSpan w:val="2"/>
            <w:tcBorders>
              <w:top w:val="single" w:color="auto" w:sz="4" w:space="0"/>
              <w:left w:val="single" w:color="auto" w:sz="4" w:space="0"/>
              <w:bottom w:val="single" w:color="auto" w:sz="4" w:space="0"/>
              <w:right w:val="single" w:color="auto" w:sz="4" w:space="0"/>
            </w:tcBorders>
            <w:noWrap w:val="0"/>
            <w:vAlign w:val="center"/>
          </w:tcPr>
          <w:p w14:paraId="049ED455">
            <w:pPr>
              <w:spacing w:line="460" w:lineRule="exact"/>
              <w:jc w:val="center"/>
              <w:rPr>
                <w:rFonts w:hint="eastAsia" w:ascii="仿宋" w:hAnsi="仿宋" w:eastAsia="仿宋" w:cs="仿宋"/>
                <w:color w:val="auto"/>
                <w:sz w:val="24"/>
                <w:szCs w:val="24"/>
                <w:highlight w:val="none"/>
              </w:rPr>
            </w:pPr>
          </w:p>
        </w:tc>
        <w:tc>
          <w:tcPr>
            <w:tcW w:w="2517" w:type="dxa"/>
            <w:gridSpan w:val="4"/>
            <w:tcBorders>
              <w:top w:val="single" w:color="auto" w:sz="4" w:space="0"/>
              <w:left w:val="single" w:color="auto" w:sz="4" w:space="0"/>
              <w:bottom w:val="single" w:color="auto" w:sz="4" w:space="0"/>
              <w:right w:val="single" w:color="auto" w:sz="4" w:space="0"/>
            </w:tcBorders>
            <w:noWrap w:val="0"/>
            <w:vAlign w:val="center"/>
          </w:tcPr>
          <w:p w14:paraId="6C4D458D">
            <w:pPr>
              <w:spacing w:line="460" w:lineRule="exact"/>
              <w:jc w:val="center"/>
              <w:rPr>
                <w:rFonts w:hint="eastAsia" w:ascii="仿宋" w:hAnsi="仿宋" w:eastAsia="仿宋" w:cs="仿宋"/>
                <w:color w:val="auto"/>
                <w:sz w:val="24"/>
                <w:szCs w:val="24"/>
                <w:highlight w:val="none"/>
              </w:rPr>
            </w:pPr>
          </w:p>
        </w:tc>
        <w:tc>
          <w:tcPr>
            <w:tcW w:w="1757" w:type="dxa"/>
            <w:gridSpan w:val="2"/>
            <w:tcBorders>
              <w:top w:val="single" w:color="auto" w:sz="4" w:space="0"/>
              <w:left w:val="single" w:color="auto" w:sz="4" w:space="0"/>
              <w:bottom w:val="single" w:color="auto" w:sz="4" w:space="0"/>
              <w:right w:val="single" w:color="auto" w:sz="4" w:space="0"/>
            </w:tcBorders>
            <w:noWrap w:val="0"/>
            <w:vAlign w:val="center"/>
          </w:tcPr>
          <w:p w14:paraId="5FADEEAE">
            <w:pPr>
              <w:spacing w:line="460" w:lineRule="exact"/>
              <w:jc w:val="center"/>
              <w:rPr>
                <w:rFonts w:hint="eastAsia" w:ascii="仿宋" w:hAnsi="仿宋" w:eastAsia="仿宋" w:cs="仿宋"/>
                <w:color w:val="auto"/>
                <w:sz w:val="24"/>
                <w:szCs w:val="24"/>
                <w:highlight w:val="none"/>
              </w:rPr>
            </w:pP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269C31BD">
            <w:pPr>
              <w:spacing w:line="460" w:lineRule="exact"/>
              <w:jc w:val="center"/>
              <w:rPr>
                <w:rFonts w:hint="eastAsia" w:ascii="仿宋" w:hAnsi="仿宋" w:eastAsia="仿宋" w:cs="仿宋"/>
                <w:color w:val="auto"/>
                <w:sz w:val="24"/>
                <w:szCs w:val="24"/>
                <w:highlight w:val="none"/>
              </w:rPr>
            </w:pPr>
          </w:p>
        </w:tc>
        <w:tc>
          <w:tcPr>
            <w:tcW w:w="2099" w:type="dxa"/>
            <w:tcBorders>
              <w:top w:val="single" w:color="auto" w:sz="4" w:space="0"/>
              <w:left w:val="single" w:color="auto" w:sz="4" w:space="0"/>
              <w:bottom w:val="single" w:color="auto" w:sz="4" w:space="0"/>
              <w:right w:val="single" w:color="auto" w:sz="4" w:space="0"/>
            </w:tcBorders>
            <w:noWrap w:val="0"/>
            <w:vAlign w:val="center"/>
          </w:tcPr>
          <w:p w14:paraId="78806543">
            <w:pPr>
              <w:spacing w:line="460" w:lineRule="exact"/>
              <w:jc w:val="center"/>
              <w:rPr>
                <w:rFonts w:hint="eastAsia" w:ascii="仿宋" w:hAnsi="仿宋" w:eastAsia="仿宋" w:cs="仿宋"/>
                <w:color w:val="auto"/>
                <w:sz w:val="24"/>
                <w:szCs w:val="24"/>
                <w:highlight w:val="none"/>
              </w:rPr>
            </w:pPr>
          </w:p>
        </w:tc>
      </w:tr>
      <w:tr w14:paraId="7063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2086" w:type="dxa"/>
            <w:gridSpan w:val="2"/>
            <w:tcBorders>
              <w:top w:val="single" w:color="auto" w:sz="4" w:space="0"/>
              <w:left w:val="single" w:color="auto" w:sz="4" w:space="0"/>
              <w:bottom w:val="single" w:color="auto" w:sz="4" w:space="0"/>
              <w:right w:val="single" w:color="auto" w:sz="4" w:space="0"/>
            </w:tcBorders>
            <w:noWrap w:val="0"/>
            <w:vAlign w:val="center"/>
          </w:tcPr>
          <w:p w14:paraId="7B8D507D">
            <w:pPr>
              <w:spacing w:line="460" w:lineRule="exact"/>
              <w:jc w:val="center"/>
              <w:rPr>
                <w:rFonts w:hint="eastAsia" w:ascii="仿宋" w:hAnsi="仿宋" w:eastAsia="仿宋" w:cs="仿宋"/>
                <w:color w:val="auto"/>
                <w:sz w:val="24"/>
                <w:szCs w:val="24"/>
                <w:highlight w:val="none"/>
              </w:rPr>
            </w:pPr>
          </w:p>
        </w:tc>
        <w:tc>
          <w:tcPr>
            <w:tcW w:w="2517" w:type="dxa"/>
            <w:gridSpan w:val="4"/>
            <w:tcBorders>
              <w:top w:val="single" w:color="auto" w:sz="4" w:space="0"/>
              <w:left w:val="single" w:color="auto" w:sz="4" w:space="0"/>
              <w:bottom w:val="single" w:color="auto" w:sz="4" w:space="0"/>
              <w:right w:val="single" w:color="auto" w:sz="4" w:space="0"/>
            </w:tcBorders>
            <w:noWrap w:val="0"/>
            <w:vAlign w:val="center"/>
          </w:tcPr>
          <w:p w14:paraId="2BAF5E49">
            <w:pPr>
              <w:spacing w:line="460" w:lineRule="exact"/>
              <w:jc w:val="center"/>
              <w:rPr>
                <w:rFonts w:hint="eastAsia" w:ascii="仿宋" w:hAnsi="仿宋" w:eastAsia="仿宋" w:cs="仿宋"/>
                <w:color w:val="auto"/>
                <w:sz w:val="24"/>
                <w:szCs w:val="24"/>
                <w:highlight w:val="none"/>
              </w:rPr>
            </w:pPr>
          </w:p>
        </w:tc>
        <w:tc>
          <w:tcPr>
            <w:tcW w:w="1757" w:type="dxa"/>
            <w:gridSpan w:val="2"/>
            <w:tcBorders>
              <w:top w:val="single" w:color="auto" w:sz="4" w:space="0"/>
              <w:left w:val="single" w:color="auto" w:sz="4" w:space="0"/>
              <w:bottom w:val="single" w:color="auto" w:sz="4" w:space="0"/>
              <w:right w:val="single" w:color="auto" w:sz="4" w:space="0"/>
            </w:tcBorders>
            <w:noWrap w:val="0"/>
            <w:vAlign w:val="center"/>
          </w:tcPr>
          <w:p w14:paraId="75974BDA">
            <w:pPr>
              <w:spacing w:line="460" w:lineRule="exact"/>
              <w:jc w:val="center"/>
              <w:rPr>
                <w:rFonts w:hint="eastAsia" w:ascii="仿宋" w:hAnsi="仿宋" w:eastAsia="仿宋" w:cs="仿宋"/>
                <w:color w:val="auto"/>
                <w:sz w:val="24"/>
                <w:szCs w:val="24"/>
                <w:highlight w:val="none"/>
              </w:rPr>
            </w:pP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27C1F25D">
            <w:pPr>
              <w:spacing w:line="460" w:lineRule="exact"/>
              <w:jc w:val="center"/>
              <w:rPr>
                <w:rFonts w:hint="eastAsia" w:ascii="仿宋" w:hAnsi="仿宋" w:eastAsia="仿宋" w:cs="仿宋"/>
                <w:color w:val="auto"/>
                <w:sz w:val="24"/>
                <w:szCs w:val="24"/>
                <w:highlight w:val="none"/>
              </w:rPr>
            </w:pPr>
          </w:p>
        </w:tc>
        <w:tc>
          <w:tcPr>
            <w:tcW w:w="2099" w:type="dxa"/>
            <w:tcBorders>
              <w:top w:val="single" w:color="auto" w:sz="4" w:space="0"/>
              <w:left w:val="single" w:color="auto" w:sz="4" w:space="0"/>
              <w:bottom w:val="single" w:color="auto" w:sz="4" w:space="0"/>
              <w:right w:val="single" w:color="auto" w:sz="4" w:space="0"/>
            </w:tcBorders>
            <w:noWrap w:val="0"/>
            <w:vAlign w:val="center"/>
          </w:tcPr>
          <w:p w14:paraId="464A2597">
            <w:pPr>
              <w:spacing w:line="460" w:lineRule="exact"/>
              <w:jc w:val="center"/>
              <w:rPr>
                <w:rFonts w:hint="eastAsia" w:ascii="仿宋" w:hAnsi="仿宋" w:eastAsia="仿宋" w:cs="仿宋"/>
                <w:color w:val="auto"/>
                <w:sz w:val="24"/>
                <w:szCs w:val="24"/>
                <w:highlight w:val="none"/>
              </w:rPr>
            </w:pPr>
          </w:p>
        </w:tc>
      </w:tr>
    </w:tbl>
    <w:p w14:paraId="68F3B373">
      <w:pPr>
        <w:snapToGrid w:val="0"/>
        <w:spacing w:line="360" w:lineRule="auto"/>
        <w:ind w:firstLine="280" w:firstLineChars="100"/>
        <w:rPr>
          <w:rFonts w:hint="eastAsia" w:ascii="仿宋" w:hAnsi="仿宋" w:eastAsia="仿宋" w:cs="仿宋"/>
          <w:color w:val="auto"/>
          <w:sz w:val="28"/>
          <w:szCs w:val="28"/>
          <w:highlight w:val="none"/>
        </w:rPr>
      </w:pPr>
    </w:p>
    <w:p w14:paraId="11F7EA7C">
      <w:pPr>
        <w:tabs>
          <w:tab w:val="left" w:pos="4860"/>
        </w:tabs>
        <w:topLinePunct/>
        <w:spacing w:line="440" w:lineRule="exact"/>
        <w:rPr>
          <w:rFonts w:hint="eastAsia" w:ascii="仿宋" w:hAnsi="仿宋" w:eastAsia="仿宋" w:cs="仿宋"/>
          <w:color w:val="auto"/>
          <w:sz w:val="24"/>
          <w:szCs w:val="24"/>
          <w:highlight w:val="none"/>
        </w:rPr>
      </w:pPr>
    </w:p>
    <w:p w14:paraId="28E7933A">
      <w:pPr>
        <w:pStyle w:val="37"/>
        <w:rPr>
          <w:rFonts w:hint="eastAsia"/>
          <w:highlight w:val="none"/>
        </w:rPr>
      </w:pPr>
    </w:p>
    <w:p w14:paraId="1D786525">
      <w:pPr>
        <w:pStyle w:val="37"/>
        <w:rPr>
          <w:rFonts w:hint="eastAsia"/>
          <w:highlight w:val="none"/>
        </w:rPr>
      </w:pPr>
    </w:p>
    <w:p w14:paraId="7DF2B3BC">
      <w:pPr>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投标单位：（盖章）</w:t>
      </w:r>
    </w:p>
    <w:p w14:paraId="5684A1DA">
      <w:pPr>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法定代表人或委托代理人：      </w:t>
      </w:r>
      <w:r>
        <w:rPr>
          <w:rFonts w:hint="eastAsia" w:ascii="仿宋" w:hAnsi="仿宋" w:eastAsia="仿宋" w:cs="仿宋"/>
          <w:color w:val="auto"/>
          <w:sz w:val="24"/>
          <w:szCs w:val="24"/>
          <w:highlight w:val="none"/>
          <w:lang w:val="zh-CN"/>
        </w:rPr>
        <w:t>（签字或盖章）</w:t>
      </w:r>
    </w:p>
    <w:p w14:paraId="66C62334">
      <w:pPr>
        <w:snapToGrid w:val="0"/>
        <w:spacing w:line="360" w:lineRule="auto"/>
        <w:ind w:firstLine="240" w:firstLineChars="1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p w14:paraId="55C79ABA">
      <w:pPr>
        <w:pStyle w:val="23"/>
        <w:spacing w:line="520" w:lineRule="exact"/>
        <w:jc w:val="both"/>
        <w:rPr>
          <w:rFonts w:hint="eastAsia" w:ascii="仿宋" w:hAnsi="仿宋" w:eastAsia="仿宋" w:cs="仿宋"/>
          <w:b/>
          <w:bCs/>
          <w:color w:val="auto"/>
          <w:sz w:val="30"/>
          <w:szCs w:val="30"/>
          <w:highlight w:val="none"/>
        </w:rPr>
      </w:pPr>
    </w:p>
    <w:p w14:paraId="39384DD2">
      <w:pPr>
        <w:pStyle w:val="23"/>
        <w:spacing w:line="520" w:lineRule="exact"/>
        <w:jc w:val="center"/>
        <w:rPr>
          <w:rFonts w:hint="eastAsia" w:ascii="仿宋" w:hAnsi="仿宋" w:eastAsia="仿宋" w:cs="仿宋"/>
          <w:b/>
          <w:bCs/>
          <w:color w:val="auto"/>
          <w:sz w:val="30"/>
          <w:szCs w:val="30"/>
          <w:highlight w:val="none"/>
        </w:rPr>
      </w:pPr>
    </w:p>
    <w:p w14:paraId="209039A6">
      <w:pPr>
        <w:pStyle w:val="23"/>
        <w:spacing w:line="520" w:lineRule="exact"/>
        <w:jc w:val="center"/>
        <w:rPr>
          <w:rFonts w:hint="eastAsia" w:ascii="仿宋" w:hAnsi="仿宋" w:eastAsia="仿宋" w:cs="仿宋"/>
          <w:b/>
          <w:bCs/>
          <w:color w:val="auto"/>
          <w:sz w:val="30"/>
          <w:szCs w:val="30"/>
          <w:highlight w:val="none"/>
        </w:rPr>
        <w:sectPr>
          <w:pgSz w:w="11906" w:h="16838"/>
          <w:pgMar w:top="1440" w:right="1800" w:bottom="1440" w:left="1800" w:header="851" w:footer="992" w:gutter="0"/>
          <w:cols w:space="720" w:num="1"/>
          <w:docGrid w:type="lines" w:linePitch="312" w:charSpace="0"/>
        </w:sectPr>
      </w:pPr>
    </w:p>
    <w:p w14:paraId="4C7D4D3C">
      <w:pPr>
        <w:pStyle w:val="23"/>
        <w:spacing w:line="520" w:lineRule="exact"/>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工程量清单报价表（已标明价格的工程量清单）</w:t>
      </w:r>
    </w:p>
    <w:p w14:paraId="621688E6">
      <w:pPr>
        <w:pStyle w:val="23"/>
        <w:spacing w:line="520" w:lineRule="exact"/>
        <w:jc w:val="center"/>
        <w:rPr>
          <w:rFonts w:hint="eastAsia" w:ascii="仿宋" w:hAnsi="仿宋" w:eastAsia="仿宋" w:cs="仿宋"/>
          <w:b/>
          <w:bCs/>
          <w:color w:val="auto"/>
          <w:sz w:val="30"/>
          <w:szCs w:val="30"/>
          <w:highlight w:val="none"/>
        </w:rPr>
      </w:pPr>
    </w:p>
    <w:p w14:paraId="5C43B1E9">
      <w:pPr>
        <w:pStyle w:val="23"/>
        <w:spacing w:line="520" w:lineRule="exact"/>
        <w:jc w:val="center"/>
        <w:rPr>
          <w:rFonts w:hint="eastAsia" w:ascii="仿宋" w:hAnsi="仿宋" w:eastAsia="仿宋" w:cs="仿宋"/>
          <w:b/>
          <w:bCs/>
          <w:color w:val="auto"/>
          <w:sz w:val="30"/>
          <w:szCs w:val="30"/>
          <w:highlight w:val="none"/>
        </w:rPr>
      </w:pPr>
    </w:p>
    <w:p w14:paraId="5B5D856A">
      <w:pPr>
        <w:pStyle w:val="23"/>
        <w:spacing w:line="520" w:lineRule="exact"/>
        <w:jc w:val="center"/>
        <w:rPr>
          <w:rFonts w:hint="eastAsia" w:ascii="仿宋" w:hAnsi="仿宋" w:eastAsia="仿宋" w:cs="仿宋"/>
          <w:b/>
          <w:bCs/>
          <w:color w:val="auto"/>
          <w:sz w:val="30"/>
          <w:szCs w:val="30"/>
          <w:highlight w:val="none"/>
        </w:rPr>
      </w:pPr>
    </w:p>
    <w:p w14:paraId="7E800C62">
      <w:pPr>
        <w:pStyle w:val="23"/>
        <w:spacing w:line="520" w:lineRule="exact"/>
        <w:jc w:val="center"/>
        <w:rPr>
          <w:rFonts w:hint="eastAsia" w:ascii="仿宋" w:hAnsi="仿宋" w:eastAsia="仿宋" w:cs="仿宋"/>
          <w:b/>
          <w:bCs/>
          <w:color w:val="auto"/>
          <w:sz w:val="30"/>
          <w:szCs w:val="30"/>
          <w:highlight w:val="none"/>
        </w:rPr>
      </w:pPr>
    </w:p>
    <w:p w14:paraId="2794F4D4">
      <w:pPr>
        <w:pStyle w:val="23"/>
        <w:spacing w:line="520" w:lineRule="exact"/>
        <w:jc w:val="center"/>
        <w:rPr>
          <w:rFonts w:hint="eastAsia" w:ascii="仿宋" w:hAnsi="仿宋" w:eastAsia="仿宋" w:cs="仿宋"/>
          <w:b/>
          <w:bCs/>
          <w:color w:val="auto"/>
          <w:sz w:val="30"/>
          <w:szCs w:val="30"/>
          <w:highlight w:val="none"/>
        </w:rPr>
      </w:pPr>
    </w:p>
    <w:p w14:paraId="3042FF04">
      <w:pPr>
        <w:pStyle w:val="23"/>
        <w:spacing w:line="520" w:lineRule="exact"/>
        <w:jc w:val="center"/>
        <w:rPr>
          <w:rFonts w:hint="eastAsia" w:ascii="仿宋" w:hAnsi="仿宋" w:eastAsia="仿宋" w:cs="仿宋"/>
          <w:b/>
          <w:bCs/>
          <w:color w:val="auto"/>
          <w:sz w:val="30"/>
          <w:szCs w:val="30"/>
          <w:highlight w:val="none"/>
        </w:rPr>
      </w:pPr>
    </w:p>
    <w:p w14:paraId="1383109A">
      <w:pPr>
        <w:pStyle w:val="23"/>
        <w:spacing w:line="520" w:lineRule="exact"/>
        <w:jc w:val="center"/>
        <w:rPr>
          <w:rFonts w:hint="eastAsia" w:ascii="仿宋" w:hAnsi="仿宋" w:eastAsia="仿宋" w:cs="仿宋"/>
          <w:b/>
          <w:bCs/>
          <w:color w:val="auto"/>
          <w:sz w:val="30"/>
          <w:szCs w:val="30"/>
          <w:highlight w:val="none"/>
        </w:rPr>
      </w:pPr>
    </w:p>
    <w:p w14:paraId="12197A7D">
      <w:pPr>
        <w:pStyle w:val="23"/>
        <w:spacing w:line="520" w:lineRule="exact"/>
        <w:jc w:val="center"/>
        <w:rPr>
          <w:rFonts w:hint="eastAsia" w:ascii="仿宋" w:hAnsi="仿宋" w:eastAsia="仿宋" w:cs="仿宋"/>
          <w:b/>
          <w:bCs/>
          <w:color w:val="auto"/>
          <w:sz w:val="30"/>
          <w:szCs w:val="30"/>
          <w:highlight w:val="none"/>
        </w:rPr>
      </w:pPr>
    </w:p>
    <w:p w14:paraId="3B9FFEEA">
      <w:pPr>
        <w:pStyle w:val="23"/>
        <w:spacing w:line="520" w:lineRule="exact"/>
        <w:jc w:val="center"/>
        <w:rPr>
          <w:rFonts w:hint="eastAsia" w:ascii="仿宋" w:hAnsi="仿宋" w:eastAsia="仿宋" w:cs="仿宋"/>
          <w:b/>
          <w:bCs/>
          <w:color w:val="auto"/>
          <w:sz w:val="30"/>
          <w:szCs w:val="30"/>
          <w:highlight w:val="none"/>
        </w:rPr>
      </w:pPr>
    </w:p>
    <w:p w14:paraId="7E00EC70">
      <w:pPr>
        <w:pStyle w:val="23"/>
        <w:spacing w:line="520" w:lineRule="exact"/>
        <w:jc w:val="center"/>
        <w:rPr>
          <w:rFonts w:hint="eastAsia" w:ascii="仿宋" w:hAnsi="仿宋" w:eastAsia="仿宋" w:cs="仿宋"/>
          <w:b/>
          <w:bCs/>
          <w:color w:val="auto"/>
          <w:sz w:val="30"/>
          <w:szCs w:val="30"/>
          <w:highlight w:val="none"/>
        </w:rPr>
      </w:pPr>
    </w:p>
    <w:p w14:paraId="126B65D9">
      <w:pPr>
        <w:pStyle w:val="23"/>
        <w:spacing w:line="520" w:lineRule="exact"/>
        <w:jc w:val="center"/>
        <w:rPr>
          <w:rFonts w:hint="eastAsia" w:ascii="仿宋" w:hAnsi="仿宋" w:eastAsia="仿宋" w:cs="仿宋"/>
          <w:b/>
          <w:bCs/>
          <w:color w:val="auto"/>
          <w:sz w:val="30"/>
          <w:szCs w:val="30"/>
          <w:highlight w:val="none"/>
        </w:rPr>
      </w:pPr>
    </w:p>
    <w:p w14:paraId="1724FC22">
      <w:pPr>
        <w:pStyle w:val="23"/>
        <w:spacing w:line="520" w:lineRule="exact"/>
        <w:jc w:val="center"/>
        <w:rPr>
          <w:rFonts w:hint="eastAsia" w:ascii="仿宋" w:hAnsi="仿宋" w:eastAsia="仿宋" w:cs="仿宋"/>
          <w:b/>
          <w:bCs/>
          <w:color w:val="auto"/>
          <w:sz w:val="30"/>
          <w:szCs w:val="30"/>
          <w:highlight w:val="none"/>
        </w:rPr>
      </w:pPr>
    </w:p>
    <w:p w14:paraId="14F8F9C7">
      <w:pPr>
        <w:pStyle w:val="23"/>
        <w:spacing w:line="520" w:lineRule="exact"/>
        <w:jc w:val="center"/>
        <w:rPr>
          <w:rFonts w:hint="eastAsia" w:ascii="仿宋" w:hAnsi="仿宋" w:eastAsia="仿宋" w:cs="仿宋"/>
          <w:b/>
          <w:bCs/>
          <w:color w:val="auto"/>
          <w:sz w:val="30"/>
          <w:szCs w:val="30"/>
          <w:highlight w:val="none"/>
        </w:rPr>
      </w:pPr>
    </w:p>
    <w:p w14:paraId="7F694BE8">
      <w:pPr>
        <w:pStyle w:val="23"/>
        <w:spacing w:line="520" w:lineRule="exact"/>
        <w:jc w:val="center"/>
        <w:rPr>
          <w:rFonts w:hint="eastAsia" w:ascii="仿宋" w:hAnsi="仿宋" w:eastAsia="仿宋" w:cs="仿宋"/>
          <w:b/>
          <w:bCs/>
          <w:color w:val="auto"/>
          <w:sz w:val="30"/>
          <w:szCs w:val="30"/>
          <w:highlight w:val="none"/>
        </w:rPr>
      </w:pPr>
    </w:p>
    <w:p w14:paraId="74B05B6B">
      <w:pPr>
        <w:pStyle w:val="23"/>
        <w:spacing w:line="520" w:lineRule="exact"/>
        <w:jc w:val="center"/>
        <w:rPr>
          <w:rFonts w:hint="eastAsia" w:ascii="仿宋" w:hAnsi="仿宋" w:eastAsia="仿宋" w:cs="仿宋"/>
          <w:b/>
          <w:bCs/>
          <w:color w:val="auto"/>
          <w:sz w:val="30"/>
          <w:szCs w:val="30"/>
          <w:highlight w:val="none"/>
        </w:rPr>
      </w:pPr>
    </w:p>
    <w:p w14:paraId="0575B39F">
      <w:pPr>
        <w:pStyle w:val="23"/>
        <w:spacing w:line="520" w:lineRule="exact"/>
        <w:jc w:val="center"/>
        <w:rPr>
          <w:rFonts w:hint="eastAsia" w:ascii="仿宋" w:hAnsi="仿宋" w:eastAsia="仿宋" w:cs="仿宋"/>
          <w:b/>
          <w:bCs/>
          <w:color w:val="auto"/>
          <w:sz w:val="30"/>
          <w:szCs w:val="30"/>
          <w:highlight w:val="none"/>
        </w:rPr>
      </w:pPr>
    </w:p>
    <w:p w14:paraId="35A48EF2">
      <w:pPr>
        <w:pStyle w:val="23"/>
        <w:spacing w:line="520" w:lineRule="exact"/>
        <w:jc w:val="center"/>
        <w:rPr>
          <w:rFonts w:hint="eastAsia" w:ascii="仿宋" w:hAnsi="仿宋" w:eastAsia="仿宋" w:cs="仿宋"/>
          <w:b/>
          <w:bCs/>
          <w:color w:val="auto"/>
          <w:sz w:val="30"/>
          <w:szCs w:val="30"/>
          <w:highlight w:val="none"/>
        </w:rPr>
      </w:pPr>
    </w:p>
    <w:p w14:paraId="5761C043">
      <w:pPr>
        <w:pStyle w:val="23"/>
        <w:spacing w:line="520" w:lineRule="exact"/>
        <w:jc w:val="center"/>
        <w:rPr>
          <w:rFonts w:hint="eastAsia" w:ascii="仿宋" w:hAnsi="仿宋" w:eastAsia="仿宋" w:cs="仿宋"/>
          <w:b/>
          <w:bCs/>
          <w:color w:val="auto"/>
          <w:sz w:val="30"/>
          <w:szCs w:val="30"/>
          <w:highlight w:val="none"/>
        </w:rPr>
      </w:pPr>
    </w:p>
    <w:p w14:paraId="77E70791">
      <w:pPr>
        <w:pStyle w:val="23"/>
        <w:spacing w:line="520" w:lineRule="exact"/>
        <w:jc w:val="center"/>
        <w:rPr>
          <w:rFonts w:hint="eastAsia" w:ascii="仿宋" w:hAnsi="仿宋" w:eastAsia="仿宋" w:cs="仿宋"/>
          <w:b/>
          <w:bCs/>
          <w:color w:val="auto"/>
          <w:sz w:val="30"/>
          <w:szCs w:val="30"/>
          <w:highlight w:val="none"/>
        </w:rPr>
      </w:pPr>
    </w:p>
    <w:p w14:paraId="0D1C01BF">
      <w:pPr>
        <w:pStyle w:val="23"/>
        <w:spacing w:line="520" w:lineRule="exact"/>
        <w:jc w:val="center"/>
        <w:rPr>
          <w:rFonts w:hint="eastAsia" w:ascii="仿宋" w:hAnsi="仿宋" w:eastAsia="仿宋" w:cs="仿宋"/>
          <w:b/>
          <w:bCs/>
          <w:color w:val="auto"/>
          <w:sz w:val="30"/>
          <w:szCs w:val="30"/>
          <w:highlight w:val="none"/>
        </w:rPr>
      </w:pPr>
    </w:p>
    <w:p w14:paraId="7653149F">
      <w:pPr>
        <w:pStyle w:val="23"/>
        <w:spacing w:line="520" w:lineRule="exact"/>
        <w:jc w:val="center"/>
        <w:rPr>
          <w:rFonts w:hint="eastAsia" w:ascii="仿宋" w:hAnsi="仿宋" w:eastAsia="仿宋" w:cs="仿宋"/>
          <w:b/>
          <w:bCs/>
          <w:color w:val="auto"/>
          <w:sz w:val="30"/>
          <w:szCs w:val="30"/>
          <w:highlight w:val="none"/>
        </w:rPr>
      </w:pPr>
    </w:p>
    <w:p w14:paraId="6206F786">
      <w:pPr>
        <w:pStyle w:val="23"/>
        <w:spacing w:line="520" w:lineRule="exact"/>
        <w:jc w:val="center"/>
        <w:rPr>
          <w:rFonts w:hint="eastAsia" w:ascii="仿宋" w:hAnsi="仿宋" w:eastAsia="仿宋" w:cs="仿宋"/>
          <w:b/>
          <w:bCs/>
          <w:color w:val="auto"/>
          <w:sz w:val="30"/>
          <w:szCs w:val="30"/>
          <w:highlight w:val="none"/>
        </w:rPr>
      </w:pPr>
    </w:p>
    <w:p w14:paraId="3A40B0B4">
      <w:pPr>
        <w:pStyle w:val="23"/>
        <w:spacing w:line="520" w:lineRule="exact"/>
        <w:jc w:val="center"/>
        <w:rPr>
          <w:rFonts w:hint="eastAsia" w:ascii="仿宋" w:hAnsi="仿宋" w:eastAsia="仿宋" w:cs="仿宋"/>
          <w:b/>
          <w:bCs/>
          <w:color w:val="auto"/>
          <w:sz w:val="30"/>
          <w:szCs w:val="30"/>
          <w:highlight w:val="none"/>
        </w:rPr>
      </w:pPr>
    </w:p>
    <w:p w14:paraId="75CB73BB">
      <w:pPr>
        <w:pStyle w:val="23"/>
        <w:spacing w:line="520" w:lineRule="exact"/>
        <w:jc w:val="center"/>
        <w:rPr>
          <w:rFonts w:hint="eastAsia" w:ascii="仿宋" w:hAnsi="仿宋" w:eastAsia="仿宋" w:cs="仿宋"/>
          <w:b/>
          <w:bCs/>
          <w:color w:val="auto"/>
          <w:sz w:val="30"/>
          <w:szCs w:val="30"/>
          <w:highlight w:val="none"/>
        </w:rPr>
      </w:pPr>
    </w:p>
    <w:p w14:paraId="2880ADB4">
      <w:pPr>
        <w:pStyle w:val="23"/>
        <w:spacing w:line="520" w:lineRule="exact"/>
        <w:jc w:val="center"/>
        <w:rPr>
          <w:rFonts w:hint="eastAsia" w:ascii="仿宋" w:hAnsi="仿宋" w:eastAsia="仿宋" w:cs="仿宋"/>
          <w:b/>
          <w:bCs/>
          <w:color w:val="auto"/>
          <w:sz w:val="30"/>
          <w:szCs w:val="30"/>
          <w:highlight w:val="none"/>
        </w:rPr>
      </w:pPr>
    </w:p>
    <w:p w14:paraId="212748AB">
      <w:pPr>
        <w:pStyle w:val="23"/>
        <w:spacing w:line="520" w:lineRule="exact"/>
        <w:jc w:val="center"/>
        <w:rPr>
          <w:rFonts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投标</w:t>
      </w:r>
      <w:r>
        <w:rPr>
          <w:rFonts w:hint="eastAsia" w:ascii="仿宋" w:hAnsi="仿宋" w:eastAsia="仿宋" w:cs="仿宋"/>
          <w:b/>
          <w:bCs/>
          <w:sz w:val="30"/>
          <w:szCs w:val="30"/>
          <w:highlight w:val="none"/>
        </w:rPr>
        <w:t>偏离表</w:t>
      </w:r>
    </w:p>
    <w:p w14:paraId="340462D1">
      <w:pPr>
        <w:spacing w:line="3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（包括技术要求和商务条款偏离）</w:t>
      </w:r>
    </w:p>
    <w:p w14:paraId="1F9F5332">
      <w:pPr>
        <w:spacing w:line="360" w:lineRule="exact"/>
        <w:jc w:val="center"/>
        <w:rPr>
          <w:rFonts w:ascii="仿宋" w:hAnsi="仿宋" w:eastAsia="仿宋" w:cs="仿宋"/>
          <w:bCs/>
          <w:sz w:val="24"/>
          <w:szCs w:val="24"/>
          <w:highlight w:val="none"/>
        </w:rPr>
      </w:pPr>
    </w:p>
    <w:tbl>
      <w:tblPr>
        <w:tblStyle w:val="43"/>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236"/>
        <w:gridCol w:w="2657"/>
        <w:gridCol w:w="1417"/>
        <w:gridCol w:w="2694"/>
        <w:gridCol w:w="1293"/>
      </w:tblGrid>
      <w:tr w14:paraId="5C965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468" w:type="dxa"/>
            <w:vMerge w:val="restart"/>
            <w:noWrap w:val="0"/>
            <w:vAlign w:val="top"/>
          </w:tcPr>
          <w:p w14:paraId="2116EA63">
            <w:pPr>
              <w:pStyle w:val="23"/>
              <w:spacing w:line="400" w:lineRule="exact"/>
              <w:rPr>
                <w:rFonts w:ascii="仿宋" w:hAnsi="仿宋" w:eastAsia="仿宋" w:cs="仿宋"/>
                <w:sz w:val="24"/>
                <w:szCs w:val="24"/>
                <w:highlight w:val="none"/>
              </w:rPr>
            </w:pPr>
            <w:r>
              <w:rPr>
                <w:rFonts w:hint="eastAsia" w:ascii="仿宋" w:hAnsi="仿宋" w:eastAsia="仿宋" w:cs="仿宋"/>
                <w:sz w:val="24"/>
                <w:szCs w:val="24"/>
                <w:highlight w:val="none"/>
              </w:rPr>
              <w:t>序号</w:t>
            </w:r>
          </w:p>
        </w:tc>
        <w:tc>
          <w:tcPr>
            <w:tcW w:w="3893" w:type="dxa"/>
            <w:gridSpan w:val="2"/>
            <w:noWrap w:val="0"/>
            <w:vAlign w:val="top"/>
          </w:tcPr>
          <w:p w14:paraId="4712CB42">
            <w:pPr>
              <w:pStyle w:val="23"/>
              <w:spacing w:line="40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         招标文件条款</w:t>
            </w:r>
          </w:p>
        </w:tc>
        <w:tc>
          <w:tcPr>
            <w:tcW w:w="4111" w:type="dxa"/>
            <w:gridSpan w:val="2"/>
            <w:noWrap w:val="0"/>
            <w:vAlign w:val="top"/>
          </w:tcPr>
          <w:p w14:paraId="72AE0D70">
            <w:pPr>
              <w:pStyle w:val="23"/>
              <w:spacing w:line="400" w:lineRule="exact"/>
              <w:rPr>
                <w:rFonts w:ascii="仿宋" w:hAnsi="仿宋" w:eastAsia="仿宋" w:cs="仿宋"/>
                <w:sz w:val="24"/>
                <w:szCs w:val="24"/>
                <w:highlight w:val="none"/>
              </w:rPr>
            </w:pPr>
            <w:r>
              <w:rPr>
                <w:rFonts w:hint="eastAsia" w:ascii="仿宋" w:hAnsi="仿宋" w:eastAsia="仿宋" w:cs="仿宋"/>
                <w:sz w:val="24"/>
                <w:szCs w:val="24"/>
                <w:highlight w:val="none"/>
              </w:rPr>
              <w:t xml:space="preserve">       投标文件条款</w:t>
            </w:r>
          </w:p>
        </w:tc>
        <w:tc>
          <w:tcPr>
            <w:tcW w:w="1293" w:type="dxa"/>
            <w:vMerge w:val="restart"/>
            <w:noWrap w:val="0"/>
            <w:vAlign w:val="center"/>
          </w:tcPr>
          <w:p w14:paraId="5A4C7DF2">
            <w:pPr>
              <w:pStyle w:val="23"/>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偏离情况</w:t>
            </w:r>
          </w:p>
        </w:tc>
      </w:tr>
      <w:tr w14:paraId="421D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468" w:type="dxa"/>
            <w:vMerge w:val="continue"/>
            <w:noWrap w:val="0"/>
            <w:vAlign w:val="top"/>
          </w:tcPr>
          <w:p w14:paraId="27B00D25">
            <w:pPr>
              <w:pStyle w:val="23"/>
              <w:spacing w:line="400" w:lineRule="exact"/>
              <w:rPr>
                <w:rFonts w:ascii="仿宋" w:hAnsi="仿宋" w:eastAsia="仿宋" w:cs="仿宋"/>
                <w:sz w:val="24"/>
                <w:szCs w:val="24"/>
                <w:highlight w:val="none"/>
              </w:rPr>
            </w:pPr>
          </w:p>
        </w:tc>
        <w:tc>
          <w:tcPr>
            <w:tcW w:w="1236" w:type="dxa"/>
            <w:noWrap w:val="0"/>
            <w:vAlign w:val="top"/>
          </w:tcPr>
          <w:p w14:paraId="73987EAE">
            <w:pPr>
              <w:pStyle w:val="23"/>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条款号</w:t>
            </w:r>
          </w:p>
        </w:tc>
        <w:tc>
          <w:tcPr>
            <w:tcW w:w="2657" w:type="dxa"/>
            <w:noWrap w:val="0"/>
            <w:vAlign w:val="top"/>
          </w:tcPr>
          <w:p w14:paraId="4EC18F62">
            <w:pPr>
              <w:pStyle w:val="23"/>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招标文件的内容</w:t>
            </w:r>
          </w:p>
        </w:tc>
        <w:tc>
          <w:tcPr>
            <w:tcW w:w="1417" w:type="dxa"/>
            <w:noWrap w:val="0"/>
            <w:vAlign w:val="top"/>
          </w:tcPr>
          <w:p w14:paraId="7CD83939">
            <w:pPr>
              <w:pStyle w:val="23"/>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条款号</w:t>
            </w:r>
          </w:p>
        </w:tc>
        <w:tc>
          <w:tcPr>
            <w:tcW w:w="2694" w:type="dxa"/>
            <w:noWrap w:val="0"/>
            <w:vAlign w:val="top"/>
          </w:tcPr>
          <w:p w14:paraId="67C61B03">
            <w:pPr>
              <w:pStyle w:val="23"/>
              <w:spacing w:line="40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投标文件偏离内容</w:t>
            </w:r>
          </w:p>
        </w:tc>
        <w:tc>
          <w:tcPr>
            <w:tcW w:w="1293" w:type="dxa"/>
            <w:vMerge w:val="continue"/>
            <w:noWrap w:val="0"/>
            <w:vAlign w:val="top"/>
          </w:tcPr>
          <w:p w14:paraId="242152BB">
            <w:pPr>
              <w:pStyle w:val="23"/>
              <w:spacing w:line="400" w:lineRule="exact"/>
              <w:jc w:val="center"/>
              <w:rPr>
                <w:rFonts w:ascii="仿宋" w:hAnsi="仿宋" w:eastAsia="仿宋" w:cs="仿宋"/>
                <w:sz w:val="24"/>
                <w:szCs w:val="24"/>
                <w:highlight w:val="none"/>
              </w:rPr>
            </w:pPr>
          </w:p>
        </w:tc>
      </w:tr>
      <w:tr w14:paraId="1D2F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68" w:type="dxa"/>
            <w:noWrap w:val="0"/>
            <w:vAlign w:val="top"/>
          </w:tcPr>
          <w:p w14:paraId="3C8AFDF1">
            <w:pPr>
              <w:pStyle w:val="23"/>
              <w:spacing w:line="400" w:lineRule="exact"/>
              <w:rPr>
                <w:rFonts w:ascii="仿宋" w:hAnsi="仿宋" w:eastAsia="仿宋" w:cs="仿宋"/>
                <w:sz w:val="24"/>
                <w:szCs w:val="24"/>
                <w:highlight w:val="none"/>
              </w:rPr>
            </w:pPr>
          </w:p>
        </w:tc>
        <w:tc>
          <w:tcPr>
            <w:tcW w:w="1236" w:type="dxa"/>
            <w:noWrap w:val="0"/>
            <w:vAlign w:val="top"/>
          </w:tcPr>
          <w:p w14:paraId="545DF35C">
            <w:pPr>
              <w:pStyle w:val="23"/>
              <w:spacing w:line="400" w:lineRule="exact"/>
              <w:rPr>
                <w:rFonts w:ascii="仿宋" w:hAnsi="仿宋" w:eastAsia="仿宋" w:cs="仿宋"/>
                <w:sz w:val="24"/>
                <w:szCs w:val="24"/>
                <w:highlight w:val="none"/>
              </w:rPr>
            </w:pPr>
          </w:p>
        </w:tc>
        <w:tc>
          <w:tcPr>
            <w:tcW w:w="2657" w:type="dxa"/>
            <w:noWrap w:val="0"/>
            <w:vAlign w:val="top"/>
          </w:tcPr>
          <w:p w14:paraId="7FB1AA0E">
            <w:pPr>
              <w:pStyle w:val="23"/>
              <w:spacing w:line="400" w:lineRule="exact"/>
              <w:rPr>
                <w:rFonts w:ascii="仿宋" w:hAnsi="仿宋" w:eastAsia="仿宋" w:cs="仿宋"/>
                <w:sz w:val="24"/>
                <w:szCs w:val="24"/>
                <w:highlight w:val="none"/>
              </w:rPr>
            </w:pPr>
          </w:p>
        </w:tc>
        <w:tc>
          <w:tcPr>
            <w:tcW w:w="1417" w:type="dxa"/>
            <w:noWrap w:val="0"/>
            <w:vAlign w:val="top"/>
          </w:tcPr>
          <w:p w14:paraId="542E1152">
            <w:pPr>
              <w:pStyle w:val="23"/>
              <w:spacing w:line="400" w:lineRule="exact"/>
              <w:rPr>
                <w:rFonts w:ascii="仿宋" w:hAnsi="仿宋" w:eastAsia="仿宋" w:cs="仿宋"/>
                <w:sz w:val="24"/>
                <w:szCs w:val="24"/>
                <w:highlight w:val="none"/>
              </w:rPr>
            </w:pPr>
          </w:p>
        </w:tc>
        <w:tc>
          <w:tcPr>
            <w:tcW w:w="2694" w:type="dxa"/>
            <w:noWrap w:val="0"/>
            <w:vAlign w:val="top"/>
          </w:tcPr>
          <w:p w14:paraId="5C224B8F">
            <w:pPr>
              <w:pStyle w:val="23"/>
              <w:spacing w:line="400" w:lineRule="exact"/>
              <w:rPr>
                <w:rFonts w:ascii="仿宋" w:hAnsi="仿宋" w:eastAsia="仿宋" w:cs="仿宋"/>
                <w:sz w:val="24"/>
                <w:szCs w:val="24"/>
                <w:highlight w:val="none"/>
              </w:rPr>
            </w:pPr>
          </w:p>
        </w:tc>
        <w:tc>
          <w:tcPr>
            <w:tcW w:w="1293" w:type="dxa"/>
            <w:noWrap w:val="0"/>
            <w:vAlign w:val="top"/>
          </w:tcPr>
          <w:p w14:paraId="0993E7A2">
            <w:pPr>
              <w:pStyle w:val="23"/>
              <w:spacing w:line="400" w:lineRule="exact"/>
              <w:rPr>
                <w:rFonts w:ascii="仿宋" w:hAnsi="仿宋" w:eastAsia="仿宋" w:cs="仿宋"/>
                <w:sz w:val="24"/>
                <w:szCs w:val="24"/>
                <w:highlight w:val="none"/>
              </w:rPr>
            </w:pPr>
          </w:p>
        </w:tc>
      </w:tr>
      <w:tr w14:paraId="2C836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68" w:type="dxa"/>
            <w:noWrap w:val="0"/>
            <w:vAlign w:val="top"/>
          </w:tcPr>
          <w:p w14:paraId="6775CAEB">
            <w:pPr>
              <w:pStyle w:val="23"/>
              <w:spacing w:line="400" w:lineRule="exact"/>
              <w:rPr>
                <w:rFonts w:ascii="仿宋" w:hAnsi="仿宋" w:eastAsia="仿宋" w:cs="仿宋"/>
                <w:sz w:val="24"/>
                <w:szCs w:val="24"/>
                <w:highlight w:val="none"/>
              </w:rPr>
            </w:pPr>
          </w:p>
        </w:tc>
        <w:tc>
          <w:tcPr>
            <w:tcW w:w="1236" w:type="dxa"/>
            <w:noWrap w:val="0"/>
            <w:vAlign w:val="top"/>
          </w:tcPr>
          <w:p w14:paraId="49BF1E0E">
            <w:pPr>
              <w:pStyle w:val="23"/>
              <w:spacing w:line="400" w:lineRule="exact"/>
              <w:rPr>
                <w:rFonts w:ascii="仿宋" w:hAnsi="仿宋" w:eastAsia="仿宋" w:cs="仿宋"/>
                <w:sz w:val="24"/>
                <w:szCs w:val="24"/>
                <w:highlight w:val="none"/>
              </w:rPr>
            </w:pPr>
          </w:p>
        </w:tc>
        <w:tc>
          <w:tcPr>
            <w:tcW w:w="2657" w:type="dxa"/>
            <w:noWrap w:val="0"/>
            <w:vAlign w:val="top"/>
          </w:tcPr>
          <w:p w14:paraId="5AADA6C0">
            <w:pPr>
              <w:pStyle w:val="23"/>
              <w:spacing w:line="400" w:lineRule="exact"/>
              <w:rPr>
                <w:rFonts w:ascii="仿宋" w:hAnsi="仿宋" w:eastAsia="仿宋" w:cs="仿宋"/>
                <w:sz w:val="24"/>
                <w:szCs w:val="24"/>
                <w:highlight w:val="none"/>
              </w:rPr>
            </w:pPr>
          </w:p>
        </w:tc>
        <w:tc>
          <w:tcPr>
            <w:tcW w:w="1417" w:type="dxa"/>
            <w:noWrap w:val="0"/>
            <w:vAlign w:val="top"/>
          </w:tcPr>
          <w:p w14:paraId="5A1BBD0B">
            <w:pPr>
              <w:pStyle w:val="23"/>
              <w:spacing w:line="400" w:lineRule="exact"/>
              <w:rPr>
                <w:rFonts w:ascii="仿宋" w:hAnsi="仿宋" w:eastAsia="仿宋" w:cs="仿宋"/>
                <w:sz w:val="24"/>
                <w:szCs w:val="24"/>
                <w:highlight w:val="none"/>
              </w:rPr>
            </w:pPr>
          </w:p>
        </w:tc>
        <w:tc>
          <w:tcPr>
            <w:tcW w:w="2694" w:type="dxa"/>
            <w:noWrap w:val="0"/>
            <w:vAlign w:val="top"/>
          </w:tcPr>
          <w:p w14:paraId="3C9E37EB">
            <w:pPr>
              <w:pStyle w:val="23"/>
              <w:spacing w:line="400" w:lineRule="exact"/>
              <w:rPr>
                <w:rFonts w:ascii="仿宋" w:hAnsi="仿宋" w:eastAsia="仿宋" w:cs="仿宋"/>
                <w:sz w:val="24"/>
                <w:szCs w:val="24"/>
                <w:highlight w:val="none"/>
              </w:rPr>
            </w:pPr>
          </w:p>
        </w:tc>
        <w:tc>
          <w:tcPr>
            <w:tcW w:w="1293" w:type="dxa"/>
            <w:noWrap w:val="0"/>
            <w:vAlign w:val="top"/>
          </w:tcPr>
          <w:p w14:paraId="40023EEC">
            <w:pPr>
              <w:pStyle w:val="23"/>
              <w:spacing w:line="400" w:lineRule="exact"/>
              <w:rPr>
                <w:rFonts w:ascii="仿宋" w:hAnsi="仿宋" w:eastAsia="仿宋" w:cs="仿宋"/>
                <w:sz w:val="24"/>
                <w:szCs w:val="24"/>
                <w:highlight w:val="none"/>
              </w:rPr>
            </w:pPr>
          </w:p>
        </w:tc>
      </w:tr>
      <w:tr w14:paraId="486B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68" w:type="dxa"/>
            <w:noWrap w:val="0"/>
            <w:vAlign w:val="top"/>
          </w:tcPr>
          <w:p w14:paraId="42902A6C">
            <w:pPr>
              <w:pStyle w:val="23"/>
              <w:spacing w:line="400" w:lineRule="exact"/>
              <w:rPr>
                <w:rFonts w:ascii="仿宋" w:hAnsi="仿宋" w:eastAsia="仿宋" w:cs="仿宋"/>
                <w:sz w:val="24"/>
                <w:szCs w:val="24"/>
                <w:highlight w:val="none"/>
              </w:rPr>
            </w:pPr>
          </w:p>
        </w:tc>
        <w:tc>
          <w:tcPr>
            <w:tcW w:w="1236" w:type="dxa"/>
            <w:noWrap w:val="0"/>
            <w:vAlign w:val="top"/>
          </w:tcPr>
          <w:p w14:paraId="78B47E3F">
            <w:pPr>
              <w:pStyle w:val="23"/>
              <w:spacing w:line="400" w:lineRule="exact"/>
              <w:rPr>
                <w:rFonts w:ascii="仿宋" w:hAnsi="仿宋" w:eastAsia="仿宋" w:cs="仿宋"/>
                <w:sz w:val="24"/>
                <w:szCs w:val="24"/>
                <w:highlight w:val="none"/>
              </w:rPr>
            </w:pPr>
          </w:p>
        </w:tc>
        <w:tc>
          <w:tcPr>
            <w:tcW w:w="2657" w:type="dxa"/>
            <w:noWrap w:val="0"/>
            <w:vAlign w:val="top"/>
          </w:tcPr>
          <w:p w14:paraId="71CDA1D4">
            <w:pPr>
              <w:pStyle w:val="23"/>
              <w:spacing w:line="400" w:lineRule="exact"/>
              <w:rPr>
                <w:rFonts w:ascii="仿宋" w:hAnsi="仿宋" w:eastAsia="仿宋" w:cs="仿宋"/>
                <w:sz w:val="24"/>
                <w:szCs w:val="24"/>
                <w:highlight w:val="none"/>
              </w:rPr>
            </w:pPr>
          </w:p>
        </w:tc>
        <w:tc>
          <w:tcPr>
            <w:tcW w:w="1417" w:type="dxa"/>
            <w:noWrap w:val="0"/>
            <w:vAlign w:val="top"/>
          </w:tcPr>
          <w:p w14:paraId="79A88840">
            <w:pPr>
              <w:pStyle w:val="23"/>
              <w:spacing w:line="400" w:lineRule="exact"/>
              <w:rPr>
                <w:rFonts w:ascii="仿宋" w:hAnsi="仿宋" w:eastAsia="仿宋" w:cs="仿宋"/>
                <w:sz w:val="24"/>
                <w:szCs w:val="24"/>
                <w:highlight w:val="none"/>
              </w:rPr>
            </w:pPr>
          </w:p>
        </w:tc>
        <w:tc>
          <w:tcPr>
            <w:tcW w:w="2694" w:type="dxa"/>
            <w:noWrap w:val="0"/>
            <w:vAlign w:val="top"/>
          </w:tcPr>
          <w:p w14:paraId="65AFA692">
            <w:pPr>
              <w:pStyle w:val="23"/>
              <w:spacing w:line="400" w:lineRule="exact"/>
              <w:rPr>
                <w:rFonts w:ascii="仿宋" w:hAnsi="仿宋" w:eastAsia="仿宋" w:cs="仿宋"/>
                <w:sz w:val="24"/>
                <w:szCs w:val="24"/>
                <w:highlight w:val="none"/>
              </w:rPr>
            </w:pPr>
          </w:p>
        </w:tc>
        <w:tc>
          <w:tcPr>
            <w:tcW w:w="1293" w:type="dxa"/>
            <w:noWrap w:val="0"/>
            <w:vAlign w:val="top"/>
          </w:tcPr>
          <w:p w14:paraId="68ABA14E">
            <w:pPr>
              <w:pStyle w:val="23"/>
              <w:spacing w:line="400" w:lineRule="exact"/>
              <w:rPr>
                <w:rFonts w:ascii="仿宋" w:hAnsi="仿宋" w:eastAsia="仿宋" w:cs="仿宋"/>
                <w:sz w:val="24"/>
                <w:szCs w:val="24"/>
                <w:highlight w:val="none"/>
              </w:rPr>
            </w:pPr>
          </w:p>
        </w:tc>
      </w:tr>
      <w:tr w14:paraId="37AE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68" w:type="dxa"/>
            <w:noWrap w:val="0"/>
            <w:vAlign w:val="top"/>
          </w:tcPr>
          <w:p w14:paraId="670ECEF0">
            <w:pPr>
              <w:pStyle w:val="23"/>
              <w:spacing w:line="400" w:lineRule="exact"/>
              <w:rPr>
                <w:rFonts w:ascii="仿宋" w:hAnsi="仿宋" w:eastAsia="仿宋" w:cs="仿宋"/>
                <w:sz w:val="24"/>
                <w:szCs w:val="24"/>
                <w:highlight w:val="none"/>
              </w:rPr>
            </w:pPr>
          </w:p>
        </w:tc>
        <w:tc>
          <w:tcPr>
            <w:tcW w:w="1236" w:type="dxa"/>
            <w:noWrap w:val="0"/>
            <w:vAlign w:val="top"/>
          </w:tcPr>
          <w:p w14:paraId="62880810">
            <w:pPr>
              <w:pStyle w:val="23"/>
              <w:spacing w:line="400" w:lineRule="exact"/>
              <w:rPr>
                <w:rFonts w:ascii="仿宋" w:hAnsi="仿宋" w:eastAsia="仿宋" w:cs="仿宋"/>
                <w:sz w:val="24"/>
                <w:szCs w:val="24"/>
                <w:highlight w:val="none"/>
              </w:rPr>
            </w:pPr>
          </w:p>
        </w:tc>
        <w:tc>
          <w:tcPr>
            <w:tcW w:w="2657" w:type="dxa"/>
            <w:noWrap w:val="0"/>
            <w:vAlign w:val="top"/>
          </w:tcPr>
          <w:p w14:paraId="1AB64553">
            <w:pPr>
              <w:pStyle w:val="23"/>
              <w:spacing w:line="400" w:lineRule="exact"/>
              <w:rPr>
                <w:rFonts w:ascii="仿宋" w:hAnsi="仿宋" w:eastAsia="仿宋" w:cs="仿宋"/>
                <w:sz w:val="24"/>
                <w:szCs w:val="24"/>
                <w:highlight w:val="none"/>
              </w:rPr>
            </w:pPr>
          </w:p>
        </w:tc>
        <w:tc>
          <w:tcPr>
            <w:tcW w:w="1417" w:type="dxa"/>
            <w:noWrap w:val="0"/>
            <w:vAlign w:val="top"/>
          </w:tcPr>
          <w:p w14:paraId="2E209A46">
            <w:pPr>
              <w:pStyle w:val="23"/>
              <w:spacing w:line="400" w:lineRule="exact"/>
              <w:rPr>
                <w:rFonts w:ascii="仿宋" w:hAnsi="仿宋" w:eastAsia="仿宋" w:cs="仿宋"/>
                <w:sz w:val="24"/>
                <w:szCs w:val="24"/>
                <w:highlight w:val="none"/>
              </w:rPr>
            </w:pPr>
          </w:p>
        </w:tc>
        <w:tc>
          <w:tcPr>
            <w:tcW w:w="2694" w:type="dxa"/>
            <w:noWrap w:val="0"/>
            <w:vAlign w:val="top"/>
          </w:tcPr>
          <w:p w14:paraId="2A24D13D">
            <w:pPr>
              <w:pStyle w:val="23"/>
              <w:spacing w:line="400" w:lineRule="exact"/>
              <w:rPr>
                <w:rFonts w:ascii="仿宋" w:hAnsi="仿宋" w:eastAsia="仿宋" w:cs="仿宋"/>
                <w:sz w:val="24"/>
                <w:szCs w:val="24"/>
                <w:highlight w:val="none"/>
              </w:rPr>
            </w:pPr>
          </w:p>
        </w:tc>
        <w:tc>
          <w:tcPr>
            <w:tcW w:w="1293" w:type="dxa"/>
            <w:noWrap w:val="0"/>
            <w:vAlign w:val="top"/>
          </w:tcPr>
          <w:p w14:paraId="6837C6E3">
            <w:pPr>
              <w:pStyle w:val="23"/>
              <w:spacing w:line="400" w:lineRule="exact"/>
              <w:rPr>
                <w:rFonts w:ascii="仿宋" w:hAnsi="仿宋" w:eastAsia="仿宋" w:cs="仿宋"/>
                <w:sz w:val="24"/>
                <w:szCs w:val="24"/>
                <w:highlight w:val="none"/>
              </w:rPr>
            </w:pPr>
          </w:p>
        </w:tc>
      </w:tr>
      <w:tr w14:paraId="4CECE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68" w:type="dxa"/>
            <w:noWrap w:val="0"/>
            <w:vAlign w:val="top"/>
          </w:tcPr>
          <w:p w14:paraId="2265D8E3">
            <w:pPr>
              <w:pStyle w:val="23"/>
              <w:spacing w:line="400" w:lineRule="exact"/>
              <w:rPr>
                <w:rFonts w:ascii="仿宋" w:hAnsi="仿宋" w:eastAsia="仿宋" w:cs="仿宋"/>
                <w:sz w:val="24"/>
                <w:szCs w:val="24"/>
                <w:highlight w:val="none"/>
              </w:rPr>
            </w:pPr>
          </w:p>
        </w:tc>
        <w:tc>
          <w:tcPr>
            <w:tcW w:w="1236" w:type="dxa"/>
            <w:noWrap w:val="0"/>
            <w:vAlign w:val="top"/>
          </w:tcPr>
          <w:p w14:paraId="0108D86B">
            <w:pPr>
              <w:pStyle w:val="23"/>
              <w:spacing w:line="400" w:lineRule="exact"/>
              <w:rPr>
                <w:rFonts w:ascii="仿宋" w:hAnsi="仿宋" w:eastAsia="仿宋" w:cs="仿宋"/>
                <w:sz w:val="24"/>
                <w:szCs w:val="24"/>
                <w:highlight w:val="none"/>
              </w:rPr>
            </w:pPr>
          </w:p>
        </w:tc>
        <w:tc>
          <w:tcPr>
            <w:tcW w:w="2657" w:type="dxa"/>
            <w:noWrap w:val="0"/>
            <w:vAlign w:val="top"/>
          </w:tcPr>
          <w:p w14:paraId="0217AADE">
            <w:pPr>
              <w:pStyle w:val="23"/>
              <w:spacing w:line="400" w:lineRule="exact"/>
              <w:rPr>
                <w:rFonts w:ascii="仿宋" w:hAnsi="仿宋" w:eastAsia="仿宋" w:cs="仿宋"/>
                <w:sz w:val="24"/>
                <w:szCs w:val="24"/>
                <w:highlight w:val="none"/>
              </w:rPr>
            </w:pPr>
          </w:p>
        </w:tc>
        <w:tc>
          <w:tcPr>
            <w:tcW w:w="1417" w:type="dxa"/>
            <w:noWrap w:val="0"/>
            <w:vAlign w:val="top"/>
          </w:tcPr>
          <w:p w14:paraId="27B77D01">
            <w:pPr>
              <w:pStyle w:val="23"/>
              <w:spacing w:line="400" w:lineRule="exact"/>
              <w:rPr>
                <w:rFonts w:ascii="仿宋" w:hAnsi="仿宋" w:eastAsia="仿宋" w:cs="仿宋"/>
                <w:sz w:val="24"/>
                <w:szCs w:val="24"/>
                <w:highlight w:val="none"/>
              </w:rPr>
            </w:pPr>
          </w:p>
        </w:tc>
        <w:tc>
          <w:tcPr>
            <w:tcW w:w="2694" w:type="dxa"/>
            <w:noWrap w:val="0"/>
            <w:vAlign w:val="top"/>
          </w:tcPr>
          <w:p w14:paraId="4E238349">
            <w:pPr>
              <w:pStyle w:val="23"/>
              <w:spacing w:line="400" w:lineRule="exact"/>
              <w:rPr>
                <w:rFonts w:ascii="仿宋" w:hAnsi="仿宋" w:eastAsia="仿宋" w:cs="仿宋"/>
                <w:sz w:val="24"/>
                <w:szCs w:val="24"/>
                <w:highlight w:val="none"/>
              </w:rPr>
            </w:pPr>
          </w:p>
        </w:tc>
        <w:tc>
          <w:tcPr>
            <w:tcW w:w="1293" w:type="dxa"/>
            <w:noWrap w:val="0"/>
            <w:vAlign w:val="top"/>
          </w:tcPr>
          <w:p w14:paraId="39CBB962">
            <w:pPr>
              <w:pStyle w:val="23"/>
              <w:spacing w:line="400" w:lineRule="exact"/>
              <w:rPr>
                <w:rFonts w:ascii="仿宋" w:hAnsi="仿宋" w:eastAsia="仿宋" w:cs="仿宋"/>
                <w:sz w:val="24"/>
                <w:szCs w:val="24"/>
                <w:highlight w:val="none"/>
              </w:rPr>
            </w:pPr>
          </w:p>
        </w:tc>
      </w:tr>
      <w:tr w14:paraId="0CE4C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468" w:type="dxa"/>
            <w:noWrap w:val="0"/>
            <w:vAlign w:val="top"/>
          </w:tcPr>
          <w:p w14:paraId="19A2503D">
            <w:pPr>
              <w:pStyle w:val="23"/>
              <w:spacing w:line="400" w:lineRule="exact"/>
              <w:rPr>
                <w:rFonts w:ascii="仿宋" w:hAnsi="仿宋" w:eastAsia="仿宋" w:cs="仿宋"/>
                <w:sz w:val="24"/>
                <w:szCs w:val="24"/>
                <w:highlight w:val="none"/>
              </w:rPr>
            </w:pPr>
          </w:p>
        </w:tc>
        <w:tc>
          <w:tcPr>
            <w:tcW w:w="1236" w:type="dxa"/>
            <w:noWrap w:val="0"/>
            <w:vAlign w:val="top"/>
          </w:tcPr>
          <w:p w14:paraId="0DE9A8C6">
            <w:pPr>
              <w:pStyle w:val="23"/>
              <w:spacing w:line="400" w:lineRule="exact"/>
              <w:rPr>
                <w:rFonts w:ascii="仿宋" w:hAnsi="仿宋" w:eastAsia="仿宋" w:cs="仿宋"/>
                <w:sz w:val="24"/>
                <w:szCs w:val="24"/>
                <w:highlight w:val="none"/>
              </w:rPr>
            </w:pPr>
          </w:p>
        </w:tc>
        <w:tc>
          <w:tcPr>
            <w:tcW w:w="2657" w:type="dxa"/>
            <w:noWrap w:val="0"/>
            <w:vAlign w:val="top"/>
          </w:tcPr>
          <w:p w14:paraId="3DB46DC4">
            <w:pPr>
              <w:pStyle w:val="23"/>
              <w:spacing w:line="400" w:lineRule="exact"/>
              <w:rPr>
                <w:rFonts w:ascii="仿宋" w:hAnsi="仿宋" w:eastAsia="仿宋" w:cs="仿宋"/>
                <w:sz w:val="24"/>
                <w:szCs w:val="24"/>
                <w:highlight w:val="none"/>
              </w:rPr>
            </w:pPr>
          </w:p>
        </w:tc>
        <w:tc>
          <w:tcPr>
            <w:tcW w:w="1417" w:type="dxa"/>
            <w:noWrap w:val="0"/>
            <w:vAlign w:val="top"/>
          </w:tcPr>
          <w:p w14:paraId="5DC3153F">
            <w:pPr>
              <w:pStyle w:val="23"/>
              <w:spacing w:line="400" w:lineRule="exact"/>
              <w:rPr>
                <w:rFonts w:ascii="仿宋" w:hAnsi="仿宋" w:eastAsia="仿宋" w:cs="仿宋"/>
                <w:sz w:val="24"/>
                <w:szCs w:val="24"/>
                <w:highlight w:val="none"/>
              </w:rPr>
            </w:pPr>
          </w:p>
        </w:tc>
        <w:tc>
          <w:tcPr>
            <w:tcW w:w="2694" w:type="dxa"/>
            <w:noWrap w:val="0"/>
            <w:vAlign w:val="top"/>
          </w:tcPr>
          <w:p w14:paraId="56E4E864">
            <w:pPr>
              <w:pStyle w:val="23"/>
              <w:spacing w:line="400" w:lineRule="exact"/>
              <w:rPr>
                <w:rFonts w:ascii="仿宋" w:hAnsi="仿宋" w:eastAsia="仿宋" w:cs="仿宋"/>
                <w:sz w:val="24"/>
                <w:szCs w:val="24"/>
                <w:highlight w:val="none"/>
              </w:rPr>
            </w:pPr>
          </w:p>
        </w:tc>
        <w:tc>
          <w:tcPr>
            <w:tcW w:w="1293" w:type="dxa"/>
            <w:noWrap w:val="0"/>
            <w:vAlign w:val="top"/>
          </w:tcPr>
          <w:p w14:paraId="1969D075">
            <w:pPr>
              <w:pStyle w:val="23"/>
              <w:spacing w:line="400" w:lineRule="exact"/>
              <w:rPr>
                <w:rFonts w:ascii="仿宋" w:hAnsi="仿宋" w:eastAsia="仿宋" w:cs="仿宋"/>
                <w:sz w:val="24"/>
                <w:szCs w:val="24"/>
                <w:highlight w:val="none"/>
              </w:rPr>
            </w:pPr>
          </w:p>
        </w:tc>
      </w:tr>
      <w:tr w14:paraId="0ED0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8" w:type="dxa"/>
            <w:noWrap w:val="0"/>
            <w:vAlign w:val="top"/>
          </w:tcPr>
          <w:p w14:paraId="407544B0">
            <w:pPr>
              <w:pStyle w:val="23"/>
              <w:spacing w:line="400" w:lineRule="exact"/>
              <w:rPr>
                <w:rFonts w:ascii="仿宋" w:hAnsi="仿宋" w:eastAsia="仿宋" w:cs="仿宋"/>
                <w:sz w:val="24"/>
                <w:szCs w:val="24"/>
                <w:highlight w:val="none"/>
              </w:rPr>
            </w:pPr>
          </w:p>
        </w:tc>
        <w:tc>
          <w:tcPr>
            <w:tcW w:w="1236" w:type="dxa"/>
            <w:noWrap w:val="0"/>
            <w:vAlign w:val="top"/>
          </w:tcPr>
          <w:p w14:paraId="62852412">
            <w:pPr>
              <w:pStyle w:val="23"/>
              <w:spacing w:line="400" w:lineRule="exact"/>
              <w:rPr>
                <w:rFonts w:ascii="仿宋" w:hAnsi="仿宋" w:eastAsia="仿宋" w:cs="仿宋"/>
                <w:sz w:val="24"/>
                <w:szCs w:val="24"/>
                <w:highlight w:val="none"/>
              </w:rPr>
            </w:pPr>
          </w:p>
        </w:tc>
        <w:tc>
          <w:tcPr>
            <w:tcW w:w="2657" w:type="dxa"/>
            <w:noWrap w:val="0"/>
            <w:vAlign w:val="top"/>
          </w:tcPr>
          <w:p w14:paraId="09E66200">
            <w:pPr>
              <w:pStyle w:val="23"/>
              <w:spacing w:line="400" w:lineRule="exact"/>
              <w:rPr>
                <w:rFonts w:ascii="仿宋" w:hAnsi="仿宋" w:eastAsia="仿宋" w:cs="仿宋"/>
                <w:sz w:val="24"/>
                <w:szCs w:val="24"/>
                <w:highlight w:val="none"/>
              </w:rPr>
            </w:pPr>
          </w:p>
        </w:tc>
        <w:tc>
          <w:tcPr>
            <w:tcW w:w="1417" w:type="dxa"/>
            <w:noWrap w:val="0"/>
            <w:vAlign w:val="top"/>
          </w:tcPr>
          <w:p w14:paraId="113337B1">
            <w:pPr>
              <w:pStyle w:val="23"/>
              <w:spacing w:line="400" w:lineRule="exact"/>
              <w:rPr>
                <w:rFonts w:ascii="仿宋" w:hAnsi="仿宋" w:eastAsia="仿宋" w:cs="仿宋"/>
                <w:sz w:val="24"/>
                <w:szCs w:val="24"/>
                <w:highlight w:val="none"/>
              </w:rPr>
            </w:pPr>
          </w:p>
        </w:tc>
        <w:tc>
          <w:tcPr>
            <w:tcW w:w="2694" w:type="dxa"/>
            <w:noWrap w:val="0"/>
            <w:vAlign w:val="top"/>
          </w:tcPr>
          <w:p w14:paraId="2931E1AA">
            <w:pPr>
              <w:pStyle w:val="23"/>
              <w:spacing w:line="400" w:lineRule="exact"/>
              <w:rPr>
                <w:rFonts w:ascii="仿宋" w:hAnsi="仿宋" w:eastAsia="仿宋" w:cs="仿宋"/>
                <w:sz w:val="24"/>
                <w:szCs w:val="24"/>
                <w:highlight w:val="none"/>
              </w:rPr>
            </w:pPr>
          </w:p>
        </w:tc>
        <w:tc>
          <w:tcPr>
            <w:tcW w:w="1293" w:type="dxa"/>
            <w:noWrap w:val="0"/>
            <w:vAlign w:val="top"/>
          </w:tcPr>
          <w:p w14:paraId="7B4714FD">
            <w:pPr>
              <w:pStyle w:val="23"/>
              <w:spacing w:line="400" w:lineRule="exact"/>
              <w:rPr>
                <w:rFonts w:ascii="仿宋" w:hAnsi="仿宋" w:eastAsia="仿宋" w:cs="仿宋"/>
                <w:sz w:val="24"/>
                <w:szCs w:val="24"/>
                <w:highlight w:val="none"/>
              </w:rPr>
            </w:pPr>
          </w:p>
        </w:tc>
      </w:tr>
      <w:tr w14:paraId="05EA0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468" w:type="dxa"/>
            <w:noWrap w:val="0"/>
            <w:vAlign w:val="top"/>
          </w:tcPr>
          <w:p w14:paraId="467888EA">
            <w:pPr>
              <w:pStyle w:val="23"/>
              <w:spacing w:line="400" w:lineRule="exact"/>
              <w:rPr>
                <w:rFonts w:ascii="仿宋" w:hAnsi="仿宋" w:eastAsia="仿宋" w:cs="仿宋"/>
                <w:sz w:val="24"/>
                <w:szCs w:val="24"/>
                <w:highlight w:val="none"/>
              </w:rPr>
            </w:pPr>
          </w:p>
        </w:tc>
        <w:tc>
          <w:tcPr>
            <w:tcW w:w="1236" w:type="dxa"/>
            <w:noWrap w:val="0"/>
            <w:vAlign w:val="top"/>
          </w:tcPr>
          <w:p w14:paraId="31118EF6">
            <w:pPr>
              <w:pStyle w:val="23"/>
              <w:spacing w:line="400" w:lineRule="exact"/>
              <w:rPr>
                <w:rFonts w:ascii="仿宋" w:hAnsi="仿宋" w:eastAsia="仿宋" w:cs="仿宋"/>
                <w:sz w:val="24"/>
                <w:szCs w:val="24"/>
                <w:highlight w:val="none"/>
              </w:rPr>
            </w:pPr>
          </w:p>
        </w:tc>
        <w:tc>
          <w:tcPr>
            <w:tcW w:w="2657" w:type="dxa"/>
            <w:noWrap w:val="0"/>
            <w:vAlign w:val="top"/>
          </w:tcPr>
          <w:p w14:paraId="474CFE38">
            <w:pPr>
              <w:pStyle w:val="23"/>
              <w:spacing w:line="400" w:lineRule="exact"/>
              <w:rPr>
                <w:rFonts w:ascii="仿宋" w:hAnsi="仿宋" w:eastAsia="仿宋" w:cs="仿宋"/>
                <w:sz w:val="24"/>
                <w:szCs w:val="24"/>
                <w:highlight w:val="none"/>
              </w:rPr>
            </w:pPr>
          </w:p>
        </w:tc>
        <w:tc>
          <w:tcPr>
            <w:tcW w:w="1417" w:type="dxa"/>
            <w:noWrap w:val="0"/>
            <w:vAlign w:val="top"/>
          </w:tcPr>
          <w:p w14:paraId="35D1BFE8">
            <w:pPr>
              <w:pStyle w:val="23"/>
              <w:spacing w:line="400" w:lineRule="exact"/>
              <w:rPr>
                <w:rFonts w:ascii="仿宋" w:hAnsi="仿宋" w:eastAsia="仿宋" w:cs="仿宋"/>
                <w:sz w:val="24"/>
                <w:szCs w:val="24"/>
                <w:highlight w:val="none"/>
              </w:rPr>
            </w:pPr>
          </w:p>
        </w:tc>
        <w:tc>
          <w:tcPr>
            <w:tcW w:w="2694" w:type="dxa"/>
            <w:noWrap w:val="0"/>
            <w:vAlign w:val="top"/>
          </w:tcPr>
          <w:p w14:paraId="40E8A441">
            <w:pPr>
              <w:pStyle w:val="23"/>
              <w:spacing w:line="400" w:lineRule="exact"/>
              <w:rPr>
                <w:rFonts w:ascii="仿宋" w:hAnsi="仿宋" w:eastAsia="仿宋" w:cs="仿宋"/>
                <w:sz w:val="24"/>
                <w:szCs w:val="24"/>
                <w:highlight w:val="none"/>
              </w:rPr>
            </w:pPr>
          </w:p>
        </w:tc>
        <w:tc>
          <w:tcPr>
            <w:tcW w:w="1293" w:type="dxa"/>
            <w:noWrap w:val="0"/>
            <w:vAlign w:val="top"/>
          </w:tcPr>
          <w:p w14:paraId="5A40D705">
            <w:pPr>
              <w:pStyle w:val="23"/>
              <w:spacing w:line="400" w:lineRule="exact"/>
              <w:rPr>
                <w:rFonts w:ascii="仿宋" w:hAnsi="仿宋" w:eastAsia="仿宋" w:cs="仿宋"/>
                <w:sz w:val="24"/>
                <w:szCs w:val="24"/>
                <w:highlight w:val="none"/>
              </w:rPr>
            </w:pPr>
          </w:p>
        </w:tc>
      </w:tr>
    </w:tbl>
    <w:p w14:paraId="3DABF13A">
      <w:pPr>
        <w:pStyle w:val="23"/>
        <w:spacing w:line="400" w:lineRule="exact"/>
        <w:rPr>
          <w:rFonts w:ascii="仿宋" w:hAnsi="仿宋" w:eastAsia="仿宋" w:cs="仿宋"/>
          <w:b/>
          <w:bCs/>
          <w:sz w:val="24"/>
          <w:szCs w:val="24"/>
          <w:highlight w:val="none"/>
        </w:rPr>
      </w:pPr>
      <w:r>
        <w:rPr>
          <w:rFonts w:hint="eastAsia" w:ascii="仿宋" w:hAnsi="仿宋" w:eastAsia="仿宋" w:cs="仿宋"/>
          <w:b/>
          <w:bCs/>
          <w:sz w:val="24"/>
          <w:szCs w:val="24"/>
          <w:highlight w:val="none"/>
        </w:rPr>
        <w:t>注：无偏离可填写“无”字，有偏离必须在本表列明，实际存在负偏离而在本表内没有列明的，视为虚假投标。</w:t>
      </w:r>
    </w:p>
    <w:p w14:paraId="3684D86A">
      <w:pPr>
        <w:spacing w:line="360" w:lineRule="exact"/>
        <w:ind w:firstLine="4200" w:firstLineChars="1750"/>
        <w:rPr>
          <w:rFonts w:ascii="仿宋" w:hAnsi="仿宋" w:eastAsia="仿宋" w:cs="仿宋"/>
          <w:sz w:val="24"/>
          <w:szCs w:val="24"/>
          <w:highlight w:val="none"/>
        </w:rPr>
      </w:pPr>
    </w:p>
    <w:p w14:paraId="46AEECB2">
      <w:pPr>
        <w:spacing w:line="360" w:lineRule="exact"/>
        <w:ind w:firstLine="4200" w:firstLineChars="1750"/>
        <w:rPr>
          <w:rFonts w:ascii="仿宋" w:hAnsi="仿宋" w:eastAsia="仿宋" w:cs="仿宋"/>
          <w:sz w:val="24"/>
          <w:szCs w:val="24"/>
          <w:highlight w:val="none"/>
        </w:rPr>
      </w:pPr>
    </w:p>
    <w:p w14:paraId="60FF19D5">
      <w:pPr>
        <w:spacing w:line="360" w:lineRule="exact"/>
        <w:ind w:firstLine="4200" w:firstLineChars="1750"/>
        <w:rPr>
          <w:rFonts w:ascii="仿宋" w:hAnsi="仿宋" w:eastAsia="仿宋" w:cs="仿宋"/>
          <w:sz w:val="24"/>
          <w:szCs w:val="24"/>
          <w:highlight w:val="none"/>
        </w:rPr>
      </w:pPr>
    </w:p>
    <w:p w14:paraId="6C3A3A82">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投标单位：（盖章）</w:t>
      </w:r>
    </w:p>
    <w:p w14:paraId="334D100D">
      <w:pPr>
        <w:snapToGrid w:val="0"/>
        <w:spacing w:line="360" w:lineRule="auto"/>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14:paraId="39B172CD">
      <w:pPr>
        <w:snapToGrid w:val="0"/>
        <w:spacing w:line="360" w:lineRule="auto"/>
        <w:ind w:firstLine="240" w:firstLineChars="100"/>
        <w:rPr>
          <w:rFonts w:ascii="仿宋" w:hAnsi="仿宋" w:eastAsia="仿宋" w:cs="仿宋"/>
          <w:b/>
          <w:bCs/>
          <w:sz w:val="24"/>
          <w:szCs w:val="24"/>
          <w:highlight w:val="none"/>
        </w:rPr>
      </w:pPr>
      <w:r>
        <w:rPr>
          <w:rFonts w:hint="eastAsia" w:ascii="仿宋" w:hAnsi="仿宋" w:eastAsia="仿宋" w:cs="仿宋"/>
          <w:sz w:val="24"/>
          <w:szCs w:val="24"/>
          <w:highlight w:val="none"/>
        </w:rPr>
        <w:t>日期：</w:t>
      </w:r>
    </w:p>
    <w:p w14:paraId="1F7CD6FB">
      <w:pPr>
        <w:spacing w:line="460" w:lineRule="exact"/>
        <w:jc w:val="center"/>
        <w:rPr>
          <w:rFonts w:hint="eastAsia" w:ascii="仿宋" w:hAnsi="仿宋" w:eastAsia="仿宋" w:cs="仿宋"/>
          <w:b/>
          <w:kern w:val="0"/>
          <w:sz w:val="36"/>
          <w:szCs w:val="36"/>
          <w:highlight w:val="none"/>
        </w:rPr>
      </w:pPr>
    </w:p>
    <w:p w14:paraId="4172ED40">
      <w:pPr>
        <w:tabs>
          <w:tab w:val="left" w:pos="2809"/>
          <w:tab w:val="center" w:pos="4210"/>
        </w:tabs>
        <w:snapToGrid w:val="0"/>
        <w:spacing w:line="360" w:lineRule="auto"/>
        <w:jc w:val="left"/>
        <w:rPr>
          <w:rFonts w:hint="eastAsia" w:ascii="仿宋" w:hAnsi="仿宋" w:eastAsia="仿宋" w:cs="仿宋"/>
          <w:b/>
          <w:bCs/>
          <w:kern w:val="2"/>
          <w:sz w:val="30"/>
          <w:szCs w:val="30"/>
          <w:highlight w:val="none"/>
          <w:lang w:val="en-US" w:eastAsia="zh-CN" w:bidi="ar-SA"/>
        </w:rPr>
      </w:pPr>
      <w:r>
        <w:rPr>
          <w:rFonts w:hint="eastAsia" w:ascii="仿宋" w:hAnsi="仿宋" w:eastAsia="仿宋" w:cs="仿宋"/>
          <w:b/>
          <w:sz w:val="36"/>
          <w:szCs w:val="36"/>
          <w:highlight w:val="none"/>
          <w:lang w:val="en-US" w:eastAsia="zh-CN"/>
        </w:rPr>
        <w:tab/>
      </w:r>
    </w:p>
    <w:p w14:paraId="0C524B09">
      <w:pPr>
        <w:snapToGrid w:val="0"/>
        <w:spacing w:line="360" w:lineRule="auto"/>
        <w:jc w:val="center"/>
        <w:rPr>
          <w:rFonts w:hint="eastAsia" w:ascii="仿宋" w:hAnsi="仿宋" w:eastAsia="仿宋" w:cs="仿宋"/>
          <w:b/>
          <w:bCs/>
          <w:kern w:val="2"/>
          <w:sz w:val="30"/>
          <w:szCs w:val="30"/>
          <w:highlight w:val="none"/>
          <w:lang w:val="en-US" w:eastAsia="zh-CN" w:bidi="ar-SA"/>
        </w:rPr>
      </w:pPr>
    </w:p>
    <w:p w14:paraId="291BAF92">
      <w:pPr>
        <w:snapToGrid w:val="0"/>
        <w:spacing w:line="360" w:lineRule="auto"/>
        <w:jc w:val="center"/>
        <w:rPr>
          <w:rFonts w:hint="eastAsia" w:ascii="仿宋" w:hAnsi="仿宋" w:eastAsia="仿宋" w:cs="仿宋"/>
          <w:b/>
          <w:bCs/>
          <w:kern w:val="2"/>
          <w:sz w:val="30"/>
          <w:szCs w:val="30"/>
          <w:highlight w:val="none"/>
          <w:lang w:val="en-US" w:eastAsia="zh-CN" w:bidi="ar-SA"/>
        </w:rPr>
      </w:pPr>
      <w:r>
        <w:rPr>
          <w:rFonts w:hint="eastAsia" w:ascii="仿宋" w:hAnsi="仿宋" w:eastAsia="仿宋" w:cs="仿宋"/>
          <w:b/>
          <w:bCs/>
          <w:kern w:val="2"/>
          <w:sz w:val="30"/>
          <w:szCs w:val="30"/>
          <w:highlight w:val="none"/>
          <w:lang w:val="en-US" w:eastAsia="zh-CN" w:bidi="ar-SA"/>
        </w:rPr>
        <w:t>技术部分</w:t>
      </w:r>
    </w:p>
    <w:bookmarkEnd w:id="24"/>
    <w:p w14:paraId="351BF9A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highlight w:val="none"/>
          <w:lang w:val="en-US" w:eastAsia="zh-CN"/>
        </w:rPr>
      </w:pPr>
      <w:bookmarkStart w:id="51" w:name="_Toc20066"/>
      <w:bookmarkStart w:id="52" w:name="_Toc30899"/>
      <w:r>
        <w:rPr>
          <w:rFonts w:hint="eastAsia" w:ascii="仿宋" w:hAnsi="仿宋" w:eastAsia="仿宋" w:cs="仿宋"/>
          <w:bCs/>
          <w:sz w:val="24"/>
          <w:szCs w:val="24"/>
          <w:highlight w:val="none"/>
          <w:lang w:val="en-US" w:eastAsia="zh-CN"/>
        </w:rPr>
        <w:t>1、施工组织设计</w:t>
      </w:r>
    </w:p>
    <w:p w14:paraId="7C209BB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2、后续服务承诺</w:t>
      </w:r>
    </w:p>
    <w:p w14:paraId="59790618">
      <w:pPr>
        <w:rPr>
          <w:rFonts w:hint="eastAsia"/>
          <w:highlight w:val="none"/>
        </w:rPr>
      </w:pPr>
      <w:r>
        <w:rPr>
          <w:rFonts w:hint="eastAsia" w:ascii="仿宋" w:hAnsi="仿宋" w:eastAsia="仿宋" w:cs="仿宋"/>
          <w:bCs/>
          <w:sz w:val="24"/>
          <w:szCs w:val="24"/>
          <w:highlight w:val="none"/>
        </w:rPr>
        <w:br w:type="page"/>
      </w:r>
    </w:p>
    <w:bookmarkEnd w:id="51"/>
    <w:bookmarkEnd w:id="52"/>
    <w:p w14:paraId="34C68903">
      <w:pPr>
        <w:pStyle w:val="3"/>
        <w:numPr>
          <w:ilvl w:val="0"/>
          <w:numId w:val="0"/>
        </w:numPr>
        <w:bidi w:val="0"/>
        <w:ind w:leftChars="0"/>
        <w:jc w:val="center"/>
        <w:rPr>
          <w:rFonts w:hint="eastAsia"/>
          <w:highlight w:val="none"/>
        </w:rPr>
      </w:pPr>
      <w:r>
        <w:rPr>
          <w:rFonts w:hint="eastAsia"/>
          <w:highlight w:val="none"/>
        </w:rPr>
        <w:t>第六部分 合同条款及格式</w:t>
      </w:r>
      <w:bookmarkStart w:id="53" w:name="_Toc144974834"/>
      <w:bookmarkStart w:id="54" w:name="_Toc22577"/>
      <w:bookmarkStart w:id="55" w:name="_Toc152045772"/>
      <w:bookmarkStart w:id="56" w:name="_Toc247085855"/>
      <w:bookmarkStart w:id="57" w:name="_Toc179632789"/>
      <w:bookmarkStart w:id="58" w:name="_Toc376531076"/>
      <w:bookmarkStart w:id="59" w:name="_Toc246996340"/>
      <w:bookmarkStart w:id="60" w:name="_Toc152042554"/>
      <w:bookmarkStart w:id="61" w:name="_Toc246997083"/>
    </w:p>
    <w:p w14:paraId="220B9998">
      <w:pPr>
        <w:rPr>
          <w:rFonts w:hint="eastAsia"/>
        </w:rPr>
      </w:pPr>
    </w:p>
    <w:bookmarkEnd w:id="53"/>
    <w:bookmarkEnd w:id="54"/>
    <w:bookmarkEnd w:id="55"/>
    <w:bookmarkEnd w:id="56"/>
    <w:bookmarkEnd w:id="57"/>
    <w:bookmarkEnd w:id="58"/>
    <w:bookmarkEnd w:id="59"/>
    <w:bookmarkEnd w:id="60"/>
    <w:bookmarkEnd w:id="61"/>
    <w:p w14:paraId="3647CDDB">
      <w:pPr>
        <w:shd w:val="clear" w:color="auto" w:fill="auto"/>
        <w:wordWrap w:val="0"/>
        <w:jc w:val="left"/>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（SDF—2019—0002）          合同编号：****号</w:t>
      </w:r>
    </w:p>
    <w:p w14:paraId="7B767904">
      <w:pPr>
        <w:shd w:val="clear" w:color="auto" w:fill="auto"/>
        <w:wordWrap w:val="0"/>
        <w:jc w:val="center"/>
        <w:rPr>
          <w:rFonts w:hint="eastAsia" w:ascii="仿宋" w:hAnsi="仿宋" w:eastAsia="仿宋" w:cs="仿宋"/>
          <w:b/>
          <w:color w:val="auto"/>
          <w:sz w:val="72"/>
          <w:szCs w:val="52"/>
          <w:highlight w:val="none"/>
        </w:rPr>
      </w:pPr>
    </w:p>
    <w:p w14:paraId="2A0081B7">
      <w:pPr>
        <w:pStyle w:val="37"/>
        <w:shd w:val="clear" w:color="auto" w:fill="auto"/>
        <w:rPr>
          <w:rFonts w:hint="eastAsia" w:ascii="仿宋" w:hAnsi="仿宋" w:eastAsia="仿宋" w:cs="仿宋"/>
          <w:b/>
          <w:color w:val="auto"/>
          <w:sz w:val="72"/>
          <w:szCs w:val="52"/>
          <w:highlight w:val="none"/>
          <w:lang w:eastAsia="zh-CN"/>
        </w:rPr>
      </w:pPr>
    </w:p>
    <w:p w14:paraId="44648E86">
      <w:pPr>
        <w:pStyle w:val="37"/>
        <w:shd w:val="clear" w:color="auto" w:fill="auto"/>
        <w:rPr>
          <w:rFonts w:hint="eastAsia" w:ascii="仿宋" w:hAnsi="仿宋" w:eastAsia="仿宋" w:cs="仿宋"/>
          <w:b/>
          <w:color w:val="auto"/>
          <w:sz w:val="72"/>
          <w:szCs w:val="52"/>
          <w:highlight w:val="none"/>
          <w:lang w:eastAsia="zh-CN"/>
        </w:rPr>
      </w:pPr>
    </w:p>
    <w:p w14:paraId="4A26BE73">
      <w:pPr>
        <w:shd w:val="clear" w:color="auto" w:fill="auto"/>
        <w:wordWrap w:val="0"/>
        <w:jc w:val="center"/>
        <w:rPr>
          <w:rFonts w:hint="eastAsia" w:ascii="仿宋" w:hAnsi="仿宋" w:eastAsia="仿宋" w:cs="仿宋"/>
          <w:b/>
          <w:color w:val="auto"/>
          <w:sz w:val="72"/>
          <w:szCs w:val="52"/>
          <w:highlight w:val="none"/>
          <w:lang w:eastAsia="zh-CN"/>
        </w:rPr>
      </w:pPr>
      <w:r>
        <w:rPr>
          <w:rFonts w:hint="eastAsia" w:ascii="仿宋" w:hAnsi="仿宋" w:eastAsia="仿宋" w:cs="仿宋"/>
          <w:b/>
          <w:color w:val="auto"/>
          <w:sz w:val="72"/>
          <w:szCs w:val="52"/>
          <w:highlight w:val="none"/>
        </w:rPr>
        <w:t>建设工程施工合同</w:t>
      </w:r>
    </w:p>
    <w:p w14:paraId="29FA1AB4">
      <w:pPr>
        <w:pStyle w:val="37"/>
        <w:shd w:val="clear" w:color="auto" w:fill="auto"/>
        <w:rPr>
          <w:rFonts w:hint="eastAsia" w:ascii="仿宋" w:hAnsi="仿宋" w:eastAsia="仿宋" w:cs="仿宋"/>
          <w:color w:val="auto"/>
          <w:highlight w:val="none"/>
          <w:lang w:eastAsia="zh-CN"/>
        </w:rPr>
      </w:pPr>
    </w:p>
    <w:p w14:paraId="31AF36D7">
      <w:pPr>
        <w:shd w:val="clear" w:color="auto" w:fill="auto"/>
        <w:wordWrap w:val="0"/>
        <w:jc w:val="center"/>
        <w:rPr>
          <w:rFonts w:hint="eastAsia" w:ascii="仿宋" w:hAnsi="仿宋" w:eastAsia="仿宋" w:cs="仿宋"/>
          <w:b/>
          <w:color w:val="auto"/>
          <w:sz w:val="52"/>
          <w:szCs w:val="52"/>
          <w:highlight w:val="none"/>
        </w:rPr>
      </w:pPr>
    </w:p>
    <w:p w14:paraId="321289B2">
      <w:pPr>
        <w:shd w:val="clear" w:color="auto" w:fill="auto"/>
        <w:wordWrap w:val="0"/>
        <w:rPr>
          <w:rFonts w:hint="eastAsia" w:ascii="仿宋" w:hAnsi="仿宋" w:eastAsia="仿宋" w:cs="仿宋"/>
          <w:b/>
          <w:color w:val="auto"/>
          <w:sz w:val="52"/>
          <w:szCs w:val="52"/>
          <w:highlight w:val="none"/>
        </w:rPr>
      </w:pPr>
    </w:p>
    <w:p w14:paraId="397E452E">
      <w:pPr>
        <w:pStyle w:val="37"/>
        <w:shd w:val="clear" w:color="auto" w:fill="auto"/>
        <w:rPr>
          <w:rFonts w:hint="eastAsia" w:ascii="仿宋" w:hAnsi="仿宋" w:eastAsia="仿宋" w:cs="仿宋"/>
          <w:color w:val="auto"/>
          <w:highlight w:val="none"/>
          <w:lang w:eastAsia="zh-CN"/>
        </w:rPr>
      </w:pPr>
    </w:p>
    <w:p w14:paraId="19150B0D">
      <w:pPr>
        <w:shd w:val="clear" w:color="auto" w:fill="auto"/>
        <w:wordWrap w:val="0"/>
        <w:rPr>
          <w:rFonts w:hint="eastAsia" w:ascii="仿宋" w:hAnsi="仿宋" w:eastAsia="仿宋" w:cs="仿宋"/>
          <w:b/>
          <w:color w:val="auto"/>
          <w:sz w:val="28"/>
          <w:szCs w:val="28"/>
          <w:highlight w:val="none"/>
        </w:rPr>
      </w:pPr>
    </w:p>
    <w:p w14:paraId="396C484A">
      <w:pPr>
        <w:pStyle w:val="37"/>
        <w:shd w:val="clear" w:color="auto" w:fill="auto"/>
        <w:rPr>
          <w:rFonts w:hint="eastAsia" w:ascii="仿宋" w:hAnsi="仿宋" w:eastAsia="仿宋" w:cs="仿宋"/>
          <w:color w:val="auto"/>
          <w:highlight w:val="none"/>
          <w:lang w:eastAsia="zh-CN"/>
        </w:rPr>
      </w:pPr>
    </w:p>
    <w:p w14:paraId="11143359">
      <w:pPr>
        <w:shd w:val="clear" w:color="auto" w:fill="auto"/>
        <w:wordWrap w:val="0"/>
        <w:rPr>
          <w:rFonts w:hint="eastAsia" w:ascii="仿宋" w:hAnsi="仿宋" w:eastAsia="仿宋" w:cs="仿宋"/>
          <w:b/>
          <w:color w:val="auto"/>
          <w:sz w:val="28"/>
          <w:szCs w:val="28"/>
          <w:highlight w:val="none"/>
        </w:rPr>
      </w:pPr>
    </w:p>
    <w:p w14:paraId="6AC2B1C2">
      <w:pPr>
        <w:shd w:val="clear" w:color="auto" w:fill="auto"/>
        <w:wordWrap w:val="0"/>
        <w:rPr>
          <w:rFonts w:hint="eastAsia" w:ascii="仿宋" w:hAnsi="仿宋" w:eastAsia="仿宋" w:cs="仿宋"/>
          <w:b/>
          <w:color w:val="auto"/>
          <w:sz w:val="28"/>
          <w:szCs w:val="28"/>
          <w:highlight w:val="none"/>
        </w:rPr>
      </w:pPr>
    </w:p>
    <w:p w14:paraId="70FC8CBF">
      <w:pPr>
        <w:pStyle w:val="37"/>
        <w:shd w:val="clear" w:color="auto" w:fill="auto"/>
        <w:rPr>
          <w:rFonts w:hint="eastAsia" w:ascii="仿宋" w:hAnsi="仿宋" w:eastAsia="仿宋" w:cs="仿宋"/>
          <w:b/>
          <w:color w:val="auto"/>
          <w:sz w:val="28"/>
          <w:szCs w:val="28"/>
          <w:highlight w:val="none"/>
          <w:lang w:eastAsia="zh-CN"/>
        </w:rPr>
      </w:pPr>
    </w:p>
    <w:p w14:paraId="52E70D82">
      <w:pPr>
        <w:pStyle w:val="37"/>
        <w:shd w:val="clear" w:color="auto" w:fill="auto"/>
        <w:rPr>
          <w:rFonts w:hint="eastAsia" w:ascii="仿宋" w:hAnsi="仿宋" w:eastAsia="仿宋" w:cs="仿宋"/>
          <w:b/>
          <w:color w:val="auto"/>
          <w:sz w:val="28"/>
          <w:szCs w:val="28"/>
          <w:highlight w:val="none"/>
          <w:lang w:eastAsia="zh-CN"/>
        </w:rPr>
      </w:pPr>
    </w:p>
    <w:p w14:paraId="0911F6D0">
      <w:pPr>
        <w:pStyle w:val="37"/>
        <w:shd w:val="clear" w:color="auto" w:fill="auto"/>
        <w:rPr>
          <w:rFonts w:hint="eastAsia" w:ascii="仿宋" w:hAnsi="仿宋" w:eastAsia="仿宋" w:cs="仿宋"/>
          <w:b/>
          <w:color w:val="auto"/>
          <w:sz w:val="28"/>
          <w:szCs w:val="28"/>
          <w:highlight w:val="none"/>
          <w:lang w:eastAsia="zh-CN"/>
        </w:rPr>
      </w:pPr>
    </w:p>
    <w:p w14:paraId="31B7D20E">
      <w:pPr>
        <w:shd w:val="clear" w:color="auto" w:fill="auto"/>
        <w:wordWrap w:val="0"/>
        <w:ind w:right="2719" w:rightChars="1295"/>
        <w:jc w:val="distribute"/>
        <w:rPr>
          <w:rFonts w:hint="eastAsia" w:ascii="仿宋" w:hAnsi="仿宋" w:eastAsia="仿宋" w:cs="仿宋"/>
          <w:b/>
          <w:color w:val="auto"/>
          <w:sz w:val="32"/>
          <w:szCs w:val="28"/>
          <w:highlight w:val="none"/>
        </w:rPr>
      </w:pPr>
      <w:r>
        <w:rPr>
          <w:rFonts w:hint="eastAsia" w:ascii="仿宋" w:hAnsi="仿宋" w:eastAsia="仿宋" w:cs="仿宋"/>
          <w:b/>
          <w:color w:val="auto"/>
          <w:sz w:val="32"/>
          <w:szCs w:val="28"/>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3DF0025E">
                            <w:pPr>
                              <w:rPr>
                                <w:rFonts w:hint="eastAsia" w:ascii="仿宋" w:hAnsi="仿宋" w:eastAsia="仿宋" w:cs="仿宋"/>
                                <w:b/>
                                <w:bCs/>
                                <w:sz w:val="32"/>
                              </w:rPr>
                            </w:pPr>
                            <w:r>
                              <w:rPr>
                                <w:rFonts w:hint="eastAsia" w:ascii="仿宋" w:hAnsi="仿宋" w:eastAsia="仿宋" w:cs="仿宋"/>
                                <w:b/>
                                <w:bCs/>
                                <w:sz w:val="32"/>
                              </w:rPr>
                              <w:t>制定</w:t>
                            </w:r>
                          </w:p>
                        </w:txbxContent>
                      </wps:txbx>
                      <wps:bodyPr wrap="square"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c0tcdgAAAAJAQAADwAAAAAA&#10;AAABACAAAAAiAAAAZHJzL2Rvd25yZXYueG1sUEsBAhQAFAAAAAgAh07iQPqMSC0TAgAAKAQAAA4A&#10;AAAAAAAAAQAgAAAAJwEAAGRycy9lMm9Eb2MueG1sUEsFBgAAAAAGAAYAWQEAAKwFAAAAAA==&#10;">
                <v:fill on="f" focussize="0,0"/>
                <v:stroke color="#FFFFFF" joinstyle="miter"/>
                <v:imagedata o:title=""/>
                <o:lock v:ext="edit" aspectratio="f"/>
                <v:textbox>
                  <w:txbxContent>
                    <w:p w14:paraId="3DF0025E">
                      <w:pPr>
                        <w:rPr>
                          <w:rFonts w:hint="eastAsia" w:ascii="仿宋" w:hAnsi="仿宋" w:eastAsia="仿宋" w:cs="仿宋"/>
                          <w:b/>
                          <w:bCs/>
                          <w:sz w:val="32"/>
                        </w:rPr>
                      </w:pPr>
                      <w:r>
                        <w:rPr>
                          <w:rFonts w:hint="eastAsia" w:ascii="仿宋" w:hAnsi="仿宋" w:eastAsia="仿宋" w:cs="仿宋"/>
                          <w:b/>
                          <w:bCs/>
                          <w:sz w:val="32"/>
                        </w:rPr>
                        <w:t>制定</w:t>
                      </w:r>
                    </w:p>
                  </w:txbxContent>
                </v:textbox>
              </v:shape>
            </w:pict>
          </mc:Fallback>
        </mc:AlternateContent>
      </w:r>
      <w:r>
        <w:rPr>
          <w:rFonts w:hint="eastAsia" w:ascii="仿宋" w:hAnsi="仿宋" w:eastAsia="仿宋" w:cs="仿宋"/>
          <w:b/>
          <w:color w:val="auto"/>
          <w:sz w:val="32"/>
          <w:szCs w:val="28"/>
          <w:highlight w:val="none"/>
        </w:rPr>
        <w:t xml:space="preserve">            山东省住房和城乡建设厅</w:t>
      </w:r>
    </w:p>
    <w:p w14:paraId="30436D32">
      <w:pPr>
        <w:shd w:val="clear" w:color="auto" w:fill="auto"/>
        <w:wordWrap w:val="0"/>
        <w:ind w:right="2719" w:rightChars="1295"/>
        <w:jc w:val="distribute"/>
        <w:rPr>
          <w:rFonts w:hint="eastAsia" w:ascii="仿宋" w:hAnsi="仿宋" w:eastAsia="仿宋" w:cs="仿宋"/>
          <w:b/>
          <w:color w:val="auto"/>
          <w:sz w:val="32"/>
          <w:szCs w:val="28"/>
          <w:highlight w:val="none"/>
        </w:rPr>
      </w:pPr>
      <w:r>
        <w:rPr>
          <w:rFonts w:hint="eastAsia" w:ascii="仿宋" w:hAnsi="仿宋" w:eastAsia="仿宋" w:cs="仿宋"/>
          <w:b/>
          <w:color w:val="auto"/>
          <w:sz w:val="32"/>
          <w:szCs w:val="28"/>
          <w:highlight w:val="none"/>
        </w:rPr>
        <w:t xml:space="preserve">            山东省市场监督管理局</w:t>
      </w:r>
    </w:p>
    <w:p w14:paraId="2B6DCE72">
      <w:pPr>
        <w:shd w:val="clear" w:color="auto" w:fill="auto"/>
        <w:ind w:right="2719" w:rightChars="1295"/>
        <w:jc w:val="distribute"/>
        <w:rPr>
          <w:rFonts w:hint="eastAsia" w:ascii="宋体" w:hAnsi="宋体" w:eastAsia="宋体" w:cs="宋体"/>
          <w:color w:val="auto"/>
          <w:szCs w:val="21"/>
          <w:highlight w:val="none"/>
        </w:rPr>
      </w:pPr>
    </w:p>
    <w:p w14:paraId="33128170">
      <w:pPr>
        <w:shd w:val="clear" w:color="auto" w:fill="auto"/>
        <w:rPr>
          <w:rFonts w:hint="eastAsia" w:ascii="宋体" w:hAnsi="宋体" w:eastAsia="宋体" w:cs="宋体"/>
          <w:color w:val="auto"/>
          <w:highlight w:val="none"/>
        </w:rPr>
      </w:pPr>
    </w:p>
    <w:p w14:paraId="5873768F">
      <w:pPr>
        <w:keepNext/>
        <w:keepLines/>
        <w:shd w:val="clear" w:color="auto" w:fill="auto"/>
        <w:autoSpaceDE w:val="0"/>
        <w:autoSpaceDN w:val="0"/>
        <w:adjustRightInd w:val="0"/>
        <w:spacing w:before="340" w:after="330" w:line="576" w:lineRule="auto"/>
        <w:jc w:val="center"/>
        <w:rPr>
          <w:rFonts w:hint="eastAsia" w:ascii="仿宋" w:hAnsi="仿宋" w:eastAsia="仿宋" w:cs="仿宋"/>
          <w:b/>
          <w:bCs/>
          <w:color w:val="auto"/>
          <w:sz w:val="32"/>
          <w:szCs w:val="32"/>
          <w:highlight w:val="none"/>
          <w:lang w:val="zh-CN"/>
        </w:rPr>
      </w:pPr>
      <w:bookmarkStart w:id="62" w:name="_Toc351203652"/>
      <w:r>
        <w:rPr>
          <w:rFonts w:hint="eastAsia" w:ascii="仿宋" w:hAnsi="仿宋" w:eastAsia="仿宋" w:cs="仿宋"/>
          <w:b/>
          <w:bCs/>
          <w:color w:val="auto"/>
          <w:sz w:val="32"/>
          <w:szCs w:val="32"/>
          <w:highlight w:val="none"/>
          <w:lang w:val="zh-CN"/>
        </w:rPr>
        <w:t>第一节  协  议  书</w:t>
      </w:r>
    </w:p>
    <w:bookmarkEnd w:id="62"/>
    <w:p w14:paraId="3E3D0DBB">
      <w:pPr>
        <w:pageBreakBefore w:val="0"/>
        <w:shd w:val="clear" w:color="auto" w:fill="auto"/>
        <w:tabs>
          <w:tab w:val="left" w:pos="4860"/>
        </w:tabs>
        <w:kinsoku/>
        <w:wordWrap/>
        <w:overflowPunct/>
        <w:topLinePunct w:val="0"/>
        <w:bidi w:val="0"/>
        <w:snapToGrid w:val="0"/>
        <w:spacing w:line="400" w:lineRule="exact"/>
        <w:ind w:firstLine="495"/>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rPr>
        <w:t xml:space="preserve">威海临港城市建设投资有限公司           </w:t>
      </w:r>
    </w:p>
    <w:p w14:paraId="5E669992">
      <w:pPr>
        <w:pageBreakBefore w:val="0"/>
        <w:shd w:val="clear" w:color="auto" w:fill="auto"/>
        <w:tabs>
          <w:tab w:val="left" w:pos="4860"/>
        </w:tabs>
        <w:kinsoku/>
        <w:wordWrap/>
        <w:overflowPunct/>
        <w:topLinePunct w:val="0"/>
        <w:bidi w:val="0"/>
        <w:snapToGrid w:val="0"/>
        <w:spacing w:line="400" w:lineRule="exact"/>
        <w:ind w:firstLine="495"/>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承包人（全称）：</w:t>
      </w:r>
      <w:r>
        <w:rPr>
          <w:rFonts w:hint="eastAsia" w:ascii="仿宋" w:hAnsi="仿宋" w:eastAsia="仿宋" w:cs="仿宋"/>
          <w:b/>
          <w:color w:val="auto"/>
          <w:sz w:val="24"/>
          <w:szCs w:val="24"/>
          <w:highlight w:val="none"/>
          <w:u w:val="single"/>
        </w:rPr>
        <w:t xml:space="preserve">                                       </w:t>
      </w:r>
    </w:p>
    <w:p w14:paraId="36C89766">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b/>
          <w:color w:val="auto"/>
          <w:sz w:val="24"/>
          <w:szCs w:val="24"/>
          <w:highlight w:val="none"/>
          <w:u w:val="single"/>
          <w:lang w:eastAsia="zh-CN"/>
        </w:rPr>
        <w:t>临港区学校隔离设施（护学通道）改造工程</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施工及有关事项协商一致，共同达成如下协议：</w:t>
      </w:r>
    </w:p>
    <w:p w14:paraId="2D10CCEF">
      <w:pPr>
        <w:pStyle w:val="6"/>
        <w:pageBreakBefore w:val="0"/>
        <w:shd w:val="clear" w:color="auto" w:fill="auto"/>
        <w:tabs>
          <w:tab w:val="left" w:pos="4860"/>
        </w:tabs>
        <w:kinsoku/>
        <w:wordWrap/>
        <w:overflowPunct/>
        <w:topLinePunct w:val="0"/>
        <w:bidi w:val="0"/>
        <w:snapToGrid w:val="0"/>
        <w:spacing w:before="0" w:after="0" w:line="400" w:lineRule="exact"/>
        <w:rPr>
          <w:rFonts w:hint="eastAsia" w:ascii="仿宋" w:hAnsi="仿宋" w:eastAsia="仿宋" w:cs="仿宋"/>
          <w:bCs w:val="0"/>
          <w:color w:val="auto"/>
          <w:sz w:val="24"/>
          <w:szCs w:val="24"/>
          <w:highlight w:val="none"/>
        </w:rPr>
      </w:pPr>
      <w:bookmarkStart w:id="63" w:name="_Toc351203481"/>
      <w:bookmarkStart w:id="64" w:name="_Toc31971_WPSOffice_Level2"/>
      <w:bookmarkStart w:id="65" w:name="_Toc17421"/>
      <w:bookmarkStart w:id="66" w:name="_Toc30064"/>
      <w:bookmarkStart w:id="67" w:name="_Toc45352759"/>
      <w:bookmarkStart w:id="68" w:name="_Toc361132802"/>
      <w:r>
        <w:rPr>
          <w:rFonts w:hint="eastAsia" w:ascii="仿宋" w:hAnsi="仿宋" w:eastAsia="仿宋" w:cs="仿宋"/>
          <w:color w:val="auto"/>
          <w:sz w:val="24"/>
          <w:szCs w:val="24"/>
          <w:highlight w:val="none"/>
        </w:rPr>
        <w:t>一、工程概况</w:t>
      </w:r>
      <w:bookmarkEnd w:id="63"/>
    </w:p>
    <w:p w14:paraId="45C291A2">
      <w:pPr>
        <w:pageBreakBefore w:val="0"/>
        <w:shd w:val="clear" w:color="auto" w:fill="auto"/>
        <w:tabs>
          <w:tab w:val="left" w:pos="4860"/>
          <w:tab w:val="left" w:pos="7081"/>
        </w:tabs>
        <w:kinsoku/>
        <w:wordWrap/>
        <w:overflowPunct/>
        <w:topLinePunct w:val="0"/>
        <w:bidi w:val="0"/>
        <w:snapToGrid w:val="0"/>
        <w:spacing w:line="400" w:lineRule="exact"/>
        <w:ind w:left="1906" w:leftChars="222" w:hanging="1440" w:hangingChars="600"/>
        <w:rPr>
          <w:rFonts w:hint="eastAsia" w:ascii="仿宋" w:hAnsi="仿宋" w:eastAsia="仿宋" w:cs="仿宋"/>
          <w:b/>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u w:val="single"/>
          <w:lang w:eastAsia="zh-CN"/>
        </w:rPr>
        <w:t>临港区学校隔离设施（护学通道）改造工程</w:t>
      </w:r>
    </w:p>
    <w:p w14:paraId="0ED761CE">
      <w:pPr>
        <w:pageBreakBefore w:val="0"/>
        <w:shd w:val="clear" w:color="auto" w:fill="auto"/>
        <w:tabs>
          <w:tab w:val="left" w:pos="4860"/>
        </w:tabs>
        <w:kinsoku/>
        <w:wordWrap/>
        <w:overflowPunct/>
        <w:topLinePunct w:val="0"/>
        <w:bidi w:val="0"/>
        <w:snapToGrid w:val="0"/>
        <w:spacing w:line="400" w:lineRule="exact"/>
        <w:ind w:firstLine="470" w:firstLineChars="196"/>
        <w:rPr>
          <w:rFonts w:hint="eastAsia" w:ascii="仿宋" w:hAnsi="仿宋" w:eastAsia="仿宋" w:cs="仿宋"/>
          <w:b/>
          <w:color w:val="auto"/>
          <w:sz w:val="24"/>
          <w:szCs w:val="24"/>
          <w:highlight w:val="none"/>
          <w:u w:val="single"/>
        </w:rPr>
      </w:pPr>
      <w:r>
        <w:rPr>
          <w:rFonts w:hint="eastAsia" w:ascii="仿宋" w:hAnsi="仿宋" w:eastAsia="仿宋" w:cs="仿宋"/>
          <w:bCs/>
          <w:color w:val="auto"/>
          <w:sz w:val="24"/>
          <w:szCs w:val="24"/>
          <w:highlight w:val="none"/>
        </w:rPr>
        <w:t>2.工程地点：</w:t>
      </w:r>
      <w:r>
        <w:rPr>
          <w:rFonts w:hint="eastAsia" w:ascii="仿宋" w:hAnsi="仿宋" w:eastAsia="仿宋" w:cs="仿宋"/>
          <w:b/>
          <w:color w:val="auto"/>
          <w:sz w:val="24"/>
          <w:szCs w:val="24"/>
          <w:highlight w:val="none"/>
          <w:u w:val="single"/>
        </w:rPr>
        <w:t>威海临港经济技术开发区</w:t>
      </w:r>
    </w:p>
    <w:p w14:paraId="1DB797F7">
      <w:pPr>
        <w:pStyle w:val="37"/>
        <w:pageBreakBefore w:val="0"/>
        <w:shd w:val="clear" w:color="auto" w:fill="auto"/>
        <w:kinsoku/>
        <w:wordWrap/>
        <w:overflowPunct/>
        <w:topLinePunct w:val="0"/>
        <w:bidi w:val="0"/>
        <w:snapToGrid w:val="0"/>
        <w:spacing w:line="400" w:lineRule="exact"/>
        <w:ind w:firstLine="480" w:firstLineChars="200"/>
        <w:rPr>
          <w:rFonts w:hint="eastAsia" w:ascii="仿宋" w:hAnsi="仿宋" w:eastAsia="仿宋" w:cs="仿宋"/>
          <w:bCs/>
          <w:color w:val="auto"/>
          <w:kern w:val="2"/>
          <w:sz w:val="24"/>
          <w:szCs w:val="24"/>
          <w:highlight w:val="none"/>
          <w:u w:val="single"/>
          <w:lang w:eastAsia="zh-CN"/>
        </w:rPr>
      </w:pPr>
      <w:r>
        <w:rPr>
          <w:rFonts w:hint="eastAsia" w:ascii="仿宋" w:hAnsi="仿宋" w:eastAsia="仿宋" w:cs="仿宋"/>
          <w:bCs/>
          <w:color w:val="auto"/>
          <w:kern w:val="2"/>
          <w:sz w:val="24"/>
          <w:szCs w:val="24"/>
          <w:highlight w:val="none"/>
          <w:lang w:eastAsia="zh-CN"/>
        </w:rPr>
        <w:t>3.工程立项批准文号：</w:t>
      </w:r>
      <w:r>
        <w:rPr>
          <w:rFonts w:hint="eastAsia" w:ascii="仿宋" w:hAnsi="仿宋" w:eastAsia="仿宋" w:cs="仿宋"/>
          <w:bCs/>
          <w:color w:val="auto"/>
          <w:kern w:val="2"/>
          <w:sz w:val="24"/>
          <w:szCs w:val="24"/>
          <w:highlight w:val="none"/>
          <w:u w:val="single"/>
          <w:lang w:eastAsia="zh-CN"/>
        </w:rPr>
        <w:t xml:space="preserve">                </w:t>
      </w:r>
    </w:p>
    <w:p w14:paraId="37A98AE4">
      <w:pPr>
        <w:pageBreakBefore w:val="0"/>
        <w:shd w:val="clear" w:color="auto" w:fill="auto"/>
        <w:tabs>
          <w:tab w:val="left" w:pos="4860"/>
        </w:tabs>
        <w:kinsoku/>
        <w:wordWrap/>
        <w:overflowPunct/>
        <w:topLinePunct w:val="0"/>
        <w:bidi w:val="0"/>
        <w:snapToGrid w:val="0"/>
        <w:spacing w:line="400" w:lineRule="exact"/>
        <w:ind w:firstLine="470" w:firstLineChars="196"/>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4.资金来源：</w:t>
      </w:r>
      <w:r>
        <w:rPr>
          <w:rFonts w:hint="eastAsia" w:ascii="仿宋" w:hAnsi="仿宋" w:eastAsia="仿宋" w:cs="仿宋"/>
          <w:b/>
          <w:bCs/>
          <w:color w:val="000000"/>
          <w:sz w:val="24"/>
          <w:szCs w:val="24"/>
          <w:highlight w:val="none"/>
          <w:u w:val="single"/>
          <w:lang w:val="en-US" w:eastAsia="zh-CN"/>
        </w:rPr>
        <w:t>财政资金</w:t>
      </w:r>
    </w:p>
    <w:p w14:paraId="2AF27942">
      <w:pPr>
        <w:pageBreakBefore w:val="0"/>
        <w:shd w:val="clear" w:color="auto" w:fill="auto"/>
        <w:tabs>
          <w:tab w:val="left" w:pos="4860"/>
        </w:tabs>
        <w:kinsoku/>
        <w:wordWrap/>
        <w:overflowPunct/>
        <w:topLinePunct w:val="0"/>
        <w:bidi w:val="0"/>
        <w:snapToGrid w:val="0"/>
        <w:spacing w:line="400" w:lineRule="exact"/>
        <w:ind w:firstLine="470" w:firstLineChars="196"/>
        <w:rPr>
          <w:rFonts w:hint="eastAsia" w:ascii="仿宋" w:hAnsi="仿宋" w:eastAsia="仿宋" w:cs="仿宋"/>
          <w:b/>
          <w:color w:val="auto"/>
          <w:sz w:val="24"/>
          <w:szCs w:val="24"/>
          <w:highlight w:val="none"/>
          <w:u w:val="single"/>
        </w:rPr>
      </w:pPr>
      <w:r>
        <w:rPr>
          <w:rFonts w:hint="eastAsia" w:ascii="仿宋" w:hAnsi="仿宋" w:eastAsia="仿宋" w:cs="仿宋"/>
          <w:bCs/>
          <w:color w:val="auto"/>
          <w:sz w:val="24"/>
          <w:szCs w:val="24"/>
          <w:highlight w:val="none"/>
        </w:rPr>
        <w:t>5.工程内容：</w:t>
      </w:r>
      <w:r>
        <w:rPr>
          <w:rFonts w:hint="eastAsia" w:ascii="仿宋" w:hAnsi="仿宋" w:eastAsia="仿宋" w:cs="仿宋"/>
          <w:b/>
          <w:color w:val="auto"/>
          <w:sz w:val="24"/>
          <w:szCs w:val="24"/>
          <w:highlight w:val="none"/>
          <w:u w:val="single"/>
        </w:rPr>
        <w:t>本工程为临港经济技术开发区内学校门口护学通道的改造项目，包含地面改造，护栏制作安装，路沿石修复等内容。</w:t>
      </w:r>
    </w:p>
    <w:p w14:paraId="2941FC23">
      <w:pPr>
        <w:pageBreakBefore w:val="0"/>
        <w:shd w:val="clear" w:color="auto" w:fill="auto"/>
        <w:tabs>
          <w:tab w:val="left" w:pos="4860"/>
        </w:tabs>
        <w:kinsoku/>
        <w:wordWrap/>
        <w:overflowPunct/>
        <w:topLinePunct w:val="0"/>
        <w:bidi w:val="0"/>
        <w:snapToGrid w:val="0"/>
        <w:spacing w:line="400" w:lineRule="exact"/>
        <w:ind w:firstLine="470" w:firstLineChars="196"/>
        <w:textAlignment w:val="baseline"/>
        <w:rPr>
          <w:rFonts w:hint="eastAsia" w:ascii="仿宋" w:hAnsi="仿宋" w:eastAsia="仿宋" w:cs="仿宋"/>
          <w:b/>
          <w:color w:val="auto"/>
          <w:sz w:val="24"/>
          <w:szCs w:val="24"/>
          <w:highlight w:val="none"/>
          <w:u w:val="single"/>
        </w:rPr>
      </w:pPr>
      <w:r>
        <w:rPr>
          <w:rFonts w:hint="eastAsia" w:ascii="仿宋" w:hAnsi="仿宋" w:eastAsia="仿宋" w:cs="仿宋"/>
          <w:bCs/>
          <w:color w:val="auto"/>
          <w:sz w:val="24"/>
          <w:szCs w:val="24"/>
          <w:highlight w:val="none"/>
        </w:rPr>
        <w:t>6.工程承包范围：</w:t>
      </w:r>
      <w:r>
        <w:rPr>
          <w:rFonts w:hint="eastAsia" w:ascii="仿宋" w:hAnsi="仿宋" w:eastAsia="仿宋" w:cs="仿宋"/>
          <w:b/>
          <w:color w:val="auto"/>
          <w:sz w:val="24"/>
          <w:szCs w:val="24"/>
          <w:highlight w:val="none"/>
          <w:u w:val="single"/>
          <w:lang w:eastAsia="zh-CN"/>
        </w:rPr>
        <w:t>临港区学校隔离设施（护学通道）改造工程</w:t>
      </w:r>
      <w:r>
        <w:rPr>
          <w:rFonts w:hint="eastAsia" w:ascii="仿宋" w:hAnsi="仿宋" w:eastAsia="仿宋" w:cs="仿宋"/>
          <w:b/>
          <w:color w:val="auto"/>
          <w:sz w:val="24"/>
          <w:szCs w:val="24"/>
          <w:highlight w:val="none"/>
          <w:u w:val="single"/>
        </w:rPr>
        <w:t>设计图纸范围内全部内容的施工及保修，具体以工程量清单为准。</w:t>
      </w:r>
    </w:p>
    <w:p w14:paraId="7FB08AFD">
      <w:pPr>
        <w:pStyle w:val="6"/>
        <w:pageBreakBefore w:val="0"/>
        <w:shd w:val="clear" w:color="auto" w:fill="auto"/>
        <w:tabs>
          <w:tab w:val="left" w:pos="4860"/>
        </w:tabs>
        <w:kinsoku/>
        <w:wordWrap/>
        <w:overflowPunct/>
        <w:topLinePunct w:val="0"/>
        <w:bidi w:val="0"/>
        <w:snapToGrid w:val="0"/>
        <w:spacing w:before="0" w:after="0" w:line="4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bookmarkStart w:id="69" w:name="_Toc351203482"/>
      <w:r>
        <w:rPr>
          <w:rFonts w:hint="eastAsia" w:ascii="仿宋" w:hAnsi="仿宋" w:eastAsia="仿宋" w:cs="仿宋"/>
          <w:color w:val="auto"/>
          <w:sz w:val="24"/>
          <w:szCs w:val="24"/>
          <w:highlight w:val="none"/>
        </w:rPr>
        <w:t>二、合同工期</w:t>
      </w:r>
      <w:bookmarkEnd w:id="69"/>
    </w:p>
    <w:p w14:paraId="1CCF0373">
      <w:pPr>
        <w:pageBreakBefore w:val="0"/>
        <w:shd w:val="clear" w:color="auto" w:fill="auto"/>
        <w:tabs>
          <w:tab w:val="left" w:pos="4860"/>
        </w:tabs>
        <w:kinsoku/>
        <w:wordWrap/>
        <w:overflowPunct/>
        <w:topLinePunct w:val="0"/>
        <w:bidi w:val="0"/>
        <w:snapToGrid w:val="0"/>
        <w:spacing w:line="400" w:lineRule="exact"/>
        <w:ind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1、施工工期</w:t>
      </w:r>
    </w:p>
    <w:p w14:paraId="23F4C859">
      <w:pPr>
        <w:pageBreakBefore w:val="0"/>
        <w:shd w:val="clear" w:color="auto" w:fill="auto"/>
        <w:tabs>
          <w:tab w:val="left" w:pos="4860"/>
        </w:tabs>
        <w:kinsoku/>
        <w:wordWrap/>
        <w:overflowPunct/>
        <w:topLinePunct w:val="0"/>
        <w:bidi w:val="0"/>
        <w:snapToGrid w:val="0"/>
        <w:spacing w:line="400" w:lineRule="exact"/>
        <w:ind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3885985">
      <w:pPr>
        <w:pageBreakBefore w:val="0"/>
        <w:shd w:val="clear" w:color="auto" w:fill="auto"/>
        <w:tabs>
          <w:tab w:val="left" w:pos="4860"/>
        </w:tabs>
        <w:kinsoku/>
        <w:wordWrap/>
        <w:overflowPunct/>
        <w:topLinePunct w:val="0"/>
        <w:bidi w:val="0"/>
        <w:snapToGrid w:val="0"/>
        <w:spacing w:line="400" w:lineRule="exact"/>
        <w:ind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3B00DEF">
      <w:pPr>
        <w:pageBreakBefore w:val="0"/>
        <w:shd w:val="clear" w:color="auto" w:fill="auto"/>
        <w:tabs>
          <w:tab w:val="left" w:pos="4860"/>
        </w:tabs>
        <w:kinsoku/>
        <w:wordWrap/>
        <w:overflowPunct/>
        <w:topLinePunct w:val="0"/>
        <w:bidi w:val="0"/>
        <w:snapToGrid w:val="0"/>
        <w:spacing w:line="400" w:lineRule="exact"/>
        <w:ind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，工期总日历天数与根据前述计划开竣工日期计算的工期天数不一致第，以工期总日历天为准。</w:t>
      </w:r>
    </w:p>
    <w:p w14:paraId="20F4A124">
      <w:pPr>
        <w:pStyle w:val="6"/>
        <w:pageBreakBefore w:val="0"/>
        <w:shd w:val="clear" w:color="auto" w:fill="auto"/>
        <w:tabs>
          <w:tab w:val="left" w:pos="4860"/>
        </w:tabs>
        <w:kinsoku/>
        <w:wordWrap/>
        <w:overflowPunct/>
        <w:topLinePunct w:val="0"/>
        <w:bidi w:val="0"/>
        <w:snapToGrid w:val="0"/>
        <w:spacing w:before="0" w:after="0" w:line="400" w:lineRule="exact"/>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70" w:name="_Toc351203483"/>
      <w:r>
        <w:rPr>
          <w:rFonts w:hint="eastAsia" w:ascii="仿宋" w:hAnsi="仿宋" w:eastAsia="仿宋" w:cs="仿宋"/>
          <w:color w:val="auto"/>
          <w:sz w:val="24"/>
          <w:szCs w:val="24"/>
          <w:highlight w:val="none"/>
        </w:rPr>
        <w:t>三、质量标准</w:t>
      </w:r>
      <w:bookmarkEnd w:id="70"/>
    </w:p>
    <w:p w14:paraId="062A838E">
      <w:pPr>
        <w:pageBreakBefore w:val="0"/>
        <w:shd w:val="clear" w:color="auto" w:fill="auto"/>
        <w:tabs>
          <w:tab w:val="left" w:pos="4860"/>
        </w:tabs>
        <w:kinsoku/>
        <w:wordWrap/>
        <w:overflowPunct/>
        <w:topLinePunct w:val="0"/>
        <w:bidi w:val="0"/>
        <w:snapToGrid w:val="0"/>
        <w:spacing w:line="400" w:lineRule="exact"/>
        <w:ind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w:t>
      </w:r>
      <w:r>
        <w:rPr>
          <w:rFonts w:hint="eastAsia" w:ascii="仿宋" w:hAnsi="仿宋" w:eastAsia="仿宋" w:cs="仿宋"/>
          <w:color w:val="auto"/>
          <w:sz w:val="24"/>
          <w:szCs w:val="24"/>
          <w:highlight w:val="none"/>
          <w:u w:val="single"/>
        </w:rPr>
        <w:t></w:t>
      </w:r>
      <w:r>
        <w:rPr>
          <w:rFonts w:hint="eastAsia" w:ascii="仿宋" w:hAnsi="仿宋" w:eastAsia="仿宋" w:cs="仿宋"/>
          <w:b/>
          <w:color w:val="auto"/>
          <w:sz w:val="24"/>
          <w:szCs w:val="24"/>
          <w:highlight w:val="none"/>
          <w:u w:val="single"/>
        </w:rPr>
        <w:t>达到国家验收规范合格</w:t>
      </w:r>
      <w:r>
        <w:rPr>
          <w:rFonts w:hint="eastAsia" w:ascii="仿宋" w:hAnsi="仿宋" w:eastAsia="仿宋" w:cs="仿宋"/>
          <w:color w:val="auto"/>
          <w:sz w:val="24"/>
          <w:szCs w:val="24"/>
          <w:highlight w:val="none"/>
        </w:rPr>
        <w:t>标准。</w:t>
      </w:r>
    </w:p>
    <w:p w14:paraId="728B77F7">
      <w:pPr>
        <w:pStyle w:val="6"/>
        <w:pageBreakBefore w:val="0"/>
        <w:shd w:val="clear" w:color="auto" w:fill="auto"/>
        <w:tabs>
          <w:tab w:val="left" w:pos="4860"/>
        </w:tabs>
        <w:kinsoku/>
        <w:wordWrap/>
        <w:overflowPunct/>
        <w:topLinePunct w:val="0"/>
        <w:bidi w:val="0"/>
        <w:snapToGrid w:val="0"/>
        <w:spacing w:before="0" w:after="0" w:line="400" w:lineRule="exact"/>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color w:val="auto"/>
          <w:sz w:val="24"/>
          <w:szCs w:val="24"/>
          <w:highlight w:val="none"/>
        </w:rPr>
        <w:t xml:space="preserve"> </w:t>
      </w:r>
      <w:bookmarkStart w:id="71" w:name="_Toc351203484"/>
      <w:r>
        <w:rPr>
          <w:rFonts w:hint="eastAsia" w:ascii="仿宋" w:hAnsi="仿宋" w:eastAsia="仿宋" w:cs="仿宋"/>
          <w:color w:val="auto"/>
          <w:sz w:val="24"/>
          <w:szCs w:val="24"/>
          <w:highlight w:val="none"/>
        </w:rPr>
        <w:t>四、签约合同价与合同价格形式</w:t>
      </w:r>
      <w:bookmarkEnd w:id="71"/>
    </w:p>
    <w:p w14:paraId="5499493D">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w:t>
      </w:r>
    </w:p>
    <w:p w14:paraId="4FA185C1">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6BACAA34">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w:t>
      </w:r>
    </w:p>
    <w:p w14:paraId="2351681D">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（1）安全文明施工费：</w:t>
      </w:r>
    </w:p>
    <w:p w14:paraId="3A1567CC">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44834B1C">
      <w:pPr>
        <w:pageBreakBefore w:val="0"/>
        <w:numPr>
          <w:ilvl w:val="0"/>
          <w:numId w:val="3"/>
        </w:numPr>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人工费：</w:t>
      </w:r>
    </w:p>
    <w:p w14:paraId="64453D66">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47E65FE3">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（3）材料和工程设备暂估价金额：</w:t>
      </w:r>
    </w:p>
    <w:p w14:paraId="23E2219C">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44C1102">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（3）专业工程暂估价金额：</w:t>
      </w:r>
    </w:p>
    <w:p w14:paraId="70FF75AF">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1EF21448">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（4）暂列金额：</w:t>
      </w:r>
    </w:p>
    <w:p w14:paraId="09F2097C">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09424C9">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b/>
          <w:bCs/>
          <w:color w:val="auto"/>
          <w:sz w:val="24"/>
          <w:szCs w:val="24"/>
          <w:highlight w:val="none"/>
          <w:u w:val="single"/>
        </w:rPr>
        <w:t>固定单价合同</w:t>
      </w:r>
      <w:r>
        <w:rPr>
          <w:rFonts w:hint="eastAsia" w:ascii="仿宋" w:hAnsi="仿宋" w:eastAsia="仿宋" w:cs="仿宋"/>
          <w:color w:val="auto"/>
          <w:sz w:val="24"/>
          <w:szCs w:val="24"/>
          <w:highlight w:val="none"/>
          <w:u w:val="single"/>
        </w:rPr>
        <w:t xml:space="preserve"> 。</w:t>
      </w:r>
    </w:p>
    <w:p w14:paraId="662DAC59">
      <w:pPr>
        <w:pStyle w:val="6"/>
        <w:pageBreakBefore w:val="0"/>
        <w:shd w:val="clear" w:color="auto" w:fill="auto"/>
        <w:tabs>
          <w:tab w:val="left" w:pos="4860"/>
        </w:tabs>
        <w:kinsoku/>
        <w:wordWrap/>
        <w:overflowPunct/>
        <w:topLinePunct w:val="0"/>
        <w:bidi w:val="0"/>
        <w:snapToGrid w:val="0"/>
        <w:spacing w:before="0" w:after="0" w:line="400" w:lineRule="exact"/>
        <w:rPr>
          <w:rFonts w:hint="eastAsia" w:ascii="仿宋" w:hAnsi="仿宋" w:eastAsia="仿宋" w:cs="仿宋"/>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color w:val="auto"/>
          <w:sz w:val="24"/>
          <w:szCs w:val="24"/>
          <w:highlight w:val="none"/>
        </w:rPr>
        <w:t xml:space="preserve"> </w:t>
      </w:r>
      <w:bookmarkStart w:id="72" w:name="_Toc351203485"/>
      <w:r>
        <w:rPr>
          <w:rFonts w:hint="eastAsia" w:ascii="仿宋" w:hAnsi="仿宋" w:eastAsia="仿宋" w:cs="仿宋"/>
          <w:color w:val="auto"/>
          <w:sz w:val="24"/>
          <w:szCs w:val="24"/>
          <w:highlight w:val="none"/>
        </w:rPr>
        <w:t>五、</w:t>
      </w:r>
      <w:bookmarkEnd w:id="72"/>
      <w:r>
        <w:rPr>
          <w:rFonts w:hint="eastAsia" w:ascii="仿宋" w:hAnsi="仿宋" w:eastAsia="仿宋" w:cs="仿宋"/>
          <w:color w:val="auto"/>
          <w:sz w:val="24"/>
          <w:szCs w:val="24"/>
          <w:highlight w:val="none"/>
        </w:rPr>
        <w:t>项目经理</w:t>
      </w:r>
    </w:p>
    <w:p w14:paraId="1D4CEF03">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33E9E04C">
      <w:pPr>
        <w:pStyle w:val="6"/>
        <w:pageBreakBefore w:val="0"/>
        <w:shd w:val="clear" w:color="auto" w:fill="auto"/>
        <w:tabs>
          <w:tab w:val="left" w:pos="4860"/>
        </w:tabs>
        <w:kinsoku/>
        <w:wordWrap/>
        <w:overflowPunct/>
        <w:topLinePunct w:val="0"/>
        <w:bidi w:val="0"/>
        <w:snapToGrid w:val="0"/>
        <w:spacing w:before="0" w:after="0" w:line="400" w:lineRule="exact"/>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color w:val="auto"/>
          <w:sz w:val="24"/>
          <w:szCs w:val="24"/>
          <w:highlight w:val="none"/>
        </w:rPr>
        <w:t xml:space="preserve"> </w:t>
      </w:r>
      <w:bookmarkStart w:id="73" w:name="_Toc351203486"/>
      <w:r>
        <w:rPr>
          <w:rFonts w:hint="eastAsia" w:ascii="仿宋" w:hAnsi="仿宋" w:eastAsia="仿宋" w:cs="仿宋"/>
          <w:color w:val="auto"/>
          <w:sz w:val="24"/>
          <w:szCs w:val="24"/>
          <w:highlight w:val="none"/>
        </w:rPr>
        <w:t>六、合同文件构成</w:t>
      </w:r>
      <w:bookmarkEnd w:id="73"/>
    </w:p>
    <w:p w14:paraId="1B609577">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17CDDA0A">
      <w:pPr>
        <w:pageBreakBefore w:val="0"/>
        <w:shd w:val="clear" w:color="auto" w:fill="auto"/>
        <w:tabs>
          <w:tab w:val="left" w:pos="4860"/>
        </w:tabs>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（1）中标通知书；</w:t>
      </w:r>
    </w:p>
    <w:p w14:paraId="1C778238">
      <w:pPr>
        <w:pageBreakBefore w:val="0"/>
        <w:shd w:val="clear" w:color="auto" w:fill="auto"/>
        <w:tabs>
          <w:tab w:val="left" w:pos="4860"/>
        </w:tabs>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（2）投标函及其附录； </w:t>
      </w:r>
    </w:p>
    <w:p w14:paraId="524DD306">
      <w:pPr>
        <w:pageBreakBefore w:val="0"/>
        <w:shd w:val="clear" w:color="auto" w:fill="auto"/>
        <w:tabs>
          <w:tab w:val="left" w:pos="4860"/>
        </w:tabs>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2ED2FC6B">
      <w:pPr>
        <w:pageBreakBefore w:val="0"/>
        <w:shd w:val="clear" w:color="auto" w:fill="auto"/>
        <w:tabs>
          <w:tab w:val="left" w:pos="4860"/>
        </w:tabs>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30AB82D6">
      <w:pPr>
        <w:pageBreakBefore w:val="0"/>
        <w:shd w:val="clear" w:color="auto" w:fill="auto"/>
        <w:tabs>
          <w:tab w:val="left" w:pos="4860"/>
        </w:tabs>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（5）技术标准和要求；</w:t>
      </w:r>
    </w:p>
    <w:p w14:paraId="06D9C3BE">
      <w:pPr>
        <w:pageBreakBefore w:val="0"/>
        <w:shd w:val="clear" w:color="auto" w:fill="auto"/>
        <w:tabs>
          <w:tab w:val="left" w:pos="4860"/>
        </w:tabs>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p>
    <w:p w14:paraId="50522097">
      <w:pPr>
        <w:pageBreakBefore w:val="0"/>
        <w:shd w:val="clear" w:color="auto" w:fill="auto"/>
        <w:tabs>
          <w:tab w:val="left" w:pos="4860"/>
        </w:tabs>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p>
    <w:p w14:paraId="6357FD63">
      <w:pPr>
        <w:pageBreakBefore w:val="0"/>
        <w:shd w:val="clear" w:color="auto" w:fill="auto"/>
        <w:tabs>
          <w:tab w:val="left" w:pos="4860"/>
        </w:tabs>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3AD32D30">
      <w:pPr>
        <w:pageBreakBefore w:val="0"/>
        <w:shd w:val="clear" w:color="auto" w:fill="auto"/>
        <w:tabs>
          <w:tab w:val="left" w:pos="4860"/>
        </w:tabs>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3245FA3C">
      <w:pPr>
        <w:pageBreakBefore w:val="0"/>
        <w:shd w:val="clear" w:color="auto" w:fill="auto"/>
        <w:tabs>
          <w:tab w:val="left" w:pos="4860"/>
        </w:tabs>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42896E8B">
      <w:pPr>
        <w:pageBreakBefore w:val="0"/>
        <w:shd w:val="clear" w:color="auto" w:fill="auto"/>
        <w:tabs>
          <w:tab w:val="left" w:pos="4860"/>
        </w:tabs>
        <w:kinsoku/>
        <w:wordWrap/>
        <w:overflowPunct/>
        <w:topLinePunct w:val="0"/>
        <w:autoSpaceDE w:val="0"/>
        <w:autoSpaceDN w:val="0"/>
        <w:bidi w:val="0"/>
        <w:adjustRightInd w:val="0"/>
        <w:snapToGrid w:val="0"/>
        <w:spacing w:line="400" w:lineRule="exact"/>
        <w:ind w:firstLine="482" w:firstLineChars="200"/>
        <w:jc w:val="left"/>
        <w:rPr>
          <w:rFonts w:hint="eastAsia" w:ascii="仿宋" w:hAnsi="仿宋" w:eastAsia="仿宋" w:cs="仿宋"/>
          <w:b/>
          <w:color w:val="auto"/>
          <w:sz w:val="24"/>
          <w:szCs w:val="24"/>
          <w:highlight w:val="none"/>
        </w:rPr>
      </w:pPr>
      <w:bookmarkStart w:id="74" w:name="_Toc351203487"/>
      <w:r>
        <w:rPr>
          <w:rFonts w:hint="eastAsia" w:ascii="仿宋" w:hAnsi="仿宋" w:eastAsia="仿宋" w:cs="仿宋"/>
          <w:b/>
          <w:color w:val="auto"/>
          <w:sz w:val="24"/>
          <w:szCs w:val="24"/>
          <w:highlight w:val="none"/>
        </w:rPr>
        <w:t>七、承诺</w:t>
      </w:r>
      <w:bookmarkEnd w:id="74"/>
    </w:p>
    <w:p w14:paraId="3D3EAEBC">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7D414BA3">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76C5E087">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3.发包人和承包人承诺执行政府行政管理部门关于工程款分账管理、弄迷宫工资支付的各项知道，不拖欠农民工工资。</w:t>
      </w:r>
    </w:p>
    <w:p w14:paraId="0AE086D3">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4.发包人和承包人承诺按照法律规定及合同约定组织完成工程施工，确保工程质量和安全，不进行转包及违法分包，并在缺陷责任期及保修期内承担相应的工程维修责任，</w:t>
      </w:r>
    </w:p>
    <w:p w14:paraId="1E2ACADF">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5.发包人和承包人通过招投标形式签订合同的，双方理解并承诺不再就同一工程另行签订与合同实质性内容相背离的协议。</w:t>
      </w:r>
    </w:p>
    <w:p w14:paraId="545DCAC9">
      <w:pPr>
        <w:pageBreakBefore w:val="0"/>
        <w:shd w:val="clear" w:color="auto" w:fill="auto"/>
        <w:tabs>
          <w:tab w:val="left" w:pos="4860"/>
        </w:tabs>
        <w:kinsoku/>
        <w:wordWrap/>
        <w:overflowPunct/>
        <w:topLinePunct w:val="0"/>
        <w:bidi w:val="0"/>
        <w:snapToGrid w:val="0"/>
        <w:spacing w:line="400" w:lineRule="exact"/>
        <w:rPr>
          <w:rFonts w:hint="eastAsia" w:ascii="仿宋" w:hAnsi="仿宋" w:eastAsia="仿宋" w:cs="仿宋"/>
          <w:bCs/>
          <w:color w:val="auto"/>
          <w:sz w:val="24"/>
          <w:szCs w:val="24"/>
          <w:highlight w:val="none"/>
        </w:rPr>
      </w:pPr>
      <w:bookmarkStart w:id="75" w:name="_Toc351203488"/>
      <w:r>
        <w:rPr>
          <w:rFonts w:hint="eastAsia" w:ascii="仿宋" w:hAnsi="仿宋" w:eastAsia="仿宋" w:cs="仿宋"/>
          <w:b/>
          <w:color w:val="auto"/>
          <w:sz w:val="24"/>
          <w:szCs w:val="24"/>
          <w:highlight w:val="none"/>
        </w:rPr>
        <w:t xml:space="preserve">    八、词语含义</w:t>
      </w:r>
      <w:bookmarkEnd w:id="75"/>
    </w:p>
    <w:p w14:paraId="595C5E8E">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4096137D">
      <w:pPr>
        <w:pageBreakBefore w:val="0"/>
        <w:shd w:val="clear" w:color="auto" w:fill="auto"/>
        <w:tabs>
          <w:tab w:val="left" w:pos="4860"/>
        </w:tabs>
        <w:kinsoku/>
        <w:wordWrap/>
        <w:overflowPunct/>
        <w:topLinePunct w:val="0"/>
        <w:bidi w:val="0"/>
        <w:snapToGrid w:val="0"/>
        <w:spacing w:line="400" w:lineRule="exact"/>
        <w:ind w:firstLine="482" w:firstLineChars="200"/>
        <w:rPr>
          <w:rFonts w:hint="eastAsia" w:ascii="仿宋" w:hAnsi="仿宋" w:eastAsia="仿宋" w:cs="仿宋"/>
          <w:b/>
          <w:bCs/>
          <w:color w:val="auto"/>
          <w:sz w:val="24"/>
          <w:szCs w:val="24"/>
          <w:highlight w:val="none"/>
        </w:rPr>
      </w:pPr>
      <w:bookmarkStart w:id="76" w:name="_Toc351203489"/>
      <w:r>
        <w:rPr>
          <w:rFonts w:hint="eastAsia" w:ascii="仿宋" w:hAnsi="仿宋" w:eastAsia="仿宋" w:cs="仿宋"/>
          <w:b/>
          <w:bCs/>
          <w:color w:val="auto"/>
          <w:sz w:val="24"/>
          <w:szCs w:val="24"/>
          <w:highlight w:val="none"/>
        </w:rPr>
        <w:t>九、签订时间</w:t>
      </w:r>
      <w:bookmarkEnd w:id="76"/>
    </w:p>
    <w:p w14:paraId="742F94F0">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日签订。</w:t>
      </w:r>
      <w:bookmarkStart w:id="77" w:name="_Toc351203490"/>
    </w:p>
    <w:p w14:paraId="37EF10D9">
      <w:pPr>
        <w:pageBreakBefore w:val="0"/>
        <w:shd w:val="clear" w:color="auto" w:fill="auto"/>
        <w:tabs>
          <w:tab w:val="left" w:pos="4860"/>
        </w:tabs>
        <w:kinsoku/>
        <w:wordWrap/>
        <w:overflowPunct/>
        <w:topLinePunct w:val="0"/>
        <w:bidi w:val="0"/>
        <w:snapToGrid w:val="0"/>
        <w:spacing w:line="400" w:lineRule="exact"/>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十、签订地点</w:t>
      </w:r>
      <w:bookmarkEnd w:id="77"/>
    </w:p>
    <w:p w14:paraId="5E528314">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本合同在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签订。</w:t>
      </w:r>
      <w:bookmarkStart w:id="78" w:name="_Toc351203491"/>
    </w:p>
    <w:p w14:paraId="0C85ED19">
      <w:pPr>
        <w:pageBreakBefore w:val="0"/>
        <w:shd w:val="clear" w:color="auto" w:fill="auto"/>
        <w:tabs>
          <w:tab w:val="left" w:pos="4860"/>
        </w:tabs>
        <w:kinsoku/>
        <w:wordWrap/>
        <w:overflowPunct/>
        <w:topLinePunct w:val="0"/>
        <w:bidi w:val="0"/>
        <w:snapToGrid w:val="0"/>
        <w:spacing w:line="400" w:lineRule="exact"/>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十一、补充协议</w:t>
      </w:r>
      <w:bookmarkEnd w:id="78"/>
    </w:p>
    <w:p w14:paraId="3A14C270">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合同未尽事宜，合同当事人另行签订补充协议，补充协议是合同的组成部分。</w:t>
      </w:r>
      <w:bookmarkStart w:id="79" w:name="_Toc351203492"/>
    </w:p>
    <w:p w14:paraId="58AF6F07">
      <w:pPr>
        <w:pageBreakBefore w:val="0"/>
        <w:shd w:val="clear" w:color="auto" w:fill="auto"/>
        <w:tabs>
          <w:tab w:val="left" w:pos="4860"/>
        </w:tabs>
        <w:kinsoku/>
        <w:wordWrap/>
        <w:overflowPunct/>
        <w:topLinePunct w:val="0"/>
        <w:bidi w:val="0"/>
        <w:snapToGrid w:val="0"/>
        <w:spacing w:line="400" w:lineRule="exact"/>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十二、合同生效</w:t>
      </w:r>
      <w:bookmarkEnd w:id="79"/>
    </w:p>
    <w:p w14:paraId="42086F32">
      <w:pPr>
        <w:pageBreakBefore w:val="0"/>
        <w:shd w:val="clear" w:color="auto" w:fill="auto"/>
        <w:tabs>
          <w:tab w:val="left" w:pos="4860"/>
        </w:tabs>
        <w:kinsoku/>
        <w:wordWrap/>
        <w:overflowPunct/>
        <w:topLinePunct w:val="0"/>
        <w:bidi w:val="0"/>
        <w:snapToGrid w:val="0"/>
        <w:spacing w:line="400" w:lineRule="exact"/>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宋体"/>
          <w:b/>
          <w:sz w:val="24"/>
          <w:highlight w:val="none"/>
          <w:u w:val="single"/>
        </w:rPr>
        <w:t>双方签字盖章后</w:t>
      </w:r>
      <w:r>
        <w:rPr>
          <w:rFonts w:hint="eastAsia" w:ascii="仿宋" w:hAnsi="仿宋" w:eastAsia="仿宋" w:cs="仿宋"/>
          <w:bCs/>
          <w:color w:val="auto"/>
          <w:sz w:val="24"/>
          <w:szCs w:val="24"/>
          <w:highlight w:val="none"/>
        </w:rPr>
        <w:t>生效。</w:t>
      </w:r>
      <w:bookmarkStart w:id="80" w:name="_Toc351203493"/>
    </w:p>
    <w:p w14:paraId="5C3585AA">
      <w:pPr>
        <w:pageBreakBefore w:val="0"/>
        <w:shd w:val="clear" w:color="auto" w:fill="auto"/>
        <w:tabs>
          <w:tab w:val="left" w:pos="4860"/>
        </w:tabs>
        <w:kinsoku/>
        <w:wordWrap/>
        <w:overflowPunct/>
        <w:topLinePunct w:val="0"/>
        <w:bidi w:val="0"/>
        <w:snapToGrid w:val="0"/>
        <w:spacing w:line="400" w:lineRule="exact"/>
        <w:ind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十三、合同份数</w:t>
      </w:r>
      <w:bookmarkEnd w:id="80"/>
    </w:p>
    <w:p w14:paraId="37D3D865">
      <w:pPr>
        <w:pageBreakBefore w:val="0"/>
        <w:shd w:val="clear" w:color="auto" w:fill="auto"/>
        <w:tabs>
          <w:tab w:val="left" w:pos="4860"/>
        </w:tabs>
        <w:kinsoku/>
        <w:wordWrap/>
        <w:overflowPunct/>
        <w:topLinePunct w:val="0"/>
        <w:bidi w:val="0"/>
        <w:snapToGrid w:val="0"/>
        <w:spacing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
          <w:color w:val="auto"/>
          <w:sz w:val="24"/>
          <w:szCs w:val="24"/>
          <w:highlight w:val="none"/>
          <w:u w:val="single"/>
        </w:rPr>
        <w:t>五</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
          <w:color w:val="auto"/>
          <w:sz w:val="24"/>
          <w:szCs w:val="24"/>
          <w:highlight w:val="none"/>
          <w:u w:val="single"/>
        </w:rPr>
        <w:t xml:space="preserve"> 叁 </w:t>
      </w:r>
      <w:r>
        <w:rPr>
          <w:rFonts w:hint="eastAsia" w:ascii="仿宋" w:hAnsi="仿宋" w:eastAsia="仿宋" w:cs="仿宋"/>
          <w:bCs/>
          <w:color w:val="auto"/>
          <w:sz w:val="24"/>
          <w:szCs w:val="24"/>
          <w:highlight w:val="none"/>
        </w:rPr>
        <w:t>份（含代建单位），承包人执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
          <w:color w:val="auto"/>
          <w:sz w:val="24"/>
          <w:szCs w:val="24"/>
          <w:highlight w:val="none"/>
          <w:u w:val="single"/>
        </w:rPr>
        <w:t xml:space="preserve">贰 </w:t>
      </w:r>
      <w:r>
        <w:rPr>
          <w:rFonts w:hint="eastAsia" w:ascii="仿宋" w:hAnsi="仿宋" w:eastAsia="仿宋" w:cs="仿宋"/>
          <w:bCs/>
          <w:color w:val="auto"/>
          <w:sz w:val="24"/>
          <w:szCs w:val="24"/>
          <w:highlight w:val="none"/>
        </w:rPr>
        <w:t>份。</w:t>
      </w:r>
    </w:p>
    <w:p w14:paraId="5B8D75A9">
      <w:pPr>
        <w:pStyle w:val="37"/>
        <w:pageBreakBefore w:val="0"/>
        <w:shd w:val="clear" w:color="auto" w:fill="auto"/>
        <w:kinsoku/>
        <w:wordWrap/>
        <w:overflowPunct/>
        <w:topLinePunct w:val="0"/>
        <w:bidi w:val="0"/>
        <w:snapToGrid w:val="0"/>
        <w:spacing w:line="400" w:lineRule="exact"/>
        <w:rPr>
          <w:rFonts w:hint="eastAsia" w:ascii="仿宋" w:hAnsi="仿宋" w:eastAsia="仿宋" w:cs="仿宋"/>
          <w:bCs/>
          <w:color w:val="auto"/>
          <w:sz w:val="24"/>
          <w:szCs w:val="24"/>
          <w:highlight w:val="none"/>
          <w:lang w:eastAsia="zh-CN"/>
        </w:rPr>
      </w:pPr>
    </w:p>
    <w:p w14:paraId="22D2D3B3">
      <w:pPr>
        <w:shd w:val="clear" w:color="auto" w:fill="auto"/>
        <w:tabs>
          <w:tab w:val="left" w:pos="4860"/>
        </w:tabs>
        <w:spacing w:line="480" w:lineRule="exac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（合同签署页）</w:t>
      </w:r>
      <w:r>
        <w:rPr>
          <w:rFonts w:hint="eastAsia" w:ascii="仿宋" w:hAnsi="仿宋" w:eastAsia="仿宋" w:cs="仿宋"/>
          <w:color w:val="auto"/>
          <w:sz w:val="24"/>
          <w:szCs w:val="24"/>
          <w:highlight w:val="none"/>
        </w:rPr>
        <w:t xml:space="preserve">    </w:t>
      </w:r>
    </w:p>
    <w:p w14:paraId="61653085">
      <w:pPr>
        <w:pStyle w:val="37"/>
        <w:shd w:val="clear" w:color="auto" w:fill="auto"/>
        <w:rPr>
          <w:rFonts w:hint="eastAsia" w:ascii="仿宋" w:hAnsi="仿宋" w:eastAsia="仿宋" w:cs="仿宋"/>
          <w:color w:val="auto"/>
          <w:sz w:val="24"/>
          <w:szCs w:val="24"/>
          <w:highlight w:val="none"/>
          <w:lang w:eastAsia="zh-CN"/>
        </w:rPr>
      </w:pPr>
    </w:p>
    <w:p w14:paraId="324A2746">
      <w:pPr>
        <w:shd w:val="clear" w:color="auto" w:fill="auto"/>
        <w:tabs>
          <w:tab w:val="left" w:pos="4860"/>
        </w:tabs>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6D6B7BCF">
      <w:pPr>
        <w:shd w:val="clear" w:color="auto" w:fill="auto"/>
        <w:tabs>
          <w:tab w:val="left" w:pos="4860"/>
        </w:tabs>
        <w:spacing w:line="480" w:lineRule="exac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w:t>
      </w:r>
    </w:p>
    <w:p w14:paraId="1C62F0FD">
      <w:pPr>
        <w:shd w:val="clear" w:color="auto" w:fill="auto"/>
        <w:tabs>
          <w:tab w:val="left" w:pos="4860"/>
        </w:tabs>
        <w:spacing w:line="4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法定代表人或其委托代理人：     法定代表人或其委托代理人：</w:t>
      </w:r>
    </w:p>
    <w:p w14:paraId="2F5BA44F">
      <w:pPr>
        <w:shd w:val="clear" w:color="auto" w:fill="auto"/>
        <w:tabs>
          <w:tab w:val="left" w:pos="4860"/>
        </w:tabs>
        <w:spacing w:line="4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（签字）                            （签字）</w:t>
      </w:r>
    </w:p>
    <w:p w14:paraId="270F0A96">
      <w:pPr>
        <w:shd w:val="clear" w:color="auto" w:fill="auto"/>
        <w:tabs>
          <w:tab w:val="left" w:pos="4860"/>
        </w:tabs>
        <w:spacing w:line="480" w:lineRule="exact"/>
        <w:ind w:left="4620" w:hanging="5280" w:hangingChars="2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w:t>
      </w:r>
    </w:p>
    <w:p w14:paraId="5CC47EA3">
      <w:pPr>
        <w:shd w:val="clear" w:color="auto" w:fill="auto"/>
        <w:tabs>
          <w:tab w:val="left" w:pos="4860"/>
        </w:tabs>
        <w:spacing w:line="4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5A837E4D">
      <w:pPr>
        <w:shd w:val="clear" w:color="auto" w:fill="auto"/>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14DE8D32">
      <w:pPr>
        <w:shd w:val="clear" w:color="auto" w:fill="auto"/>
        <w:tabs>
          <w:tab w:val="left" w:pos="4860"/>
        </w:tabs>
        <w:spacing w:line="4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w:t>
      </w:r>
    </w:p>
    <w:p w14:paraId="2638B680">
      <w:pPr>
        <w:shd w:val="clear" w:color="auto" w:fill="auto"/>
        <w:tabs>
          <w:tab w:val="left" w:pos="4860"/>
        </w:tabs>
        <w:spacing w:line="4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pacing w:val="-14"/>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w:t>
      </w:r>
    </w:p>
    <w:p w14:paraId="07CFC1B7">
      <w:pPr>
        <w:shd w:val="clear" w:color="auto" w:fill="auto"/>
        <w:tabs>
          <w:tab w:val="left" w:pos="4860"/>
        </w:tabs>
        <w:spacing w:line="480" w:lineRule="exact"/>
        <w:ind w:left="5279" w:leftChars="228" w:hanging="4800" w:hangingChars="20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1E71B5E9">
      <w:pPr>
        <w:shd w:val="clear" w:color="auto" w:fill="auto"/>
        <w:tabs>
          <w:tab w:val="left" w:pos="4860"/>
        </w:tabs>
        <w:spacing w:line="4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5F44F6DA">
      <w:pPr>
        <w:shd w:val="clear" w:color="auto" w:fill="auto"/>
        <w:rPr>
          <w:rFonts w:hint="eastAsia" w:ascii="仿宋" w:hAnsi="仿宋" w:eastAsia="仿宋" w:cs="仿宋"/>
          <w:color w:val="auto"/>
          <w:szCs w:val="21"/>
          <w:highlight w:val="none"/>
        </w:rPr>
      </w:pPr>
    </w:p>
    <w:p w14:paraId="4D8ADBEC">
      <w:pPr>
        <w:pStyle w:val="37"/>
        <w:shd w:val="clear" w:color="auto" w:fill="auto"/>
        <w:rPr>
          <w:rFonts w:hint="eastAsia" w:ascii="仿宋" w:hAnsi="仿宋" w:eastAsia="仿宋" w:cs="仿宋"/>
          <w:color w:val="auto"/>
          <w:highlight w:val="none"/>
          <w:lang w:eastAsia="zh-CN"/>
        </w:rPr>
      </w:pPr>
    </w:p>
    <w:p w14:paraId="2DF62571">
      <w:pPr>
        <w:pStyle w:val="37"/>
        <w:shd w:val="clear" w:color="auto" w:fill="auto"/>
        <w:rPr>
          <w:rFonts w:hint="eastAsia" w:ascii="仿宋" w:hAnsi="仿宋" w:eastAsia="仿宋" w:cs="仿宋"/>
          <w:color w:val="auto"/>
          <w:highlight w:val="none"/>
          <w:lang w:eastAsia="zh-CN"/>
        </w:rPr>
      </w:pPr>
    </w:p>
    <w:p w14:paraId="72AADA2D">
      <w:pPr>
        <w:pStyle w:val="4"/>
        <w:shd w:val="clear" w:color="auto" w:fill="auto"/>
        <w:jc w:val="center"/>
        <w:rPr>
          <w:rFonts w:hint="eastAsia" w:ascii="仿宋" w:hAnsi="仿宋" w:eastAsia="仿宋" w:cs="仿宋"/>
          <w:b w:val="0"/>
          <w:bCs w:val="0"/>
          <w:color w:val="auto"/>
          <w:szCs w:val="28"/>
          <w:highlight w:val="none"/>
        </w:rPr>
      </w:pPr>
      <w:r>
        <w:rPr>
          <w:rFonts w:hint="eastAsia" w:ascii="仿宋" w:hAnsi="仿宋" w:eastAsia="仿宋" w:cs="仿宋"/>
          <w:color w:val="auto"/>
          <w:highlight w:val="none"/>
        </w:rPr>
        <w:t>第二节  通用合同条款</w:t>
      </w:r>
      <w:bookmarkEnd w:id="64"/>
      <w:bookmarkEnd w:id="65"/>
      <w:bookmarkEnd w:id="66"/>
      <w:bookmarkEnd w:id="67"/>
      <w:bookmarkEnd w:id="68"/>
    </w:p>
    <w:p w14:paraId="0028714E">
      <w:pPr>
        <w:shd w:val="clear" w:color="auto" w:fill="auto"/>
        <w:spacing w:line="440" w:lineRule="exact"/>
        <w:ind w:firstLine="420" w:firstLineChars="200"/>
        <w:rPr>
          <w:rFonts w:hint="eastAsia" w:ascii="仿宋" w:hAnsi="仿宋" w:eastAsia="仿宋" w:cs="仿宋"/>
          <w:color w:val="auto"/>
          <w:szCs w:val="21"/>
          <w:highlight w:val="none"/>
        </w:rPr>
      </w:pPr>
    </w:p>
    <w:p w14:paraId="2E963B1A">
      <w:pPr>
        <w:shd w:val="clear" w:color="auto" w:fill="auto"/>
        <w:spacing w:line="460" w:lineRule="exact"/>
        <w:ind w:firstLine="480" w:firstLineChars="200"/>
        <w:outlineLvl w:val="0"/>
        <w:rPr>
          <w:rFonts w:hint="eastAsia" w:ascii="仿宋" w:hAnsi="仿宋" w:eastAsia="仿宋" w:cs="仿宋"/>
          <w:color w:val="auto"/>
          <w:sz w:val="24"/>
          <w:szCs w:val="24"/>
          <w:highlight w:val="none"/>
        </w:rPr>
      </w:pPr>
      <w:bookmarkStart w:id="81" w:name="_Toc6580"/>
      <w:bookmarkStart w:id="82" w:name="_Toc22626"/>
      <w:bookmarkStart w:id="83" w:name="_Toc1012"/>
      <w:bookmarkStart w:id="84" w:name="_Toc30857_WPSOffice_Level2"/>
      <w:bookmarkStart w:id="85" w:name="_Toc361132803"/>
      <w:bookmarkStart w:id="86" w:name="_Toc45352760"/>
      <w:bookmarkStart w:id="87" w:name="_Toc12637"/>
      <w:r>
        <w:rPr>
          <w:rFonts w:hint="eastAsia" w:ascii="仿宋" w:hAnsi="仿宋" w:eastAsia="仿宋" w:cs="仿宋"/>
          <w:bCs/>
          <w:color w:val="auto"/>
          <w:sz w:val="24"/>
          <w:szCs w:val="24"/>
          <w:highlight w:val="none"/>
        </w:rPr>
        <w:t>执行《山东省建设工程施工合同（示范文本）》（SDF-2019-0002）通用条款。</w:t>
      </w:r>
      <w:bookmarkEnd w:id="81"/>
      <w:bookmarkEnd w:id="82"/>
    </w:p>
    <w:p w14:paraId="4E322C59">
      <w:pPr>
        <w:shd w:val="clear" w:color="auto" w:fill="auto"/>
        <w:spacing w:line="360" w:lineRule="auto"/>
        <w:jc w:val="center"/>
        <w:rPr>
          <w:rFonts w:hint="eastAsia" w:ascii="仿宋" w:hAnsi="仿宋" w:eastAsia="仿宋" w:cs="仿宋"/>
          <w:bCs/>
          <w:color w:val="auto"/>
          <w:szCs w:val="21"/>
          <w:highlight w:val="none"/>
        </w:rPr>
      </w:pPr>
    </w:p>
    <w:p w14:paraId="1BC23511">
      <w:pPr>
        <w:pStyle w:val="66"/>
        <w:shd w:val="clear" w:color="auto" w:fill="auto"/>
        <w:rPr>
          <w:rFonts w:hint="eastAsia" w:ascii="仿宋" w:hAnsi="仿宋" w:eastAsia="仿宋" w:cs="仿宋"/>
          <w:bCs/>
          <w:color w:val="auto"/>
          <w:szCs w:val="21"/>
          <w:highlight w:val="none"/>
        </w:rPr>
      </w:pPr>
    </w:p>
    <w:p w14:paraId="0A8A0BE3">
      <w:pPr>
        <w:shd w:val="clear" w:color="auto" w:fill="auto"/>
        <w:rPr>
          <w:rFonts w:hint="eastAsia" w:ascii="仿宋" w:hAnsi="仿宋" w:eastAsia="仿宋" w:cs="仿宋"/>
          <w:bCs/>
          <w:color w:val="auto"/>
          <w:szCs w:val="21"/>
          <w:highlight w:val="none"/>
        </w:rPr>
      </w:pPr>
    </w:p>
    <w:p w14:paraId="40217241">
      <w:pPr>
        <w:pStyle w:val="66"/>
        <w:shd w:val="clear" w:color="auto" w:fill="auto"/>
        <w:rPr>
          <w:rFonts w:hint="eastAsia" w:ascii="仿宋" w:hAnsi="仿宋" w:eastAsia="仿宋" w:cs="仿宋"/>
          <w:bCs/>
          <w:color w:val="auto"/>
          <w:szCs w:val="21"/>
          <w:highlight w:val="none"/>
        </w:rPr>
      </w:pPr>
    </w:p>
    <w:p w14:paraId="7E8CD1D1">
      <w:pPr>
        <w:shd w:val="clear" w:color="auto" w:fill="auto"/>
        <w:rPr>
          <w:rFonts w:hint="eastAsia" w:ascii="仿宋" w:hAnsi="仿宋" w:eastAsia="仿宋" w:cs="仿宋"/>
          <w:bCs/>
          <w:color w:val="auto"/>
          <w:szCs w:val="21"/>
          <w:highlight w:val="none"/>
        </w:rPr>
      </w:pPr>
    </w:p>
    <w:p w14:paraId="5540742A">
      <w:pPr>
        <w:pStyle w:val="37"/>
        <w:shd w:val="clear" w:color="auto" w:fill="auto"/>
        <w:rPr>
          <w:rFonts w:hint="eastAsia" w:ascii="仿宋" w:hAnsi="仿宋" w:eastAsia="仿宋" w:cs="仿宋"/>
          <w:bCs/>
          <w:color w:val="auto"/>
          <w:szCs w:val="21"/>
          <w:highlight w:val="none"/>
          <w:lang w:eastAsia="zh-CN"/>
        </w:rPr>
      </w:pPr>
    </w:p>
    <w:p w14:paraId="12C9CA34">
      <w:pPr>
        <w:pStyle w:val="37"/>
        <w:shd w:val="clear" w:color="auto" w:fill="auto"/>
        <w:rPr>
          <w:rFonts w:hint="eastAsia" w:ascii="仿宋" w:hAnsi="仿宋" w:eastAsia="仿宋" w:cs="仿宋"/>
          <w:bCs/>
          <w:color w:val="auto"/>
          <w:szCs w:val="21"/>
          <w:highlight w:val="none"/>
          <w:lang w:eastAsia="zh-CN"/>
        </w:rPr>
      </w:pPr>
    </w:p>
    <w:p w14:paraId="04C2A5E3">
      <w:pPr>
        <w:pStyle w:val="37"/>
        <w:shd w:val="clear" w:color="auto" w:fill="auto"/>
        <w:rPr>
          <w:rFonts w:hint="eastAsia" w:ascii="仿宋" w:hAnsi="仿宋" w:eastAsia="仿宋" w:cs="仿宋"/>
          <w:bCs/>
          <w:color w:val="auto"/>
          <w:szCs w:val="21"/>
          <w:highlight w:val="none"/>
          <w:lang w:eastAsia="zh-CN"/>
        </w:rPr>
      </w:pPr>
    </w:p>
    <w:p w14:paraId="059CAB9A">
      <w:pPr>
        <w:pStyle w:val="37"/>
        <w:shd w:val="clear" w:color="auto" w:fill="auto"/>
        <w:rPr>
          <w:rFonts w:hint="eastAsia" w:ascii="仿宋" w:hAnsi="仿宋" w:eastAsia="仿宋" w:cs="仿宋"/>
          <w:bCs/>
          <w:color w:val="auto"/>
          <w:szCs w:val="21"/>
          <w:highlight w:val="none"/>
          <w:lang w:eastAsia="zh-CN"/>
        </w:rPr>
      </w:pPr>
    </w:p>
    <w:p w14:paraId="52EB5E16">
      <w:pPr>
        <w:pStyle w:val="37"/>
        <w:shd w:val="clear" w:color="auto" w:fill="auto"/>
        <w:rPr>
          <w:rFonts w:hint="eastAsia" w:ascii="仿宋" w:hAnsi="仿宋" w:eastAsia="仿宋" w:cs="仿宋"/>
          <w:bCs/>
          <w:color w:val="auto"/>
          <w:szCs w:val="21"/>
          <w:highlight w:val="none"/>
          <w:lang w:eastAsia="zh-CN"/>
        </w:rPr>
      </w:pPr>
    </w:p>
    <w:p w14:paraId="27D9E456">
      <w:pPr>
        <w:pStyle w:val="37"/>
        <w:shd w:val="clear" w:color="auto" w:fill="auto"/>
        <w:rPr>
          <w:rFonts w:hint="eastAsia" w:ascii="仿宋" w:hAnsi="仿宋" w:eastAsia="仿宋" w:cs="仿宋"/>
          <w:bCs/>
          <w:color w:val="auto"/>
          <w:szCs w:val="21"/>
          <w:highlight w:val="none"/>
          <w:lang w:eastAsia="zh-CN"/>
        </w:rPr>
      </w:pPr>
    </w:p>
    <w:p w14:paraId="0225016C">
      <w:pPr>
        <w:pStyle w:val="37"/>
        <w:shd w:val="clear" w:color="auto" w:fill="auto"/>
        <w:rPr>
          <w:rFonts w:hint="eastAsia" w:ascii="仿宋" w:hAnsi="仿宋" w:eastAsia="仿宋" w:cs="仿宋"/>
          <w:bCs/>
          <w:color w:val="auto"/>
          <w:szCs w:val="21"/>
          <w:highlight w:val="none"/>
          <w:lang w:eastAsia="zh-CN"/>
        </w:rPr>
      </w:pPr>
    </w:p>
    <w:p w14:paraId="767DC1CB">
      <w:pPr>
        <w:pStyle w:val="37"/>
        <w:shd w:val="clear" w:color="auto" w:fill="auto"/>
        <w:rPr>
          <w:rFonts w:hint="eastAsia" w:ascii="仿宋" w:hAnsi="仿宋" w:eastAsia="仿宋" w:cs="仿宋"/>
          <w:bCs/>
          <w:color w:val="auto"/>
          <w:szCs w:val="21"/>
          <w:highlight w:val="none"/>
          <w:lang w:eastAsia="zh-CN"/>
        </w:rPr>
      </w:pPr>
    </w:p>
    <w:p w14:paraId="13EEAA12">
      <w:pPr>
        <w:shd w:val="clear" w:color="auto" w:fill="auto"/>
        <w:rPr>
          <w:rFonts w:hint="eastAsia" w:ascii="仿宋" w:hAnsi="仿宋" w:eastAsia="仿宋" w:cs="仿宋"/>
          <w:bCs/>
          <w:color w:val="auto"/>
          <w:szCs w:val="21"/>
          <w:highlight w:val="none"/>
        </w:rPr>
      </w:pPr>
    </w:p>
    <w:p w14:paraId="6158F722">
      <w:pPr>
        <w:pStyle w:val="66"/>
        <w:shd w:val="clear" w:color="auto" w:fill="auto"/>
        <w:rPr>
          <w:rFonts w:hint="eastAsia" w:ascii="仿宋" w:hAnsi="仿宋" w:eastAsia="仿宋" w:cs="仿宋"/>
          <w:bCs/>
          <w:color w:val="auto"/>
          <w:szCs w:val="21"/>
          <w:highlight w:val="none"/>
        </w:rPr>
      </w:pPr>
    </w:p>
    <w:p w14:paraId="1FF50591">
      <w:pPr>
        <w:shd w:val="clear" w:color="auto" w:fill="auto"/>
        <w:rPr>
          <w:rFonts w:hint="eastAsia" w:ascii="仿宋" w:hAnsi="仿宋" w:eastAsia="仿宋" w:cs="仿宋"/>
          <w:bCs/>
          <w:color w:val="auto"/>
          <w:szCs w:val="21"/>
          <w:highlight w:val="none"/>
        </w:rPr>
      </w:pPr>
    </w:p>
    <w:p w14:paraId="7BCC9A6B">
      <w:pPr>
        <w:pStyle w:val="66"/>
        <w:shd w:val="clear" w:color="auto" w:fill="auto"/>
        <w:rPr>
          <w:rFonts w:hint="eastAsia" w:ascii="仿宋" w:hAnsi="仿宋" w:eastAsia="仿宋" w:cs="仿宋"/>
          <w:bCs/>
          <w:color w:val="auto"/>
          <w:szCs w:val="21"/>
          <w:highlight w:val="none"/>
        </w:rPr>
      </w:pPr>
    </w:p>
    <w:p w14:paraId="0388295C">
      <w:pPr>
        <w:shd w:val="clear" w:color="auto" w:fill="auto"/>
        <w:rPr>
          <w:rFonts w:hint="eastAsia" w:ascii="仿宋" w:hAnsi="仿宋" w:eastAsia="仿宋" w:cs="仿宋"/>
          <w:bCs/>
          <w:color w:val="auto"/>
          <w:szCs w:val="21"/>
          <w:highlight w:val="none"/>
        </w:rPr>
      </w:pPr>
    </w:p>
    <w:p w14:paraId="172E8DCA">
      <w:pPr>
        <w:pStyle w:val="66"/>
        <w:shd w:val="clear" w:color="auto" w:fill="auto"/>
        <w:rPr>
          <w:rFonts w:hint="eastAsia" w:ascii="仿宋" w:hAnsi="仿宋" w:eastAsia="仿宋" w:cs="仿宋"/>
          <w:bCs/>
          <w:color w:val="auto"/>
          <w:szCs w:val="21"/>
          <w:highlight w:val="none"/>
        </w:rPr>
      </w:pPr>
    </w:p>
    <w:p w14:paraId="6C80ABCC">
      <w:pPr>
        <w:shd w:val="clear" w:color="auto" w:fill="auto"/>
        <w:rPr>
          <w:rFonts w:hint="eastAsia" w:ascii="仿宋" w:hAnsi="仿宋" w:eastAsia="仿宋" w:cs="仿宋"/>
          <w:bCs/>
          <w:color w:val="auto"/>
          <w:szCs w:val="21"/>
          <w:highlight w:val="none"/>
        </w:rPr>
      </w:pPr>
    </w:p>
    <w:p w14:paraId="0B9B6A82">
      <w:pPr>
        <w:pStyle w:val="37"/>
        <w:shd w:val="clear" w:color="auto" w:fill="auto"/>
        <w:rPr>
          <w:rFonts w:hint="eastAsia" w:ascii="仿宋" w:hAnsi="仿宋" w:eastAsia="仿宋" w:cs="仿宋"/>
          <w:bCs/>
          <w:color w:val="auto"/>
          <w:szCs w:val="21"/>
          <w:highlight w:val="none"/>
          <w:lang w:eastAsia="zh-CN"/>
        </w:rPr>
      </w:pPr>
    </w:p>
    <w:p w14:paraId="562F7C95">
      <w:pPr>
        <w:pStyle w:val="37"/>
        <w:shd w:val="clear" w:color="auto" w:fill="auto"/>
        <w:rPr>
          <w:rFonts w:hint="eastAsia" w:ascii="仿宋" w:hAnsi="仿宋" w:eastAsia="仿宋" w:cs="仿宋"/>
          <w:bCs/>
          <w:color w:val="auto"/>
          <w:szCs w:val="21"/>
          <w:highlight w:val="none"/>
          <w:lang w:eastAsia="zh-CN"/>
        </w:rPr>
      </w:pPr>
    </w:p>
    <w:p w14:paraId="1B2B2217">
      <w:pPr>
        <w:shd w:val="clear" w:color="auto" w:fill="auto"/>
        <w:rPr>
          <w:rFonts w:hint="eastAsia" w:ascii="仿宋" w:hAnsi="仿宋" w:eastAsia="仿宋" w:cs="仿宋"/>
          <w:bCs/>
          <w:color w:val="auto"/>
          <w:szCs w:val="21"/>
          <w:highlight w:val="none"/>
        </w:rPr>
      </w:pPr>
    </w:p>
    <w:p w14:paraId="3B837EAB">
      <w:pPr>
        <w:pStyle w:val="66"/>
        <w:shd w:val="clear" w:color="auto" w:fill="auto"/>
        <w:rPr>
          <w:rFonts w:hint="eastAsia" w:ascii="仿宋" w:hAnsi="仿宋" w:eastAsia="仿宋" w:cs="仿宋"/>
          <w:bCs/>
          <w:color w:val="auto"/>
          <w:szCs w:val="21"/>
          <w:highlight w:val="none"/>
        </w:rPr>
      </w:pPr>
    </w:p>
    <w:p w14:paraId="7D7BF5AA">
      <w:pPr>
        <w:pStyle w:val="4"/>
        <w:shd w:val="clear" w:color="auto" w:fill="auto"/>
        <w:jc w:val="center"/>
        <w:rPr>
          <w:rFonts w:hint="eastAsia" w:ascii="仿宋" w:hAnsi="仿宋" w:eastAsia="仿宋" w:cs="仿宋"/>
          <w:b w:val="0"/>
          <w:bCs w:val="0"/>
          <w:color w:val="auto"/>
          <w:sz w:val="28"/>
          <w:szCs w:val="28"/>
          <w:highlight w:val="none"/>
        </w:rPr>
      </w:pPr>
      <w:r>
        <w:rPr>
          <w:rFonts w:hint="eastAsia" w:ascii="仿宋" w:hAnsi="仿宋" w:eastAsia="仿宋" w:cs="仿宋"/>
          <w:color w:val="auto"/>
          <w:highlight w:val="none"/>
        </w:rPr>
        <w:t>第三节 专用条款</w:t>
      </w:r>
      <w:bookmarkEnd w:id="83"/>
      <w:bookmarkEnd w:id="84"/>
      <w:bookmarkEnd w:id="85"/>
      <w:bookmarkEnd w:id="86"/>
      <w:bookmarkEnd w:id="87"/>
    </w:p>
    <w:p w14:paraId="2776A057">
      <w:pPr>
        <w:keepNext/>
        <w:keepLines/>
        <w:pageBreakBefore w:val="0"/>
        <w:widowControl w:val="0"/>
        <w:shd w:val="clear" w:color="auto" w:fill="auto"/>
        <w:kinsoku/>
        <w:wordWrap/>
        <w:overflowPunct/>
        <w:topLinePunct w:val="0"/>
        <w:bidi w:val="0"/>
        <w:snapToGrid w:val="0"/>
        <w:spacing w:line="400" w:lineRule="exact"/>
        <w:outlineLvl w:val="3"/>
        <w:rPr>
          <w:rFonts w:hint="eastAsia" w:ascii="仿宋" w:hAnsi="仿宋" w:eastAsia="仿宋" w:cs="仿宋"/>
          <w:bCs/>
          <w:color w:val="auto"/>
          <w:sz w:val="24"/>
          <w:szCs w:val="24"/>
          <w:highlight w:val="none"/>
        </w:rPr>
      </w:pPr>
      <w:bookmarkStart w:id="88" w:name="_Toc351203633"/>
      <w:r>
        <w:rPr>
          <w:rFonts w:hint="eastAsia" w:ascii="仿宋" w:hAnsi="仿宋" w:eastAsia="仿宋" w:cs="仿宋"/>
          <w:bCs/>
          <w:color w:val="auto"/>
          <w:sz w:val="24"/>
          <w:szCs w:val="24"/>
          <w:highlight w:val="none"/>
        </w:rPr>
        <w:t>1</w:t>
      </w:r>
      <w:bookmarkStart w:id="89" w:name="_Toc296890984"/>
      <w:bookmarkStart w:id="90" w:name="_Toc296347155"/>
      <w:bookmarkStart w:id="91" w:name="_Toc297048342"/>
      <w:bookmarkStart w:id="92" w:name="_Toc296944495"/>
      <w:bookmarkStart w:id="93" w:name="_Toc297120456"/>
      <w:bookmarkStart w:id="94" w:name="_Toc292559361"/>
      <w:bookmarkStart w:id="95" w:name="_Toc296891196"/>
      <w:bookmarkStart w:id="96" w:name="_Toc296503156"/>
      <w:bookmarkStart w:id="97" w:name="_Toc292559866"/>
      <w:bookmarkStart w:id="98" w:name="_Toc296346657"/>
      <w:r>
        <w:rPr>
          <w:rFonts w:hint="eastAsia" w:ascii="仿宋" w:hAnsi="仿宋" w:eastAsia="仿宋" w:cs="仿宋"/>
          <w:bCs/>
          <w:color w:val="auto"/>
          <w:sz w:val="24"/>
          <w:szCs w:val="24"/>
          <w:highlight w:val="none"/>
        </w:rPr>
        <w:t>. 一般约定</w:t>
      </w:r>
      <w:bookmarkEnd w:id="88"/>
    </w:p>
    <w:bookmarkEnd w:id="89"/>
    <w:bookmarkEnd w:id="90"/>
    <w:bookmarkEnd w:id="91"/>
    <w:bookmarkEnd w:id="92"/>
    <w:bookmarkEnd w:id="93"/>
    <w:bookmarkEnd w:id="94"/>
    <w:bookmarkEnd w:id="95"/>
    <w:bookmarkEnd w:id="96"/>
    <w:bookmarkEnd w:id="97"/>
    <w:bookmarkEnd w:id="98"/>
    <w:p w14:paraId="79B76F1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词语定义</w:t>
      </w:r>
    </w:p>
    <w:p w14:paraId="6909E1F2">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1.1.1合同</w:t>
      </w:r>
    </w:p>
    <w:p w14:paraId="78A0981D">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1.1.1.10其他合同文件包括：</w:t>
      </w:r>
      <w:r>
        <w:rPr>
          <w:rFonts w:hint="eastAsia" w:ascii="仿宋" w:hAnsi="仿宋" w:eastAsia="仿宋" w:cs="仿宋"/>
          <w:b/>
          <w:color w:val="auto"/>
          <w:sz w:val="24"/>
          <w:szCs w:val="24"/>
          <w:highlight w:val="none"/>
          <w:u w:val="single"/>
        </w:rPr>
        <w:t>在合同订立及履行过程中形成的与合同有关的文件均构成合同文件组成部分；合同当事人就该项合同文件所作出的补充和修改，且已经过合同当事人签字或盖章</w:t>
      </w:r>
      <w:r>
        <w:rPr>
          <w:rFonts w:hint="eastAsia" w:ascii="仿宋" w:hAnsi="仿宋" w:eastAsia="仿宋" w:cs="仿宋"/>
          <w:color w:val="auto"/>
          <w:sz w:val="24"/>
          <w:szCs w:val="24"/>
          <w:highlight w:val="none"/>
        </w:rPr>
        <w:t>。</w:t>
      </w:r>
    </w:p>
    <w:p w14:paraId="2B23C2DF">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 合同当事人及其他相关方</w:t>
      </w:r>
    </w:p>
    <w:p w14:paraId="3DC2C19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1.1.2.4监理人：</w:t>
      </w:r>
    </w:p>
    <w:p w14:paraId="5DD6049C">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3CDB85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资质类别和等级：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4FED9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2EF9AD5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0F58A27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00C30487">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1.1.2.5 设计人：</w:t>
      </w:r>
    </w:p>
    <w:p w14:paraId="4AA963A1">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57A0737E">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资质类别和等级：</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0E6F1C8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25DE504E">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1E86F55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228DF8E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工程和设备</w:t>
      </w:r>
    </w:p>
    <w:p w14:paraId="6EC53FF3">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1.1.3.7 作为施工现场组成部分的其他场所包括：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911C57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1.1.3.9 永久占地包括：</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 xml:space="preserve">见规划红线图 </w:t>
      </w:r>
      <w:r>
        <w:rPr>
          <w:rFonts w:hint="eastAsia" w:ascii="仿宋" w:hAnsi="仿宋" w:eastAsia="仿宋" w:cs="仿宋"/>
          <w:color w:val="auto"/>
          <w:sz w:val="24"/>
          <w:szCs w:val="24"/>
          <w:highlight w:val="none"/>
          <w:u w:val="single"/>
        </w:rPr>
        <w:t></w:t>
      </w:r>
      <w:r>
        <w:rPr>
          <w:rFonts w:hint="eastAsia" w:ascii="仿宋" w:hAnsi="仿宋" w:eastAsia="仿宋" w:cs="仿宋"/>
          <w:color w:val="auto"/>
          <w:kern w:val="0"/>
          <w:sz w:val="24"/>
          <w:szCs w:val="24"/>
          <w:highlight w:val="none"/>
        </w:rPr>
        <w:t>。</w:t>
      </w:r>
    </w:p>
    <w:p w14:paraId="18728270">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1.1.3.10 临时占地包括：</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修建临时施工道路、临时住房租用的土地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08034131">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1.3法律 </w:t>
      </w:r>
    </w:p>
    <w:p w14:paraId="7AB3F4D1">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适用于合同的其他规范性文件：</w:t>
      </w:r>
      <w:r>
        <w:rPr>
          <w:rFonts w:hint="eastAsia" w:ascii="仿宋" w:hAnsi="仿宋" w:eastAsia="仿宋" w:cs="仿宋"/>
          <w:color w:val="auto"/>
          <w:sz w:val="24"/>
          <w:szCs w:val="24"/>
          <w:highlight w:val="none"/>
          <w:u w:val="single"/>
        </w:rPr>
        <w:t></w:t>
      </w:r>
      <w:r>
        <w:rPr>
          <w:rFonts w:hint="eastAsia" w:ascii="仿宋" w:hAnsi="仿宋" w:eastAsia="仿宋" w:cs="仿宋"/>
          <w:b/>
          <w:color w:val="auto"/>
          <w:sz w:val="24"/>
          <w:szCs w:val="24"/>
          <w:highlight w:val="none"/>
          <w:u w:val="single"/>
        </w:rPr>
        <w:t xml:space="preserve">《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 </w:t>
      </w:r>
    </w:p>
    <w:p w14:paraId="00324D5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 标准和规范</w:t>
      </w:r>
    </w:p>
    <w:p w14:paraId="39EB68E2">
      <w:pPr>
        <w:pageBreakBefore w:val="0"/>
        <w:widowControl w:val="0"/>
        <w:shd w:val="clear" w:color="auto" w:fill="auto"/>
        <w:kinsoku/>
        <w:wordWrap/>
        <w:overflowPunct/>
        <w:topLinePunct w:val="0"/>
        <w:autoSpaceDE w:val="0"/>
        <w:autoSpaceDN w:val="0"/>
        <w:bidi w:val="0"/>
        <w:adjustRightInd w:val="0"/>
        <w:snapToGrid w:val="0"/>
        <w:spacing w:line="400" w:lineRule="exact"/>
        <w:ind w:right="11"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kern w:val="0"/>
          <w:sz w:val="24"/>
          <w:szCs w:val="24"/>
          <w:highlight w:val="none"/>
        </w:rPr>
        <w:t>1.4.1适用于工程的标准规范包括：</w:t>
      </w:r>
      <w:r>
        <w:rPr>
          <w:rFonts w:hint="eastAsia" w:ascii="仿宋" w:hAnsi="仿宋" w:eastAsia="仿宋" w:cs="仿宋"/>
          <w:b/>
          <w:color w:val="auto"/>
          <w:sz w:val="24"/>
          <w:szCs w:val="24"/>
          <w:highlight w:val="none"/>
          <w:u w:val="single"/>
        </w:rPr>
        <w:t>本合同工程优先选用国家现行最新标准、规范；没有国家标准、规范但有行业标准、规范的，使用最新现行行业标准、规范；没有国家和行业标准、规范的，使用山东省标准、规范。本合同工程适用的标准，规范由承包人自费解决。</w:t>
      </w:r>
    </w:p>
    <w:p w14:paraId="3806017E">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1.4.2 发包人提供国外标准、规范的名称：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w:t>
      </w:r>
    </w:p>
    <w:p w14:paraId="2923EBD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发包人提供国外标准、规范的份数：</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61B1EDF">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发包人提供国外标准、规范的名称：</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F1CDA0C">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1.4.3发包人对工程的技术标准和功能要求的特殊要求：</w:t>
      </w:r>
      <w:r>
        <w:rPr>
          <w:rFonts w:hint="eastAsia" w:ascii="仿宋" w:hAnsi="仿宋" w:eastAsia="仿宋" w:cs="仿宋"/>
          <w:b/>
          <w:color w:val="auto"/>
          <w:sz w:val="24"/>
          <w:szCs w:val="24"/>
          <w:highlight w:val="none"/>
          <w:u w:val="single"/>
        </w:rPr>
        <w:t>由发包人委托设计单位提出标准及规范，经监理工程师确认后执行</w:t>
      </w:r>
      <w:r>
        <w:rPr>
          <w:rFonts w:hint="eastAsia" w:ascii="仿宋" w:hAnsi="仿宋" w:eastAsia="仿宋" w:cs="仿宋"/>
          <w:b/>
          <w:color w:val="auto"/>
          <w:sz w:val="24"/>
          <w:szCs w:val="24"/>
          <w:highlight w:val="none"/>
        </w:rPr>
        <w:t>。</w:t>
      </w:r>
    </w:p>
    <w:p w14:paraId="44BFD672">
      <w:pPr>
        <w:pageBreakBefore w:val="0"/>
        <w:widowControl w:val="0"/>
        <w:shd w:val="clear" w:color="auto" w:fill="auto"/>
        <w:kinsoku/>
        <w:wordWrap/>
        <w:overflowPunct/>
        <w:topLinePunct w:val="0"/>
        <w:bidi w:val="0"/>
        <w:snapToGrid w:val="0"/>
        <w:spacing w:line="400" w:lineRule="exact"/>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合同文件的优先顺序</w:t>
      </w:r>
    </w:p>
    <w:p w14:paraId="26F2578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合同文件组成及优先顺序为：</w:t>
      </w:r>
      <w:r>
        <w:rPr>
          <w:rFonts w:hint="eastAsia" w:ascii="仿宋" w:hAnsi="仿宋" w:eastAsia="仿宋" w:cs="仿宋"/>
          <w:b/>
          <w:color w:val="auto"/>
          <w:sz w:val="24"/>
          <w:szCs w:val="24"/>
          <w:highlight w:val="none"/>
          <w:u w:val="single"/>
        </w:rPr>
        <w:t>（1）本合同协议书；（2）中标通知书；（3）投标文件及其附件；（4）本合同专用条款；（5）本合同通用条款；（6）标准、规范及有关技术文件；（7）图纸；（8）已标价工程量清单；(9) 在合同订立及履行过程中形成经双方当事人签字或盖章的补充协议、设计变更及经济签证等资料，同一类内容的文件，应以最新签署的为准。</w:t>
      </w:r>
    </w:p>
    <w:p w14:paraId="5B1ED94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 图纸和承包人文件</w:t>
      </w:r>
      <w:r>
        <w:rPr>
          <w:rFonts w:hint="eastAsia" w:ascii="仿宋" w:hAnsi="仿宋" w:eastAsia="仿宋" w:cs="仿宋"/>
          <w:color w:val="auto"/>
          <w:sz w:val="24"/>
          <w:szCs w:val="24"/>
          <w:highlight w:val="none"/>
        </w:rPr>
        <w:tab/>
      </w:r>
    </w:p>
    <w:p w14:paraId="3253304F">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图纸的提供</w:t>
      </w:r>
    </w:p>
    <w:p w14:paraId="5AFF2336">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发包人向承包人提供图纸的期限：</w:t>
      </w:r>
      <w:r>
        <w:rPr>
          <w:rFonts w:hint="eastAsia" w:ascii="仿宋" w:hAnsi="仿宋" w:eastAsia="仿宋" w:cs="仿宋"/>
          <w:color w:val="auto"/>
          <w:sz w:val="24"/>
          <w:szCs w:val="24"/>
          <w:highlight w:val="none"/>
          <w:u w:val="single"/>
        </w:rPr>
        <w:t></w:t>
      </w:r>
      <w:r>
        <w:rPr>
          <w:rFonts w:hint="eastAsia" w:ascii="仿宋" w:hAnsi="仿宋" w:eastAsia="仿宋" w:cs="仿宋"/>
          <w:b/>
          <w:color w:val="auto"/>
          <w:sz w:val="24"/>
          <w:szCs w:val="24"/>
          <w:highlight w:val="none"/>
          <w:u w:val="single"/>
        </w:rPr>
        <w:t>工程开工前</w:t>
      </w:r>
      <w:r>
        <w:rPr>
          <w:rFonts w:hint="eastAsia" w:ascii="仿宋" w:hAnsi="仿宋" w:eastAsia="仿宋" w:cs="仿宋"/>
          <w:color w:val="auto"/>
          <w:sz w:val="24"/>
          <w:szCs w:val="24"/>
          <w:highlight w:val="none"/>
          <w:u w:val="single"/>
        </w:rPr>
        <w:t>；</w:t>
      </w:r>
    </w:p>
    <w:p w14:paraId="5BA7B75F">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发包人向承包人提供图纸的数量：</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 xml:space="preserve">       ； </w:t>
      </w:r>
    </w:p>
    <w:p w14:paraId="5B2729AD">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发包人向承包人提供图纸的内容：</w:t>
      </w:r>
      <w:r>
        <w:rPr>
          <w:rFonts w:hint="eastAsia" w:ascii="仿宋" w:hAnsi="仿宋" w:eastAsia="仿宋" w:cs="仿宋"/>
          <w:b/>
          <w:color w:val="auto"/>
          <w:sz w:val="24"/>
          <w:szCs w:val="24"/>
          <w:highlight w:val="none"/>
          <w:u w:val="single"/>
        </w:rPr>
        <w:t>    /     。</w:t>
      </w:r>
    </w:p>
    <w:p w14:paraId="57C32B02">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1.6.4 承包人文件</w:t>
      </w:r>
    </w:p>
    <w:p w14:paraId="04FABFFE">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需要由承包人提供的文件，包括：</w:t>
      </w:r>
      <w:r>
        <w:rPr>
          <w:rFonts w:hint="eastAsia" w:ascii="仿宋" w:hAnsi="仿宋" w:eastAsia="仿宋" w:cs="仿宋"/>
          <w:b/>
          <w:color w:val="auto"/>
          <w:sz w:val="24"/>
          <w:szCs w:val="24"/>
          <w:highlight w:val="none"/>
          <w:u w:val="single"/>
        </w:rPr>
        <w:t xml:space="preserve">工程需要的施工组织设计及相关文件，相关部门要求提供的文件。 </w:t>
      </w:r>
    </w:p>
    <w:p w14:paraId="1E51315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承包人提供的文件的期限为：</w:t>
      </w:r>
      <w:r>
        <w:rPr>
          <w:rFonts w:hint="eastAsia" w:ascii="仿宋" w:hAnsi="仿宋" w:eastAsia="仿宋" w:cs="仿宋"/>
          <w:b/>
          <w:color w:val="auto"/>
          <w:sz w:val="24"/>
          <w:szCs w:val="24"/>
          <w:highlight w:val="none"/>
          <w:u w:val="single"/>
        </w:rPr>
        <w:t>根据需要的合理期限内。</w:t>
      </w:r>
    </w:p>
    <w:p w14:paraId="08418DE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承包人提供的文件的数量为：</w:t>
      </w:r>
      <w:r>
        <w:rPr>
          <w:rFonts w:hint="eastAsia" w:ascii="仿宋" w:hAnsi="仿宋" w:eastAsia="仿宋" w:cs="仿宋"/>
          <w:b/>
          <w:color w:val="auto"/>
          <w:sz w:val="24"/>
          <w:szCs w:val="24"/>
          <w:highlight w:val="none"/>
          <w:u w:val="single"/>
        </w:rPr>
        <w:t>根据各种文件需要的合理份数。</w:t>
      </w:r>
    </w:p>
    <w:p w14:paraId="2468ECB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承包人提供的文件的形式为：</w:t>
      </w:r>
      <w:r>
        <w:rPr>
          <w:rFonts w:hint="eastAsia" w:ascii="仿宋" w:hAnsi="仿宋" w:eastAsia="仿宋" w:cs="仿宋"/>
          <w:b/>
          <w:color w:val="auto"/>
          <w:sz w:val="24"/>
          <w:szCs w:val="24"/>
          <w:highlight w:val="none"/>
          <w:u w:val="single"/>
        </w:rPr>
        <w:t>书面文件加电子文档。</w:t>
      </w:r>
    </w:p>
    <w:p w14:paraId="6B2AAA03">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发包人审批承包人文件的期限：</w:t>
      </w:r>
      <w:r>
        <w:rPr>
          <w:rFonts w:hint="eastAsia" w:ascii="仿宋" w:hAnsi="仿宋" w:eastAsia="仿宋" w:cs="仿宋"/>
          <w:b/>
          <w:color w:val="auto"/>
          <w:sz w:val="24"/>
          <w:szCs w:val="24"/>
          <w:highlight w:val="none"/>
          <w:u w:val="single"/>
        </w:rPr>
        <w:t>发包人于7日内审批完承包人提供的文件，如有特殊情况顺延。</w:t>
      </w:r>
    </w:p>
    <w:p w14:paraId="02473C7E">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1.6.5 现场图纸准备</w:t>
      </w:r>
    </w:p>
    <w:p w14:paraId="43712462">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关于现场图纸准备的约定：</w:t>
      </w:r>
      <w:r>
        <w:rPr>
          <w:rFonts w:hint="eastAsia" w:ascii="仿宋" w:hAnsi="仿宋" w:eastAsia="仿宋" w:cs="仿宋"/>
          <w:b/>
          <w:color w:val="auto"/>
          <w:sz w:val="24"/>
          <w:szCs w:val="24"/>
          <w:highlight w:val="none"/>
          <w:u w:val="single"/>
        </w:rPr>
        <w:t>现场办公室需至少具备3套图纸，供发包人、监理、承包人使用。</w:t>
      </w:r>
    </w:p>
    <w:p w14:paraId="0CBB002D">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 联络</w:t>
      </w:r>
    </w:p>
    <w:p w14:paraId="23B2695F">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1.7.1发包人和承包人应当在</w:t>
      </w:r>
      <w:r>
        <w:rPr>
          <w:rFonts w:hint="eastAsia" w:ascii="仿宋" w:hAnsi="仿宋" w:eastAsia="仿宋" w:cs="仿宋"/>
          <w:b/>
          <w:color w:val="auto"/>
          <w:sz w:val="24"/>
          <w:szCs w:val="24"/>
          <w:highlight w:val="none"/>
          <w:u w:val="single"/>
        </w:rPr>
        <w:t>3</w:t>
      </w:r>
      <w:r>
        <w:rPr>
          <w:rFonts w:hint="eastAsia" w:ascii="仿宋" w:hAnsi="仿宋" w:eastAsia="仿宋" w:cs="仿宋"/>
          <w:color w:val="auto"/>
          <w:kern w:val="0"/>
          <w:sz w:val="24"/>
          <w:szCs w:val="24"/>
          <w:highlight w:val="none"/>
        </w:rPr>
        <w:t>天内将与合同有关的通知、批准、证明、证书、指示、指令、要求、请求、同意、意见、确定和决定等书面函件送达对方当事人。</w:t>
      </w:r>
    </w:p>
    <w:p w14:paraId="6745A57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kern w:val="0"/>
          <w:sz w:val="24"/>
          <w:szCs w:val="24"/>
          <w:highlight w:val="none"/>
        </w:rPr>
      </w:pPr>
      <w:r>
        <w:rPr>
          <w:rFonts w:hint="eastAsia" w:ascii="仿宋" w:hAnsi="仿宋" w:eastAsia="仿宋" w:cs="仿宋"/>
          <w:color w:val="auto"/>
          <w:kern w:val="0"/>
          <w:sz w:val="24"/>
          <w:szCs w:val="24"/>
          <w:highlight w:val="none"/>
        </w:rPr>
        <w:t>1.7.2 发包人接收文件的地点：</w:t>
      </w:r>
      <w:r>
        <w:rPr>
          <w:rFonts w:hint="eastAsia" w:ascii="仿宋" w:hAnsi="仿宋" w:eastAsia="仿宋" w:cs="仿宋"/>
          <w:b/>
          <w:color w:val="auto"/>
          <w:sz w:val="24"/>
          <w:szCs w:val="24"/>
          <w:highlight w:val="none"/>
          <w:u w:val="single"/>
        </w:rPr>
        <w:t xml:space="preserve"> 施工现场   </w:t>
      </w:r>
      <w:r>
        <w:rPr>
          <w:rFonts w:hint="eastAsia" w:ascii="仿宋" w:hAnsi="仿宋" w:eastAsia="仿宋" w:cs="仿宋"/>
          <w:b/>
          <w:color w:val="auto"/>
          <w:kern w:val="0"/>
          <w:sz w:val="24"/>
          <w:szCs w:val="24"/>
          <w:highlight w:val="none"/>
        </w:rPr>
        <w:t>；</w:t>
      </w:r>
    </w:p>
    <w:p w14:paraId="77F0763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发包人指定的接收人为：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399F8E3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承包人接收文件的地点：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施工现场</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kern w:val="0"/>
          <w:sz w:val="24"/>
          <w:szCs w:val="24"/>
          <w:highlight w:val="none"/>
        </w:rPr>
        <w:t>；</w:t>
      </w:r>
    </w:p>
    <w:p w14:paraId="204A00B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承包人指定的接收人为：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44E0EEA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监理人接收文件的地点：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kern w:val="0"/>
          <w:sz w:val="24"/>
          <w:szCs w:val="24"/>
          <w:highlight w:val="none"/>
        </w:rPr>
        <w:t>；</w:t>
      </w:r>
    </w:p>
    <w:p w14:paraId="6FC0474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监理人指定的接收人为：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19F2CD5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bookmarkStart w:id="99" w:name="_Toc371167936"/>
      <w:bookmarkStart w:id="100" w:name="_Toc351203634"/>
      <w:r>
        <w:rPr>
          <w:rFonts w:hint="eastAsia" w:ascii="仿宋" w:hAnsi="仿宋" w:eastAsia="仿宋" w:cs="仿宋"/>
          <w:color w:val="auto"/>
          <w:sz w:val="24"/>
          <w:szCs w:val="24"/>
          <w:highlight w:val="none"/>
        </w:rPr>
        <w:t>1.10 交通运输</w:t>
      </w:r>
    </w:p>
    <w:p w14:paraId="188844E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101" w:name="_Toc300934943"/>
      <w:bookmarkStart w:id="102" w:name="_Toc304295521"/>
      <w:bookmarkStart w:id="103" w:name="_Toc318581155"/>
      <w:bookmarkStart w:id="104" w:name="_Toc312677986"/>
      <w:bookmarkStart w:id="105" w:name="_Toc303539100"/>
      <w:r>
        <w:rPr>
          <w:rFonts w:hint="eastAsia" w:ascii="仿宋" w:hAnsi="仿宋" w:eastAsia="仿宋" w:cs="仿宋"/>
          <w:color w:val="auto"/>
          <w:sz w:val="24"/>
          <w:szCs w:val="24"/>
          <w:highlight w:val="none"/>
        </w:rPr>
        <w:t>.10.1 出入现场的权利</w:t>
      </w:r>
    </w:p>
    <w:p w14:paraId="62DF5001">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关于出入现场的权利的约定：</w:t>
      </w:r>
      <w:r>
        <w:rPr>
          <w:rFonts w:hint="eastAsia" w:ascii="仿宋" w:hAnsi="仿宋" w:eastAsia="仿宋" w:cs="仿宋"/>
          <w:b/>
          <w:color w:val="auto"/>
          <w:sz w:val="24"/>
          <w:szCs w:val="24"/>
          <w:highlight w:val="none"/>
          <w:u w:val="single"/>
        </w:rPr>
        <w:t>承包人不得将用于本工程的材料设备等私自运出。</w:t>
      </w:r>
    </w:p>
    <w:bookmarkEnd w:id="101"/>
    <w:bookmarkEnd w:id="102"/>
    <w:bookmarkEnd w:id="103"/>
    <w:bookmarkEnd w:id="104"/>
    <w:bookmarkEnd w:id="105"/>
    <w:p w14:paraId="6389521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106" w:name="_Toc300934944"/>
      <w:bookmarkStart w:id="107" w:name="_Toc304295522"/>
      <w:bookmarkStart w:id="108" w:name="_Toc312677987"/>
      <w:bookmarkStart w:id="109" w:name="_Toc303539101"/>
      <w:bookmarkStart w:id="110" w:name="_Toc318581156"/>
      <w:r>
        <w:rPr>
          <w:rFonts w:hint="eastAsia" w:ascii="仿宋" w:hAnsi="仿宋" w:eastAsia="仿宋" w:cs="仿宋"/>
          <w:color w:val="auto"/>
          <w:sz w:val="24"/>
          <w:szCs w:val="24"/>
          <w:highlight w:val="none"/>
        </w:rPr>
        <w:t>.10.3 场内交通</w:t>
      </w:r>
    </w:p>
    <w:p w14:paraId="5E70D9B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kern w:val="0"/>
          <w:sz w:val="24"/>
          <w:szCs w:val="24"/>
          <w:highlight w:val="none"/>
        </w:rPr>
        <w:t>关于场外交通和场内交通的边界的约定：</w:t>
      </w:r>
      <w:r>
        <w:rPr>
          <w:rFonts w:hint="eastAsia" w:ascii="仿宋" w:hAnsi="仿宋" w:eastAsia="仿宋" w:cs="仿宋"/>
          <w:b/>
          <w:color w:val="auto"/>
          <w:sz w:val="24"/>
          <w:szCs w:val="24"/>
          <w:highlight w:val="none"/>
          <w:u w:val="single"/>
        </w:rPr>
        <w:t>场外交通和场内交通的边界为施工现场大门</w:t>
      </w:r>
    </w:p>
    <w:p w14:paraId="04C18827">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关于发包人向承包人免费提供满足工程施工需要的场内道路和交通设施的约定：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bookmarkEnd w:id="106"/>
      <w:bookmarkEnd w:id="107"/>
      <w:bookmarkEnd w:id="108"/>
      <w:bookmarkEnd w:id="109"/>
      <w:bookmarkEnd w:id="110"/>
      <w:bookmarkStart w:id="111" w:name="_Toc318581157"/>
    </w:p>
    <w:p w14:paraId="7956AFE3">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1.10.4超大件和超重件的运输</w:t>
      </w:r>
    </w:p>
    <w:p w14:paraId="7401D37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运输超大件或超重件所需的道路和桥梁临时加固改造费用和其他有关费用由 </w:t>
      </w:r>
      <w:r>
        <w:rPr>
          <w:rFonts w:hint="eastAsia" w:ascii="仿宋" w:hAnsi="仿宋" w:eastAsia="仿宋" w:cs="仿宋"/>
          <w:b/>
          <w:color w:val="auto"/>
          <w:sz w:val="24"/>
          <w:szCs w:val="24"/>
          <w:highlight w:val="none"/>
          <w:u w:val="single"/>
        </w:rPr>
        <w:t>承包人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承担。</w:t>
      </w:r>
    </w:p>
    <w:bookmarkEnd w:id="111"/>
    <w:p w14:paraId="2A86DA0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知识产权</w:t>
      </w:r>
    </w:p>
    <w:p w14:paraId="3B18F6F2">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b/>
          <w:color w:val="auto"/>
          <w:sz w:val="24"/>
          <w:szCs w:val="24"/>
          <w:highlight w:val="none"/>
          <w:u w:val="single"/>
        </w:rPr>
        <w:t xml:space="preserve">  发包人。 </w:t>
      </w:r>
    </w:p>
    <w:p w14:paraId="3B831BC6">
      <w:pPr>
        <w:pageBreakBefore w:val="0"/>
        <w:widowControl w:val="0"/>
        <w:shd w:val="clear" w:color="auto" w:fill="auto"/>
        <w:kinsoku/>
        <w:wordWrap/>
        <w:overflowPunct/>
        <w:topLinePunct w:val="0"/>
        <w:bidi w:val="0"/>
        <w:snapToGrid w:val="0"/>
        <w:spacing w:line="400" w:lineRule="exact"/>
        <w:ind w:firstLine="480" w:firstLineChars="200"/>
        <w:textAlignment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关于发包人提供的上述文件的使用限制的要求：</w:t>
      </w:r>
      <w:r>
        <w:rPr>
          <w:rFonts w:hint="eastAsia" w:ascii="仿宋" w:hAnsi="仿宋" w:eastAsia="仿宋" w:cs="仿宋"/>
          <w:b/>
          <w:color w:val="auto"/>
          <w:sz w:val="24"/>
          <w:szCs w:val="24"/>
          <w:highlight w:val="none"/>
          <w:u w:val="single"/>
        </w:rPr>
        <w:t>未经发包人许可，承包人不得用于其它工程或转给第三方。</w:t>
      </w:r>
    </w:p>
    <w:p w14:paraId="43B3FB4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1.11.2 关于承包人为实施工程所编制文件的著作权的归属：</w:t>
      </w:r>
      <w:r>
        <w:rPr>
          <w:rFonts w:hint="eastAsia" w:ascii="仿宋" w:hAnsi="仿宋" w:eastAsia="仿宋" w:cs="仿宋"/>
          <w:b/>
          <w:color w:val="auto"/>
          <w:sz w:val="24"/>
          <w:szCs w:val="24"/>
          <w:highlight w:val="none"/>
          <w:u w:val="single"/>
        </w:rPr>
        <w:t>承包人。</w:t>
      </w:r>
    </w:p>
    <w:p w14:paraId="76C0E265">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关于承包人提供的上述文件的使用限制的要求：</w:t>
      </w:r>
      <w:r>
        <w:rPr>
          <w:rFonts w:hint="eastAsia" w:ascii="仿宋" w:hAnsi="仿宋" w:eastAsia="仿宋" w:cs="仿宋"/>
          <w:b/>
          <w:color w:val="auto"/>
          <w:sz w:val="24"/>
          <w:szCs w:val="24"/>
          <w:highlight w:val="none"/>
          <w:u w:val="single"/>
        </w:rPr>
        <w:t>仅供本工程使用。</w:t>
      </w:r>
    </w:p>
    <w:p w14:paraId="5B2B33B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1.11.4 承包人在施工过程中所采用的专利、专有技术、技术秘密的使用费的承担方式：</w:t>
      </w:r>
      <w:r>
        <w:rPr>
          <w:rFonts w:hint="eastAsia" w:ascii="仿宋" w:hAnsi="仿宋" w:eastAsia="仿宋" w:cs="仿宋"/>
          <w:b/>
          <w:color w:val="auto"/>
          <w:sz w:val="24"/>
          <w:szCs w:val="24"/>
          <w:highlight w:val="none"/>
          <w:u w:val="single"/>
        </w:rPr>
        <w:t xml:space="preserve">  由承包人承担  。</w:t>
      </w:r>
    </w:p>
    <w:p w14:paraId="4C4244A5">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1.13工程量清单错误的修正</w:t>
      </w:r>
    </w:p>
    <w:p w14:paraId="26E613B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出现工程量清单错误时，是否调整合同价格：</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调整</w:t>
      </w:r>
      <w:r>
        <w:rPr>
          <w:rFonts w:hint="eastAsia" w:ascii="仿宋" w:hAnsi="仿宋" w:eastAsia="仿宋" w:cs="仿宋"/>
          <w:color w:val="auto"/>
          <w:sz w:val="24"/>
          <w:szCs w:val="24"/>
          <w:highlight w:val="none"/>
          <w:u w:val="single"/>
        </w:rPr>
        <w:t>  </w:t>
      </w:r>
      <w:r>
        <w:rPr>
          <w:rFonts w:hint="eastAsia" w:ascii="仿宋" w:hAnsi="仿宋" w:eastAsia="仿宋" w:cs="仿宋"/>
          <w:b/>
          <w:color w:val="auto"/>
          <w:sz w:val="24"/>
          <w:szCs w:val="24"/>
          <w:highlight w:val="none"/>
        </w:rPr>
        <w:t>。</w:t>
      </w:r>
    </w:p>
    <w:p w14:paraId="60860D2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允许调整合同价格的工程量偏差范围：</w:t>
      </w:r>
      <w:r>
        <w:rPr>
          <w:rFonts w:hint="eastAsia" w:ascii="仿宋" w:hAnsi="仿宋" w:eastAsia="仿宋" w:cs="仿宋"/>
          <w:color w:val="auto"/>
          <w:sz w:val="24"/>
          <w:szCs w:val="24"/>
          <w:highlight w:val="none"/>
          <w:u w:val="single"/>
        </w:rPr>
        <w:t xml:space="preserve">     /  </w:t>
      </w:r>
      <w:r>
        <w:rPr>
          <w:rFonts w:hint="eastAsia" w:ascii="仿宋" w:hAnsi="仿宋" w:eastAsia="仿宋" w:cs="仿宋"/>
          <w:b/>
          <w:color w:val="auto"/>
          <w:sz w:val="24"/>
          <w:szCs w:val="24"/>
          <w:highlight w:val="none"/>
        </w:rPr>
        <w:t>。</w:t>
      </w:r>
    </w:p>
    <w:p w14:paraId="06CA1382">
      <w:pPr>
        <w:keepNext/>
        <w:keepLines/>
        <w:pageBreakBefore w:val="0"/>
        <w:widowControl w:val="0"/>
        <w:shd w:val="clear" w:color="auto" w:fill="auto"/>
        <w:kinsoku/>
        <w:wordWrap/>
        <w:overflowPunct/>
        <w:topLinePunct w:val="0"/>
        <w:bidi w:val="0"/>
        <w:snapToGrid w:val="0"/>
        <w:spacing w:line="400" w:lineRule="exact"/>
        <w:ind w:firstLine="482" w:firstLineChars="200"/>
        <w:outlineLvl w:val="3"/>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w:t>
      </w:r>
      <w:bookmarkStart w:id="112" w:name="_Toc296346658"/>
      <w:bookmarkStart w:id="113" w:name="_Toc297120457"/>
      <w:bookmarkStart w:id="114" w:name="_Toc292559362"/>
      <w:bookmarkStart w:id="115" w:name="_Toc296503157"/>
      <w:bookmarkStart w:id="116" w:name="_Toc292559867"/>
      <w:bookmarkStart w:id="117" w:name="_Toc296347156"/>
      <w:bookmarkStart w:id="118" w:name="_Toc296891197"/>
      <w:bookmarkStart w:id="119" w:name="_Toc296944496"/>
      <w:bookmarkStart w:id="120" w:name="_Toc297048343"/>
      <w:bookmarkStart w:id="121" w:name="_Toc296890985"/>
      <w:r>
        <w:rPr>
          <w:rFonts w:hint="eastAsia" w:ascii="仿宋" w:hAnsi="仿宋" w:eastAsia="仿宋" w:cs="仿宋"/>
          <w:b/>
          <w:bCs/>
          <w:color w:val="auto"/>
          <w:sz w:val="24"/>
          <w:szCs w:val="24"/>
          <w:highlight w:val="none"/>
        </w:rPr>
        <w:t>. 发包人</w:t>
      </w:r>
      <w:bookmarkEnd w:id="99"/>
      <w:bookmarkEnd w:id="100"/>
    </w:p>
    <w:bookmarkEnd w:id="112"/>
    <w:bookmarkEnd w:id="113"/>
    <w:bookmarkEnd w:id="114"/>
    <w:bookmarkEnd w:id="115"/>
    <w:bookmarkEnd w:id="116"/>
    <w:bookmarkEnd w:id="117"/>
    <w:bookmarkEnd w:id="118"/>
    <w:bookmarkEnd w:id="119"/>
    <w:bookmarkEnd w:id="120"/>
    <w:bookmarkEnd w:id="121"/>
    <w:p w14:paraId="1B18B5E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发包人代表</w:t>
      </w:r>
    </w:p>
    <w:p w14:paraId="3E901BB1">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发包人代表：</w:t>
      </w:r>
    </w:p>
    <w:p w14:paraId="4D616BBC">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w:t>
      </w:r>
    </w:p>
    <w:p w14:paraId="393433D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E96BECF">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rPr>
        <w:t>；</w:t>
      </w:r>
    </w:p>
    <w:p w14:paraId="4A20A58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E5D5EA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D74108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3513A0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发包人对发包人代表的授权范围如下：</w:t>
      </w:r>
      <w:r>
        <w:rPr>
          <w:rFonts w:hint="eastAsia" w:ascii="仿宋" w:hAnsi="仿宋" w:eastAsia="仿宋" w:cs="仿宋"/>
          <w:b/>
          <w:color w:val="auto"/>
          <w:sz w:val="24"/>
          <w:szCs w:val="24"/>
          <w:highlight w:val="none"/>
          <w:u w:val="single"/>
        </w:rPr>
        <w:t>代表发包人行使施工现场发包人的一切权利。</w:t>
      </w:r>
    </w:p>
    <w:p w14:paraId="19C1F337">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 施工现场、施工条件和基础资料的提供</w:t>
      </w:r>
    </w:p>
    <w:p w14:paraId="54EEC93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2.4.1 提供施工现场</w:t>
      </w:r>
    </w:p>
    <w:p w14:paraId="53BA37D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关于发包人移交施工现场的期限要求：</w:t>
      </w:r>
      <w:r>
        <w:rPr>
          <w:rFonts w:hint="eastAsia" w:ascii="仿宋" w:hAnsi="仿宋" w:eastAsia="仿宋" w:cs="仿宋"/>
          <w:b/>
          <w:color w:val="auto"/>
          <w:sz w:val="24"/>
          <w:szCs w:val="24"/>
          <w:highlight w:val="none"/>
          <w:u w:val="single"/>
        </w:rPr>
        <w:t>发包人于开工日期3天前向承包人移交施工现场</w:t>
      </w:r>
      <w:r>
        <w:rPr>
          <w:rFonts w:hint="eastAsia" w:ascii="仿宋" w:hAnsi="仿宋" w:eastAsia="仿宋" w:cs="仿宋"/>
          <w:color w:val="auto"/>
          <w:sz w:val="24"/>
          <w:szCs w:val="24"/>
          <w:highlight w:val="none"/>
        </w:rPr>
        <w:t>。</w:t>
      </w:r>
    </w:p>
    <w:p w14:paraId="012BBC06">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2.4.2 提供施工条件</w:t>
      </w:r>
    </w:p>
    <w:p w14:paraId="0989350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关于发包人应负责提供施工所需要的条件，包括：</w:t>
      </w:r>
      <w:r>
        <w:rPr>
          <w:rFonts w:hint="eastAsia" w:ascii="仿宋" w:hAnsi="仿宋" w:eastAsia="仿宋" w:cs="仿宋"/>
          <w:b/>
          <w:color w:val="auto"/>
          <w:sz w:val="24"/>
          <w:szCs w:val="24"/>
          <w:highlight w:val="none"/>
          <w:u w:val="single"/>
        </w:rPr>
        <w:t>施工现场具备“三通一平”（水、电、路通、场地平整）即开工前施工现场具备施工条件</w:t>
      </w:r>
      <w:r>
        <w:rPr>
          <w:rFonts w:hint="eastAsia" w:ascii="仿宋" w:hAnsi="仿宋" w:eastAsia="仿宋" w:cs="仿宋"/>
          <w:color w:val="auto"/>
          <w:sz w:val="24"/>
          <w:szCs w:val="24"/>
          <w:highlight w:val="none"/>
        </w:rPr>
        <w:t>。</w:t>
      </w:r>
    </w:p>
    <w:p w14:paraId="3D675A0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 资金来源证明及支付担保</w:t>
      </w:r>
    </w:p>
    <w:p w14:paraId="0FBEB90D">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发包人提供资金来源证明的期限要求：</w:t>
      </w:r>
      <w:r>
        <w:rPr>
          <w:rFonts w:hint="eastAsia" w:ascii="仿宋" w:hAnsi="仿宋" w:eastAsia="仿宋" w:cs="仿宋"/>
          <w:b/>
          <w:color w:val="auto"/>
          <w:sz w:val="24"/>
          <w:szCs w:val="24"/>
          <w:highlight w:val="none"/>
          <w:u w:val="single"/>
        </w:rPr>
        <w:t xml:space="preserve">   /   </w:t>
      </w:r>
      <w:r>
        <w:rPr>
          <w:rFonts w:hint="eastAsia" w:ascii="仿宋" w:hAnsi="仿宋" w:eastAsia="仿宋" w:cs="仿宋"/>
          <w:color w:val="auto"/>
          <w:kern w:val="0"/>
          <w:sz w:val="24"/>
          <w:szCs w:val="24"/>
          <w:highlight w:val="none"/>
        </w:rPr>
        <w:t>。</w:t>
      </w:r>
    </w:p>
    <w:p w14:paraId="6C345825">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发包人是否提供支付担保：</w:t>
      </w:r>
      <w:r>
        <w:rPr>
          <w:rFonts w:hint="eastAsia" w:ascii="仿宋" w:hAnsi="仿宋" w:eastAsia="仿宋" w:cs="仿宋"/>
          <w:b/>
          <w:color w:val="auto"/>
          <w:sz w:val="24"/>
          <w:szCs w:val="24"/>
          <w:highlight w:val="none"/>
          <w:u w:val="single"/>
        </w:rPr>
        <w:t>否</w:t>
      </w:r>
      <w:r>
        <w:rPr>
          <w:rFonts w:hint="eastAsia" w:ascii="仿宋" w:hAnsi="仿宋" w:eastAsia="仿宋" w:cs="仿宋"/>
          <w:color w:val="auto"/>
          <w:kern w:val="0"/>
          <w:sz w:val="24"/>
          <w:szCs w:val="24"/>
          <w:highlight w:val="none"/>
        </w:rPr>
        <w:t>。</w:t>
      </w:r>
    </w:p>
    <w:p w14:paraId="04506481">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发包人提供支付担保的形式：</w:t>
      </w:r>
      <w:r>
        <w:rPr>
          <w:rFonts w:hint="eastAsia" w:ascii="仿宋" w:hAnsi="仿宋" w:eastAsia="仿宋" w:cs="仿宋"/>
          <w:b/>
          <w:color w:val="auto"/>
          <w:sz w:val="24"/>
          <w:szCs w:val="24"/>
          <w:highlight w:val="none"/>
          <w:u w:val="single"/>
        </w:rPr>
        <w:t xml:space="preserve">    /   </w:t>
      </w:r>
      <w:r>
        <w:rPr>
          <w:rFonts w:hint="eastAsia" w:ascii="仿宋" w:hAnsi="仿宋" w:eastAsia="仿宋" w:cs="仿宋"/>
          <w:color w:val="auto"/>
          <w:kern w:val="0"/>
          <w:sz w:val="24"/>
          <w:szCs w:val="24"/>
          <w:highlight w:val="none"/>
        </w:rPr>
        <w:t>。</w:t>
      </w:r>
    </w:p>
    <w:p w14:paraId="715F672F">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 承包人</w:t>
      </w:r>
    </w:p>
    <w:p w14:paraId="0B2A12FF">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承包人的一般义务</w:t>
      </w:r>
    </w:p>
    <w:p w14:paraId="07F0344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bCs/>
          <w:color w:val="auto"/>
          <w:sz w:val="24"/>
          <w:szCs w:val="24"/>
          <w:highlight w:val="none"/>
          <w:u w:val="single"/>
        </w:rPr>
      </w:pPr>
      <w:r>
        <w:rPr>
          <w:rFonts w:hint="eastAsia" w:ascii="仿宋" w:hAnsi="仿宋" w:eastAsia="仿宋" w:cs="仿宋"/>
          <w:color w:val="auto"/>
          <w:kern w:val="0"/>
          <w:sz w:val="24"/>
          <w:szCs w:val="24"/>
          <w:highlight w:val="none"/>
        </w:rPr>
        <w:t>（9）</w:t>
      </w:r>
      <w:r>
        <w:rPr>
          <w:rFonts w:hint="eastAsia" w:ascii="仿宋" w:hAnsi="仿宋" w:eastAsia="仿宋" w:cs="仿宋"/>
          <w:color w:val="auto"/>
          <w:sz w:val="24"/>
          <w:szCs w:val="24"/>
          <w:highlight w:val="none"/>
        </w:rPr>
        <w:t>承包人提交的竣工资料的内容：</w:t>
      </w:r>
      <w:r>
        <w:rPr>
          <w:rFonts w:hint="eastAsia" w:ascii="仿宋" w:hAnsi="仿宋" w:eastAsia="仿宋" w:cs="仿宋"/>
          <w:b/>
          <w:bCs/>
          <w:color w:val="auto"/>
          <w:sz w:val="24"/>
          <w:szCs w:val="24"/>
          <w:highlight w:val="none"/>
          <w:u w:val="single"/>
        </w:rPr>
        <w:t>施工自检资料、施工试验资料、竣工图及完整的档案资料,满足城建档案部门对竣工资料的要求。</w:t>
      </w:r>
    </w:p>
    <w:p w14:paraId="10389D1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bCs/>
          <w:color w:val="auto"/>
          <w:sz w:val="24"/>
          <w:szCs w:val="24"/>
          <w:highlight w:val="none"/>
          <w:u w:val="single"/>
        </w:rPr>
      </w:pPr>
      <w:r>
        <w:rPr>
          <w:rFonts w:hint="eastAsia" w:ascii="仿宋" w:hAnsi="仿宋" w:eastAsia="仿宋" w:cs="仿宋"/>
          <w:color w:val="auto"/>
          <w:sz w:val="24"/>
          <w:szCs w:val="24"/>
          <w:highlight w:val="none"/>
        </w:rPr>
        <w:t>承包人需要提交的竣工资料套数：</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bCs/>
          <w:color w:val="auto"/>
          <w:sz w:val="24"/>
          <w:szCs w:val="24"/>
          <w:highlight w:val="none"/>
          <w:u w:val="single"/>
        </w:rPr>
        <w:t>完整竣工图及竣工资料2套  。</w:t>
      </w:r>
    </w:p>
    <w:p w14:paraId="5F5641A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承包人提交的竣工资料的费用承担：</w:t>
      </w:r>
      <w:r>
        <w:rPr>
          <w:rFonts w:hint="eastAsia" w:ascii="仿宋" w:hAnsi="仿宋" w:eastAsia="仿宋" w:cs="仿宋"/>
          <w:b/>
          <w:color w:val="auto"/>
          <w:sz w:val="24"/>
          <w:szCs w:val="24"/>
          <w:highlight w:val="none"/>
          <w:u w:val="single"/>
        </w:rPr>
        <w:t>由承包人承担。</w:t>
      </w:r>
    </w:p>
    <w:p w14:paraId="10AF2E46">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承包人提交的竣工资料移交时间：</w:t>
      </w:r>
      <w:r>
        <w:rPr>
          <w:rFonts w:hint="eastAsia" w:ascii="仿宋" w:hAnsi="仿宋" w:eastAsia="仿宋" w:cs="仿宋"/>
          <w:b/>
          <w:color w:val="auto"/>
          <w:sz w:val="24"/>
          <w:szCs w:val="24"/>
          <w:highlight w:val="none"/>
          <w:u w:val="single"/>
        </w:rPr>
        <w:t>承包人应在竣工验收之日起30日内将完整的档案资料移交城建档案馆及发包人。</w:t>
      </w:r>
    </w:p>
    <w:p w14:paraId="57E0BD3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承包人提交的竣工资料形式要求：</w:t>
      </w:r>
      <w:r>
        <w:rPr>
          <w:rFonts w:hint="eastAsia" w:ascii="仿宋" w:hAnsi="仿宋" w:eastAsia="仿宋" w:cs="仿宋"/>
          <w:b/>
          <w:color w:val="auto"/>
          <w:sz w:val="24"/>
          <w:szCs w:val="24"/>
          <w:highlight w:val="none"/>
          <w:u w:val="single"/>
        </w:rPr>
        <w:t>书面资料及电子文档。</w:t>
      </w:r>
    </w:p>
    <w:p w14:paraId="7DA3AE9C">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（10）承包人应履行的其他义务：</w:t>
      </w:r>
    </w:p>
    <w:p w14:paraId="600C760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①承包人应积极配合发包人和监理人，及时采取合理的探查、拆改或防护等措施，确保施工场地及周围原有市政基础设施、园林绿化、城市管线设施、水利设施、交通设施、公路设施等公共设施，农、林、牧、渔等民用设施，以及文物、构筑物、附着物等设施不受损害，确保生态环境不受破坏，避免施工对他人利益造成损害，并为发包人与第三人提供合理的方便条件，发包人承担已标价工程量清单以外合理增加的费用。</w:t>
      </w:r>
    </w:p>
    <w:p w14:paraId="75EA077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因承包人没有采取防护措施或防护措施不合理，造成以上财产设施、生态环境、他人利益等损害的，由承包人承担损失和法律责任。</w:t>
      </w:r>
    </w:p>
    <w:p w14:paraId="24895DA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自发包人移交施工现场之日起因施工所产生的任何纠纷（财产、人身等权益），均由承包人负责。</w:t>
      </w:r>
    </w:p>
    <w:p w14:paraId="73E37406">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②承包人应对现场作业规程、自备材料和设备、全部工程的完备性、稳定性和安全性承担责任，对设计文件的缺陷或错误提出补充或修改意见并承担责任，对施工组织设计、专项施工方案等所有承包人文件的科学性、合理性、安全性承担责任，对临时设施等自备项目的设计、施工和使用承担责任。</w:t>
      </w:r>
    </w:p>
    <w:p w14:paraId="76A8E8A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项目经理</w:t>
      </w:r>
    </w:p>
    <w:p w14:paraId="5548350E">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3.2.1 </w:t>
      </w:r>
      <w:r>
        <w:rPr>
          <w:rFonts w:hint="eastAsia" w:ascii="仿宋" w:hAnsi="仿宋" w:eastAsia="仿宋" w:cs="仿宋"/>
          <w:color w:val="auto"/>
          <w:sz w:val="24"/>
          <w:szCs w:val="24"/>
          <w:highlight w:val="none"/>
        </w:rPr>
        <w:t>项目经理：</w:t>
      </w:r>
    </w:p>
    <w:p w14:paraId="313056DD">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3B8208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02296D2">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建造师执业资格等级：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D86A7A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建造师注册证书号：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E6F01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建造师执业印章号：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DA4608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安全生产考核合格证书号：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B03132E">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72C6EE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22C65CC">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9E92A4F">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承包人对项目经理的授权范围如下：</w:t>
      </w:r>
      <w:r>
        <w:rPr>
          <w:rFonts w:hint="eastAsia" w:ascii="仿宋" w:hAnsi="仿宋" w:eastAsia="仿宋" w:cs="仿宋"/>
          <w:color w:val="auto"/>
          <w:sz w:val="24"/>
          <w:szCs w:val="24"/>
          <w:highlight w:val="none"/>
          <w:u w:val="single"/>
        </w:rPr>
        <w:t>代表承包人履行施工合同。</w:t>
      </w:r>
    </w:p>
    <w:p w14:paraId="53254FB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关于项目经理每月在施工现场的时间要求：</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项目经理应常驻施工现场，且每月在施工现场时间不少于25天</w:t>
      </w:r>
      <w:r>
        <w:rPr>
          <w:rFonts w:hint="eastAsia" w:ascii="仿宋" w:hAnsi="仿宋" w:eastAsia="仿宋" w:cs="仿宋"/>
          <w:bCs/>
          <w:color w:val="auto"/>
          <w:sz w:val="24"/>
          <w:szCs w:val="24"/>
          <w:highlight w:val="none"/>
        </w:rPr>
        <w:t xml:space="preserve">。 </w:t>
      </w:r>
    </w:p>
    <w:p w14:paraId="2545AC0F">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承包人未提交劳动合同，以及没有为项目经理缴纳社会保险证明的违约责任：</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全部由承包人承担法律责任</w:t>
      </w:r>
      <w:r>
        <w:rPr>
          <w:rFonts w:hint="eastAsia" w:ascii="仿宋" w:hAnsi="仿宋" w:eastAsia="仿宋" w:cs="仿宋"/>
          <w:bCs/>
          <w:color w:val="auto"/>
          <w:sz w:val="24"/>
          <w:szCs w:val="24"/>
          <w:highlight w:val="none"/>
        </w:rPr>
        <w:t>。</w:t>
      </w:r>
      <w:r>
        <w:rPr>
          <w:rFonts w:hint="eastAsia" w:ascii="仿宋" w:hAnsi="仿宋" w:eastAsia="仿宋" w:cs="仿宋"/>
          <w:b/>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6E31091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kern w:val="0"/>
          <w:sz w:val="24"/>
          <w:szCs w:val="24"/>
          <w:highlight w:val="none"/>
        </w:rPr>
        <w:t>项目经理未经批准，擅自离开施工现场的违约责任：</w:t>
      </w:r>
      <w:r>
        <w:rPr>
          <w:rFonts w:hint="eastAsia" w:ascii="仿宋" w:hAnsi="仿宋" w:eastAsia="仿宋" w:cs="仿宋"/>
          <w:b/>
          <w:color w:val="auto"/>
          <w:sz w:val="24"/>
          <w:szCs w:val="24"/>
          <w:highlight w:val="none"/>
          <w:u w:val="single"/>
        </w:rPr>
        <w:t>擅自离场≦3天的，承包人承担违约金5000元，擅自离场&gt;3天的，发包人有权要求承包人更换项目经理，并承担违约金1万元，由此增加的费用和（或）延误的工期由承包人承担</w:t>
      </w:r>
      <w:r>
        <w:rPr>
          <w:rFonts w:hint="eastAsia" w:ascii="仿宋" w:hAnsi="仿宋" w:eastAsia="仿宋" w:cs="仿宋"/>
          <w:bCs/>
          <w:color w:val="auto"/>
          <w:sz w:val="24"/>
          <w:szCs w:val="24"/>
          <w:highlight w:val="none"/>
        </w:rPr>
        <w:t>。</w:t>
      </w:r>
    </w:p>
    <w:p w14:paraId="0F0BACD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3.2.3 承包人擅自更换项目经理的违约责任：</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原项目经理如能够继续履行职责的，发包人应责令承包人撤销其更换决定，承包人应承担违约金1万元；如原项目经理客观上已经无法继续履行职责的，发包人有权要求审核确认承包人更换的项目经理，承包人应承担违约金2万元。由此增加的费用和（或）延误的工期由承包人承担</w:t>
      </w:r>
      <w:r>
        <w:rPr>
          <w:rFonts w:hint="eastAsia" w:ascii="仿宋" w:hAnsi="仿宋" w:eastAsia="仿宋" w:cs="仿宋"/>
          <w:bCs/>
          <w:color w:val="auto"/>
          <w:sz w:val="24"/>
          <w:szCs w:val="24"/>
          <w:highlight w:val="none"/>
        </w:rPr>
        <w:t>。</w:t>
      </w:r>
    </w:p>
    <w:p w14:paraId="0E789FE3">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3.2.4 承包人无正当理由拒绝更换项目经理的违约责任：</w:t>
      </w:r>
      <w:r>
        <w:rPr>
          <w:rFonts w:hint="eastAsia" w:ascii="仿宋" w:hAnsi="仿宋" w:eastAsia="仿宋" w:cs="仿宋"/>
          <w:b/>
          <w:color w:val="auto"/>
          <w:sz w:val="24"/>
          <w:szCs w:val="24"/>
          <w:highlight w:val="none"/>
          <w:u w:val="single"/>
        </w:rPr>
        <w:t>由承包人向发包人支付5万元违约金，由此造成的工期延误，不予顺延</w:t>
      </w:r>
      <w:r>
        <w:rPr>
          <w:rFonts w:hint="eastAsia" w:ascii="仿宋" w:hAnsi="仿宋" w:eastAsia="仿宋" w:cs="仿宋"/>
          <w:bCs/>
          <w:color w:val="auto"/>
          <w:sz w:val="24"/>
          <w:szCs w:val="24"/>
          <w:highlight w:val="none"/>
        </w:rPr>
        <w:t>。</w:t>
      </w:r>
    </w:p>
    <w:p w14:paraId="4DBBB9C2">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承包人人员</w:t>
      </w:r>
    </w:p>
    <w:p w14:paraId="4D82BE4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 承包人提交项目管理机构及施工现场管理人员安排报告的期限：</w:t>
      </w:r>
      <w:r>
        <w:rPr>
          <w:rFonts w:hint="eastAsia" w:ascii="仿宋" w:hAnsi="仿宋" w:eastAsia="仿宋" w:cs="仿宋"/>
          <w:b/>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317ECFC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 承包人无正当理由拒绝撤换主要施工管理人员的违约责任：</w:t>
      </w:r>
      <w:r>
        <w:rPr>
          <w:rFonts w:hint="eastAsia" w:ascii="仿宋" w:hAnsi="仿宋" w:eastAsia="仿宋" w:cs="仿宋"/>
          <w:b/>
          <w:color w:val="auto"/>
          <w:sz w:val="24"/>
          <w:szCs w:val="24"/>
          <w:highlight w:val="none"/>
          <w:u w:val="single"/>
        </w:rPr>
        <w:t>承包人支付3000元违约金/人次</w:t>
      </w:r>
      <w:r>
        <w:rPr>
          <w:rFonts w:hint="eastAsia" w:ascii="仿宋" w:hAnsi="仿宋" w:eastAsia="仿宋" w:cs="仿宋"/>
          <w:b/>
          <w:bCs/>
          <w:color w:val="auto"/>
          <w:sz w:val="24"/>
          <w:szCs w:val="24"/>
          <w:highlight w:val="none"/>
          <w:u w:val="single"/>
        </w:rPr>
        <w:t>。</w:t>
      </w:r>
    </w:p>
    <w:p w14:paraId="0699AD3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3.3.4 承包人主要施工管理人员离开施工现场的批准要求：</w:t>
      </w:r>
      <w:r>
        <w:rPr>
          <w:rFonts w:hint="eastAsia" w:ascii="仿宋" w:hAnsi="仿宋" w:eastAsia="仿宋" w:cs="仿宋"/>
          <w:b/>
          <w:color w:val="auto"/>
          <w:sz w:val="24"/>
          <w:szCs w:val="24"/>
          <w:highlight w:val="none"/>
          <w:u w:val="single"/>
        </w:rPr>
        <w:t xml:space="preserve">   /   </w:t>
      </w:r>
      <w:r>
        <w:rPr>
          <w:rFonts w:hint="eastAsia" w:ascii="仿宋" w:hAnsi="仿宋" w:eastAsia="仿宋" w:cs="仿宋"/>
          <w:b/>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7EF1EC9C">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3.3.5承包人擅自更换主要施工管理人员的违约责任：</w:t>
      </w:r>
      <w:r>
        <w:rPr>
          <w:rFonts w:hint="eastAsia" w:ascii="仿宋" w:hAnsi="仿宋" w:eastAsia="仿宋" w:cs="仿宋"/>
          <w:b/>
          <w:color w:val="auto"/>
          <w:sz w:val="24"/>
          <w:szCs w:val="24"/>
          <w:highlight w:val="none"/>
          <w:u w:val="single"/>
        </w:rPr>
        <w:t>原管理人员如能够继续履行职责的，发包人应责令承包人撤销其更换决定，承包人应承担违约金2000元；如原管理人员客观上已经无法继续履行职责的，发包人有权要求审核确认承包人更换的管理人员，承包人应承担违约金3000元。由此增加的费用和（或）延误的工期由承包人承担</w:t>
      </w:r>
      <w:r>
        <w:rPr>
          <w:rFonts w:hint="eastAsia" w:ascii="仿宋" w:hAnsi="仿宋" w:eastAsia="仿宋" w:cs="仿宋"/>
          <w:bCs/>
          <w:color w:val="auto"/>
          <w:sz w:val="24"/>
          <w:szCs w:val="24"/>
          <w:highlight w:val="none"/>
        </w:rPr>
        <w:t>。</w:t>
      </w:r>
    </w:p>
    <w:p w14:paraId="36FDE0A5">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承包人主要施工管理人员擅自离开施工现场的违约责任：</w:t>
      </w:r>
      <w:r>
        <w:rPr>
          <w:rFonts w:hint="eastAsia" w:ascii="仿宋" w:hAnsi="仿宋" w:eastAsia="仿宋" w:cs="仿宋"/>
          <w:b/>
          <w:color w:val="auto"/>
          <w:sz w:val="24"/>
          <w:szCs w:val="24"/>
          <w:highlight w:val="none"/>
          <w:u w:val="single"/>
        </w:rPr>
        <w:t>擅自离场≤3天的，承包人应承担违约金2000元；擅自离场＞3天的，发包人有权要求承包人更换管理人员，并承担违约金5000元。由此增加的费用和（或）延误的工期由承包人承担</w:t>
      </w:r>
      <w:r>
        <w:rPr>
          <w:rFonts w:hint="eastAsia" w:ascii="仿宋" w:hAnsi="仿宋" w:eastAsia="仿宋" w:cs="仿宋"/>
          <w:bCs/>
          <w:color w:val="auto"/>
          <w:sz w:val="24"/>
          <w:szCs w:val="24"/>
          <w:highlight w:val="none"/>
        </w:rPr>
        <w:t xml:space="preserve">。   </w:t>
      </w:r>
    </w:p>
    <w:p w14:paraId="6A8E1D6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 分包</w:t>
      </w:r>
    </w:p>
    <w:p w14:paraId="657C258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3.5.1 分包的一般约定</w:t>
      </w:r>
    </w:p>
    <w:p w14:paraId="7AEC8AF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禁止分包的工程包括：</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CC13C8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主体结构、关键性工作的范围：</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w:t>
      </w:r>
    </w:p>
    <w:p w14:paraId="611E9B21">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3.5.2分包的确定</w:t>
      </w:r>
    </w:p>
    <w:p w14:paraId="664AA36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允许分包的专业工程包括：</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16A27D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其他关于分包的约定：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82EBA4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3.5.4 分包合同价款</w:t>
      </w:r>
    </w:p>
    <w:p w14:paraId="57EBFB2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关于分包合同价款支付的约定：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91F220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 工程照管与成品、半成品保护</w:t>
      </w:r>
    </w:p>
    <w:p w14:paraId="50898D77">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color w:val="auto"/>
          <w:sz w:val="24"/>
          <w:szCs w:val="24"/>
          <w:highlight w:val="none"/>
          <w:u w:val="single"/>
        </w:rPr>
      </w:pPr>
      <w:r>
        <w:rPr>
          <w:rFonts w:hint="eastAsia" w:ascii="仿宋" w:hAnsi="仿宋" w:eastAsia="仿宋" w:cs="仿宋"/>
          <w:color w:val="auto"/>
          <w:kern w:val="0"/>
          <w:sz w:val="24"/>
          <w:szCs w:val="24"/>
          <w:highlight w:val="none"/>
        </w:rPr>
        <w:t>承包人负责照管工程及工程相关的材料、工程设备的起始时间：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b/>
          <w:color w:val="auto"/>
          <w:sz w:val="24"/>
          <w:szCs w:val="24"/>
          <w:highlight w:val="none"/>
          <w:u w:val="single"/>
        </w:rPr>
        <w:t>自发包人向承包人移交施工现场之日起，直到颁发工程接收证书之日止。</w:t>
      </w:r>
    </w:p>
    <w:p w14:paraId="660DBBA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3.7 履约担保</w:t>
      </w:r>
    </w:p>
    <w:p w14:paraId="4D9960E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承包人是否提供履约担保：</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28D711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承包人提供履约担保的形式、金额及期限的：</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BDB8F1B">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4. 监理人</w:t>
      </w:r>
    </w:p>
    <w:p w14:paraId="078BEFF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4.1监理人的一般规定</w:t>
      </w:r>
    </w:p>
    <w:p w14:paraId="559D063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关于监理人的监理内容：</w:t>
      </w:r>
      <w:r>
        <w:rPr>
          <w:rFonts w:hint="eastAsia" w:ascii="仿宋" w:hAnsi="仿宋" w:eastAsia="仿宋" w:cs="仿宋"/>
          <w:b/>
          <w:color w:val="auto"/>
          <w:sz w:val="24"/>
          <w:szCs w:val="24"/>
          <w:highlight w:val="none"/>
          <w:u w:val="single"/>
        </w:rPr>
        <w:t xml:space="preserve">  工程施工监理，监理工作内容执行建设工程监理现行规范中关于质量控制、进度控制、安全生产监督管理、信息管理、组织协调等方面的内容。包含现场所有签证、进度款支付前形像进度的确认。</w:t>
      </w:r>
    </w:p>
    <w:p w14:paraId="2797D12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关于监理人的监理权限：</w:t>
      </w:r>
    </w:p>
    <w:p w14:paraId="7BFA668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（1）施工图组织设计、施工方案的批准；</w:t>
      </w:r>
    </w:p>
    <w:p w14:paraId="290EF75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（2）设计变更、工程变更的签署；</w:t>
      </w:r>
    </w:p>
    <w:p w14:paraId="5B37E1D7">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（3）对发包人与承包人的索赔与反索赔事宜做出决定；</w:t>
      </w:r>
    </w:p>
    <w:p w14:paraId="1169F2AC">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（4）进度款支付前形像进度的确认；</w:t>
      </w:r>
    </w:p>
    <w:p w14:paraId="7214D5E3">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（5）工程中间验收和隐蔽工程验收；</w:t>
      </w:r>
    </w:p>
    <w:p w14:paraId="3A45BDC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（6）工程竣工验收及验收证书的签署；</w:t>
      </w:r>
    </w:p>
    <w:p w14:paraId="02E8D90D">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（7）整个施工过程中工程质量、工程进度的监理；</w:t>
      </w:r>
    </w:p>
    <w:p w14:paraId="6ED51A2E">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（8）与相关部门的组织协调工作。</w:t>
      </w:r>
    </w:p>
    <w:p w14:paraId="3E8F27D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监理工程师在行使上述权利或本工程监理合同职权范围内的职权时，承包人均应视为已经取得发包人的同意，不得拒绝执行。</w:t>
      </w:r>
    </w:p>
    <w:p w14:paraId="5E89BA8E">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需要取得发包人批准才能行使的职权包括：工程开工令、工程停工令、暂停令的发布，工程延期、工程变更的审批，工程内容的增减等。</w:t>
      </w:r>
    </w:p>
    <w:p w14:paraId="2641655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关于监理人在施工现场的办公场所、生活场所的提供和费用承担的约定：</w:t>
      </w:r>
      <w:r>
        <w:rPr>
          <w:rFonts w:hint="eastAsia" w:ascii="仿宋" w:hAnsi="仿宋" w:eastAsia="仿宋" w:cs="仿宋"/>
          <w:b/>
          <w:color w:val="auto"/>
          <w:sz w:val="24"/>
          <w:szCs w:val="24"/>
          <w:highlight w:val="none"/>
          <w:u w:val="single"/>
        </w:rPr>
        <w:t xml:space="preserve">      /     </w:t>
      </w:r>
      <w:r>
        <w:rPr>
          <w:rFonts w:hint="eastAsia" w:ascii="仿宋" w:hAnsi="仿宋" w:eastAsia="仿宋" w:cs="仿宋"/>
          <w:color w:val="auto"/>
          <w:sz w:val="24"/>
          <w:szCs w:val="24"/>
          <w:highlight w:val="none"/>
        </w:rPr>
        <w:t>。</w:t>
      </w:r>
    </w:p>
    <w:p w14:paraId="0E98578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 监理人员</w:t>
      </w:r>
    </w:p>
    <w:p w14:paraId="7EB20CC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总监理工程师：</w:t>
      </w:r>
    </w:p>
    <w:p w14:paraId="39496FE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BC57E5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0EB2C75">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监理工程师执业资格证书号：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color w:val="auto"/>
          <w:sz w:val="24"/>
          <w:szCs w:val="24"/>
          <w:highlight w:val="none"/>
        </w:rPr>
        <w:t>；</w:t>
      </w:r>
    </w:p>
    <w:p w14:paraId="595E8626">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468EF1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A602126">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7A4056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关于监理人的其他约定：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50CAEC7">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 商定或确定</w:t>
      </w:r>
    </w:p>
    <w:p w14:paraId="1B7F9641">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在发包人和承包人不能通过协商达成一致意见时，发包人授权监理人对以下事项进行确定：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BF6E252">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 工程质量</w:t>
      </w:r>
    </w:p>
    <w:p w14:paraId="02D6C2A6">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质量要求</w:t>
      </w:r>
    </w:p>
    <w:p w14:paraId="241AD17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5.1.1 特殊质量标准和要求：</w:t>
      </w:r>
      <w:r>
        <w:rPr>
          <w:rFonts w:hint="eastAsia" w:ascii="仿宋" w:hAnsi="仿宋" w:eastAsia="仿宋" w:cs="仿宋"/>
          <w:color w:val="auto"/>
          <w:sz w:val="24"/>
          <w:szCs w:val="24"/>
          <w:highlight w:val="none"/>
          <w:u w:val="single"/>
        </w:rPr>
        <w:t xml:space="preserve">  达到国家验收规范合格标准  </w:t>
      </w:r>
      <w:r>
        <w:rPr>
          <w:rFonts w:hint="eastAsia" w:ascii="仿宋" w:hAnsi="仿宋" w:eastAsia="仿宋" w:cs="仿宋"/>
          <w:color w:val="auto"/>
          <w:sz w:val="24"/>
          <w:szCs w:val="24"/>
          <w:highlight w:val="none"/>
        </w:rPr>
        <w:t>。</w:t>
      </w:r>
    </w:p>
    <w:p w14:paraId="4D509A5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关于工程奖项的约定：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51D352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 隐蔽工程检查</w:t>
      </w:r>
    </w:p>
    <w:p w14:paraId="4535CB0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5.3.2承包人提前通知监理人隐蔽工程检查的期限的约定：</w:t>
      </w:r>
      <w:r>
        <w:rPr>
          <w:rFonts w:hint="eastAsia" w:ascii="仿宋" w:hAnsi="仿宋" w:eastAsia="仿宋" w:cs="仿宋"/>
          <w:color w:val="auto"/>
          <w:sz w:val="24"/>
          <w:szCs w:val="24"/>
          <w:highlight w:val="none"/>
          <w:u w:val="single"/>
        </w:rPr>
        <w:t xml:space="preserve">提前24小时书面通知   </w:t>
      </w:r>
      <w:r>
        <w:rPr>
          <w:rFonts w:hint="eastAsia" w:ascii="仿宋" w:hAnsi="仿宋" w:eastAsia="仿宋" w:cs="仿宋"/>
          <w:bCs/>
          <w:color w:val="auto"/>
          <w:sz w:val="24"/>
          <w:szCs w:val="24"/>
          <w:highlight w:val="none"/>
        </w:rPr>
        <w:t>。</w:t>
      </w:r>
    </w:p>
    <w:p w14:paraId="64519440">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监理人不能按时进行检查时，应提前</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24 </w:t>
      </w:r>
      <w:r>
        <w:rPr>
          <w:rFonts w:hint="eastAsia" w:ascii="仿宋" w:hAnsi="仿宋" w:eastAsia="仿宋" w:cs="仿宋"/>
          <w:color w:val="auto"/>
          <w:sz w:val="24"/>
          <w:szCs w:val="24"/>
          <w:highlight w:val="none"/>
        </w:rPr>
        <w:t>小时提交书面延期要求。</w:t>
      </w:r>
    </w:p>
    <w:p w14:paraId="741F76C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关于延期最长不得超过：</w:t>
      </w:r>
      <w:r>
        <w:rPr>
          <w:rFonts w:hint="eastAsia" w:ascii="仿宋" w:hAnsi="仿宋" w:eastAsia="仿宋" w:cs="仿宋"/>
          <w:color w:val="auto"/>
          <w:sz w:val="24"/>
          <w:szCs w:val="24"/>
          <w:highlight w:val="none"/>
          <w:u w:val="single"/>
        </w:rPr>
        <w:t xml:space="preserve"> 48</w:t>
      </w:r>
      <w:r>
        <w:rPr>
          <w:rFonts w:hint="eastAsia" w:ascii="仿宋" w:hAnsi="仿宋" w:eastAsia="仿宋" w:cs="仿宋"/>
          <w:color w:val="auto"/>
          <w:sz w:val="24"/>
          <w:szCs w:val="24"/>
          <w:highlight w:val="none"/>
        </w:rPr>
        <w:t>小时。</w:t>
      </w:r>
    </w:p>
    <w:p w14:paraId="3A0D0DF4">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 安全文明施工与环境保护</w:t>
      </w:r>
    </w:p>
    <w:p w14:paraId="140C4CC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6.1安全文明施工</w:t>
      </w:r>
    </w:p>
    <w:p w14:paraId="1C11D0F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bCs/>
          <w:color w:val="auto"/>
          <w:sz w:val="24"/>
          <w:szCs w:val="24"/>
          <w:highlight w:val="none"/>
          <w:u w:val="single"/>
        </w:rPr>
      </w:pPr>
      <w:r>
        <w:rPr>
          <w:rFonts w:hint="eastAsia" w:ascii="仿宋" w:hAnsi="仿宋" w:eastAsia="仿宋" w:cs="仿宋"/>
          <w:color w:val="auto"/>
          <w:sz w:val="24"/>
          <w:szCs w:val="24"/>
          <w:highlight w:val="none"/>
        </w:rPr>
        <w:t>6.1.1 项目安全生产的达标目标及相应事项的约定：</w:t>
      </w:r>
    </w:p>
    <w:p w14:paraId="680B04F8">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u w:val="single"/>
        </w:rPr>
        <w:t>（1）承包人应严格按照《山东省建筑安全生产管理规定》、《环境保护法》等省市相关文件要求，保证施工现场安全生产文明施工，达到省级安全文明工地要求。</w:t>
      </w:r>
    </w:p>
    <w:p w14:paraId="783C974B">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u w:val="single"/>
        </w:rPr>
        <w:t>（2）承包人负责在工程施工、竣工及保修的整个过程中施工现场全部人员的安全。发包人不承担承包人单位人员或其他人员的伤亡赔偿或补偿责任。</w:t>
      </w:r>
    </w:p>
    <w:p w14:paraId="04E3DFDB">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u w:val="single"/>
        </w:rPr>
        <w:t>（3）工程施工中，承包方必须遵守安全生产的有关规定，采取必要的安全防护措施，杜绝安全质量事故的发生，如施工过程中确实存在重大安全隐患，应及时书面报告发包方，在排除后方可施工。</w:t>
      </w:r>
    </w:p>
    <w:p w14:paraId="67417475">
      <w:pPr>
        <w:pageBreakBefore w:val="0"/>
        <w:widowControl w:val="0"/>
        <w:shd w:val="clear" w:color="auto" w:fill="auto"/>
        <w:kinsoku/>
        <w:wordWrap/>
        <w:overflowPunct/>
        <w:topLinePunct w:val="0"/>
        <w:bidi w:val="0"/>
        <w:snapToGrid w:val="0"/>
        <w:spacing w:line="400" w:lineRule="exact"/>
        <w:ind w:firstLine="364" w:firstLineChars="152"/>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6.1.4 关于治安保卫的特别约定：</w:t>
      </w:r>
      <w:r>
        <w:rPr>
          <w:rFonts w:hint="eastAsia" w:ascii="仿宋" w:hAnsi="仿宋" w:eastAsia="仿宋" w:cs="仿宋"/>
          <w:b/>
          <w:color w:val="auto"/>
          <w:sz w:val="24"/>
          <w:szCs w:val="24"/>
          <w:highlight w:val="none"/>
          <w:u w:val="single"/>
        </w:rPr>
        <w:t>承包人严格执行国家和省、市、区有关维护稳定社会秩序、保障社会稳定的规定，积极配合当地有关主管部门的社会稳定工作，承担防止和解决因承包人工程影响社会稳定的群众事件和极端事件的义务。</w:t>
      </w:r>
    </w:p>
    <w:p w14:paraId="0EB3F11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Cs/>
          <w:color w:val="auto"/>
          <w:sz w:val="24"/>
          <w:szCs w:val="24"/>
          <w:highlight w:val="none"/>
          <w:lang w:eastAsia="zh-CN"/>
        </w:rPr>
      </w:pPr>
      <w:r>
        <w:rPr>
          <w:rFonts w:hint="eastAsia" w:ascii="仿宋" w:hAnsi="仿宋" w:eastAsia="仿宋" w:cs="仿宋"/>
          <w:color w:val="auto"/>
          <w:sz w:val="24"/>
          <w:szCs w:val="24"/>
          <w:highlight w:val="none"/>
        </w:rPr>
        <w:t>关于编制施工场地治安管理计划的约定：</w:t>
      </w:r>
      <w:r>
        <w:rPr>
          <w:rFonts w:hint="eastAsia" w:ascii="仿宋" w:hAnsi="仿宋" w:eastAsia="仿宋" w:cs="仿宋"/>
          <w:b/>
          <w:color w:val="auto"/>
          <w:sz w:val="24"/>
          <w:szCs w:val="24"/>
          <w:highlight w:val="none"/>
          <w:u w:val="single"/>
        </w:rPr>
        <w:t xml:space="preserve"> 由承包人负责在工程开工后7天内编制施工场地治安管理计划，并制定应对突发治安事件的紧急预案</w:t>
      </w:r>
      <w:r>
        <w:rPr>
          <w:rFonts w:hint="eastAsia" w:ascii="仿宋" w:hAnsi="仿宋" w:eastAsia="仿宋" w:cs="仿宋"/>
          <w:bCs/>
          <w:color w:val="auto"/>
          <w:sz w:val="24"/>
          <w:szCs w:val="24"/>
          <w:highlight w:val="none"/>
        </w:rPr>
        <w:t>。</w:t>
      </w:r>
    </w:p>
    <w:p w14:paraId="00E56A1D">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xml:space="preserve">   </w:t>
      </w:r>
      <w:r>
        <w:rPr>
          <w:rFonts w:hint="eastAsia" w:ascii="仿宋" w:hAnsi="仿宋" w:eastAsia="仿宋" w:cs="仿宋"/>
          <w:color w:val="auto"/>
          <w:kern w:val="0"/>
          <w:sz w:val="24"/>
          <w:szCs w:val="24"/>
          <w:highlight w:val="none"/>
        </w:rPr>
        <w:t>6.1.5 文明施工</w:t>
      </w:r>
    </w:p>
    <w:p w14:paraId="22F46C9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Cs/>
          <w:color w:val="auto"/>
          <w:sz w:val="24"/>
          <w:szCs w:val="24"/>
          <w:highlight w:val="none"/>
          <w:u w:val="single"/>
        </w:rPr>
      </w:pPr>
      <w:r>
        <w:rPr>
          <w:rFonts w:hint="eastAsia" w:ascii="仿宋" w:hAnsi="仿宋" w:eastAsia="仿宋" w:cs="仿宋"/>
          <w:color w:val="auto"/>
          <w:sz w:val="24"/>
          <w:szCs w:val="24"/>
          <w:highlight w:val="none"/>
        </w:rPr>
        <w:t>合同当事人对文明施工的要求：</w:t>
      </w:r>
      <w:r>
        <w:rPr>
          <w:rFonts w:hint="eastAsia" w:ascii="仿宋" w:hAnsi="仿宋" w:eastAsia="仿宋" w:cs="仿宋"/>
          <w:bCs/>
          <w:color w:val="auto"/>
          <w:sz w:val="24"/>
          <w:szCs w:val="24"/>
          <w:highlight w:val="none"/>
          <w:u w:val="single"/>
        </w:rPr>
        <w:t>承包人严格遵守《建筑法》、《环境保护法》、《山东省建筑安全生产管理规定》、达到威海市安全文明工地的要求，市政府《关于加强市区建筑垃圾渣土管理的通知》（威政发〔2009〕122号）等有关规定，成立以项目经理为组长的专项整治小组，对施工现场安全文明施工直接负责，保持场容场貌整洁，并采取有效措施防止或者减少粉尘、废气、废水、固体废弃物、噪声、振动和照明产生的污染和危害。承包人承诺达到以下要求：</w:t>
      </w:r>
    </w:p>
    <w:p w14:paraId="6AE97DB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u w:val="single"/>
        </w:rPr>
        <w:t>（1）制定切实可行的扬尘控制专项方案，在至少开工前2天报监理人审批。</w:t>
      </w:r>
    </w:p>
    <w:p w14:paraId="329E7340">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u w:val="single"/>
        </w:rPr>
        <w:t>（2）落实各项具体控尘措施，加大治理扬尘投入，落实项目部和项目经理扬尘控制责任，将扬尘治理纳入对项目部和项目经理的考核，加强企业员工（含农民工）上岗前培训，建立并施行扬尘控制工作奖惩制度，明确专人负责扬尘治理工作，设置专职保洁员负责现场清扫和保洁，与作业班组签订扬尘治理目标责任书，在工程现场公布扬尘投诉举报电话，将各项抑尘、降尘措施落实到操作层，使每个工程参建人员都能掌握扬尘控制知识和技能。</w:t>
      </w:r>
    </w:p>
    <w:p w14:paraId="4595B34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u w:val="single"/>
        </w:rPr>
        <w:t>（3）施工现场毗邻的建筑物、构筑物和深基坑、爆破施工等特殊作业可能造成环境损害的，承包人应当制定专项施工方案，并采取相应的安全防护措施。通行危险的地段应当悬挂警戒标志，夜间设置警示灯。在车辆、行人通过的地方施工，应当对沟、坑、井等进行覆盖，并设置施工标志和防护设施。</w:t>
      </w:r>
    </w:p>
    <w:p w14:paraId="530EC39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u w:val="single"/>
        </w:rPr>
        <w:t>（4）开挖前探清各种管线的分布情况，做好标识，采取相应的保护措施。</w:t>
      </w:r>
    </w:p>
    <w:p w14:paraId="605ECDF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u w:val="single"/>
        </w:rPr>
        <w:t>（5）施工产生的渣土等废弃物日产日清。</w:t>
      </w:r>
    </w:p>
    <w:p w14:paraId="06AEA13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u w:val="single"/>
        </w:rPr>
        <w:t>（6）在闹市区施工使用低噪音机械设备，确需夜间施工的，安排低噪音工序。</w:t>
      </w:r>
    </w:p>
    <w:p w14:paraId="132F2CE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u w:val="single"/>
        </w:rPr>
        <w:t>（7）承包人违反以上要求，应自觉接受行政主管部门依法下达的责令停止施工和限期改正的行政处罚，接受停工整改期间由主管部门安排的专项整治管理教育，接受行政主管部门依法作出的罚款、记不良行为记录、资质降级、资质吊扣及清出建设市场等行政处罚，造成不良社会影响的，应通过新闻媒体向全体市民公开致歉。</w:t>
      </w:r>
    </w:p>
    <w:p w14:paraId="2DAC704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6.1.6 关于安全文明施工费支付比例和支付期限的约定：</w:t>
      </w:r>
      <w:r>
        <w:rPr>
          <w:rFonts w:hint="eastAsia" w:ascii="仿宋" w:hAnsi="仿宋" w:eastAsia="仿宋" w:cs="仿宋"/>
          <w:b/>
          <w:color w:val="auto"/>
          <w:sz w:val="24"/>
          <w:szCs w:val="24"/>
          <w:highlight w:val="none"/>
          <w:u w:val="single"/>
        </w:rPr>
        <w:t>按进度付款的支付比例和支付期限执行，安全文明施工费的计取不随政策的变化而调整</w:t>
      </w:r>
      <w:r>
        <w:rPr>
          <w:rFonts w:hint="eastAsia" w:ascii="仿宋" w:hAnsi="仿宋" w:eastAsia="仿宋" w:cs="仿宋"/>
          <w:color w:val="auto"/>
          <w:sz w:val="24"/>
          <w:szCs w:val="24"/>
          <w:highlight w:val="none"/>
        </w:rPr>
        <w:t>。</w:t>
      </w:r>
    </w:p>
    <w:p w14:paraId="6BDB9177">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 工期和进度</w:t>
      </w:r>
    </w:p>
    <w:p w14:paraId="4595DBC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 施工组织设计</w:t>
      </w:r>
    </w:p>
    <w:p w14:paraId="0B98CF7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7.1.1 合</w:t>
      </w:r>
      <w:r>
        <w:rPr>
          <w:rFonts w:hint="eastAsia" w:ascii="仿宋" w:hAnsi="仿宋" w:eastAsia="仿宋" w:cs="仿宋"/>
          <w:color w:val="auto"/>
          <w:kern w:val="0"/>
          <w:sz w:val="24"/>
          <w:szCs w:val="24"/>
          <w:highlight w:val="none"/>
        </w:rPr>
        <w:t>同当事人约定的施工组织设计应包括的其他内容：</w:t>
      </w:r>
      <w:r>
        <w:rPr>
          <w:rFonts w:hint="eastAsia" w:ascii="仿宋" w:hAnsi="仿宋" w:eastAsia="仿宋" w:cs="仿宋"/>
          <w:b/>
          <w:color w:val="auto"/>
          <w:sz w:val="24"/>
          <w:szCs w:val="24"/>
          <w:highlight w:val="none"/>
          <w:u w:val="single"/>
        </w:rPr>
        <w:t xml:space="preserve"> /   </w:t>
      </w:r>
      <w:r>
        <w:rPr>
          <w:rFonts w:hint="eastAsia" w:ascii="仿宋" w:hAnsi="仿宋" w:eastAsia="仿宋" w:cs="仿宋"/>
          <w:bCs/>
          <w:color w:val="auto"/>
          <w:sz w:val="24"/>
          <w:szCs w:val="24"/>
          <w:highlight w:val="none"/>
        </w:rPr>
        <w:t>。</w:t>
      </w:r>
    </w:p>
    <w:p w14:paraId="711B281D">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7.1.2 </w:t>
      </w:r>
      <w:r>
        <w:rPr>
          <w:rFonts w:hint="eastAsia" w:ascii="仿宋" w:hAnsi="仿宋" w:eastAsia="仿宋" w:cs="仿宋"/>
          <w:color w:val="auto"/>
          <w:kern w:val="0"/>
          <w:sz w:val="24"/>
          <w:szCs w:val="24"/>
          <w:highlight w:val="none"/>
        </w:rPr>
        <w:t>施工组织设计的提交和修改</w:t>
      </w:r>
    </w:p>
    <w:p w14:paraId="4E0034FE">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承包人提交详细施工组织设计的期限的约定：</w:t>
      </w:r>
      <w:r>
        <w:rPr>
          <w:rFonts w:hint="eastAsia" w:ascii="仿宋" w:hAnsi="仿宋" w:eastAsia="仿宋" w:cs="仿宋"/>
          <w:color w:val="auto"/>
          <w:kern w:val="0"/>
          <w:sz w:val="24"/>
          <w:szCs w:val="24"/>
          <w:highlight w:val="none"/>
          <w:u w:val="single"/>
        </w:rPr>
        <w:t xml:space="preserve">承包人应在图纸会审后5天内将施工组织设计和进度计划提报给发包人和监理工程师各一份。           </w:t>
      </w:r>
    </w:p>
    <w:p w14:paraId="09F3180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发包人和监理人在收到详细的施工组织设计后确认或提出修改意见的期限：</w:t>
      </w:r>
      <w:r>
        <w:rPr>
          <w:rFonts w:hint="eastAsia" w:ascii="仿宋" w:hAnsi="仿宋" w:eastAsia="仿宋" w:cs="仿宋"/>
          <w:color w:val="auto"/>
          <w:kern w:val="0"/>
          <w:sz w:val="24"/>
          <w:szCs w:val="24"/>
          <w:highlight w:val="none"/>
          <w:u w:val="single"/>
        </w:rPr>
        <w:t>发包人和监理工程师收到后7天内应予以确认或提出修改意见  。</w:t>
      </w:r>
    </w:p>
    <w:p w14:paraId="65BD3A9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 施工进度计划</w:t>
      </w:r>
    </w:p>
    <w:p w14:paraId="3B12782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7.2.2 施工进度计划的修订</w:t>
      </w:r>
    </w:p>
    <w:p w14:paraId="1E692960">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发包人和监理人在收到修订的施工进度计划后确认或提出修改意见的期限：</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kern w:val="0"/>
          <w:sz w:val="24"/>
          <w:szCs w:val="24"/>
          <w:highlight w:val="none"/>
          <w:u w:val="single"/>
        </w:rPr>
        <w:t xml:space="preserve">发包人和监理工程师收到后7天内应予以确认或提出修改意见  </w:t>
      </w:r>
      <w:r>
        <w:rPr>
          <w:rFonts w:hint="eastAsia" w:ascii="仿宋" w:hAnsi="仿宋" w:eastAsia="仿宋" w:cs="仿宋"/>
          <w:bCs/>
          <w:color w:val="auto"/>
          <w:sz w:val="24"/>
          <w:szCs w:val="24"/>
          <w:highlight w:val="none"/>
        </w:rPr>
        <w:t>。</w:t>
      </w:r>
    </w:p>
    <w:p w14:paraId="2099BF5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 开工</w:t>
      </w:r>
    </w:p>
    <w:p w14:paraId="002D299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7.3.1 开工准备</w:t>
      </w:r>
    </w:p>
    <w:p w14:paraId="4334C44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关于承包人提交</w:t>
      </w:r>
      <w:r>
        <w:rPr>
          <w:rFonts w:hint="eastAsia" w:ascii="仿宋" w:hAnsi="仿宋" w:eastAsia="仿宋" w:cs="仿宋"/>
          <w:color w:val="auto"/>
          <w:kern w:val="0"/>
          <w:sz w:val="24"/>
          <w:szCs w:val="24"/>
          <w:highlight w:val="none"/>
        </w:rPr>
        <w:t>工程开工报审表的期限：</w:t>
      </w:r>
      <w:r>
        <w:rPr>
          <w:rFonts w:hint="eastAsia" w:ascii="仿宋" w:hAnsi="仿宋" w:eastAsia="仿宋" w:cs="仿宋"/>
          <w:b/>
          <w:color w:val="auto"/>
          <w:sz w:val="24"/>
          <w:szCs w:val="24"/>
          <w:highlight w:val="none"/>
          <w:u w:val="single"/>
        </w:rPr>
        <w:t>在工程准备工作完成后，计划开工日期前7天内提交</w:t>
      </w:r>
      <w:r>
        <w:rPr>
          <w:rFonts w:hint="eastAsia" w:ascii="仿宋" w:hAnsi="仿宋" w:eastAsia="仿宋" w:cs="仿宋"/>
          <w:color w:val="auto"/>
          <w:sz w:val="24"/>
          <w:szCs w:val="24"/>
          <w:highlight w:val="none"/>
        </w:rPr>
        <w:t xml:space="preserve">。     </w:t>
      </w:r>
    </w:p>
    <w:p w14:paraId="359ECDA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关于发包人应完成的其他开工准备工作及期限：</w:t>
      </w:r>
      <w:r>
        <w:rPr>
          <w:rFonts w:hint="eastAsia" w:ascii="仿宋" w:hAnsi="仿宋" w:eastAsia="仿宋" w:cs="仿宋"/>
          <w:b/>
          <w:color w:val="auto"/>
          <w:sz w:val="24"/>
          <w:szCs w:val="24"/>
          <w:highlight w:val="none"/>
          <w:u w:val="single"/>
        </w:rPr>
        <w:t>项目开工前，发包人应当办妥工程开工所需要的各项审批手续</w:t>
      </w:r>
      <w:r>
        <w:rPr>
          <w:rFonts w:hint="eastAsia" w:ascii="仿宋" w:hAnsi="仿宋" w:eastAsia="仿宋" w:cs="仿宋"/>
          <w:bCs/>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70F61940">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关于承包人应完成的其他开工准备工作及期限：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项目开工前准备好开工所需的资料、工程设备，做好劳动力安排，完成由其修建的施工道路、临时设施等。因承包人未做好开工准备工作，导致工期延误的，由承包人承担由此增加的费用，且工期不予顺延</w:t>
      </w:r>
      <w:r>
        <w:rPr>
          <w:rFonts w:hint="eastAsia" w:ascii="仿宋" w:hAnsi="仿宋" w:eastAsia="仿宋" w:cs="仿宋"/>
          <w:bCs/>
          <w:color w:val="auto"/>
          <w:sz w:val="24"/>
          <w:szCs w:val="24"/>
          <w:highlight w:val="none"/>
        </w:rPr>
        <w:t>。</w:t>
      </w:r>
    </w:p>
    <w:p w14:paraId="27AECDF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7.3.2开工通知</w:t>
      </w:r>
    </w:p>
    <w:p w14:paraId="2E83D2D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因发包人原因造成监理人未能在计划开工日期之日起</w:t>
      </w:r>
      <w:r>
        <w:rPr>
          <w:rFonts w:hint="eastAsia" w:ascii="仿宋" w:hAnsi="仿宋" w:eastAsia="仿宋" w:cs="仿宋"/>
          <w:b/>
          <w:bCs/>
          <w:color w:val="auto"/>
          <w:sz w:val="24"/>
          <w:szCs w:val="24"/>
          <w:highlight w:val="none"/>
          <w:u w:val="single"/>
        </w:rPr>
        <w:t xml:space="preserve">  90</w:t>
      </w:r>
      <w:r>
        <w:rPr>
          <w:rFonts w:hint="eastAsia" w:ascii="仿宋" w:hAnsi="仿宋" w:eastAsia="仿宋" w:cs="仿宋"/>
          <w:color w:val="auto"/>
          <w:sz w:val="24"/>
          <w:szCs w:val="24"/>
          <w:highlight w:val="none"/>
        </w:rPr>
        <w:t>天内发出开工通知的，承包人有权提出价格调整要求，或者解除合同。</w:t>
      </w:r>
    </w:p>
    <w:p w14:paraId="3305D917">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7.4 测量放线</w:t>
      </w:r>
    </w:p>
    <w:p w14:paraId="3C26F2A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7.4.1发包人通过监理人向承包人提供测量基准点、基准线和水准点及其书面资料的期限：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 xml:space="preserve">开工前  </w:t>
      </w:r>
      <w:r>
        <w:rPr>
          <w:rFonts w:hint="eastAsia" w:ascii="仿宋" w:hAnsi="仿宋" w:eastAsia="仿宋" w:cs="仿宋"/>
          <w:color w:val="auto"/>
          <w:sz w:val="24"/>
          <w:szCs w:val="24"/>
          <w:highlight w:val="none"/>
        </w:rPr>
        <w:t>。</w:t>
      </w:r>
    </w:p>
    <w:p w14:paraId="3FF361A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7.5 工期延误</w:t>
      </w:r>
    </w:p>
    <w:p w14:paraId="73CFE745">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7.5.1 因发包人原因导致工期延误</w:t>
      </w:r>
    </w:p>
    <w:p w14:paraId="35A62B7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（7）因发包人原因导致工期延误的其他情形：</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2C4B35">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7.5.2 因承包人原因导致工期延误</w:t>
      </w:r>
    </w:p>
    <w:p w14:paraId="3466FD1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因承包人原因造成工期延误，逾期竣工违约金的计算方法为：</w:t>
      </w:r>
    </w:p>
    <w:p w14:paraId="3B54A0F8">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u w:val="single"/>
        </w:rPr>
        <w:t>在施工过程中，如果发包人或发包人授权的机构认为本工程或其任何部分的进度过慢，或者工程质量无任何保证，因而不能按预定的工期竣工并达到预定的质量标准，发包人可将此情况通知承包人并提出警告，承包人应在3日内制定发包人同意的措施，以加快工程进度和保证工程质量，承包人无权要求发包人就上述措施承担任何的费用。如承人对发包人的上述警告无积极改正，则发包人视情节轻重对其进行处罚，每发现一次处罚1~5万元，处罚款在工程款中扣除。若发包人认为承包人无法按工期要求进行施工，发包人有权对工程进行分包，费用从施工单位的投标报价扣除，不足部分从承包人工程结算款中扣除。</w:t>
      </w:r>
    </w:p>
    <w:p w14:paraId="77677A4C">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u w:val="single"/>
        </w:rPr>
        <w:t>非经发包人认可，因承包人原因造成工期延误的，每延误一天，承包人承担签约合同价款的1‰违约金。</w:t>
      </w:r>
    </w:p>
    <w:p w14:paraId="13A7B92E">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u w:val="single"/>
        </w:rPr>
        <w:t>如达不到约定质量标准，承包人应采取返工、修理等补救措施使工程质量达到约定的质量标准，并承担所支付的一切费用；因此给发包人造成相应的损失由承包人承担，返工期间工期不予顺延。</w:t>
      </w:r>
    </w:p>
    <w:p w14:paraId="10C83AD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因承包人原因造成工期延误，逾期竣工违约金的上限：</w:t>
      </w:r>
      <w:r>
        <w:rPr>
          <w:rFonts w:hint="eastAsia" w:ascii="仿宋" w:hAnsi="仿宋" w:eastAsia="仿宋" w:cs="仿宋"/>
          <w:b/>
          <w:color w:val="auto"/>
          <w:sz w:val="24"/>
          <w:szCs w:val="24"/>
          <w:highlight w:val="none"/>
          <w:u w:val="single"/>
        </w:rPr>
        <w:t xml:space="preserve">签约合同价的1% </w:t>
      </w:r>
      <w:r>
        <w:rPr>
          <w:rFonts w:hint="eastAsia" w:ascii="仿宋" w:hAnsi="仿宋" w:eastAsia="仿宋" w:cs="仿宋"/>
          <w:color w:val="auto"/>
          <w:sz w:val="24"/>
          <w:szCs w:val="24"/>
          <w:highlight w:val="none"/>
        </w:rPr>
        <w:t>。</w:t>
      </w:r>
    </w:p>
    <w:p w14:paraId="1BF058C2">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7.6 不利物质条件</w:t>
      </w:r>
    </w:p>
    <w:p w14:paraId="2FA7D12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不利物质条件的其他情形和有关约定：</w:t>
      </w:r>
      <w:r>
        <w:rPr>
          <w:rFonts w:hint="eastAsia" w:ascii="仿宋" w:hAnsi="仿宋" w:eastAsia="仿宋" w:cs="仿宋"/>
          <w:b/>
          <w:color w:val="auto"/>
          <w:sz w:val="24"/>
          <w:szCs w:val="24"/>
          <w:highlight w:val="none"/>
          <w:u w:val="single"/>
        </w:rPr>
        <w:t xml:space="preserve">执行通用条款7.6 </w:t>
      </w:r>
      <w:r>
        <w:rPr>
          <w:rFonts w:hint="eastAsia" w:ascii="仿宋" w:hAnsi="仿宋" w:eastAsia="仿宋" w:cs="仿宋"/>
          <w:bCs/>
          <w:color w:val="auto"/>
          <w:sz w:val="24"/>
          <w:szCs w:val="24"/>
          <w:highlight w:val="none"/>
        </w:rPr>
        <w:t>。</w:t>
      </w:r>
    </w:p>
    <w:p w14:paraId="6E05650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7.7异常恶劣的气候条件</w:t>
      </w:r>
    </w:p>
    <w:p w14:paraId="66B4D176">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发包人和承包人同意以下情形视为异常恶劣的气候条件：</w:t>
      </w:r>
    </w:p>
    <w:p w14:paraId="736C71F8">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（1）大于等于6级大风且持续2天以上 ；</w:t>
      </w:r>
    </w:p>
    <w:p w14:paraId="082CDBC4">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（2）日最高气温超过38℃的高温及最低气温低于-10℃的严寒且持续3天以上；</w:t>
      </w:r>
    </w:p>
    <w:p w14:paraId="146520CD">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（3）日降雨量200毫米或持续3天的大雨及造成工程损坏的冰雹和大雪灾害。</w:t>
      </w:r>
    </w:p>
    <w:p w14:paraId="2611B47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7.9 提前竣工的奖励</w:t>
      </w:r>
    </w:p>
    <w:p w14:paraId="1E039635">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7.9.2提前竣工的奖励：</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E769990">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8. 材料与设备</w:t>
      </w:r>
    </w:p>
    <w:p w14:paraId="16C5CF85">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8.4材料与工程设备的保管与使用</w:t>
      </w:r>
    </w:p>
    <w:p w14:paraId="706BBE0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8.4.1发包人供应的材料设备的保管费用的承担：</w:t>
      </w:r>
      <w:r>
        <w:rPr>
          <w:rFonts w:hint="eastAsia" w:ascii="仿宋" w:hAnsi="仿宋" w:eastAsia="仿宋" w:cs="仿宋"/>
          <w:b/>
          <w:color w:val="auto"/>
          <w:sz w:val="24"/>
          <w:szCs w:val="24"/>
          <w:highlight w:val="none"/>
          <w:u w:val="single"/>
        </w:rPr>
        <w:t>执行通用条款8.4.1条。</w:t>
      </w:r>
    </w:p>
    <w:p w14:paraId="5C2923E6">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8.6 样品</w:t>
      </w:r>
    </w:p>
    <w:p w14:paraId="5EB06753">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8.6.1样品的报送与封存</w:t>
      </w:r>
    </w:p>
    <w:p w14:paraId="0D9339BE">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kern w:val="0"/>
          <w:sz w:val="24"/>
          <w:szCs w:val="24"/>
          <w:highlight w:val="none"/>
        </w:rPr>
        <w:t>需要承包人报送样品的材料或工程设备，样品的种类、名称、规格、数量要求：</w:t>
      </w:r>
      <w:r>
        <w:rPr>
          <w:rFonts w:hint="eastAsia" w:ascii="仿宋" w:hAnsi="仿宋" w:eastAsia="仿宋" w:cs="仿宋"/>
          <w:b/>
          <w:color w:val="auto"/>
          <w:sz w:val="24"/>
          <w:szCs w:val="24"/>
          <w:highlight w:val="none"/>
          <w:u w:val="single"/>
        </w:rPr>
        <w:t xml:space="preserve"> 按设计、规范及验收要求</w:t>
      </w:r>
      <w:r>
        <w:rPr>
          <w:rFonts w:hint="eastAsia" w:ascii="仿宋" w:hAnsi="仿宋" w:eastAsia="仿宋" w:cs="仿宋"/>
          <w:bCs/>
          <w:color w:val="auto"/>
          <w:sz w:val="24"/>
          <w:szCs w:val="24"/>
          <w:highlight w:val="none"/>
        </w:rPr>
        <w:t>。</w:t>
      </w:r>
    </w:p>
    <w:p w14:paraId="4E483F08">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8.8 施工设备和临时设施</w:t>
      </w:r>
    </w:p>
    <w:p w14:paraId="7B28332F">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8.8.1 承包人提供的施工设备和临时设施</w:t>
      </w:r>
    </w:p>
    <w:p w14:paraId="0A572196">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关于修建临时设施费用承担的约定：</w:t>
      </w:r>
      <w:r>
        <w:rPr>
          <w:rFonts w:hint="eastAsia" w:ascii="仿宋" w:hAnsi="仿宋" w:eastAsia="仿宋" w:cs="仿宋"/>
          <w:b/>
          <w:color w:val="auto"/>
          <w:sz w:val="24"/>
          <w:szCs w:val="24"/>
          <w:highlight w:val="none"/>
          <w:u w:val="single"/>
        </w:rPr>
        <w:t>承包人自行承担修建临时设施的费用，自行办理临时占地的手续及相应费用。</w:t>
      </w:r>
    </w:p>
    <w:p w14:paraId="0328F163">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9. 试验与检验</w:t>
      </w:r>
    </w:p>
    <w:p w14:paraId="07A31646">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9.1试验设备与试验人员</w:t>
      </w:r>
    </w:p>
    <w:p w14:paraId="0EB3BAB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9.1.2 试验设备</w:t>
      </w:r>
    </w:p>
    <w:p w14:paraId="4E29300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施工现场需要配置的试验场所：</w:t>
      </w:r>
      <w:r>
        <w:rPr>
          <w:rFonts w:hint="eastAsia" w:ascii="仿宋" w:hAnsi="仿宋" w:eastAsia="仿宋" w:cs="仿宋"/>
          <w:b/>
          <w:color w:val="auto"/>
          <w:sz w:val="24"/>
          <w:szCs w:val="24"/>
          <w:highlight w:val="none"/>
          <w:u w:val="single"/>
        </w:rPr>
        <w:t>执行通用条款</w:t>
      </w:r>
      <w:r>
        <w:rPr>
          <w:rFonts w:hint="eastAsia" w:ascii="仿宋" w:hAnsi="仿宋" w:eastAsia="仿宋" w:cs="仿宋"/>
          <w:color w:val="auto"/>
          <w:sz w:val="24"/>
          <w:szCs w:val="24"/>
          <w:highlight w:val="none"/>
        </w:rPr>
        <w:t>。</w:t>
      </w:r>
    </w:p>
    <w:p w14:paraId="32C4A5E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施工现场需要配备的试验设备：</w:t>
      </w:r>
      <w:r>
        <w:rPr>
          <w:rFonts w:hint="eastAsia" w:ascii="仿宋" w:hAnsi="仿宋" w:eastAsia="仿宋" w:cs="仿宋"/>
          <w:b/>
          <w:color w:val="auto"/>
          <w:sz w:val="24"/>
          <w:szCs w:val="24"/>
          <w:highlight w:val="none"/>
          <w:u w:val="single"/>
        </w:rPr>
        <w:t>执行通用条款</w:t>
      </w:r>
      <w:r>
        <w:rPr>
          <w:rFonts w:hint="eastAsia" w:ascii="仿宋" w:hAnsi="仿宋" w:eastAsia="仿宋" w:cs="仿宋"/>
          <w:color w:val="auto"/>
          <w:sz w:val="24"/>
          <w:szCs w:val="24"/>
          <w:highlight w:val="none"/>
        </w:rPr>
        <w:t>。</w:t>
      </w:r>
    </w:p>
    <w:p w14:paraId="4074DEC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施工现场需要具备的其他试验条件：</w:t>
      </w:r>
      <w:r>
        <w:rPr>
          <w:rFonts w:hint="eastAsia" w:ascii="仿宋" w:hAnsi="仿宋" w:eastAsia="仿宋" w:cs="仿宋"/>
          <w:b/>
          <w:color w:val="auto"/>
          <w:sz w:val="24"/>
          <w:szCs w:val="24"/>
          <w:highlight w:val="none"/>
          <w:u w:val="single"/>
        </w:rPr>
        <w:t>执行通用条款</w:t>
      </w:r>
      <w:r>
        <w:rPr>
          <w:rFonts w:hint="eastAsia" w:ascii="仿宋" w:hAnsi="仿宋" w:eastAsia="仿宋" w:cs="仿宋"/>
          <w:color w:val="auto"/>
          <w:sz w:val="24"/>
          <w:szCs w:val="24"/>
          <w:highlight w:val="none"/>
        </w:rPr>
        <w:t>。</w:t>
      </w:r>
    </w:p>
    <w:p w14:paraId="759F198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9.4 现场工艺试验 </w:t>
      </w:r>
    </w:p>
    <w:p w14:paraId="24563A6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现场工艺试验的有关约定：</w:t>
      </w:r>
      <w:r>
        <w:rPr>
          <w:rFonts w:hint="eastAsia" w:ascii="仿宋" w:hAnsi="仿宋" w:eastAsia="仿宋" w:cs="仿宋"/>
          <w:b/>
          <w:color w:val="auto"/>
          <w:sz w:val="24"/>
          <w:szCs w:val="24"/>
          <w:highlight w:val="none"/>
          <w:u w:val="single"/>
        </w:rPr>
        <w:t xml:space="preserve">根据现场实际情况进行确定并由承包人承担相应费用 </w:t>
      </w:r>
      <w:r>
        <w:rPr>
          <w:rFonts w:hint="eastAsia" w:ascii="仿宋" w:hAnsi="仿宋" w:eastAsia="仿宋" w:cs="仿宋"/>
          <w:bCs/>
          <w:color w:val="auto"/>
          <w:sz w:val="24"/>
          <w:szCs w:val="24"/>
          <w:highlight w:val="none"/>
        </w:rPr>
        <w:t>。</w:t>
      </w:r>
    </w:p>
    <w:p w14:paraId="0373BDB2">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10. 变更</w:t>
      </w:r>
    </w:p>
    <w:p w14:paraId="506DE1D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10.1变更的范围</w:t>
      </w:r>
    </w:p>
    <w:p w14:paraId="1AAC0D2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关于变更的范围的约定：</w:t>
      </w:r>
      <w:r>
        <w:rPr>
          <w:rFonts w:hint="eastAsia" w:ascii="仿宋" w:hAnsi="仿宋" w:eastAsia="仿宋" w:cs="仿宋"/>
          <w:b/>
          <w:color w:val="auto"/>
          <w:sz w:val="24"/>
          <w:szCs w:val="24"/>
          <w:highlight w:val="none"/>
          <w:u w:val="single"/>
        </w:rPr>
        <w:t>执行通用条款10.1条第（1）～（5）款规定</w:t>
      </w:r>
      <w:r>
        <w:rPr>
          <w:rFonts w:hint="eastAsia" w:ascii="仿宋" w:hAnsi="仿宋" w:eastAsia="仿宋" w:cs="仿宋"/>
          <w:bCs/>
          <w:color w:val="auto"/>
          <w:sz w:val="24"/>
          <w:szCs w:val="24"/>
          <w:highlight w:val="none"/>
        </w:rPr>
        <w:t>。</w:t>
      </w:r>
    </w:p>
    <w:p w14:paraId="3A72C647">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变更估价</w:t>
      </w:r>
    </w:p>
    <w:p w14:paraId="42750FBC">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10.4.1 变更估价原则</w:t>
      </w:r>
    </w:p>
    <w:p w14:paraId="22691787">
      <w:pPr>
        <w:pageBreakBefore w:val="0"/>
        <w:widowControl w:val="0"/>
        <w:shd w:val="clear" w:color="auto" w:fill="auto"/>
        <w:kinsoku/>
        <w:wordWrap/>
        <w:overflowPunct/>
        <w:topLinePunct w:val="0"/>
        <w:bidi w:val="0"/>
        <w:snapToGrid w:val="0"/>
        <w:spacing w:line="400" w:lineRule="exact"/>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1）本合同采用工程量清单的综合单价计价方式，结算时按现场实际发生的情况，根据清单约定的计算规则计算工程量，调整总价。因本工程工期较短，在建设过程中如发生市场物价浮动等风险因素，综合单价不做调整。</w:t>
      </w:r>
    </w:p>
    <w:p w14:paraId="67555BDB">
      <w:pPr>
        <w:pageBreakBefore w:val="0"/>
        <w:widowControl w:val="0"/>
        <w:shd w:val="clear" w:color="auto" w:fill="auto"/>
        <w:kinsoku/>
        <w:wordWrap/>
        <w:overflowPunct/>
        <w:topLinePunct w:val="0"/>
        <w:bidi w:val="0"/>
        <w:snapToGrid w:val="0"/>
        <w:spacing w:line="400" w:lineRule="exact"/>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（2）清单中已有适用于变更工程的价格，按清单已有的价格变更清单价款。</w:t>
      </w:r>
    </w:p>
    <w:p w14:paraId="04F5D2F6">
      <w:pPr>
        <w:pageBreakBefore w:val="0"/>
        <w:widowControl w:val="0"/>
        <w:shd w:val="clear" w:color="auto" w:fill="auto"/>
        <w:kinsoku/>
        <w:wordWrap/>
        <w:overflowPunct/>
        <w:topLinePunct w:val="0"/>
        <w:bidi w:val="0"/>
        <w:snapToGrid w:val="0"/>
        <w:spacing w:line="400" w:lineRule="exact"/>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（3）清单中只有类似于变更工程的价格，可以参照类似价格变更清单价款。</w:t>
      </w:r>
    </w:p>
    <w:p w14:paraId="11407999">
      <w:pPr>
        <w:pageBreakBefore w:val="0"/>
        <w:widowControl w:val="0"/>
        <w:shd w:val="clear" w:color="auto" w:fill="auto"/>
        <w:kinsoku/>
        <w:wordWrap/>
        <w:overflowPunct/>
        <w:topLinePunct w:val="0"/>
        <w:bidi w:val="0"/>
        <w:snapToGrid w:val="0"/>
        <w:spacing w:line="400" w:lineRule="exact"/>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（4）清单中没有适用或类似于变更工程的价格，清单外组价。</w:t>
      </w:r>
    </w:p>
    <w:p w14:paraId="07677D1E">
      <w:pPr>
        <w:pageBreakBefore w:val="0"/>
        <w:widowControl w:val="0"/>
        <w:shd w:val="clear" w:color="auto" w:fill="auto"/>
        <w:kinsoku/>
        <w:wordWrap/>
        <w:overflowPunct/>
        <w:topLinePunct w:val="0"/>
        <w:bidi w:val="0"/>
        <w:snapToGrid w:val="0"/>
        <w:spacing w:line="400" w:lineRule="exact"/>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（5）材料价格中均包含材料原价、运杂费、采保费及检测试验费等。</w:t>
      </w:r>
    </w:p>
    <w:p w14:paraId="0D334723">
      <w:pPr>
        <w:pageBreakBefore w:val="0"/>
        <w:widowControl w:val="0"/>
        <w:shd w:val="clear" w:color="auto" w:fill="auto"/>
        <w:kinsoku/>
        <w:wordWrap/>
        <w:overflowPunct/>
        <w:topLinePunct w:val="0"/>
        <w:bidi w:val="0"/>
        <w:snapToGrid w:val="0"/>
        <w:spacing w:line="400" w:lineRule="exact"/>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（6）水电费由承包人按实承担。 </w:t>
      </w:r>
    </w:p>
    <w:p w14:paraId="6DB15682">
      <w:pPr>
        <w:pageBreakBefore w:val="0"/>
        <w:widowControl w:val="0"/>
        <w:shd w:val="clear" w:color="auto" w:fill="auto"/>
        <w:kinsoku/>
        <w:wordWrap/>
        <w:overflowPunct/>
        <w:topLinePunct w:val="0"/>
        <w:bidi w:val="0"/>
        <w:snapToGrid w:val="0"/>
        <w:spacing w:line="400" w:lineRule="exact"/>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7）新增加的材料单价原清单中已有的执行原清单；原清单中没有的，新增加的材料单价由发包人、承包人、监理单位和财政部门等有关部门共同确认单价。本工程的主要材料，发包人有提出更换的权力，因发包人提出材料变更导致材料产生差价的，发包人给予找补差价，但差价不再参与取费。也不计取规费及税金。</w:t>
      </w:r>
    </w:p>
    <w:p w14:paraId="3867F17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10.5承包人的合理化建议</w:t>
      </w:r>
    </w:p>
    <w:p w14:paraId="1C637C3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监理人审查承包人合理化建议的期限：</w:t>
      </w:r>
      <w:r>
        <w:rPr>
          <w:rFonts w:hint="eastAsia" w:ascii="仿宋" w:hAnsi="仿宋" w:eastAsia="仿宋" w:cs="仿宋"/>
          <w:b/>
          <w:color w:val="auto"/>
          <w:sz w:val="24"/>
          <w:szCs w:val="24"/>
          <w:highlight w:val="none"/>
          <w:u w:val="single"/>
        </w:rPr>
        <w:t xml:space="preserve">  7日内   </w:t>
      </w:r>
      <w:r>
        <w:rPr>
          <w:rFonts w:hint="eastAsia" w:ascii="仿宋" w:hAnsi="仿宋" w:eastAsia="仿宋" w:cs="仿宋"/>
          <w:color w:val="auto"/>
          <w:sz w:val="24"/>
          <w:szCs w:val="24"/>
          <w:highlight w:val="none"/>
        </w:rPr>
        <w:t xml:space="preserve">。  </w:t>
      </w:r>
    </w:p>
    <w:p w14:paraId="158991F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发包人审批承包人合理化建议的期限：</w:t>
      </w:r>
      <w:r>
        <w:rPr>
          <w:rFonts w:hint="eastAsia" w:ascii="仿宋" w:hAnsi="仿宋" w:eastAsia="仿宋" w:cs="仿宋"/>
          <w:b/>
          <w:color w:val="auto"/>
          <w:sz w:val="24"/>
          <w:szCs w:val="24"/>
          <w:highlight w:val="none"/>
          <w:u w:val="single"/>
        </w:rPr>
        <w:t>收到报送的建议7日内</w:t>
      </w:r>
      <w:r>
        <w:rPr>
          <w:rFonts w:hint="eastAsia" w:ascii="仿宋" w:hAnsi="仿宋" w:eastAsia="仿宋" w:cs="仿宋"/>
          <w:color w:val="auto"/>
          <w:sz w:val="24"/>
          <w:szCs w:val="24"/>
          <w:highlight w:val="none"/>
        </w:rPr>
        <w:t>。</w:t>
      </w:r>
    </w:p>
    <w:p w14:paraId="7FDD185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承包人提出的合理化建议降低了合同价格或者提高了工程经济效益的奖励的方法和金额为：</w:t>
      </w:r>
      <w:r>
        <w:rPr>
          <w:rFonts w:hint="eastAsia" w:ascii="仿宋" w:hAnsi="仿宋" w:eastAsia="仿宋" w:cs="仿宋"/>
          <w:color w:val="auto"/>
          <w:sz w:val="24"/>
          <w:szCs w:val="24"/>
          <w:highlight w:val="none"/>
          <w:u w:val="single"/>
        </w:rPr>
        <w:t xml:space="preserve">根据实际情况协商   </w:t>
      </w:r>
      <w:r>
        <w:rPr>
          <w:rFonts w:hint="eastAsia" w:ascii="仿宋" w:hAnsi="仿宋" w:eastAsia="仿宋" w:cs="仿宋"/>
          <w:color w:val="auto"/>
          <w:sz w:val="24"/>
          <w:szCs w:val="24"/>
          <w:highlight w:val="none"/>
        </w:rPr>
        <w:t>。</w:t>
      </w:r>
    </w:p>
    <w:p w14:paraId="172856F2">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10.7 暂估价</w:t>
      </w:r>
    </w:p>
    <w:p w14:paraId="7CD33E90">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暂估价材料和工程设备的明细详见《工程量清单报价</w:t>
      </w:r>
      <w:r>
        <w:rPr>
          <w:rFonts w:hint="eastAsia" w:ascii="仿宋" w:hAnsi="仿宋" w:eastAsia="仿宋" w:cs="仿宋"/>
          <w:color w:val="auto"/>
          <w:sz w:val="24"/>
          <w:szCs w:val="24"/>
          <w:highlight w:val="none"/>
        </w:rPr>
        <w:t>表》</w:t>
      </w:r>
      <w:r>
        <w:rPr>
          <w:rFonts w:hint="eastAsia" w:ascii="仿宋" w:hAnsi="仿宋" w:eastAsia="仿宋" w:cs="仿宋"/>
          <w:color w:val="auto"/>
          <w:kern w:val="0"/>
          <w:sz w:val="24"/>
          <w:szCs w:val="24"/>
          <w:highlight w:val="none"/>
        </w:rPr>
        <w:t>。</w:t>
      </w:r>
    </w:p>
    <w:p w14:paraId="1CD3486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10.7.1 依法必须招标的暂估价项目</w:t>
      </w:r>
    </w:p>
    <w:p w14:paraId="07F2DEA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对于依法必须招标的暂估价项目的确认和批准采取第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种方式确定。</w:t>
      </w:r>
    </w:p>
    <w:p w14:paraId="633094D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10.7.2 不属于依法必须招标的暂估价项目</w:t>
      </w:r>
    </w:p>
    <w:p w14:paraId="7F13A90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对于不属于依法必须招标的暂估价项目的确认和批准采取第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种方式确定。</w:t>
      </w:r>
    </w:p>
    <w:p w14:paraId="25E938C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第3种方式：</w:t>
      </w:r>
      <w:r>
        <w:rPr>
          <w:rFonts w:hint="eastAsia" w:ascii="仿宋" w:hAnsi="仿宋" w:eastAsia="仿宋" w:cs="仿宋"/>
          <w:color w:val="auto"/>
          <w:kern w:val="0"/>
          <w:sz w:val="24"/>
          <w:szCs w:val="24"/>
          <w:highlight w:val="none"/>
        </w:rPr>
        <w:t>承包人直接实施的暂估价项目</w:t>
      </w:r>
    </w:p>
    <w:p w14:paraId="7FE2999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承包人直接实施的暂估价项目的约定：</w:t>
      </w:r>
    </w:p>
    <w:p w14:paraId="22AD9801">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（1）</w:t>
      </w:r>
      <w:r>
        <w:rPr>
          <w:rFonts w:hint="eastAsia" w:ascii="仿宋" w:hAnsi="仿宋" w:eastAsia="仿宋" w:cs="仿宋"/>
          <w:b/>
          <w:color w:val="auto"/>
          <w:sz w:val="24"/>
          <w:szCs w:val="24"/>
          <w:highlight w:val="none"/>
          <w:u w:val="single"/>
        </w:rPr>
        <w:t>暂估价为材料费的项目，由承包人提供不少于3种同档次的材料，经发包人确认后样品进行封存，价格由发包人、承包人、财政部门共同确认。</w:t>
      </w:r>
    </w:p>
    <w:p w14:paraId="4DBBD204">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u w:val="single"/>
        </w:rPr>
        <w:t>（2）暂估价为包含施工费用，即可以核定为综合单价的项目，由承包人提供不少于3种同档次的材料，经发包人确认后样品进行封存，综合单价由发包人、承包人、财政部门共同确认</w:t>
      </w:r>
      <w:r>
        <w:rPr>
          <w:rFonts w:hint="eastAsia" w:ascii="仿宋" w:hAnsi="仿宋" w:eastAsia="仿宋" w:cs="仿宋"/>
          <w:bCs/>
          <w:color w:val="auto"/>
          <w:sz w:val="24"/>
          <w:szCs w:val="24"/>
          <w:highlight w:val="none"/>
        </w:rPr>
        <w:t>。</w:t>
      </w:r>
    </w:p>
    <w:p w14:paraId="7823BE4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10.8 暂列金额</w:t>
      </w:r>
    </w:p>
    <w:p w14:paraId="0F91BCF1">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合同当事人关于暂列金额使用的约定：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执行通用条款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B8F7CA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价格调整</w:t>
      </w:r>
    </w:p>
    <w:p w14:paraId="47BC2C57">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市场价格波动引起的调整</w:t>
      </w:r>
    </w:p>
    <w:p w14:paraId="5583C543">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市场价格波动是否调整合同价格的约定：</w:t>
      </w:r>
      <w:r>
        <w:rPr>
          <w:rFonts w:hint="eastAsia" w:ascii="仿宋" w:hAnsi="仿宋" w:eastAsia="仿宋" w:cs="仿宋"/>
          <w:b/>
          <w:color w:val="auto"/>
          <w:sz w:val="24"/>
          <w:szCs w:val="24"/>
          <w:highlight w:val="none"/>
          <w:u w:val="single"/>
        </w:rPr>
        <w:t>本工程合同期内发生的市场价格波动及政策性调价，均不调整合同价格</w:t>
      </w:r>
      <w:r>
        <w:rPr>
          <w:rFonts w:hint="eastAsia" w:ascii="仿宋" w:hAnsi="仿宋" w:eastAsia="仿宋" w:cs="仿宋"/>
          <w:bCs/>
          <w:color w:val="auto"/>
          <w:sz w:val="24"/>
          <w:szCs w:val="24"/>
          <w:highlight w:val="none"/>
        </w:rPr>
        <w:t>。</w:t>
      </w:r>
    </w:p>
    <w:p w14:paraId="419F58D6">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因市场价格波动调整合同价格，采用以下第</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种方式对合同价格进行调整：</w:t>
      </w:r>
    </w:p>
    <w:p w14:paraId="6ED7E1D2">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第1种方式：采用价格指数进行价格调整。</w:t>
      </w:r>
    </w:p>
    <w:p w14:paraId="7E89D4A5">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b/>
          <w:bCs/>
          <w:color w:val="auto"/>
          <w:sz w:val="24"/>
          <w:szCs w:val="24"/>
          <w:highlight w:val="none"/>
          <w:u w:val="single"/>
        </w:rPr>
      </w:pPr>
      <w:r>
        <w:rPr>
          <w:rFonts w:hint="eastAsia" w:ascii="仿宋" w:hAnsi="仿宋" w:eastAsia="仿宋" w:cs="仿宋"/>
          <w:color w:val="auto"/>
          <w:sz w:val="24"/>
          <w:szCs w:val="24"/>
          <w:highlight w:val="none"/>
        </w:rPr>
        <w:t>关于各可调因子、定值和变值权重，以及基本价格指数及其来源的约定：</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rPr>
        <w:t>。</w:t>
      </w:r>
    </w:p>
    <w:p w14:paraId="39A3520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第2种方式：采用造价信息进行价格调整。</w:t>
      </w:r>
    </w:p>
    <w:p w14:paraId="3DAFC31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（2）关于基准价格的约定：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4BAB83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%时，或材料单价跌幅以已标价工程量清单或预算书中载明材料单价为基础超过</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%时，其超过部分据实调整。</w:t>
      </w:r>
    </w:p>
    <w:p w14:paraId="38B0759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%时，材料单价涨幅以已标价工程量清单或预算书中载明材料单价为基础超过</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%时，其超过部分据实调整。</w:t>
      </w:r>
    </w:p>
    <w:p w14:paraId="6B8EF4FF">
      <w:pPr>
        <w:pageBreakBefore w:val="0"/>
        <w:widowControl w:val="0"/>
        <w:shd w:val="clear" w:color="auto" w:fill="auto"/>
        <w:kinsoku/>
        <w:wordWrap/>
        <w:overflowPunct/>
        <w:topLinePunct w:val="0"/>
        <w:bidi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%时，其超过部分据实调整。</w:t>
      </w:r>
    </w:p>
    <w:p w14:paraId="7595009A">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第3种方式：其他价格调整方式：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57A345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 合同价格、计量与支付</w:t>
      </w:r>
    </w:p>
    <w:p w14:paraId="0E55BAC3">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 合同价格形式</w:t>
      </w:r>
    </w:p>
    <w:p w14:paraId="153A62B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1、单价合同。</w:t>
      </w:r>
    </w:p>
    <w:p w14:paraId="54EC6ADC">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综合单价包含的风险范围：</w:t>
      </w:r>
      <w:r>
        <w:rPr>
          <w:rFonts w:hint="eastAsia" w:ascii="仿宋" w:hAnsi="仿宋" w:eastAsia="仿宋" w:cs="仿宋"/>
          <w:b/>
          <w:color w:val="auto"/>
          <w:sz w:val="24"/>
          <w:szCs w:val="24"/>
          <w:highlight w:val="none"/>
          <w:u w:val="single"/>
        </w:rPr>
        <w:t>材料价格波动、不可抗力以外的自然天气灾害等不可预见因素；投标报价时人工、材料、机械台班单价与工程实施时的差异；施工管理不当带来的人工、机械的窝工；材料使用不当带来的材料浪费等；管理不善带来的管理费超支；经营不善使得经济效益下降等。</w:t>
      </w:r>
    </w:p>
    <w:p w14:paraId="2FBE6FD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风险费用的计算方法：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D5B533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风险范围以外合同价格的调整方法：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90A44C">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预付款</w:t>
      </w:r>
    </w:p>
    <w:p w14:paraId="15E279B5">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预付款的支付</w:t>
      </w:r>
    </w:p>
    <w:p w14:paraId="38CD27F5">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预付款支付比例或额：</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C8961E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预付款支付限：</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95ACC3C">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预付款扣回的式：</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69D8D1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预付款担保</w:t>
      </w:r>
    </w:p>
    <w:p w14:paraId="48F2B27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承包人提交预付款担保的期限：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C16E3F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预付款担保的形式为：</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C82228C">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 计量</w:t>
      </w:r>
    </w:p>
    <w:p w14:paraId="6DAC8BD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12.3.1 计量原则</w:t>
      </w:r>
    </w:p>
    <w:p w14:paraId="4292F36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工程量计算规则：</w:t>
      </w:r>
      <w:r>
        <w:rPr>
          <w:rFonts w:hint="eastAsia" w:ascii="仿宋" w:hAnsi="仿宋" w:eastAsia="仿宋" w:cs="仿宋"/>
          <w:b/>
          <w:color w:val="auto"/>
          <w:sz w:val="24"/>
          <w:szCs w:val="24"/>
          <w:highlight w:val="none"/>
          <w:u w:val="single"/>
        </w:rPr>
        <w:t>按工程量清单编制说明规定的计算规则进行计算</w:t>
      </w:r>
      <w:r>
        <w:rPr>
          <w:rFonts w:hint="eastAsia" w:ascii="仿宋" w:hAnsi="仿宋" w:eastAsia="仿宋" w:cs="仿宋"/>
          <w:color w:val="auto"/>
          <w:sz w:val="24"/>
          <w:szCs w:val="24"/>
          <w:highlight w:val="none"/>
        </w:rPr>
        <w:t>。</w:t>
      </w:r>
    </w:p>
    <w:p w14:paraId="051A447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12.3.2 计量周期</w:t>
      </w:r>
    </w:p>
    <w:p w14:paraId="57A4EBE6">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关于计量周期的约定：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B7ACFAC">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12.3.3 单价合同的计量</w:t>
      </w:r>
    </w:p>
    <w:p w14:paraId="593DC7C6">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关于单价合同计量的约定：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工程量以设计图纸及招标工程量清单为准，单价以中标清单中综合单价为准。工程施工期间工程变更（工程量、主材单价）需经发包人、建设局、财政部门现场核实并批准后方可实施，无论施工过程中工程量如何发生变化，综合单价均不调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BC3007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12.3.4 总价合同的计量</w:t>
      </w:r>
    </w:p>
    <w:p w14:paraId="738FE64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关于总价合同计量的约定：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9DE74C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12.3.5总价合同采用支付分解表计量支付的，是否适用第</w:t>
      </w:r>
      <w:r>
        <w:rPr>
          <w:rFonts w:hint="eastAsia" w:ascii="仿宋" w:hAnsi="仿宋" w:eastAsia="仿宋" w:cs="仿宋"/>
          <w:color w:val="auto"/>
          <w:kern w:val="0"/>
          <w:sz w:val="24"/>
          <w:szCs w:val="24"/>
          <w:highlight w:val="none"/>
        </w:rPr>
        <w:t xml:space="preserve">12.3.4 </w:t>
      </w:r>
      <w:r>
        <w:rPr>
          <w:rFonts w:hint="eastAsia" w:ascii="仿宋" w:hAnsi="仿宋" w:eastAsia="仿宋" w:cs="仿宋"/>
          <w:color w:val="auto"/>
          <w:sz w:val="24"/>
          <w:szCs w:val="24"/>
          <w:highlight w:val="none"/>
        </w:rPr>
        <w:t>项</w:t>
      </w:r>
      <w:r>
        <w:rPr>
          <w:rFonts w:hint="eastAsia" w:ascii="仿宋" w:hAnsi="仿宋" w:eastAsia="仿宋" w:cs="仿宋"/>
          <w:color w:val="auto"/>
          <w:kern w:val="0"/>
          <w:sz w:val="24"/>
          <w:szCs w:val="24"/>
          <w:highlight w:val="none"/>
        </w:rPr>
        <w:t>〔总价合同的计量〕</w:t>
      </w:r>
      <w:r>
        <w:rPr>
          <w:rFonts w:hint="eastAsia" w:ascii="仿宋" w:hAnsi="仿宋" w:eastAsia="仿宋" w:cs="仿宋"/>
          <w:color w:val="auto"/>
          <w:sz w:val="24"/>
          <w:szCs w:val="24"/>
          <w:highlight w:val="none"/>
        </w:rPr>
        <w:t>约定进行计量：</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6BE295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12.3.6 其他价格形式合同的计量</w:t>
      </w:r>
    </w:p>
    <w:p w14:paraId="67B99B8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其他价格形式的计量方式和程序：</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D626B50">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 工程进度款支付</w:t>
      </w:r>
    </w:p>
    <w:p w14:paraId="10B7EBB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12.4.1 付款周期</w:t>
      </w:r>
    </w:p>
    <w:p w14:paraId="23B92E05">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关于付款周期的约定：</w:t>
      </w:r>
      <w:r>
        <w:rPr>
          <w:rFonts w:hint="eastAsia" w:ascii="仿宋" w:hAnsi="仿宋" w:eastAsia="仿宋" w:cs="仿宋"/>
          <w:b/>
          <w:color w:val="auto"/>
          <w:sz w:val="24"/>
          <w:szCs w:val="24"/>
          <w:highlight w:val="none"/>
          <w:u w:val="single"/>
          <w:lang w:eastAsia="zh-CN"/>
        </w:rPr>
        <w:t>按工程进度付款，工程竣工时拨付至工程款50%，工程竣工一年内最多付至工程款的60%，工程未审定结束前付款不超过70%，工程审定结束后付至审定金额的80%，余款2年付清（无息） 。</w:t>
      </w:r>
    </w:p>
    <w:p w14:paraId="67E50DC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12.4.2 进度付款申请单的编制</w:t>
      </w:r>
    </w:p>
    <w:p w14:paraId="1F188CC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关于进度付款申请单编制的约定：</w:t>
      </w:r>
      <w:r>
        <w:rPr>
          <w:rFonts w:hint="eastAsia" w:ascii="仿宋" w:hAnsi="仿宋" w:eastAsia="仿宋" w:cs="仿宋"/>
          <w:b/>
          <w:color w:val="auto"/>
          <w:sz w:val="24"/>
          <w:szCs w:val="24"/>
          <w:highlight w:val="none"/>
          <w:u w:val="single"/>
        </w:rPr>
        <w:t xml:space="preserve">由承包人按已完成的工程量，套用已中标综合单价计算 。 </w:t>
      </w:r>
    </w:p>
    <w:p w14:paraId="6C23D16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12.4.3 进度付款申请单的提交</w:t>
      </w:r>
    </w:p>
    <w:p w14:paraId="168C013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（1）单价合同进度付款申请单提交的约定：</w:t>
      </w:r>
      <w:r>
        <w:rPr>
          <w:rFonts w:hint="eastAsia" w:ascii="仿宋" w:hAnsi="仿宋" w:eastAsia="仿宋" w:cs="仿宋"/>
          <w:b/>
          <w:color w:val="auto"/>
          <w:sz w:val="24"/>
          <w:szCs w:val="24"/>
          <w:highlight w:val="none"/>
          <w:u w:val="single"/>
        </w:rPr>
        <w:t>提交二份，并附上已完成工程量报表和相关资料</w:t>
      </w:r>
      <w:r>
        <w:rPr>
          <w:rFonts w:hint="eastAsia" w:ascii="仿宋" w:hAnsi="仿宋" w:eastAsia="仿宋" w:cs="仿宋"/>
          <w:color w:val="auto"/>
          <w:sz w:val="24"/>
          <w:szCs w:val="24"/>
          <w:highlight w:val="none"/>
        </w:rPr>
        <w:t>。</w:t>
      </w:r>
    </w:p>
    <w:p w14:paraId="1287B8E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（2）总价合同进度付款申请单提交的约定：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87A9BFC">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（3）其他价格形式合同进度付款申请单提交的约定：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18E484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12.4.4 进度款审核和支付</w:t>
      </w:r>
    </w:p>
    <w:p w14:paraId="26AE6CA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（1）监理人审查并报送发包人的期限：</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sz w:val="24"/>
          <w:szCs w:val="24"/>
          <w:highlight w:val="none"/>
        </w:rPr>
        <w:t>。</w:t>
      </w:r>
    </w:p>
    <w:p w14:paraId="3A4B20C5">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kern w:val="0"/>
          <w:sz w:val="24"/>
          <w:szCs w:val="24"/>
          <w:highlight w:val="none"/>
          <w:u w:val="single"/>
        </w:rPr>
      </w:pPr>
      <w:r>
        <w:rPr>
          <w:rFonts w:hint="eastAsia" w:ascii="仿宋" w:hAnsi="仿宋" w:eastAsia="仿宋" w:cs="仿宋"/>
          <w:color w:val="auto"/>
          <w:sz w:val="24"/>
          <w:szCs w:val="24"/>
          <w:highlight w:val="none"/>
        </w:rPr>
        <w:t>发包人完成审批并签发进度款支付证书的期限：</w:t>
      </w:r>
      <w:r>
        <w:rPr>
          <w:rFonts w:hint="eastAsia" w:ascii="仿宋" w:hAnsi="仿宋" w:eastAsia="仿宋" w:cs="仿宋"/>
          <w:b/>
          <w:color w:val="auto"/>
          <w:kern w:val="0"/>
          <w:sz w:val="24"/>
          <w:szCs w:val="24"/>
          <w:highlight w:val="none"/>
          <w:u w:val="single"/>
        </w:rPr>
        <w:t>收到承包人进度付款申请单以及相关资料后委托造价咨询单位完成审核并提供进度造价审核书报发包人</w:t>
      </w:r>
      <w:r>
        <w:rPr>
          <w:rFonts w:hint="eastAsia" w:ascii="仿宋" w:hAnsi="仿宋" w:eastAsia="仿宋" w:cs="仿宋"/>
          <w:bCs/>
          <w:color w:val="auto"/>
          <w:kern w:val="0"/>
          <w:sz w:val="24"/>
          <w:szCs w:val="24"/>
          <w:highlight w:val="none"/>
        </w:rPr>
        <w:t>。</w:t>
      </w:r>
    </w:p>
    <w:p w14:paraId="35ABC3B6">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kern w:val="0"/>
          <w:sz w:val="24"/>
          <w:szCs w:val="24"/>
          <w:highlight w:val="none"/>
          <w:u w:val="single"/>
        </w:rPr>
      </w:pPr>
      <w:r>
        <w:rPr>
          <w:rFonts w:hint="eastAsia" w:ascii="仿宋" w:hAnsi="仿宋" w:eastAsia="仿宋" w:cs="仿宋"/>
          <w:color w:val="auto"/>
          <w:sz w:val="24"/>
          <w:szCs w:val="24"/>
          <w:highlight w:val="none"/>
        </w:rPr>
        <w:t>（2）发包人支付进度款的期限：</w:t>
      </w:r>
      <w:r>
        <w:rPr>
          <w:rFonts w:hint="eastAsia" w:ascii="仿宋" w:hAnsi="仿宋" w:eastAsia="仿宋" w:cs="仿宋"/>
          <w:b/>
          <w:color w:val="auto"/>
          <w:kern w:val="0"/>
          <w:sz w:val="24"/>
          <w:szCs w:val="24"/>
          <w:highlight w:val="none"/>
          <w:u w:val="single"/>
        </w:rPr>
        <w:t xml:space="preserve">  /  </w:t>
      </w:r>
      <w:r>
        <w:rPr>
          <w:rFonts w:hint="eastAsia" w:ascii="仿宋" w:hAnsi="仿宋" w:eastAsia="仿宋" w:cs="仿宋"/>
          <w:bCs/>
          <w:color w:val="auto"/>
          <w:kern w:val="0"/>
          <w:sz w:val="24"/>
          <w:szCs w:val="24"/>
          <w:highlight w:val="none"/>
        </w:rPr>
        <w:t>。</w:t>
      </w:r>
    </w:p>
    <w:p w14:paraId="2827112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发包人逾期支付进度款的违约金的计算方式：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87B52A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12.4.6 支付分解表的编制</w:t>
      </w:r>
    </w:p>
    <w:p w14:paraId="2839567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2、总价合同支付分解表的编制与审批：</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20604E0">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3、单价合同的总价项目支付分解表的编制与审批：</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3C42C9B">
      <w:pPr>
        <w:keepNext/>
        <w:keepLines/>
        <w:pageBreakBefore w:val="0"/>
        <w:widowControl w:val="0"/>
        <w:shd w:val="clear" w:color="auto" w:fill="auto"/>
        <w:kinsoku/>
        <w:wordWrap/>
        <w:overflowPunct/>
        <w:topLinePunct w:val="0"/>
        <w:bidi w:val="0"/>
        <w:snapToGrid w:val="0"/>
        <w:spacing w:line="400" w:lineRule="exact"/>
        <w:ind w:firstLine="480" w:firstLineChars="200"/>
        <w:outlineLvl w:val="4"/>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12.5农民工工资</w:t>
      </w:r>
    </w:p>
    <w:p w14:paraId="19AD2C3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12.5.2人工费支付方式</w:t>
      </w:r>
    </w:p>
    <w:p w14:paraId="1F8772A5">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人工费支付采用以下第</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b/>
          <w:bCs/>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rPr>
        <w:t xml:space="preserve">(4)  </w:t>
      </w:r>
      <w:r>
        <w:rPr>
          <w:rFonts w:hint="eastAsia" w:ascii="仿宋" w:hAnsi="仿宋" w:eastAsia="仿宋" w:cs="仿宋"/>
          <w:color w:val="auto"/>
          <w:kern w:val="0"/>
          <w:sz w:val="24"/>
          <w:szCs w:val="24"/>
          <w:highlight w:val="none"/>
        </w:rPr>
        <w:t>种方式：</w:t>
      </w:r>
    </w:p>
    <w:p w14:paraId="2B25C79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（1）一次性预付。在工程开工通知载明的开工日期前一次性将人工费（签约合同价的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%）全部支付至承包人农民工工资专用账户。</w:t>
      </w:r>
    </w:p>
    <w:p w14:paraId="2B5B050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（2）按月预付。在合同工期内，每月5日前将本月施工所需人工费（不低于该工程全部人工费按合同工期的月平均额）支付至承包人农民工工资专用账户。</w:t>
      </w:r>
    </w:p>
    <w:p w14:paraId="184B02DC">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（3）按节点预付。在分部分项工程开始施工前，将该分部分项工程施工所需人工费支付至承包人农民工工资专用账户。</w:t>
      </w:r>
    </w:p>
    <w:p w14:paraId="0F90A0B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（4）按月支付。发包人根据承包人每月提报的已完成施工产值中的人工费清单，按月将人工费支付至承包人农民工工资专用账户。</w:t>
      </w:r>
    </w:p>
    <w:p w14:paraId="51B2A830">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13. 验收和工程试车</w:t>
      </w:r>
    </w:p>
    <w:p w14:paraId="2748BFCD">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 分部分项工程验收</w:t>
      </w:r>
    </w:p>
    <w:p w14:paraId="6CB2A4D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13.1.2监理人不能按时进行验收时，应提前</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小时提交书面延期要求。</w:t>
      </w:r>
    </w:p>
    <w:p w14:paraId="707DDC6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关于延期最长不得超过：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w:t>
      </w:r>
    </w:p>
    <w:p w14:paraId="49EC503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 竣工验收</w:t>
      </w:r>
    </w:p>
    <w:p w14:paraId="5DCAED60">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13.2.2竣工验收程序</w:t>
      </w:r>
    </w:p>
    <w:p w14:paraId="75B4FE7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关于竣工验收程序的约定：</w:t>
      </w:r>
    </w:p>
    <w:p w14:paraId="7B1ABC39">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承包人按规范、设计文件等完成合同内的所有工作；全部工程（含资料）自检验收完毕后，向发包人提交竣工验收申请报告，按程序组织竣工验收 。</w:t>
      </w:r>
    </w:p>
    <w:p w14:paraId="05B54B51">
      <w:pPr>
        <w:pageBreakBefore w:val="0"/>
        <w:widowControl w:val="0"/>
        <w:shd w:val="clear" w:color="auto" w:fill="auto"/>
        <w:kinsoku/>
        <w:wordWrap/>
        <w:overflowPunct/>
        <w:topLinePunct w:val="0"/>
        <w:bidi w:val="0"/>
        <w:snapToGrid w:val="0"/>
        <w:spacing w:line="400" w:lineRule="exact"/>
        <w:ind w:firstLine="482"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承包人提供竣工图的约定:工程竣工验收前5日内向发包人提供完整的竣工资料、竣工图各两份。</w:t>
      </w:r>
    </w:p>
    <w:p w14:paraId="04F41D8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发包人不按照本项约定组织竣工验收、颁发工程接收证书的违约金的计算方法：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79D973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13.2.5移交、接收全部与部分工程</w:t>
      </w:r>
    </w:p>
    <w:p w14:paraId="7E66D99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承包人向发包人移交工程的期限：</w:t>
      </w:r>
      <w:r>
        <w:rPr>
          <w:rFonts w:hint="eastAsia" w:ascii="仿宋" w:hAnsi="仿宋" w:eastAsia="仿宋" w:cs="仿宋"/>
          <w:b/>
          <w:color w:val="auto"/>
          <w:kern w:val="0"/>
          <w:sz w:val="24"/>
          <w:szCs w:val="24"/>
          <w:highlight w:val="none"/>
          <w:u w:val="single"/>
        </w:rPr>
        <w:t>应当在</w:t>
      </w:r>
      <w:r>
        <w:rPr>
          <w:rFonts w:hint="eastAsia" w:ascii="仿宋" w:hAnsi="仿宋" w:eastAsia="仿宋" w:cs="仿宋"/>
          <w:b/>
          <w:color w:val="auto"/>
          <w:sz w:val="24"/>
          <w:szCs w:val="24"/>
          <w:highlight w:val="none"/>
          <w:u w:val="single"/>
        </w:rPr>
        <w:t>颁发工程接收证书后</w:t>
      </w:r>
      <w:r>
        <w:rPr>
          <w:rFonts w:hint="eastAsia" w:ascii="仿宋" w:hAnsi="仿宋" w:eastAsia="仿宋" w:cs="仿宋"/>
          <w:b/>
          <w:bCs/>
          <w:color w:val="auto"/>
          <w:sz w:val="24"/>
          <w:szCs w:val="24"/>
          <w:highlight w:val="none"/>
          <w:u w:val="single"/>
        </w:rPr>
        <w:t>发包人规定的时间</w:t>
      </w:r>
      <w:r>
        <w:rPr>
          <w:rFonts w:hint="eastAsia" w:ascii="仿宋" w:hAnsi="仿宋" w:eastAsia="仿宋" w:cs="仿宋"/>
          <w:b/>
          <w:color w:val="auto"/>
          <w:sz w:val="24"/>
          <w:szCs w:val="24"/>
          <w:highlight w:val="none"/>
          <w:u w:val="single"/>
        </w:rPr>
        <w:t>内完成工程的移交</w:t>
      </w:r>
      <w:r>
        <w:rPr>
          <w:rFonts w:hint="eastAsia" w:ascii="仿宋" w:hAnsi="仿宋" w:eastAsia="仿宋" w:cs="仿宋"/>
          <w:color w:val="auto"/>
          <w:sz w:val="24"/>
          <w:szCs w:val="24"/>
          <w:highlight w:val="none"/>
        </w:rPr>
        <w:t>。</w:t>
      </w:r>
    </w:p>
    <w:p w14:paraId="5D60DBB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发包人未按本合同约定接收全部或部分工程的，违约金的计算方法为：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D10F3C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承包人未按时移交工程的，违约金的计算方法为：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w:t>
      </w:r>
    </w:p>
    <w:p w14:paraId="66DE16C5">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13.3 工程试车</w:t>
      </w:r>
    </w:p>
    <w:p w14:paraId="51E6647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13.3.1 试车程序</w:t>
      </w:r>
    </w:p>
    <w:p w14:paraId="1BB0546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工程试车内容：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A4FC80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（1）单机无负荷试车费用由</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承担；</w:t>
      </w:r>
    </w:p>
    <w:p w14:paraId="0947BAE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（2）无负荷联动试车费用由</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承担。</w:t>
      </w:r>
    </w:p>
    <w:p w14:paraId="278EF78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13.3.3 投料试车</w:t>
      </w:r>
    </w:p>
    <w:p w14:paraId="0A1E0F4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关于投料试车相关事项的约定：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995AD9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13.6 竣工退场</w:t>
      </w:r>
    </w:p>
    <w:p w14:paraId="5F4C379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13.6.1 竣工退场</w:t>
      </w:r>
    </w:p>
    <w:p w14:paraId="4EC5AFB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承包人完成竣工退场的期限：</w:t>
      </w:r>
      <w:r>
        <w:rPr>
          <w:rFonts w:hint="eastAsia" w:ascii="仿宋" w:hAnsi="仿宋" w:eastAsia="仿宋" w:cs="仿宋"/>
          <w:b/>
          <w:color w:val="auto"/>
          <w:sz w:val="24"/>
          <w:szCs w:val="24"/>
          <w:highlight w:val="none"/>
          <w:u w:val="single"/>
        </w:rPr>
        <w:t xml:space="preserve">承包人移交工程后7天内 </w:t>
      </w:r>
      <w:r>
        <w:rPr>
          <w:rFonts w:hint="eastAsia" w:ascii="仿宋" w:hAnsi="仿宋" w:eastAsia="仿宋" w:cs="仿宋"/>
          <w:color w:val="auto"/>
          <w:sz w:val="24"/>
          <w:szCs w:val="24"/>
          <w:highlight w:val="none"/>
        </w:rPr>
        <w:t>。</w:t>
      </w:r>
    </w:p>
    <w:p w14:paraId="659DD830">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14. 竣工结算</w:t>
      </w:r>
    </w:p>
    <w:p w14:paraId="7358AFF7">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竣工结算申请</w:t>
      </w:r>
    </w:p>
    <w:p w14:paraId="794F846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承包人</w:t>
      </w:r>
      <w:r>
        <w:rPr>
          <w:rFonts w:hint="eastAsia" w:ascii="仿宋" w:hAnsi="仿宋" w:eastAsia="仿宋" w:cs="仿宋"/>
          <w:color w:val="auto"/>
          <w:sz w:val="24"/>
          <w:szCs w:val="24"/>
          <w:highlight w:val="none"/>
        </w:rPr>
        <w:t>提交竣工结算申请单的期限：</w:t>
      </w:r>
      <w:r>
        <w:rPr>
          <w:rFonts w:hint="eastAsia" w:ascii="仿宋" w:hAnsi="仿宋" w:eastAsia="仿宋" w:cs="仿宋"/>
          <w:b/>
          <w:color w:val="auto"/>
          <w:sz w:val="24"/>
          <w:szCs w:val="24"/>
          <w:highlight w:val="none"/>
          <w:u w:val="single"/>
        </w:rPr>
        <w:t>工程竣工验收合格后28天内向发包人提交竣工结算申请单</w:t>
      </w:r>
      <w:r>
        <w:rPr>
          <w:rFonts w:hint="eastAsia" w:ascii="仿宋" w:hAnsi="仿宋" w:eastAsia="仿宋" w:cs="仿宋"/>
          <w:bCs/>
          <w:color w:val="auto"/>
          <w:sz w:val="24"/>
          <w:szCs w:val="24"/>
          <w:highlight w:val="none"/>
        </w:rPr>
        <w:t xml:space="preserve">。    </w:t>
      </w:r>
    </w:p>
    <w:p w14:paraId="13CD279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竣工结算申请单应包括的内容：</w:t>
      </w:r>
      <w:r>
        <w:rPr>
          <w:rFonts w:hint="eastAsia" w:ascii="仿宋" w:hAnsi="仿宋" w:eastAsia="仿宋" w:cs="仿宋"/>
          <w:b/>
          <w:color w:val="auto"/>
          <w:sz w:val="24"/>
          <w:szCs w:val="24"/>
          <w:highlight w:val="none"/>
          <w:u w:val="single"/>
        </w:rPr>
        <w:t>变更、签证及通用条款14.1条之规定</w:t>
      </w:r>
      <w:r>
        <w:rPr>
          <w:rFonts w:hint="eastAsia" w:ascii="仿宋" w:hAnsi="仿宋" w:eastAsia="仿宋" w:cs="仿宋"/>
          <w:bCs/>
          <w:color w:val="auto"/>
          <w:sz w:val="24"/>
          <w:szCs w:val="24"/>
          <w:highlight w:val="none"/>
        </w:rPr>
        <w:t>。</w:t>
      </w:r>
    </w:p>
    <w:p w14:paraId="09707620">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 竣工结算审核</w:t>
      </w:r>
    </w:p>
    <w:p w14:paraId="6EB8D6B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发包人审批竣工付款申请单的期限：</w:t>
      </w:r>
      <w:r>
        <w:rPr>
          <w:rFonts w:hint="eastAsia" w:ascii="仿宋" w:hAnsi="仿宋" w:eastAsia="仿宋" w:cs="仿宋"/>
          <w:b/>
          <w:color w:val="auto"/>
          <w:sz w:val="24"/>
          <w:szCs w:val="24"/>
          <w:highlight w:val="none"/>
          <w:u w:val="single"/>
        </w:rPr>
        <w:t>承包人向发包人提交完整的竣工结算资料，发包人签收后，上报区财政部门,组织竣工结算审核工作。</w:t>
      </w:r>
    </w:p>
    <w:p w14:paraId="5F96853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关于竣工付款证书异议部分复核的方式和程序：</w:t>
      </w:r>
      <w:r>
        <w:rPr>
          <w:rFonts w:hint="eastAsia" w:ascii="仿宋" w:hAnsi="仿宋" w:eastAsia="仿宋" w:cs="仿宋"/>
          <w:b/>
          <w:color w:val="auto"/>
          <w:sz w:val="24"/>
          <w:szCs w:val="24"/>
          <w:highlight w:val="none"/>
          <w:u w:val="single"/>
        </w:rPr>
        <w:t>/</w:t>
      </w:r>
      <w:r>
        <w:rPr>
          <w:rFonts w:hint="eastAsia" w:ascii="仿宋" w:hAnsi="仿宋" w:eastAsia="仿宋" w:cs="仿宋"/>
          <w:b/>
          <w:bCs/>
          <w:color w:val="auto"/>
          <w:sz w:val="24"/>
          <w:szCs w:val="24"/>
          <w:highlight w:val="none"/>
          <w:u w:val="single"/>
        </w:rPr>
        <w:t>。</w:t>
      </w:r>
    </w:p>
    <w:p w14:paraId="2AEAEB2F">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 最终结清</w:t>
      </w:r>
    </w:p>
    <w:p w14:paraId="70D6442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14.4.1 最终结清申请单</w:t>
      </w:r>
    </w:p>
    <w:p w14:paraId="05B2E28C">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w:t>
      </w:r>
      <w:r>
        <w:rPr>
          <w:rFonts w:hint="eastAsia" w:ascii="仿宋" w:hAnsi="仿宋" w:eastAsia="仿宋" w:cs="仿宋"/>
          <w:color w:val="auto"/>
          <w:sz w:val="24"/>
          <w:szCs w:val="24"/>
          <w:highlight w:val="none"/>
        </w:rPr>
        <w:t>提交</w:t>
      </w:r>
      <w:r>
        <w:rPr>
          <w:rFonts w:hint="eastAsia" w:ascii="仿宋" w:hAnsi="仿宋" w:eastAsia="仿宋" w:cs="仿宋"/>
          <w:color w:val="auto"/>
          <w:kern w:val="0"/>
          <w:sz w:val="24"/>
          <w:szCs w:val="24"/>
          <w:highlight w:val="none"/>
        </w:rPr>
        <w:t>最终结清申请单的份数：</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二份</w:t>
      </w:r>
      <w:r>
        <w:rPr>
          <w:rFonts w:hint="eastAsia" w:ascii="仿宋" w:hAnsi="仿宋" w:eastAsia="仿宋" w:cs="仿宋"/>
          <w:color w:val="auto"/>
          <w:sz w:val="24"/>
          <w:szCs w:val="24"/>
          <w:highlight w:val="none"/>
          <w:u w:val="single"/>
        </w:rPr>
        <w:t>。</w:t>
      </w:r>
    </w:p>
    <w:p w14:paraId="599F089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w:t>
      </w:r>
      <w:r>
        <w:rPr>
          <w:rFonts w:hint="eastAsia" w:ascii="仿宋" w:hAnsi="仿宋" w:eastAsia="仿宋" w:cs="仿宋"/>
          <w:color w:val="auto"/>
          <w:sz w:val="24"/>
          <w:szCs w:val="24"/>
          <w:highlight w:val="none"/>
        </w:rPr>
        <w:t>提交</w:t>
      </w:r>
      <w:r>
        <w:rPr>
          <w:rFonts w:hint="eastAsia" w:ascii="仿宋" w:hAnsi="仿宋" w:eastAsia="仿宋" w:cs="仿宋"/>
          <w:color w:val="auto"/>
          <w:kern w:val="0"/>
          <w:sz w:val="24"/>
          <w:szCs w:val="24"/>
          <w:highlight w:val="none"/>
        </w:rPr>
        <w:t>最终结算申请单的期限：</w:t>
      </w:r>
      <w:r>
        <w:rPr>
          <w:rFonts w:hint="eastAsia" w:ascii="仿宋" w:hAnsi="仿宋" w:eastAsia="仿宋" w:cs="仿宋"/>
          <w:b/>
          <w:color w:val="auto"/>
          <w:sz w:val="24"/>
          <w:szCs w:val="24"/>
          <w:highlight w:val="none"/>
          <w:u w:val="single"/>
        </w:rPr>
        <w:t>执行通用条款</w:t>
      </w:r>
      <w:r>
        <w:rPr>
          <w:rFonts w:hint="eastAsia" w:ascii="仿宋" w:hAnsi="仿宋" w:eastAsia="仿宋" w:cs="仿宋"/>
          <w:color w:val="auto"/>
          <w:sz w:val="24"/>
          <w:szCs w:val="24"/>
          <w:highlight w:val="none"/>
        </w:rPr>
        <w:t xml:space="preserve">。 </w:t>
      </w:r>
    </w:p>
    <w:p w14:paraId="03C0A8D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14.4.2 最终结清证书和支付</w:t>
      </w:r>
    </w:p>
    <w:p w14:paraId="01366FA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（1）发包人完成最终结清申请单的审批并颁发最终结清证书的期限：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3E981E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（2）发包人完成支付的期限：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6688176">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14.5最终结清</w:t>
      </w:r>
    </w:p>
    <w:p w14:paraId="6559709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14.5.1最终结清申请单</w:t>
      </w:r>
    </w:p>
    <w:p w14:paraId="0A5AB1DC">
      <w:pPr>
        <w:pageBreakBefore w:val="0"/>
        <w:widowControl w:val="0"/>
        <w:shd w:val="clear" w:color="auto" w:fill="auto"/>
        <w:kinsoku/>
        <w:wordWrap/>
        <w:overflowPunct/>
        <w:topLinePunct w:val="0"/>
        <w:bidi w:val="0"/>
        <w:snapToGrid w:val="0"/>
        <w:spacing w:line="400" w:lineRule="exact"/>
        <w:ind w:firstLine="960" w:firstLineChars="400"/>
        <w:jc w:val="left"/>
        <w:rPr>
          <w:rFonts w:hint="eastAsia" w:ascii="仿宋" w:hAnsi="仿宋" w:eastAsia="仿宋" w:cs="仿宋"/>
          <w:b/>
          <w:bCs/>
          <w:color w:val="auto"/>
          <w:sz w:val="24"/>
          <w:szCs w:val="24"/>
          <w:highlight w:val="none"/>
          <w:u w:val="single"/>
        </w:rPr>
      </w:pPr>
      <w:r>
        <w:rPr>
          <w:rFonts w:hint="eastAsia" w:ascii="仿宋" w:hAnsi="仿宋" w:eastAsia="仿宋" w:cs="仿宋"/>
          <w:color w:val="auto"/>
          <w:sz w:val="24"/>
          <w:szCs w:val="24"/>
          <w:highlight w:val="none"/>
        </w:rPr>
        <w:t>承包人提交最终结清申请单的份数：</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2份  。</w:t>
      </w:r>
    </w:p>
    <w:p w14:paraId="0C81152A">
      <w:pPr>
        <w:keepNext/>
        <w:keepLines/>
        <w:pageBreakBefore w:val="0"/>
        <w:widowControl w:val="0"/>
        <w:shd w:val="clear" w:color="auto" w:fill="auto"/>
        <w:kinsoku/>
        <w:wordWrap/>
        <w:overflowPunct/>
        <w:topLinePunct w:val="0"/>
        <w:bidi w:val="0"/>
        <w:snapToGrid w:val="0"/>
        <w:spacing w:line="400" w:lineRule="exact"/>
        <w:ind w:firstLine="960" w:firstLineChars="400"/>
        <w:outlineLvl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承包人提交最终结算申请单的期限：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p>
    <w:p w14:paraId="2806C498">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15. 缺陷责任期与保修。</w:t>
      </w:r>
    </w:p>
    <w:p w14:paraId="5AC08744">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15.2缺陷责任期</w:t>
      </w:r>
    </w:p>
    <w:p w14:paraId="6767C51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缺陷责任期的具体期限：</w:t>
      </w:r>
      <w:r>
        <w:rPr>
          <w:rFonts w:hint="eastAsia" w:ascii="仿宋" w:hAnsi="仿宋" w:eastAsia="仿宋" w:cs="仿宋"/>
          <w:b/>
          <w:color w:val="auto"/>
          <w:sz w:val="24"/>
          <w:szCs w:val="24"/>
          <w:highlight w:val="none"/>
          <w:u w:val="single"/>
        </w:rPr>
        <w:t xml:space="preserve">执行《工程质量保修书》 </w:t>
      </w:r>
      <w:r>
        <w:rPr>
          <w:rFonts w:hint="eastAsia" w:ascii="仿宋" w:hAnsi="仿宋" w:eastAsia="仿宋" w:cs="仿宋"/>
          <w:b/>
          <w:color w:val="auto"/>
          <w:sz w:val="24"/>
          <w:szCs w:val="24"/>
          <w:highlight w:val="none"/>
        </w:rPr>
        <w:t>。</w:t>
      </w:r>
    </w:p>
    <w:p w14:paraId="78F280A9">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 质量保证金</w:t>
      </w:r>
    </w:p>
    <w:p w14:paraId="274E1A2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关于是否扣留质量保证金的约定：</w:t>
      </w:r>
      <w:r>
        <w:rPr>
          <w:rFonts w:hint="eastAsia" w:ascii="仿宋" w:hAnsi="仿宋" w:eastAsia="仿宋" w:cs="仿宋"/>
          <w:b/>
          <w:color w:val="auto"/>
          <w:sz w:val="24"/>
          <w:szCs w:val="24"/>
          <w:highlight w:val="none"/>
          <w:u w:val="single"/>
        </w:rPr>
        <w:t xml:space="preserve">   扣留   </w:t>
      </w:r>
      <w:r>
        <w:rPr>
          <w:rFonts w:hint="eastAsia" w:ascii="仿宋" w:hAnsi="仿宋" w:eastAsia="仿宋" w:cs="仿宋"/>
          <w:color w:val="auto"/>
          <w:sz w:val="24"/>
          <w:szCs w:val="24"/>
          <w:highlight w:val="none"/>
        </w:rPr>
        <w:t>。</w:t>
      </w:r>
    </w:p>
    <w:p w14:paraId="48BA1BC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15.3.1 承包人提供质量保证金的方式</w:t>
      </w:r>
    </w:p>
    <w:p w14:paraId="703611F5">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质量保证金采用以下第</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w:t>
      </w:r>
    </w:p>
    <w:p w14:paraId="3A1FD366">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（1）质量保证金保函，保证金额为：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4AAB718D">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（2）工程结算额的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b/>
          <w:color w:val="auto"/>
          <w:kern w:val="0"/>
          <w:sz w:val="24"/>
          <w:szCs w:val="24"/>
          <w:highlight w:val="none"/>
          <w:u w:val="single"/>
        </w:rPr>
        <w:t xml:space="preserve"> 3   </w:t>
      </w:r>
      <w:r>
        <w:rPr>
          <w:rFonts w:hint="eastAsia" w:ascii="仿宋" w:hAnsi="仿宋" w:eastAsia="仿宋" w:cs="仿宋"/>
          <w:color w:val="auto"/>
          <w:kern w:val="0"/>
          <w:sz w:val="24"/>
          <w:szCs w:val="24"/>
          <w:highlight w:val="none"/>
        </w:rPr>
        <w:t>%的工程款；</w:t>
      </w:r>
    </w:p>
    <w:p w14:paraId="514FAD09">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（3）其他方式: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1D8755D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15.3.2 质量保证金的扣留 </w:t>
      </w:r>
    </w:p>
    <w:p w14:paraId="1280E29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质量保证金的扣留采取以下第</w:t>
      </w:r>
      <w:r>
        <w:rPr>
          <w:rFonts w:hint="eastAsia" w:ascii="仿宋" w:hAnsi="仿宋" w:eastAsia="仿宋" w:cs="仿宋"/>
          <w:b/>
          <w:color w:val="auto"/>
          <w:sz w:val="24"/>
          <w:szCs w:val="24"/>
          <w:highlight w:val="none"/>
          <w:u w:val="singl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w:t>
      </w:r>
    </w:p>
    <w:p w14:paraId="34418686">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（1）在支付工程进度款时逐次扣留，在此情形下，质量保证金的计算基数不包括预付款的支付、扣回以及价格调整的金额；</w:t>
      </w:r>
    </w:p>
    <w:p w14:paraId="6866294F">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（2）工程竣工结算时一次性扣留质量保证金 ；</w:t>
      </w:r>
    </w:p>
    <w:p w14:paraId="4FF72C6A">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（3）其他扣留方式: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5DC49B3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关于质量保证金的补充约定：</w:t>
      </w:r>
      <w:r>
        <w:rPr>
          <w:rFonts w:hint="eastAsia" w:ascii="仿宋" w:hAnsi="仿宋" w:eastAsia="仿宋" w:cs="仿宋"/>
          <w:color w:val="auto"/>
          <w:sz w:val="24"/>
          <w:szCs w:val="24"/>
          <w:highlight w:val="none"/>
          <w:u w:val="single"/>
        </w:rPr>
        <w:t xml:space="preserve">    </w:t>
      </w:r>
    </w:p>
    <w:p w14:paraId="541EDEE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15.4保修</w:t>
      </w:r>
    </w:p>
    <w:p w14:paraId="6939E26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15.4.1 保修责任</w:t>
      </w:r>
    </w:p>
    <w:p w14:paraId="2678C69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工程保修期为：</w:t>
      </w:r>
      <w:r>
        <w:rPr>
          <w:rFonts w:hint="eastAsia" w:ascii="仿宋" w:hAnsi="仿宋" w:eastAsia="仿宋" w:cs="仿宋"/>
          <w:b/>
          <w:color w:val="auto"/>
          <w:kern w:val="0"/>
          <w:sz w:val="24"/>
          <w:szCs w:val="24"/>
          <w:highlight w:val="none"/>
          <w:u w:val="single"/>
        </w:rPr>
        <w:t>详见《工程质量保修书》</w:t>
      </w:r>
      <w:r>
        <w:rPr>
          <w:rFonts w:hint="eastAsia" w:ascii="仿宋" w:hAnsi="仿宋" w:eastAsia="仿宋" w:cs="仿宋"/>
          <w:color w:val="auto"/>
          <w:kern w:val="0"/>
          <w:sz w:val="24"/>
          <w:szCs w:val="24"/>
          <w:highlight w:val="none"/>
        </w:rPr>
        <w:t>。</w:t>
      </w:r>
    </w:p>
    <w:p w14:paraId="72FC064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15.4.3 修复通知</w:t>
      </w:r>
    </w:p>
    <w:p w14:paraId="08FF6AC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承包人收到保修通知并到达工程现场的合理时间：</w:t>
      </w:r>
      <w:r>
        <w:rPr>
          <w:rFonts w:hint="eastAsia" w:ascii="仿宋" w:hAnsi="仿宋" w:eastAsia="仿宋" w:cs="仿宋"/>
          <w:b/>
          <w:color w:val="auto"/>
          <w:kern w:val="0"/>
          <w:sz w:val="24"/>
          <w:szCs w:val="24"/>
          <w:highlight w:val="none"/>
          <w:u w:val="single"/>
        </w:rPr>
        <w:t>详见《工程质量保修书》</w:t>
      </w:r>
      <w:r>
        <w:rPr>
          <w:rFonts w:hint="eastAsia" w:ascii="仿宋" w:hAnsi="仿宋" w:eastAsia="仿宋" w:cs="仿宋"/>
          <w:color w:val="auto"/>
          <w:kern w:val="0"/>
          <w:sz w:val="24"/>
          <w:szCs w:val="24"/>
          <w:highlight w:val="none"/>
        </w:rPr>
        <w:t xml:space="preserve">。 </w:t>
      </w:r>
    </w:p>
    <w:p w14:paraId="5361F97D">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16. 违约</w:t>
      </w:r>
    </w:p>
    <w:p w14:paraId="292566B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发包人违约</w:t>
      </w:r>
    </w:p>
    <w:p w14:paraId="0D95DC5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16.1.1发包人违约的情形</w:t>
      </w:r>
    </w:p>
    <w:p w14:paraId="751F1AE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发包人违约的其他情形：</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8EAC76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16.1.2 发包人违约的责任</w:t>
      </w:r>
    </w:p>
    <w:p w14:paraId="7DCC8C06">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发包人违约责任的承担方式和计算方法：</w:t>
      </w:r>
    </w:p>
    <w:p w14:paraId="0CD9229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（1）因发包人原因未能在计划开工日期前7天内下达开工通知的违约责任：</w:t>
      </w:r>
      <w:r>
        <w:rPr>
          <w:rFonts w:hint="eastAsia" w:ascii="仿宋" w:hAnsi="仿宋" w:eastAsia="仿宋" w:cs="仿宋"/>
          <w:b/>
          <w:color w:val="auto"/>
          <w:sz w:val="24"/>
          <w:szCs w:val="24"/>
          <w:highlight w:val="none"/>
          <w:u w:val="single"/>
        </w:rPr>
        <w:t>工期顺延</w:t>
      </w:r>
      <w:r>
        <w:rPr>
          <w:rFonts w:hint="eastAsia" w:ascii="仿宋" w:hAnsi="仿宋" w:eastAsia="仿宋" w:cs="仿宋"/>
          <w:color w:val="auto"/>
          <w:sz w:val="24"/>
          <w:szCs w:val="24"/>
          <w:highlight w:val="none"/>
        </w:rPr>
        <w:t>。</w:t>
      </w:r>
    </w:p>
    <w:p w14:paraId="09B94C0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（2）因发包人原因未能按合同约定支付合同价款的违约责任：</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575CCE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（3）发包人违反第10.1款〔变更的范围〕第（2）项约定，自行实施被取消的工作或转由他人实施的违约责任：</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BAF5096">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842C55C">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（5）因发包人违反合同约定造成暂停施工的违约责任：</w:t>
      </w:r>
      <w:r>
        <w:rPr>
          <w:rFonts w:hint="eastAsia" w:ascii="仿宋" w:hAnsi="仿宋" w:eastAsia="仿宋" w:cs="仿宋"/>
          <w:b/>
          <w:color w:val="auto"/>
          <w:kern w:val="0"/>
          <w:sz w:val="24"/>
          <w:szCs w:val="24"/>
          <w:highlight w:val="none"/>
          <w:u w:val="single"/>
        </w:rPr>
        <w:t>工期顺延</w:t>
      </w:r>
      <w:r>
        <w:rPr>
          <w:rFonts w:hint="eastAsia" w:ascii="仿宋" w:hAnsi="仿宋" w:eastAsia="仿宋" w:cs="仿宋"/>
          <w:color w:val="auto"/>
          <w:sz w:val="24"/>
          <w:szCs w:val="24"/>
          <w:highlight w:val="none"/>
        </w:rPr>
        <w:t>。</w:t>
      </w:r>
    </w:p>
    <w:p w14:paraId="7819A5E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（6）发包人无正当理由没有在约定期限内发出复工指示，导致承包人无法复工的违约责任：</w:t>
      </w:r>
      <w:r>
        <w:rPr>
          <w:rFonts w:hint="eastAsia" w:ascii="仿宋" w:hAnsi="仿宋" w:eastAsia="仿宋" w:cs="仿宋"/>
          <w:b/>
          <w:color w:val="auto"/>
          <w:kern w:val="0"/>
          <w:sz w:val="24"/>
          <w:szCs w:val="24"/>
          <w:highlight w:val="none"/>
          <w:u w:val="single"/>
        </w:rPr>
        <w:t>工期顺延</w:t>
      </w:r>
      <w:r>
        <w:rPr>
          <w:rFonts w:hint="eastAsia" w:ascii="仿宋" w:hAnsi="仿宋" w:eastAsia="仿宋" w:cs="仿宋"/>
          <w:color w:val="auto"/>
          <w:kern w:val="0"/>
          <w:sz w:val="24"/>
          <w:szCs w:val="24"/>
          <w:highlight w:val="none"/>
        </w:rPr>
        <w:t>。</w:t>
      </w:r>
    </w:p>
    <w:p w14:paraId="62303C1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（7）其他：</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490F114E">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16.1.3 因发包人违约解除合同</w:t>
      </w:r>
    </w:p>
    <w:p w14:paraId="6197A2B0">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承包人按16.1.1项〔发包人违约的情形〕约定暂停施工满</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天后发包人仍不纠正其违约行为并致使合同目的不能实现的，承包人有权解除合同。</w:t>
      </w:r>
    </w:p>
    <w:p w14:paraId="7577A821">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承包人违约</w:t>
      </w:r>
    </w:p>
    <w:p w14:paraId="702084F2">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16.2.1 承包人违约的情形</w:t>
      </w:r>
    </w:p>
    <w:p w14:paraId="14D3B84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承包人违约的其他情形：</w:t>
      </w:r>
      <w:r>
        <w:rPr>
          <w:rFonts w:hint="eastAsia" w:ascii="仿宋" w:hAnsi="仿宋" w:eastAsia="仿宋" w:cs="仿宋"/>
          <w:color w:val="auto"/>
          <w:kern w:val="0"/>
          <w:sz w:val="24"/>
          <w:szCs w:val="24"/>
          <w:highlight w:val="none"/>
          <w:u w:val="single"/>
        </w:rPr>
        <w:t>如达不到约定质量标准，处以合同总额5%的罚款，承包人应采取返工、修理等补救措施使工程质量达到约定的质量标准，并承担所支付的一切费用。经返工、修理等补救措施仍达不到约定的质量标准，处以合同总额5%的罚款，因此给发包人造成相应损失由承包人承担 。</w:t>
      </w:r>
    </w:p>
    <w:p w14:paraId="0EE32CE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16.2.2承包人违约的责任</w:t>
      </w:r>
    </w:p>
    <w:p w14:paraId="4C00E49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承包人违约责任的承担方式和计算方法：</w:t>
      </w:r>
      <w:r>
        <w:rPr>
          <w:rFonts w:hint="eastAsia" w:ascii="仿宋" w:hAnsi="仿宋" w:eastAsia="仿宋" w:cs="仿宋"/>
          <w:color w:val="auto"/>
          <w:kern w:val="0"/>
          <w:sz w:val="24"/>
          <w:szCs w:val="24"/>
          <w:highlight w:val="none"/>
          <w:u w:val="single"/>
        </w:rPr>
        <w:t>非经发包人认可，因承包人原因造成工期延误，每延误一天承担工程总造价5%的罚款。延误时间致使工程不能投入使用的，发包人可追加罚款、停止付款及终止合同，而不承担责任 。</w:t>
      </w:r>
    </w:p>
    <w:p w14:paraId="6028AA3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16.2.3 因承包人违约解除合同</w:t>
      </w:r>
    </w:p>
    <w:p w14:paraId="7D4EA54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关于承包人违约解除合同的特别约定：</w:t>
      </w:r>
      <w:r>
        <w:rPr>
          <w:rFonts w:hint="eastAsia" w:ascii="仿宋" w:hAnsi="仿宋" w:eastAsia="仿宋" w:cs="仿宋"/>
          <w:color w:val="auto"/>
          <w:kern w:val="0"/>
          <w:sz w:val="24"/>
          <w:szCs w:val="24"/>
          <w:highlight w:val="none"/>
          <w:u w:val="single"/>
        </w:rPr>
        <w:t>在施工过程中，如果发包人认为本合同工程或其任何部分的进度过慢，或者工程质量无任何保证，因而不能按预定的工期竣工并达到预定的质量标准，则发包人可将此情况通知承包人并提出警告，承包人应据此采取总监同意的措施，以便加快工程进度和保证工程质量，承包人无权要求为了采取这些措施而相应支付任何附加费用，如承包人对发包人的上述警告无积极改正，则发包人将视情节轻重对其进行处罚。</w:t>
      </w:r>
    </w:p>
    <w:p w14:paraId="13E7118C">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7D8E4A9C">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17. 不可抗力 </w:t>
      </w:r>
    </w:p>
    <w:p w14:paraId="089B5CA8">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 不可抗力的确认</w:t>
      </w:r>
    </w:p>
    <w:p w14:paraId="19831AFF">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除通用合同条款约定的不可抗力事件之外，视为不可抗力的其他情形</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u w:val="single"/>
        </w:rPr>
        <w:t>五级以上的地震、大于等于6级4小时以上的大风、200mm以上的雨雪、十年来未发生的洪水、高温、高旱天气、国家法定的传染病等。</w:t>
      </w:r>
    </w:p>
    <w:p w14:paraId="258F1101">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17.4 因不可抗力解除合同</w:t>
      </w:r>
    </w:p>
    <w:p w14:paraId="751BC56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合同解除后，发包人应在商定或确定发包人应支付款项后</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bCs/>
          <w:color w:val="auto"/>
          <w:kern w:val="0"/>
          <w:sz w:val="24"/>
          <w:szCs w:val="24"/>
          <w:highlight w:val="none"/>
          <w:u w:val="single"/>
        </w:rPr>
        <w:t>60</w:t>
      </w:r>
      <w:r>
        <w:rPr>
          <w:rFonts w:hint="eastAsia" w:ascii="仿宋" w:hAnsi="仿宋" w:eastAsia="仿宋" w:cs="仿宋"/>
          <w:color w:val="auto"/>
          <w:sz w:val="24"/>
          <w:szCs w:val="24"/>
          <w:highlight w:val="none"/>
        </w:rPr>
        <w:t>天内完成款项的支付。</w:t>
      </w:r>
    </w:p>
    <w:p w14:paraId="35F12575">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18. 保险</w:t>
      </w:r>
    </w:p>
    <w:p w14:paraId="5C51B31F">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18.1 工程保险</w:t>
      </w:r>
    </w:p>
    <w:p w14:paraId="37FEE408">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关于工程保险的特别约定：</w:t>
      </w:r>
      <w:r>
        <w:rPr>
          <w:rFonts w:hint="eastAsia" w:ascii="仿宋" w:hAnsi="仿宋" w:eastAsia="仿宋" w:cs="仿宋"/>
          <w:b/>
          <w:color w:val="auto"/>
          <w:sz w:val="24"/>
          <w:szCs w:val="24"/>
          <w:highlight w:val="none"/>
          <w:u w:val="single"/>
        </w:rPr>
        <w:t>施工过程中的一切保险均由承包人自行投保并承担费用。</w:t>
      </w:r>
    </w:p>
    <w:p w14:paraId="3B8F5B7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18.3 其他保险</w:t>
      </w:r>
    </w:p>
    <w:p w14:paraId="3CFD91F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关于其他保险的约定：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00E19E05">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承包人是否应为其施工设备等办理财产保险：</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27CDFDE9">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18.7 通知义务</w:t>
      </w:r>
    </w:p>
    <w:p w14:paraId="08C24FC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关于变更保险合同时的通知义务的约定：</w:t>
      </w:r>
      <w:r>
        <w:rPr>
          <w:rFonts w:hint="eastAsia" w:ascii="仿宋" w:hAnsi="仿宋" w:eastAsia="仿宋" w:cs="仿宋"/>
          <w:b/>
          <w:color w:val="auto"/>
          <w:sz w:val="24"/>
          <w:szCs w:val="24"/>
          <w:highlight w:val="none"/>
          <w:u w:val="single"/>
        </w:rPr>
        <w:t>执行通用条款18.7条规定</w:t>
      </w:r>
      <w:r>
        <w:rPr>
          <w:rFonts w:hint="eastAsia" w:ascii="仿宋" w:hAnsi="仿宋" w:eastAsia="仿宋" w:cs="仿宋"/>
          <w:color w:val="auto"/>
          <w:sz w:val="24"/>
          <w:szCs w:val="24"/>
          <w:highlight w:val="none"/>
        </w:rPr>
        <w:t>。</w:t>
      </w:r>
    </w:p>
    <w:p w14:paraId="6B1FC971">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20. 争议解决</w:t>
      </w:r>
    </w:p>
    <w:p w14:paraId="626BD0EB">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20.3 争议评审</w:t>
      </w:r>
    </w:p>
    <w:p w14:paraId="183CE085">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合同当事人是否同意将工程争议提交争议评审小组决定：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66A722B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20.3.1 争议评审小组的确定</w:t>
      </w:r>
    </w:p>
    <w:p w14:paraId="34DB533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争议评审小组成员的确定：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6EAEAF4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选定争议评审员的期限：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3937C3B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争议评审小组成员的报酬承担方式：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0E94925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其他事项的约定：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6FDA19EC">
      <w:pPr>
        <w:pageBreakBefore w:val="0"/>
        <w:widowControl w:val="0"/>
        <w:shd w:val="clear" w:color="auto" w:fill="auto"/>
        <w:kinsoku/>
        <w:wordWrap/>
        <w:overflowPunct/>
        <w:topLinePunct w:val="0"/>
        <w:autoSpaceDE w:val="0"/>
        <w:autoSpaceDN w:val="0"/>
        <w:bidi w:val="0"/>
        <w:adjustRightInd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20.3.2 争议评审小组的决定</w:t>
      </w:r>
    </w:p>
    <w:p w14:paraId="0F4972E4">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合同当事人关于本项的约定：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700656CA">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20.4仲裁或诉讼</w:t>
      </w:r>
    </w:p>
    <w:p w14:paraId="31176DCC">
      <w:pPr>
        <w:pageBreakBefore w:val="0"/>
        <w:widowControl w:val="0"/>
        <w:shd w:val="clear" w:color="auto" w:fill="auto"/>
        <w:kinsoku/>
        <w:wordWrap/>
        <w:overflowPunct/>
        <w:topLinePunct w:val="0"/>
        <w:bidi w:val="0"/>
        <w:snapToGrid w:val="0"/>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种方式解决：</w:t>
      </w:r>
    </w:p>
    <w:p w14:paraId="4E05274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仲裁委员会申请仲裁；</w:t>
      </w:r>
    </w:p>
    <w:p w14:paraId="0215ED21">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工程所在地</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color w:val="auto"/>
          <w:sz w:val="24"/>
          <w:szCs w:val="24"/>
          <w:highlight w:val="none"/>
        </w:rPr>
        <w:t>人民法院起诉。</w:t>
      </w:r>
    </w:p>
    <w:p w14:paraId="3B2C4283">
      <w:pPr>
        <w:keepNext/>
        <w:keepLines/>
        <w:pageBreakBefore w:val="0"/>
        <w:widowControl w:val="0"/>
        <w:shd w:val="clear" w:color="auto" w:fill="auto"/>
        <w:kinsoku/>
        <w:wordWrap/>
        <w:overflowPunct/>
        <w:topLinePunct w:val="0"/>
        <w:bidi w:val="0"/>
        <w:snapToGrid w:val="0"/>
        <w:spacing w:line="400" w:lineRule="exact"/>
        <w:ind w:firstLine="480" w:firstLineChars="200"/>
        <w:outlineLvl w:val="3"/>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21．补充条款:</w:t>
      </w:r>
    </w:p>
    <w:p w14:paraId="3AC05337">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21.1 投标单位应认真自行踏勘工程现场。中标后，投标单位无权因现场调查不详而修改有关文件或要求予以补偿。</w:t>
      </w:r>
    </w:p>
    <w:p w14:paraId="68056C9B">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21.3因承包人原因，施工过程中未按进度计划施工，未达到进度控制点，发包人有权对承包人作出相应的处罚，保留终止合同的权利。</w:t>
      </w:r>
    </w:p>
    <w:p w14:paraId="138CD5A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21.4发包人鼓励承包人使用新材料新工艺，但须经发包人和监理单位确认后实施。</w:t>
      </w:r>
    </w:p>
    <w:p w14:paraId="1AFB8023">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21.5本工程所有检测均由承包人负责，并承担全部费用，包括但不限于原材料、主体验收、竣工验收等。</w:t>
      </w:r>
    </w:p>
    <w:p w14:paraId="5A7C58ED">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承包人在施工过程中，不得对公用道路、公共公用设施、公用便道、公众便利及他人财产的占用造成干扰和破坏，同时应保证发包人免于受到与之相关的索赔、诉讼、损害赔偿等。若施工过程中造成公用道路、地下管线等公用设施破坏，施工企业应自行负责修复。</w:t>
      </w:r>
    </w:p>
    <w:p w14:paraId="3D3A0C06">
      <w:pPr>
        <w:pageBreakBefore w:val="0"/>
        <w:widowControl w:val="0"/>
        <w:shd w:val="clear" w:color="auto" w:fill="auto"/>
        <w:kinsoku/>
        <w:wordWrap/>
        <w:overflowPunct/>
        <w:topLinePunct w:val="0"/>
        <w:bidi w:val="0"/>
        <w:snapToGrid w:val="0"/>
        <w:spacing w:line="4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承包人有责任在工程中间验收、竣工验收、档案验收过程中为发包人提供与政府相关部门的沟通与协调服务，并协助发包人办理相应手续，并负责对分包单位施工现场质量、安全、进度等有关方面的管理以及竣工资料汇总确认。</w:t>
      </w:r>
    </w:p>
    <w:p w14:paraId="178644B2">
      <w:pPr>
        <w:keepNext/>
        <w:keepLines/>
        <w:shd w:val="clear" w:color="auto" w:fill="auto"/>
        <w:spacing w:line="440" w:lineRule="exact"/>
        <w:ind w:firstLine="480" w:firstLineChars="200"/>
        <w:outlineLvl w:val="3"/>
        <w:rPr>
          <w:rFonts w:hint="eastAsia" w:ascii="仿宋" w:hAnsi="仿宋" w:eastAsia="仿宋" w:cs="仿宋"/>
          <w:bCs/>
          <w:color w:val="auto"/>
          <w:sz w:val="24"/>
          <w:szCs w:val="24"/>
          <w:highlight w:val="none"/>
        </w:rPr>
      </w:pPr>
    </w:p>
    <w:p w14:paraId="0E45FF78">
      <w:pPr>
        <w:shd w:val="clear" w:color="auto" w:fill="auto"/>
        <w:spacing w:line="480" w:lineRule="exact"/>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b/>
          <w:color w:val="auto"/>
          <w:sz w:val="24"/>
          <w:szCs w:val="24"/>
          <w:highlight w:val="none"/>
        </w:rPr>
        <w:t>附件</w:t>
      </w:r>
    </w:p>
    <w:p w14:paraId="0B7CA31B">
      <w:pPr>
        <w:shd w:val="clear" w:color="auto" w:fill="auto"/>
        <w:spacing w:line="48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协议书附件：</w:t>
      </w:r>
    </w:p>
    <w:p w14:paraId="5FA0B8FC">
      <w:pPr>
        <w:shd w:val="clear" w:color="auto" w:fill="auto"/>
        <w:spacing w:line="48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附件1：承包人承揽工程项目一览表</w:t>
      </w:r>
    </w:p>
    <w:p w14:paraId="258B8A0C">
      <w:pPr>
        <w:shd w:val="clear" w:color="auto" w:fill="auto"/>
        <w:spacing w:line="48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专用合同条款附件：</w:t>
      </w:r>
    </w:p>
    <w:p w14:paraId="3B2BB752">
      <w:pPr>
        <w:shd w:val="clear" w:color="auto" w:fill="auto"/>
        <w:spacing w:line="48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附件2：工程质量保修书</w:t>
      </w:r>
    </w:p>
    <w:p w14:paraId="1F26401D">
      <w:pPr>
        <w:shd w:val="clear" w:color="auto" w:fill="auto"/>
        <w:spacing w:line="48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附件3：承包人用于本工程施工的机械设备表</w:t>
      </w:r>
    </w:p>
    <w:p w14:paraId="6D3BE701">
      <w:pPr>
        <w:shd w:val="clear" w:color="auto" w:fill="auto"/>
        <w:spacing w:before="156" w:beforeLines="50" w:after="156" w:afterLines="50" w:line="50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Cs w:val="21"/>
          <w:highlight w:val="none"/>
        </w:rPr>
        <w:br w:type="page"/>
      </w:r>
      <w:r>
        <w:rPr>
          <w:rFonts w:hint="eastAsia" w:ascii="仿宋" w:hAnsi="仿宋" w:eastAsia="仿宋" w:cs="仿宋"/>
          <w:color w:val="auto"/>
          <w:sz w:val="24"/>
          <w:szCs w:val="24"/>
          <w:highlight w:val="none"/>
        </w:rPr>
        <w:t>附件1：承包人承揽工程项目一览表</w:t>
      </w:r>
    </w:p>
    <w:tbl>
      <w:tblPr>
        <w:tblStyle w:val="43"/>
        <w:tblW w:w="8851" w:type="dxa"/>
        <w:tblInd w:w="0" w:type="dxa"/>
        <w:tblLayout w:type="fixed"/>
        <w:tblCellMar>
          <w:top w:w="0" w:type="dxa"/>
          <w:left w:w="43" w:type="dxa"/>
          <w:bottom w:w="0" w:type="dxa"/>
          <w:right w:w="28" w:type="dxa"/>
        </w:tblCellMar>
      </w:tblPr>
      <w:tblGrid>
        <w:gridCol w:w="1177"/>
        <w:gridCol w:w="993"/>
        <w:gridCol w:w="1275"/>
        <w:gridCol w:w="1134"/>
        <w:gridCol w:w="709"/>
        <w:gridCol w:w="1063"/>
        <w:gridCol w:w="1200"/>
        <w:gridCol w:w="1300"/>
      </w:tblGrid>
      <w:tr w14:paraId="6C433893">
        <w:tblPrEx>
          <w:tblCellMar>
            <w:top w:w="0" w:type="dxa"/>
            <w:left w:w="43" w:type="dxa"/>
            <w:bottom w:w="0" w:type="dxa"/>
            <w:right w:w="28" w:type="dxa"/>
          </w:tblCellMar>
        </w:tblPrEx>
        <w:tc>
          <w:tcPr>
            <w:tcW w:w="1177" w:type="dxa"/>
            <w:tcBorders>
              <w:top w:val="single" w:color="00000A" w:sz="12" w:space="0"/>
              <w:left w:val="single" w:color="00000A" w:sz="12" w:space="0"/>
              <w:bottom w:val="double" w:color="00000A" w:sz="6" w:space="0"/>
              <w:right w:val="single" w:color="00000A" w:sz="6" w:space="0"/>
            </w:tcBorders>
            <w:noWrap w:val="0"/>
            <w:vAlign w:val="center"/>
          </w:tcPr>
          <w:p w14:paraId="53DD6280">
            <w:pPr>
              <w:pStyle w:val="2"/>
              <w:keepNext/>
              <w:shd w:val="clear" w:color="auto" w:fill="auto"/>
              <w:spacing w:after="0" w:line="400" w:lineRule="exact"/>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单位工程名称</w:t>
            </w:r>
          </w:p>
        </w:tc>
        <w:tc>
          <w:tcPr>
            <w:tcW w:w="993" w:type="dxa"/>
            <w:tcBorders>
              <w:top w:val="single" w:color="00000A" w:sz="12" w:space="0"/>
              <w:left w:val="single" w:color="00000A" w:sz="6" w:space="0"/>
              <w:bottom w:val="double" w:color="00000A" w:sz="6" w:space="0"/>
              <w:right w:val="single" w:color="00000A" w:sz="6" w:space="0"/>
            </w:tcBorders>
            <w:noWrap w:val="0"/>
            <w:vAlign w:val="center"/>
          </w:tcPr>
          <w:p w14:paraId="43C554C1">
            <w:pPr>
              <w:pStyle w:val="2"/>
              <w:keepNext/>
              <w:shd w:val="clear" w:color="auto" w:fill="auto"/>
              <w:spacing w:after="0" w:line="400" w:lineRule="exact"/>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建设</w:t>
            </w:r>
          </w:p>
          <w:p w14:paraId="0B4241A3">
            <w:pPr>
              <w:pStyle w:val="2"/>
              <w:keepNext/>
              <w:shd w:val="clear" w:color="auto" w:fill="auto"/>
              <w:spacing w:after="0" w:line="400" w:lineRule="exact"/>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规模</w:t>
            </w:r>
          </w:p>
        </w:tc>
        <w:tc>
          <w:tcPr>
            <w:tcW w:w="1275" w:type="dxa"/>
            <w:tcBorders>
              <w:top w:val="single" w:color="00000A" w:sz="12" w:space="0"/>
              <w:left w:val="single" w:color="00000A" w:sz="6" w:space="0"/>
              <w:bottom w:val="double" w:color="00000A" w:sz="6" w:space="0"/>
              <w:right w:val="single" w:color="00000A" w:sz="6" w:space="0"/>
            </w:tcBorders>
            <w:noWrap w:val="0"/>
            <w:vAlign w:val="center"/>
          </w:tcPr>
          <w:p w14:paraId="71A0A1B5">
            <w:pPr>
              <w:pStyle w:val="2"/>
              <w:keepNext/>
              <w:shd w:val="clear" w:color="auto" w:fill="auto"/>
              <w:spacing w:after="0" w:line="400" w:lineRule="exact"/>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建筑面积(平方米)</w:t>
            </w:r>
          </w:p>
        </w:tc>
        <w:tc>
          <w:tcPr>
            <w:tcW w:w="1134" w:type="dxa"/>
            <w:tcBorders>
              <w:top w:val="single" w:color="00000A" w:sz="12" w:space="0"/>
              <w:left w:val="single" w:color="00000A" w:sz="6" w:space="0"/>
              <w:bottom w:val="double" w:color="00000A" w:sz="6" w:space="0"/>
              <w:right w:val="single" w:color="00000A" w:sz="6" w:space="0"/>
            </w:tcBorders>
            <w:noWrap w:val="0"/>
            <w:vAlign w:val="center"/>
          </w:tcPr>
          <w:p w14:paraId="26EC1FBD">
            <w:pPr>
              <w:pStyle w:val="2"/>
              <w:keepNext/>
              <w:shd w:val="clear" w:color="auto" w:fill="auto"/>
              <w:spacing w:after="0" w:line="400" w:lineRule="exact"/>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结构</w:t>
            </w:r>
          </w:p>
          <w:p w14:paraId="5E691627">
            <w:pPr>
              <w:pStyle w:val="2"/>
              <w:keepNext/>
              <w:shd w:val="clear" w:color="auto" w:fill="auto"/>
              <w:spacing w:after="0" w:line="400" w:lineRule="exact"/>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形式</w:t>
            </w:r>
          </w:p>
        </w:tc>
        <w:tc>
          <w:tcPr>
            <w:tcW w:w="709" w:type="dxa"/>
            <w:tcBorders>
              <w:top w:val="single" w:color="00000A" w:sz="12" w:space="0"/>
              <w:left w:val="single" w:color="00000A" w:sz="6" w:space="0"/>
              <w:bottom w:val="double" w:color="00000A" w:sz="6" w:space="0"/>
              <w:right w:val="single" w:color="00000A" w:sz="6" w:space="0"/>
            </w:tcBorders>
            <w:noWrap w:val="0"/>
            <w:vAlign w:val="center"/>
          </w:tcPr>
          <w:p w14:paraId="1C5F6D86">
            <w:pPr>
              <w:pStyle w:val="2"/>
              <w:keepNext/>
              <w:shd w:val="clear" w:color="auto" w:fill="auto"/>
              <w:spacing w:after="0" w:line="400" w:lineRule="exact"/>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层数</w:t>
            </w:r>
          </w:p>
        </w:tc>
        <w:tc>
          <w:tcPr>
            <w:tcW w:w="1063" w:type="dxa"/>
            <w:tcBorders>
              <w:top w:val="single" w:color="00000A" w:sz="12" w:space="0"/>
              <w:left w:val="single" w:color="00000A" w:sz="6" w:space="0"/>
              <w:bottom w:val="double" w:color="00000A" w:sz="6" w:space="0"/>
              <w:right w:val="single" w:color="00000A" w:sz="6" w:space="0"/>
            </w:tcBorders>
            <w:noWrap w:val="0"/>
            <w:vAlign w:val="center"/>
          </w:tcPr>
          <w:p w14:paraId="00DD80C5">
            <w:pPr>
              <w:pStyle w:val="2"/>
              <w:keepNext/>
              <w:shd w:val="clear" w:color="auto" w:fill="auto"/>
              <w:spacing w:after="0" w:line="400" w:lineRule="exact"/>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合同价格（元）</w:t>
            </w:r>
          </w:p>
        </w:tc>
        <w:tc>
          <w:tcPr>
            <w:tcW w:w="1200" w:type="dxa"/>
            <w:tcBorders>
              <w:top w:val="single" w:color="00000A" w:sz="12" w:space="0"/>
              <w:left w:val="single" w:color="00000A" w:sz="6" w:space="0"/>
              <w:bottom w:val="double" w:color="00000A" w:sz="6" w:space="0"/>
              <w:right w:val="single" w:color="00000A" w:sz="6" w:space="0"/>
            </w:tcBorders>
            <w:noWrap w:val="0"/>
            <w:vAlign w:val="center"/>
          </w:tcPr>
          <w:p w14:paraId="4FE5B1B8">
            <w:pPr>
              <w:pStyle w:val="2"/>
              <w:keepNext/>
              <w:shd w:val="clear" w:color="auto" w:fill="auto"/>
              <w:spacing w:after="0" w:line="400" w:lineRule="exact"/>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开工日期</w:t>
            </w:r>
          </w:p>
        </w:tc>
        <w:tc>
          <w:tcPr>
            <w:tcW w:w="1300" w:type="dxa"/>
            <w:tcBorders>
              <w:top w:val="single" w:color="00000A" w:sz="12" w:space="0"/>
              <w:left w:val="single" w:color="00000A" w:sz="6" w:space="0"/>
              <w:bottom w:val="double" w:color="00000A" w:sz="6" w:space="0"/>
              <w:right w:val="single" w:color="00000A" w:sz="12" w:space="0"/>
            </w:tcBorders>
            <w:noWrap w:val="0"/>
            <w:vAlign w:val="center"/>
          </w:tcPr>
          <w:p w14:paraId="258F94AC">
            <w:pPr>
              <w:pStyle w:val="2"/>
              <w:keepNext/>
              <w:shd w:val="clear" w:color="auto" w:fill="auto"/>
              <w:spacing w:after="0" w:line="400" w:lineRule="exact"/>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竣工日期</w:t>
            </w:r>
          </w:p>
        </w:tc>
      </w:tr>
      <w:tr w14:paraId="72453F6F">
        <w:tblPrEx>
          <w:tblCellMar>
            <w:top w:w="0" w:type="dxa"/>
            <w:left w:w="43" w:type="dxa"/>
            <w:bottom w:w="0" w:type="dxa"/>
            <w:right w:w="28" w:type="dxa"/>
          </w:tblCellMar>
        </w:tblPrEx>
        <w:trPr>
          <w:trHeight w:val="567" w:hRule="atLeast"/>
        </w:trPr>
        <w:tc>
          <w:tcPr>
            <w:tcW w:w="1177" w:type="dxa"/>
            <w:tcBorders>
              <w:top w:val="double" w:color="00000A" w:sz="6" w:space="0"/>
              <w:left w:val="single" w:color="00000A" w:sz="12" w:space="0"/>
              <w:bottom w:val="single" w:color="00000A" w:sz="6" w:space="0"/>
              <w:right w:val="single" w:color="00000A" w:sz="6" w:space="0"/>
            </w:tcBorders>
            <w:noWrap w:val="0"/>
            <w:vAlign w:val="center"/>
          </w:tcPr>
          <w:p w14:paraId="1F6FDCA9">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top w:val="double" w:color="00000A" w:sz="6" w:space="0"/>
              <w:left w:val="single" w:color="00000A" w:sz="6" w:space="0"/>
              <w:bottom w:val="single" w:color="00000A" w:sz="6" w:space="0"/>
              <w:right w:val="single" w:color="00000A" w:sz="6" w:space="0"/>
            </w:tcBorders>
            <w:noWrap w:val="0"/>
            <w:vAlign w:val="center"/>
          </w:tcPr>
          <w:p w14:paraId="3F777688">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top w:val="double" w:color="00000A" w:sz="6" w:space="0"/>
              <w:left w:val="single" w:color="00000A" w:sz="6" w:space="0"/>
              <w:bottom w:val="single" w:color="00000A" w:sz="6" w:space="0"/>
              <w:right w:val="single" w:color="00000A" w:sz="6" w:space="0"/>
            </w:tcBorders>
            <w:noWrap w:val="0"/>
            <w:vAlign w:val="center"/>
          </w:tcPr>
          <w:p w14:paraId="17612919">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top w:val="double" w:color="00000A" w:sz="6" w:space="0"/>
              <w:left w:val="single" w:color="00000A" w:sz="6" w:space="0"/>
              <w:bottom w:val="single" w:color="00000A" w:sz="6" w:space="0"/>
              <w:right w:val="single" w:color="00000A" w:sz="6" w:space="0"/>
            </w:tcBorders>
            <w:noWrap w:val="0"/>
            <w:vAlign w:val="center"/>
          </w:tcPr>
          <w:p w14:paraId="7193A71E">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top w:val="double" w:color="00000A" w:sz="6" w:space="0"/>
              <w:left w:val="single" w:color="00000A" w:sz="6" w:space="0"/>
              <w:bottom w:val="single" w:color="00000A" w:sz="6" w:space="0"/>
              <w:right w:val="single" w:color="00000A" w:sz="6" w:space="0"/>
            </w:tcBorders>
            <w:noWrap w:val="0"/>
            <w:vAlign w:val="center"/>
          </w:tcPr>
          <w:p w14:paraId="329F3002">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top w:val="double" w:color="00000A" w:sz="6" w:space="0"/>
              <w:left w:val="single" w:color="00000A" w:sz="6" w:space="0"/>
              <w:bottom w:val="single" w:color="00000A" w:sz="6" w:space="0"/>
              <w:right w:val="single" w:color="00000A" w:sz="6" w:space="0"/>
            </w:tcBorders>
            <w:noWrap w:val="0"/>
            <w:vAlign w:val="center"/>
          </w:tcPr>
          <w:p w14:paraId="752D5045">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top w:val="double" w:color="00000A" w:sz="6" w:space="0"/>
              <w:left w:val="single" w:color="00000A" w:sz="6" w:space="0"/>
              <w:bottom w:val="single" w:color="00000A" w:sz="6" w:space="0"/>
              <w:right w:val="single" w:color="00000A" w:sz="6" w:space="0"/>
            </w:tcBorders>
            <w:noWrap w:val="0"/>
            <w:vAlign w:val="center"/>
          </w:tcPr>
          <w:p w14:paraId="5D84BD04">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top w:val="double" w:color="00000A" w:sz="6" w:space="0"/>
              <w:left w:val="single" w:color="00000A" w:sz="6" w:space="0"/>
              <w:bottom w:val="single" w:color="00000A" w:sz="6" w:space="0"/>
              <w:right w:val="single" w:color="00000A" w:sz="12" w:space="0"/>
            </w:tcBorders>
            <w:noWrap w:val="0"/>
            <w:vAlign w:val="center"/>
          </w:tcPr>
          <w:p w14:paraId="3F740394">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3D11953E">
        <w:tblPrEx>
          <w:tblCellMar>
            <w:top w:w="0" w:type="dxa"/>
            <w:left w:w="43" w:type="dxa"/>
            <w:bottom w:w="0" w:type="dxa"/>
            <w:right w:w="28" w:type="dxa"/>
          </w:tblCellMar>
        </w:tblPrEx>
        <w:trPr>
          <w:trHeight w:val="567" w:hRule="atLeast"/>
        </w:trPr>
        <w:tc>
          <w:tcPr>
            <w:tcW w:w="1177" w:type="dxa"/>
            <w:tcBorders>
              <w:left w:val="single" w:color="00000A" w:sz="12" w:space="0"/>
              <w:bottom w:val="single" w:color="00000A" w:sz="6" w:space="0"/>
              <w:right w:val="single" w:color="00000A" w:sz="6" w:space="0"/>
            </w:tcBorders>
            <w:noWrap w:val="0"/>
            <w:vAlign w:val="center"/>
          </w:tcPr>
          <w:p w14:paraId="30B2232A">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left w:val="single" w:color="00000A" w:sz="6" w:space="0"/>
              <w:bottom w:val="single" w:color="00000A" w:sz="6" w:space="0"/>
              <w:right w:val="single" w:color="00000A" w:sz="6" w:space="0"/>
            </w:tcBorders>
            <w:noWrap w:val="0"/>
            <w:vAlign w:val="center"/>
          </w:tcPr>
          <w:p w14:paraId="3B7875B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left w:val="single" w:color="00000A" w:sz="6" w:space="0"/>
              <w:bottom w:val="single" w:color="00000A" w:sz="6" w:space="0"/>
              <w:right w:val="single" w:color="00000A" w:sz="6" w:space="0"/>
            </w:tcBorders>
            <w:noWrap w:val="0"/>
            <w:vAlign w:val="center"/>
          </w:tcPr>
          <w:p w14:paraId="1AFEA8E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left w:val="single" w:color="00000A" w:sz="6" w:space="0"/>
              <w:bottom w:val="single" w:color="00000A" w:sz="6" w:space="0"/>
              <w:right w:val="single" w:color="00000A" w:sz="6" w:space="0"/>
            </w:tcBorders>
            <w:noWrap w:val="0"/>
            <w:vAlign w:val="center"/>
          </w:tcPr>
          <w:p w14:paraId="0F5CC688">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left w:val="single" w:color="00000A" w:sz="6" w:space="0"/>
              <w:bottom w:val="single" w:color="00000A" w:sz="6" w:space="0"/>
              <w:right w:val="single" w:color="00000A" w:sz="6" w:space="0"/>
            </w:tcBorders>
            <w:noWrap w:val="0"/>
            <w:vAlign w:val="center"/>
          </w:tcPr>
          <w:p w14:paraId="467C503F">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left w:val="single" w:color="00000A" w:sz="6" w:space="0"/>
              <w:bottom w:val="single" w:color="00000A" w:sz="6" w:space="0"/>
              <w:right w:val="single" w:color="00000A" w:sz="6" w:space="0"/>
            </w:tcBorders>
            <w:noWrap w:val="0"/>
            <w:vAlign w:val="center"/>
          </w:tcPr>
          <w:p w14:paraId="6DEAA843">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left w:val="single" w:color="00000A" w:sz="6" w:space="0"/>
              <w:bottom w:val="single" w:color="00000A" w:sz="6" w:space="0"/>
              <w:right w:val="single" w:color="00000A" w:sz="6" w:space="0"/>
            </w:tcBorders>
            <w:noWrap w:val="0"/>
            <w:vAlign w:val="center"/>
          </w:tcPr>
          <w:p w14:paraId="03ACC30F">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left w:val="single" w:color="00000A" w:sz="6" w:space="0"/>
              <w:bottom w:val="single" w:color="00000A" w:sz="6" w:space="0"/>
              <w:right w:val="single" w:color="00000A" w:sz="12" w:space="0"/>
            </w:tcBorders>
            <w:noWrap w:val="0"/>
            <w:vAlign w:val="center"/>
          </w:tcPr>
          <w:p w14:paraId="6940ACD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19E20AE8">
        <w:tblPrEx>
          <w:tblCellMar>
            <w:top w:w="0" w:type="dxa"/>
            <w:left w:w="43" w:type="dxa"/>
            <w:bottom w:w="0" w:type="dxa"/>
            <w:right w:w="28" w:type="dxa"/>
          </w:tblCellMar>
        </w:tblPrEx>
        <w:trPr>
          <w:trHeight w:val="567" w:hRule="atLeast"/>
        </w:trPr>
        <w:tc>
          <w:tcPr>
            <w:tcW w:w="1177" w:type="dxa"/>
            <w:tcBorders>
              <w:left w:val="single" w:color="00000A" w:sz="12" w:space="0"/>
              <w:bottom w:val="single" w:color="00000A" w:sz="6" w:space="0"/>
              <w:right w:val="single" w:color="00000A" w:sz="6" w:space="0"/>
            </w:tcBorders>
            <w:noWrap w:val="0"/>
            <w:vAlign w:val="center"/>
          </w:tcPr>
          <w:p w14:paraId="4FCE3410">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left w:val="single" w:color="00000A" w:sz="6" w:space="0"/>
              <w:bottom w:val="single" w:color="00000A" w:sz="6" w:space="0"/>
              <w:right w:val="single" w:color="00000A" w:sz="6" w:space="0"/>
            </w:tcBorders>
            <w:noWrap w:val="0"/>
            <w:vAlign w:val="center"/>
          </w:tcPr>
          <w:p w14:paraId="11E0B42E">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left w:val="single" w:color="00000A" w:sz="6" w:space="0"/>
              <w:bottom w:val="single" w:color="00000A" w:sz="6" w:space="0"/>
              <w:right w:val="single" w:color="00000A" w:sz="6" w:space="0"/>
            </w:tcBorders>
            <w:noWrap w:val="0"/>
            <w:vAlign w:val="center"/>
          </w:tcPr>
          <w:p w14:paraId="1258988B">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left w:val="single" w:color="00000A" w:sz="6" w:space="0"/>
              <w:bottom w:val="single" w:color="00000A" w:sz="6" w:space="0"/>
              <w:right w:val="single" w:color="00000A" w:sz="6" w:space="0"/>
            </w:tcBorders>
            <w:noWrap w:val="0"/>
            <w:vAlign w:val="center"/>
          </w:tcPr>
          <w:p w14:paraId="1DAEED78">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left w:val="single" w:color="00000A" w:sz="6" w:space="0"/>
              <w:bottom w:val="single" w:color="00000A" w:sz="6" w:space="0"/>
              <w:right w:val="single" w:color="00000A" w:sz="6" w:space="0"/>
            </w:tcBorders>
            <w:noWrap w:val="0"/>
            <w:vAlign w:val="center"/>
          </w:tcPr>
          <w:p w14:paraId="5CE741E7">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left w:val="single" w:color="00000A" w:sz="6" w:space="0"/>
              <w:bottom w:val="single" w:color="00000A" w:sz="6" w:space="0"/>
              <w:right w:val="single" w:color="00000A" w:sz="6" w:space="0"/>
            </w:tcBorders>
            <w:noWrap w:val="0"/>
            <w:vAlign w:val="center"/>
          </w:tcPr>
          <w:p w14:paraId="2243DA6B">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left w:val="single" w:color="00000A" w:sz="6" w:space="0"/>
              <w:bottom w:val="single" w:color="00000A" w:sz="6" w:space="0"/>
              <w:right w:val="single" w:color="00000A" w:sz="6" w:space="0"/>
            </w:tcBorders>
            <w:noWrap w:val="0"/>
            <w:vAlign w:val="center"/>
          </w:tcPr>
          <w:p w14:paraId="168CA47F">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left w:val="single" w:color="00000A" w:sz="6" w:space="0"/>
              <w:bottom w:val="single" w:color="00000A" w:sz="6" w:space="0"/>
              <w:right w:val="single" w:color="00000A" w:sz="12" w:space="0"/>
            </w:tcBorders>
            <w:noWrap w:val="0"/>
            <w:vAlign w:val="center"/>
          </w:tcPr>
          <w:p w14:paraId="36CC5D56">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40347C95">
        <w:tblPrEx>
          <w:tblCellMar>
            <w:top w:w="0" w:type="dxa"/>
            <w:left w:w="43" w:type="dxa"/>
            <w:bottom w:w="0" w:type="dxa"/>
            <w:right w:w="28" w:type="dxa"/>
          </w:tblCellMar>
        </w:tblPrEx>
        <w:trPr>
          <w:trHeight w:val="567" w:hRule="atLeast"/>
        </w:trPr>
        <w:tc>
          <w:tcPr>
            <w:tcW w:w="1177" w:type="dxa"/>
            <w:tcBorders>
              <w:top w:val="single" w:color="00000A" w:sz="6" w:space="0"/>
              <w:left w:val="single" w:color="00000A" w:sz="12" w:space="0"/>
              <w:bottom w:val="single" w:color="00000A" w:sz="6" w:space="0"/>
              <w:right w:val="single" w:color="00000A" w:sz="6" w:space="0"/>
            </w:tcBorders>
            <w:noWrap w:val="0"/>
            <w:vAlign w:val="center"/>
          </w:tcPr>
          <w:p w14:paraId="57EB898A">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top w:val="single" w:color="00000A" w:sz="6" w:space="0"/>
              <w:left w:val="single" w:color="00000A" w:sz="6" w:space="0"/>
              <w:bottom w:val="single" w:color="00000A" w:sz="6" w:space="0"/>
              <w:right w:val="single" w:color="00000A" w:sz="6" w:space="0"/>
            </w:tcBorders>
            <w:noWrap w:val="0"/>
            <w:vAlign w:val="center"/>
          </w:tcPr>
          <w:p w14:paraId="0B2DD5C6">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top w:val="single" w:color="00000A" w:sz="6" w:space="0"/>
              <w:left w:val="single" w:color="00000A" w:sz="6" w:space="0"/>
              <w:bottom w:val="single" w:color="00000A" w:sz="6" w:space="0"/>
              <w:right w:val="single" w:color="00000A" w:sz="6" w:space="0"/>
            </w:tcBorders>
            <w:noWrap w:val="0"/>
            <w:vAlign w:val="center"/>
          </w:tcPr>
          <w:p w14:paraId="1EB32B30">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top w:val="single" w:color="00000A" w:sz="6" w:space="0"/>
              <w:left w:val="single" w:color="00000A" w:sz="6" w:space="0"/>
              <w:bottom w:val="single" w:color="00000A" w:sz="6" w:space="0"/>
              <w:right w:val="single" w:color="00000A" w:sz="6" w:space="0"/>
            </w:tcBorders>
            <w:noWrap w:val="0"/>
            <w:vAlign w:val="center"/>
          </w:tcPr>
          <w:p w14:paraId="1DC0D259">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top w:val="single" w:color="00000A" w:sz="6" w:space="0"/>
              <w:left w:val="single" w:color="00000A" w:sz="6" w:space="0"/>
              <w:bottom w:val="single" w:color="00000A" w:sz="6" w:space="0"/>
              <w:right w:val="single" w:color="00000A" w:sz="6" w:space="0"/>
            </w:tcBorders>
            <w:noWrap w:val="0"/>
            <w:vAlign w:val="center"/>
          </w:tcPr>
          <w:p w14:paraId="6445B075">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top w:val="single" w:color="00000A" w:sz="6" w:space="0"/>
              <w:left w:val="single" w:color="00000A" w:sz="6" w:space="0"/>
              <w:bottom w:val="single" w:color="00000A" w:sz="6" w:space="0"/>
              <w:right w:val="single" w:color="00000A" w:sz="6" w:space="0"/>
            </w:tcBorders>
            <w:noWrap w:val="0"/>
            <w:vAlign w:val="center"/>
          </w:tcPr>
          <w:p w14:paraId="0342029A">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top w:val="single" w:color="00000A" w:sz="6" w:space="0"/>
              <w:left w:val="single" w:color="00000A" w:sz="6" w:space="0"/>
              <w:bottom w:val="single" w:color="00000A" w:sz="6" w:space="0"/>
              <w:right w:val="single" w:color="00000A" w:sz="6" w:space="0"/>
            </w:tcBorders>
            <w:noWrap w:val="0"/>
            <w:vAlign w:val="center"/>
          </w:tcPr>
          <w:p w14:paraId="6BF1BCB7">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top w:val="single" w:color="00000A" w:sz="6" w:space="0"/>
              <w:left w:val="single" w:color="00000A" w:sz="6" w:space="0"/>
              <w:bottom w:val="single" w:color="00000A" w:sz="6" w:space="0"/>
              <w:right w:val="single" w:color="00000A" w:sz="12" w:space="0"/>
            </w:tcBorders>
            <w:noWrap w:val="0"/>
            <w:vAlign w:val="center"/>
          </w:tcPr>
          <w:p w14:paraId="178103A1">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5C17FD81">
        <w:tblPrEx>
          <w:tblCellMar>
            <w:top w:w="0" w:type="dxa"/>
            <w:left w:w="43" w:type="dxa"/>
            <w:bottom w:w="0" w:type="dxa"/>
            <w:right w:w="28" w:type="dxa"/>
          </w:tblCellMar>
        </w:tblPrEx>
        <w:trPr>
          <w:trHeight w:val="567" w:hRule="atLeast"/>
        </w:trPr>
        <w:tc>
          <w:tcPr>
            <w:tcW w:w="1177" w:type="dxa"/>
            <w:tcBorders>
              <w:left w:val="single" w:color="00000A" w:sz="12" w:space="0"/>
              <w:bottom w:val="single" w:color="00000A" w:sz="6" w:space="0"/>
              <w:right w:val="single" w:color="00000A" w:sz="6" w:space="0"/>
            </w:tcBorders>
            <w:noWrap w:val="0"/>
            <w:vAlign w:val="center"/>
          </w:tcPr>
          <w:p w14:paraId="1E765227">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left w:val="single" w:color="00000A" w:sz="6" w:space="0"/>
              <w:bottom w:val="single" w:color="00000A" w:sz="6" w:space="0"/>
              <w:right w:val="single" w:color="00000A" w:sz="6" w:space="0"/>
            </w:tcBorders>
            <w:noWrap w:val="0"/>
            <w:vAlign w:val="center"/>
          </w:tcPr>
          <w:p w14:paraId="24588C97">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left w:val="single" w:color="00000A" w:sz="6" w:space="0"/>
              <w:bottom w:val="single" w:color="00000A" w:sz="6" w:space="0"/>
              <w:right w:val="single" w:color="00000A" w:sz="6" w:space="0"/>
            </w:tcBorders>
            <w:noWrap w:val="0"/>
            <w:vAlign w:val="center"/>
          </w:tcPr>
          <w:p w14:paraId="551E4AB5">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left w:val="single" w:color="00000A" w:sz="6" w:space="0"/>
              <w:bottom w:val="single" w:color="00000A" w:sz="6" w:space="0"/>
              <w:right w:val="single" w:color="00000A" w:sz="6" w:space="0"/>
            </w:tcBorders>
            <w:noWrap w:val="0"/>
            <w:vAlign w:val="center"/>
          </w:tcPr>
          <w:p w14:paraId="1862DD24">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left w:val="single" w:color="00000A" w:sz="6" w:space="0"/>
              <w:bottom w:val="single" w:color="00000A" w:sz="6" w:space="0"/>
              <w:right w:val="single" w:color="00000A" w:sz="6" w:space="0"/>
            </w:tcBorders>
            <w:noWrap w:val="0"/>
            <w:vAlign w:val="center"/>
          </w:tcPr>
          <w:p w14:paraId="5BCA427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left w:val="single" w:color="00000A" w:sz="6" w:space="0"/>
              <w:bottom w:val="single" w:color="00000A" w:sz="6" w:space="0"/>
              <w:right w:val="single" w:color="00000A" w:sz="6" w:space="0"/>
            </w:tcBorders>
            <w:noWrap w:val="0"/>
            <w:vAlign w:val="center"/>
          </w:tcPr>
          <w:p w14:paraId="78AE4F33">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left w:val="single" w:color="00000A" w:sz="6" w:space="0"/>
              <w:bottom w:val="single" w:color="00000A" w:sz="6" w:space="0"/>
              <w:right w:val="single" w:color="00000A" w:sz="6" w:space="0"/>
            </w:tcBorders>
            <w:noWrap w:val="0"/>
            <w:vAlign w:val="center"/>
          </w:tcPr>
          <w:p w14:paraId="30F50B9C">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left w:val="single" w:color="00000A" w:sz="6" w:space="0"/>
              <w:bottom w:val="single" w:color="00000A" w:sz="6" w:space="0"/>
              <w:right w:val="single" w:color="00000A" w:sz="12" w:space="0"/>
            </w:tcBorders>
            <w:noWrap w:val="0"/>
            <w:vAlign w:val="center"/>
          </w:tcPr>
          <w:p w14:paraId="7BF9D410">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4864A126">
        <w:tblPrEx>
          <w:tblCellMar>
            <w:top w:w="0" w:type="dxa"/>
            <w:left w:w="43" w:type="dxa"/>
            <w:bottom w:w="0" w:type="dxa"/>
            <w:right w:w="28" w:type="dxa"/>
          </w:tblCellMar>
        </w:tblPrEx>
        <w:trPr>
          <w:trHeight w:val="567" w:hRule="atLeast"/>
        </w:trPr>
        <w:tc>
          <w:tcPr>
            <w:tcW w:w="1177" w:type="dxa"/>
            <w:tcBorders>
              <w:top w:val="single" w:color="00000A" w:sz="6" w:space="0"/>
              <w:left w:val="single" w:color="00000A" w:sz="12" w:space="0"/>
              <w:bottom w:val="single" w:color="00000A" w:sz="6" w:space="0"/>
              <w:right w:val="single" w:color="00000A" w:sz="6" w:space="0"/>
            </w:tcBorders>
            <w:noWrap w:val="0"/>
            <w:vAlign w:val="center"/>
          </w:tcPr>
          <w:p w14:paraId="573DE8FC">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top w:val="single" w:color="00000A" w:sz="6" w:space="0"/>
              <w:left w:val="single" w:color="00000A" w:sz="6" w:space="0"/>
              <w:bottom w:val="single" w:color="00000A" w:sz="6" w:space="0"/>
              <w:right w:val="single" w:color="00000A" w:sz="6" w:space="0"/>
            </w:tcBorders>
            <w:noWrap w:val="0"/>
            <w:vAlign w:val="center"/>
          </w:tcPr>
          <w:p w14:paraId="124324B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top w:val="single" w:color="00000A" w:sz="6" w:space="0"/>
              <w:left w:val="single" w:color="00000A" w:sz="6" w:space="0"/>
              <w:bottom w:val="single" w:color="00000A" w:sz="6" w:space="0"/>
              <w:right w:val="single" w:color="00000A" w:sz="6" w:space="0"/>
            </w:tcBorders>
            <w:noWrap w:val="0"/>
            <w:vAlign w:val="center"/>
          </w:tcPr>
          <w:p w14:paraId="2B1987CA">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top w:val="single" w:color="00000A" w:sz="6" w:space="0"/>
              <w:left w:val="single" w:color="00000A" w:sz="6" w:space="0"/>
              <w:bottom w:val="single" w:color="00000A" w:sz="6" w:space="0"/>
              <w:right w:val="single" w:color="00000A" w:sz="6" w:space="0"/>
            </w:tcBorders>
            <w:noWrap w:val="0"/>
            <w:vAlign w:val="center"/>
          </w:tcPr>
          <w:p w14:paraId="528D14EB">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top w:val="single" w:color="00000A" w:sz="6" w:space="0"/>
              <w:left w:val="single" w:color="00000A" w:sz="6" w:space="0"/>
              <w:bottom w:val="single" w:color="00000A" w:sz="6" w:space="0"/>
              <w:right w:val="single" w:color="00000A" w:sz="6" w:space="0"/>
            </w:tcBorders>
            <w:noWrap w:val="0"/>
            <w:vAlign w:val="center"/>
          </w:tcPr>
          <w:p w14:paraId="378FD02A">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top w:val="single" w:color="00000A" w:sz="6" w:space="0"/>
              <w:left w:val="single" w:color="00000A" w:sz="6" w:space="0"/>
              <w:bottom w:val="single" w:color="00000A" w:sz="6" w:space="0"/>
              <w:right w:val="single" w:color="00000A" w:sz="6" w:space="0"/>
            </w:tcBorders>
            <w:noWrap w:val="0"/>
            <w:vAlign w:val="center"/>
          </w:tcPr>
          <w:p w14:paraId="3965ACE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top w:val="single" w:color="00000A" w:sz="6" w:space="0"/>
              <w:left w:val="single" w:color="00000A" w:sz="6" w:space="0"/>
              <w:bottom w:val="single" w:color="00000A" w:sz="6" w:space="0"/>
              <w:right w:val="single" w:color="00000A" w:sz="6" w:space="0"/>
            </w:tcBorders>
            <w:noWrap w:val="0"/>
            <w:vAlign w:val="center"/>
          </w:tcPr>
          <w:p w14:paraId="609BCDB2">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top w:val="single" w:color="00000A" w:sz="6" w:space="0"/>
              <w:left w:val="single" w:color="00000A" w:sz="6" w:space="0"/>
              <w:bottom w:val="single" w:color="00000A" w:sz="6" w:space="0"/>
              <w:right w:val="single" w:color="00000A" w:sz="12" w:space="0"/>
            </w:tcBorders>
            <w:noWrap w:val="0"/>
            <w:vAlign w:val="center"/>
          </w:tcPr>
          <w:p w14:paraId="4A5399C1">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08875A8E">
        <w:tblPrEx>
          <w:tblCellMar>
            <w:top w:w="0" w:type="dxa"/>
            <w:left w:w="43" w:type="dxa"/>
            <w:bottom w:w="0" w:type="dxa"/>
            <w:right w:w="28" w:type="dxa"/>
          </w:tblCellMar>
        </w:tblPrEx>
        <w:trPr>
          <w:trHeight w:val="567" w:hRule="atLeast"/>
        </w:trPr>
        <w:tc>
          <w:tcPr>
            <w:tcW w:w="1177" w:type="dxa"/>
            <w:tcBorders>
              <w:left w:val="single" w:color="00000A" w:sz="12" w:space="0"/>
              <w:bottom w:val="single" w:color="00000A" w:sz="6" w:space="0"/>
              <w:right w:val="single" w:color="00000A" w:sz="6" w:space="0"/>
            </w:tcBorders>
            <w:noWrap w:val="0"/>
            <w:vAlign w:val="center"/>
          </w:tcPr>
          <w:p w14:paraId="6E197FC1">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left w:val="single" w:color="00000A" w:sz="6" w:space="0"/>
              <w:bottom w:val="single" w:color="00000A" w:sz="6" w:space="0"/>
              <w:right w:val="single" w:color="00000A" w:sz="6" w:space="0"/>
            </w:tcBorders>
            <w:noWrap w:val="0"/>
            <w:vAlign w:val="center"/>
          </w:tcPr>
          <w:p w14:paraId="243DDA7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left w:val="single" w:color="00000A" w:sz="6" w:space="0"/>
              <w:bottom w:val="single" w:color="00000A" w:sz="6" w:space="0"/>
              <w:right w:val="single" w:color="00000A" w:sz="6" w:space="0"/>
            </w:tcBorders>
            <w:noWrap w:val="0"/>
            <w:vAlign w:val="center"/>
          </w:tcPr>
          <w:p w14:paraId="0B7DDEF8">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left w:val="single" w:color="00000A" w:sz="6" w:space="0"/>
              <w:bottom w:val="single" w:color="00000A" w:sz="6" w:space="0"/>
              <w:right w:val="single" w:color="00000A" w:sz="6" w:space="0"/>
            </w:tcBorders>
            <w:noWrap w:val="0"/>
            <w:vAlign w:val="center"/>
          </w:tcPr>
          <w:p w14:paraId="30379261">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left w:val="single" w:color="00000A" w:sz="6" w:space="0"/>
              <w:bottom w:val="single" w:color="00000A" w:sz="6" w:space="0"/>
              <w:right w:val="single" w:color="00000A" w:sz="6" w:space="0"/>
            </w:tcBorders>
            <w:noWrap w:val="0"/>
            <w:vAlign w:val="center"/>
          </w:tcPr>
          <w:p w14:paraId="286E6EC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left w:val="single" w:color="00000A" w:sz="6" w:space="0"/>
              <w:bottom w:val="single" w:color="00000A" w:sz="6" w:space="0"/>
              <w:right w:val="single" w:color="00000A" w:sz="6" w:space="0"/>
            </w:tcBorders>
            <w:noWrap w:val="0"/>
            <w:vAlign w:val="center"/>
          </w:tcPr>
          <w:p w14:paraId="71175F76">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left w:val="single" w:color="00000A" w:sz="6" w:space="0"/>
              <w:bottom w:val="single" w:color="00000A" w:sz="6" w:space="0"/>
              <w:right w:val="single" w:color="00000A" w:sz="6" w:space="0"/>
            </w:tcBorders>
            <w:noWrap w:val="0"/>
            <w:vAlign w:val="center"/>
          </w:tcPr>
          <w:p w14:paraId="65A7DE2A">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left w:val="single" w:color="00000A" w:sz="6" w:space="0"/>
              <w:bottom w:val="single" w:color="00000A" w:sz="6" w:space="0"/>
              <w:right w:val="single" w:color="00000A" w:sz="12" w:space="0"/>
            </w:tcBorders>
            <w:noWrap w:val="0"/>
            <w:vAlign w:val="center"/>
          </w:tcPr>
          <w:p w14:paraId="71501BC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7139FDE6">
        <w:tblPrEx>
          <w:tblCellMar>
            <w:top w:w="0" w:type="dxa"/>
            <w:left w:w="43" w:type="dxa"/>
            <w:bottom w:w="0" w:type="dxa"/>
            <w:right w:w="28" w:type="dxa"/>
          </w:tblCellMar>
        </w:tblPrEx>
        <w:trPr>
          <w:trHeight w:val="567" w:hRule="atLeast"/>
        </w:trPr>
        <w:tc>
          <w:tcPr>
            <w:tcW w:w="1177" w:type="dxa"/>
            <w:tcBorders>
              <w:left w:val="single" w:color="00000A" w:sz="12" w:space="0"/>
              <w:bottom w:val="single" w:color="00000A" w:sz="6" w:space="0"/>
              <w:right w:val="single" w:color="00000A" w:sz="6" w:space="0"/>
            </w:tcBorders>
            <w:noWrap w:val="0"/>
            <w:vAlign w:val="center"/>
          </w:tcPr>
          <w:p w14:paraId="24C69857">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left w:val="single" w:color="00000A" w:sz="6" w:space="0"/>
              <w:bottom w:val="single" w:color="00000A" w:sz="6" w:space="0"/>
              <w:right w:val="single" w:color="00000A" w:sz="6" w:space="0"/>
            </w:tcBorders>
            <w:noWrap w:val="0"/>
            <w:vAlign w:val="center"/>
          </w:tcPr>
          <w:p w14:paraId="2F1B451B">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left w:val="single" w:color="00000A" w:sz="6" w:space="0"/>
              <w:bottom w:val="single" w:color="00000A" w:sz="6" w:space="0"/>
              <w:right w:val="single" w:color="00000A" w:sz="6" w:space="0"/>
            </w:tcBorders>
            <w:noWrap w:val="0"/>
            <w:vAlign w:val="center"/>
          </w:tcPr>
          <w:p w14:paraId="6C2D7328">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left w:val="single" w:color="00000A" w:sz="6" w:space="0"/>
              <w:bottom w:val="single" w:color="00000A" w:sz="6" w:space="0"/>
              <w:right w:val="single" w:color="00000A" w:sz="6" w:space="0"/>
            </w:tcBorders>
            <w:noWrap w:val="0"/>
            <w:vAlign w:val="center"/>
          </w:tcPr>
          <w:p w14:paraId="03E3348C">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left w:val="single" w:color="00000A" w:sz="6" w:space="0"/>
              <w:bottom w:val="single" w:color="00000A" w:sz="6" w:space="0"/>
              <w:right w:val="single" w:color="00000A" w:sz="6" w:space="0"/>
            </w:tcBorders>
            <w:noWrap w:val="0"/>
            <w:vAlign w:val="center"/>
          </w:tcPr>
          <w:p w14:paraId="0CCB6857">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left w:val="single" w:color="00000A" w:sz="6" w:space="0"/>
              <w:bottom w:val="single" w:color="00000A" w:sz="6" w:space="0"/>
              <w:right w:val="single" w:color="00000A" w:sz="6" w:space="0"/>
            </w:tcBorders>
            <w:noWrap w:val="0"/>
            <w:vAlign w:val="center"/>
          </w:tcPr>
          <w:p w14:paraId="515D40A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left w:val="single" w:color="00000A" w:sz="6" w:space="0"/>
              <w:bottom w:val="single" w:color="00000A" w:sz="6" w:space="0"/>
              <w:right w:val="single" w:color="00000A" w:sz="6" w:space="0"/>
            </w:tcBorders>
            <w:noWrap w:val="0"/>
            <w:vAlign w:val="center"/>
          </w:tcPr>
          <w:p w14:paraId="3E1B50A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left w:val="single" w:color="00000A" w:sz="6" w:space="0"/>
              <w:bottom w:val="single" w:color="00000A" w:sz="6" w:space="0"/>
              <w:right w:val="single" w:color="00000A" w:sz="12" w:space="0"/>
            </w:tcBorders>
            <w:noWrap w:val="0"/>
            <w:vAlign w:val="center"/>
          </w:tcPr>
          <w:p w14:paraId="5BC65A2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760F0047">
        <w:tblPrEx>
          <w:tblCellMar>
            <w:top w:w="0" w:type="dxa"/>
            <w:left w:w="43" w:type="dxa"/>
            <w:bottom w:w="0" w:type="dxa"/>
            <w:right w:w="28" w:type="dxa"/>
          </w:tblCellMar>
        </w:tblPrEx>
        <w:trPr>
          <w:trHeight w:val="567" w:hRule="atLeast"/>
        </w:trPr>
        <w:tc>
          <w:tcPr>
            <w:tcW w:w="1177" w:type="dxa"/>
            <w:tcBorders>
              <w:top w:val="single" w:color="00000A" w:sz="6" w:space="0"/>
              <w:left w:val="single" w:color="00000A" w:sz="12" w:space="0"/>
              <w:bottom w:val="single" w:color="00000A" w:sz="6" w:space="0"/>
              <w:right w:val="single" w:color="00000A" w:sz="6" w:space="0"/>
            </w:tcBorders>
            <w:noWrap w:val="0"/>
            <w:vAlign w:val="center"/>
          </w:tcPr>
          <w:p w14:paraId="1321EDFC">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top w:val="single" w:color="00000A" w:sz="6" w:space="0"/>
              <w:left w:val="single" w:color="00000A" w:sz="6" w:space="0"/>
              <w:bottom w:val="single" w:color="00000A" w:sz="6" w:space="0"/>
              <w:right w:val="single" w:color="00000A" w:sz="6" w:space="0"/>
            </w:tcBorders>
            <w:noWrap w:val="0"/>
            <w:vAlign w:val="center"/>
          </w:tcPr>
          <w:p w14:paraId="40ECFB26">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top w:val="single" w:color="00000A" w:sz="6" w:space="0"/>
              <w:left w:val="single" w:color="00000A" w:sz="6" w:space="0"/>
              <w:bottom w:val="single" w:color="00000A" w:sz="6" w:space="0"/>
              <w:right w:val="single" w:color="00000A" w:sz="6" w:space="0"/>
            </w:tcBorders>
            <w:noWrap w:val="0"/>
            <w:vAlign w:val="center"/>
          </w:tcPr>
          <w:p w14:paraId="660951E5">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top w:val="single" w:color="00000A" w:sz="6" w:space="0"/>
              <w:left w:val="single" w:color="00000A" w:sz="6" w:space="0"/>
              <w:bottom w:val="single" w:color="00000A" w:sz="6" w:space="0"/>
              <w:right w:val="single" w:color="00000A" w:sz="6" w:space="0"/>
            </w:tcBorders>
            <w:noWrap w:val="0"/>
            <w:vAlign w:val="center"/>
          </w:tcPr>
          <w:p w14:paraId="1347442A">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top w:val="single" w:color="00000A" w:sz="6" w:space="0"/>
              <w:left w:val="single" w:color="00000A" w:sz="6" w:space="0"/>
              <w:bottom w:val="single" w:color="00000A" w:sz="6" w:space="0"/>
              <w:right w:val="single" w:color="00000A" w:sz="6" w:space="0"/>
            </w:tcBorders>
            <w:noWrap w:val="0"/>
            <w:vAlign w:val="center"/>
          </w:tcPr>
          <w:p w14:paraId="38702724">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top w:val="single" w:color="00000A" w:sz="6" w:space="0"/>
              <w:left w:val="single" w:color="00000A" w:sz="6" w:space="0"/>
              <w:bottom w:val="single" w:color="00000A" w:sz="6" w:space="0"/>
              <w:right w:val="single" w:color="00000A" w:sz="6" w:space="0"/>
            </w:tcBorders>
            <w:noWrap w:val="0"/>
            <w:vAlign w:val="center"/>
          </w:tcPr>
          <w:p w14:paraId="3514F297">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top w:val="single" w:color="00000A" w:sz="6" w:space="0"/>
              <w:left w:val="single" w:color="00000A" w:sz="6" w:space="0"/>
              <w:bottom w:val="single" w:color="00000A" w:sz="6" w:space="0"/>
              <w:right w:val="single" w:color="00000A" w:sz="6" w:space="0"/>
            </w:tcBorders>
            <w:noWrap w:val="0"/>
            <w:vAlign w:val="center"/>
          </w:tcPr>
          <w:p w14:paraId="06B3B0D9">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top w:val="single" w:color="00000A" w:sz="6" w:space="0"/>
              <w:left w:val="single" w:color="00000A" w:sz="6" w:space="0"/>
              <w:bottom w:val="single" w:color="00000A" w:sz="6" w:space="0"/>
              <w:right w:val="single" w:color="00000A" w:sz="12" w:space="0"/>
            </w:tcBorders>
            <w:noWrap w:val="0"/>
            <w:vAlign w:val="center"/>
          </w:tcPr>
          <w:p w14:paraId="30117879">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636B2FD2">
        <w:tblPrEx>
          <w:tblCellMar>
            <w:top w:w="0" w:type="dxa"/>
            <w:left w:w="43" w:type="dxa"/>
            <w:bottom w:w="0" w:type="dxa"/>
            <w:right w:w="28" w:type="dxa"/>
          </w:tblCellMar>
        </w:tblPrEx>
        <w:trPr>
          <w:trHeight w:val="567" w:hRule="atLeast"/>
        </w:trPr>
        <w:tc>
          <w:tcPr>
            <w:tcW w:w="1177" w:type="dxa"/>
            <w:tcBorders>
              <w:left w:val="single" w:color="00000A" w:sz="12" w:space="0"/>
              <w:bottom w:val="single" w:color="00000A" w:sz="6" w:space="0"/>
              <w:right w:val="single" w:color="00000A" w:sz="6" w:space="0"/>
            </w:tcBorders>
            <w:noWrap w:val="0"/>
            <w:vAlign w:val="center"/>
          </w:tcPr>
          <w:p w14:paraId="28EDE9EA">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left w:val="single" w:color="00000A" w:sz="6" w:space="0"/>
              <w:bottom w:val="single" w:color="00000A" w:sz="6" w:space="0"/>
              <w:right w:val="single" w:color="00000A" w:sz="6" w:space="0"/>
            </w:tcBorders>
            <w:noWrap w:val="0"/>
            <w:vAlign w:val="center"/>
          </w:tcPr>
          <w:p w14:paraId="4CA40E2E">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left w:val="single" w:color="00000A" w:sz="6" w:space="0"/>
              <w:bottom w:val="single" w:color="00000A" w:sz="6" w:space="0"/>
              <w:right w:val="single" w:color="00000A" w:sz="6" w:space="0"/>
            </w:tcBorders>
            <w:noWrap w:val="0"/>
            <w:vAlign w:val="center"/>
          </w:tcPr>
          <w:p w14:paraId="11FEB5E3">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left w:val="single" w:color="00000A" w:sz="6" w:space="0"/>
              <w:bottom w:val="single" w:color="00000A" w:sz="6" w:space="0"/>
              <w:right w:val="single" w:color="00000A" w:sz="6" w:space="0"/>
            </w:tcBorders>
            <w:noWrap w:val="0"/>
            <w:vAlign w:val="center"/>
          </w:tcPr>
          <w:p w14:paraId="61207D18">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left w:val="single" w:color="00000A" w:sz="6" w:space="0"/>
              <w:bottom w:val="single" w:color="00000A" w:sz="6" w:space="0"/>
              <w:right w:val="single" w:color="00000A" w:sz="6" w:space="0"/>
            </w:tcBorders>
            <w:noWrap w:val="0"/>
            <w:vAlign w:val="center"/>
          </w:tcPr>
          <w:p w14:paraId="4767EDBB">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left w:val="single" w:color="00000A" w:sz="6" w:space="0"/>
              <w:bottom w:val="single" w:color="00000A" w:sz="6" w:space="0"/>
              <w:right w:val="single" w:color="00000A" w:sz="6" w:space="0"/>
            </w:tcBorders>
            <w:noWrap w:val="0"/>
            <w:vAlign w:val="center"/>
          </w:tcPr>
          <w:p w14:paraId="3D6C5DD3">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left w:val="single" w:color="00000A" w:sz="6" w:space="0"/>
              <w:bottom w:val="single" w:color="00000A" w:sz="6" w:space="0"/>
              <w:right w:val="single" w:color="00000A" w:sz="6" w:space="0"/>
            </w:tcBorders>
            <w:noWrap w:val="0"/>
            <w:vAlign w:val="center"/>
          </w:tcPr>
          <w:p w14:paraId="54B7DC61">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left w:val="single" w:color="00000A" w:sz="6" w:space="0"/>
              <w:bottom w:val="single" w:color="00000A" w:sz="6" w:space="0"/>
              <w:right w:val="single" w:color="00000A" w:sz="12" w:space="0"/>
            </w:tcBorders>
            <w:noWrap w:val="0"/>
            <w:vAlign w:val="center"/>
          </w:tcPr>
          <w:p w14:paraId="14D597B1">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04F6B710">
        <w:tblPrEx>
          <w:tblCellMar>
            <w:top w:w="0" w:type="dxa"/>
            <w:left w:w="43" w:type="dxa"/>
            <w:bottom w:w="0" w:type="dxa"/>
            <w:right w:w="28" w:type="dxa"/>
          </w:tblCellMar>
        </w:tblPrEx>
        <w:trPr>
          <w:trHeight w:val="567" w:hRule="atLeast"/>
        </w:trPr>
        <w:tc>
          <w:tcPr>
            <w:tcW w:w="1177" w:type="dxa"/>
            <w:tcBorders>
              <w:top w:val="single" w:color="00000A" w:sz="6" w:space="0"/>
              <w:left w:val="single" w:color="00000A" w:sz="12" w:space="0"/>
              <w:bottom w:val="single" w:color="00000A" w:sz="6" w:space="0"/>
              <w:right w:val="single" w:color="00000A" w:sz="6" w:space="0"/>
            </w:tcBorders>
            <w:noWrap w:val="0"/>
            <w:vAlign w:val="center"/>
          </w:tcPr>
          <w:p w14:paraId="2FDA173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top w:val="single" w:color="00000A" w:sz="6" w:space="0"/>
              <w:left w:val="single" w:color="00000A" w:sz="6" w:space="0"/>
              <w:bottom w:val="single" w:color="00000A" w:sz="6" w:space="0"/>
              <w:right w:val="single" w:color="00000A" w:sz="6" w:space="0"/>
            </w:tcBorders>
            <w:noWrap w:val="0"/>
            <w:vAlign w:val="center"/>
          </w:tcPr>
          <w:p w14:paraId="5DCF8B0E">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top w:val="single" w:color="00000A" w:sz="6" w:space="0"/>
              <w:left w:val="single" w:color="00000A" w:sz="6" w:space="0"/>
              <w:bottom w:val="single" w:color="00000A" w:sz="6" w:space="0"/>
              <w:right w:val="single" w:color="00000A" w:sz="6" w:space="0"/>
            </w:tcBorders>
            <w:noWrap w:val="0"/>
            <w:vAlign w:val="center"/>
          </w:tcPr>
          <w:p w14:paraId="35529C28">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top w:val="single" w:color="00000A" w:sz="6" w:space="0"/>
              <w:left w:val="single" w:color="00000A" w:sz="6" w:space="0"/>
              <w:bottom w:val="single" w:color="00000A" w:sz="6" w:space="0"/>
              <w:right w:val="single" w:color="00000A" w:sz="6" w:space="0"/>
            </w:tcBorders>
            <w:noWrap w:val="0"/>
            <w:vAlign w:val="center"/>
          </w:tcPr>
          <w:p w14:paraId="2F88E4B9">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top w:val="single" w:color="00000A" w:sz="6" w:space="0"/>
              <w:left w:val="single" w:color="00000A" w:sz="6" w:space="0"/>
              <w:bottom w:val="single" w:color="00000A" w:sz="6" w:space="0"/>
              <w:right w:val="single" w:color="00000A" w:sz="6" w:space="0"/>
            </w:tcBorders>
            <w:noWrap w:val="0"/>
            <w:vAlign w:val="center"/>
          </w:tcPr>
          <w:p w14:paraId="4C0C845E">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top w:val="single" w:color="00000A" w:sz="6" w:space="0"/>
              <w:left w:val="single" w:color="00000A" w:sz="6" w:space="0"/>
              <w:bottom w:val="single" w:color="00000A" w:sz="6" w:space="0"/>
              <w:right w:val="single" w:color="00000A" w:sz="6" w:space="0"/>
            </w:tcBorders>
            <w:noWrap w:val="0"/>
            <w:vAlign w:val="center"/>
          </w:tcPr>
          <w:p w14:paraId="4857E711">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top w:val="single" w:color="00000A" w:sz="6" w:space="0"/>
              <w:left w:val="single" w:color="00000A" w:sz="6" w:space="0"/>
              <w:bottom w:val="single" w:color="00000A" w:sz="6" w:space="0"/>
              <w:right w:val="single" w:color="00000A" w:sz="6" w:space="0"/>
            </w:tcBorders>
            <w:noWrap w:val="0"/>
            <w:vAlign w:val="center"/>
          </w:tcPr>
          <w:p w14:paraId="5D7AEDAF">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top w:val="single" w:color="00000A" w:sz="6" w:space="0"/>
              <w:left w:val="single" w:color="00000A" w:sz="6" w:space="0"/>
              <w:bottom w:val="single" w:color="00000A" w:sz="6" w:space="0"/>
              <w:right w:val="single" w:color="00000A" w:sz="12" w:space="0"/>
            </w:tcBorders>
            <w:noWrap w:val="0"/>
            <w:vAlign w:val="center"/>
          </w:tcPr>
          <w:p w14:paraId="62D01C64">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1D88C180">
        <w:tblPrEx>
          <w:tblCellMar>
            <w:top w:w="0" w:type="dxa"/>
            <w:left w:w="43" w:type="dxa"/>
            <w:bottom w:w="0" w:type="dxa"/>
            <w:right w:w="28" w:type="dxa"/>
          </w:tblCellMar>
        </w:tblPrEx>
        <w:trPr>
          <w:trHeight w:val="567" w:hRule="atLeast"/>
        </w:trPr>
        <w:tc>
          <w:tcPr>
            <w:tcW w:w="1177" w:type="dxa"/>
            <w:tcBorders>
              <w:top w:val="single" w:color="00000A" w:sz="6" w:space="0"/>
              <w:left w:val="single" w:color="00000A" w:sz="12" w:space="0"/>
              <w:bottom w:val="single" w:color="00000A" w:sz="6" w:space="0"/>
              <w:right w:val="single" w:color="00000A" w:sz="6" w:space="0"/>
            </w:tcBorders>
            <w:noWrap w:val="0"/>
            <w:vAlign w:val="center"/>
          </w:tcPr>
          <w:p w14:paraId="146EF906">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top w:val="single" w:color="00000A" w:sz="6" w:space="0"/>
              <w:left w:val="single" w:color="00000A" w:sz="6" w:space="0"/>
              <w:bottom w:val="single" w:color="00000A" w:sz="6" w:space="0"/>
              <w:right w:val="single" w:color="00000A" w:sz="6" w:space="0"/>
            </w:tcBorders>
            <w:noWrap w:val="0"/>
            <w:vAlign w:val="center"/>
          </w:tcPr>
          <w:p w14:paraId="13E03B53">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top w:val="single" w:color="00000A" w:sz="6" w:space="0"/>
              <w:left w:val="single" w:color="00000A" w:sz="6" w:space="0"/>
              <w:bottom w:val="single" w:color="00000A" w:sz="6" w:space="0"/>
              <w:right w:val="single" w:color="00000A" w:sz="6" w:space="0"/>
            </w:tcBorders>
            <w:noWrap w:val="0"/>
            <w:vAlign w:val="center"/>
          </w:tcPr>
          <w:p w14:paraId="685A8B93">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top w:val="single" w:color="00000A" w:sz="6" w:space="0"/>
              <w:left w:val="single" w:color="00000A" w:sz="6" w:space="0"/>
              <w:bottom w:val="single" w:color="00000A" w:sz="6" w:space="0"/>
              <w:right w:val="single" w:color="00000A" w:sz="6" w:space="0"/>
            </w:tcBorders>
            <w:noWrap w:val="0"/>
            <w:vAlign w:val="center"/>
          </w:tcPr>
          <w:p w14:paraId="68BC9700">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top w:val="single" w:color="00000A" w:sz="6" w:space="0"/>
              <w:left w:val="single" w:color="00000A" w:sz="6" w:space="0"/>
              <w:bottom w:val="single" w:color="00000A" w:sz="6" w:space="0"/>
              <w:right w:val="single" w:color="00000A" w:sz="6" w:space="0"/>
            </w:tcBorders>
            <w:noWrap w:val="0"/>
            <w:vAlign w:val="center"/>
          </w:tcPr>
          <w:p w14:paraId="6E57298E">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top w:val="single" w:color="00000A" w:sz="6" w:space="0"/>
              <w:left w:val="single" w:color="00000A" w:sz="6" w:space="0"/>
              <w:bottom w:val="single" w:color="00000A" w:sz="6" w:space="0"/>
              <w:right w:val="single" w:color="00000A" w:sz="6" w:space="0"/>
            </w:tcBorders>
            <w:noWrap w:val="0"/>
            <w:vAlign w:val="center"/>
          </w:tcPr>
          <w:p w14:paraId="227352FE">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top w:val="single" w:color="00000A" w:sz="6" w:space="0"/>
              <w:left w:val="single" w:color="00000A" w:sz="6" w:space="0"/>
              <w:bottom w:val="single" w:color="00000A" w:sz="6" w:space="0"/>
              <w:right w:val="single" w:color="00000A" w:sz="6" w:space="0"/>
            </w:tcBorders>
            <w:noWrap w:val="0"/>
            <w:vAlign w:val="center"/>
          </w:tcPr>
          <w:p w14:paraId="086E31CC">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top w:val="single" w:color="00000A" w:sz="6" w:space="0"/>
              <w:left w:val="single" w:color="00000A" w:sz="6" w:space="0"/>
              <w:bottom w:val="single" w:color="00000A" w:sz="6" w:space="0"/>
              <w:right w:val="single" w:color="00000A" w:sz="12" w:space="0"/>
            </w:tcBorders>
            <w:noWrap w:val="0"/>
            <w:vAlign w:val="center"/>
          </w:tcPr>
          <w:p w14:paraId="6BC8FE13">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4413FAFF">
        <w:tblPrEx>
          <w:tblCellMar>
            <w:top w:w="0" w:type="dxa"/>
            <w:left w:w="43" w:type="dxa"/>
            <w:bottom w:w="0" w:type="dxa"/>
            <w:right w:w="28" w:type="dxa"/>
          </w:tblCellMar>
        </w:tblPrEx>
        <w:trPr>
          <w:trHeight w:val="567" w:hRule="atLeast"/>
        </w:trPr>
        <w:tc>
          <w:tcPr>
            <w:tcW w:w="1177" w:type="dxa"/>
            <w:tcBorders>
              <w:top w:val="single" w:color="00000A" w:sz="6" w:space="0"/>
              <w:left w:val="single" w:color="00000A" w:sz="12" w:space="0"/>
              <w:bottom w:val="single" w:color="00000A" w:sz="6" w:space="0"/>
              <w:right w:val="single" w:color="00000A" w:sz="6" w:space="0"/>
            </w:tcBorders>
            <w:noWrap w:val="0"/>
            <w:vAlign w:val="center"/>
          </w:tcPr>
          <w:p w14:paraId="7B666610">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993" w:type="dxa"/>
            <w:tcBorders>
              <w:top w:val="single" w:color="00000A" w:sz="6" w:space="0"/>
              <w:left w:val="single" w:color="00000A" w:sz="6" w:space="0"/>
              <w:bottom w:val="single" w:color="00000A" w:sz="6" w:space="0"/>
              <w:right w:val="single" w:color="00000A" w:sz="6" w:space="0"/>
            </w:tcBorders>
            <w:noWrap w:val="0"/>
            <w:vAlign w:val="center"/>
          </w:tcPr>
          <w:p w14:paraId="6C647727">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75" w:type="dxa"/>
            <w:tcBorders>
              <w:top w:val="single" w:color="00000A" w:sz="6" w:space="0"/>
              <w:left w:val="single" w:color="00000A" w:sz="6" w:space="0"/>
              <w:bottom w:val="single" w:color="00000A" w:sz="6" w:space="0"/>
              <w:right w:val="single" w:color="00000A" w:sz="6" w:space="0"/>
            </w:tcBorders>
            <w:noWrap w:val="0"/>
            <w:vAlign w:val="center"/>
          </w:tcPr>
          <w:p w14:paraId="4BCD6A62">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134" w:type="dxa"/>
            <w:tcBorders>
              <w:top w:val="single" w:color="00000A" w:sz="6" w:space="0"/>
              <w:left w:val="single" w:color="00000A" w:sz="6" w:space="0"/>
              <w:bottom w:val="single" w:color="00000A" w:sz="6" w:space="0"/>
              <w:right w:val="single" w:color="00000A" w:sz="6" w:space="0"/>
            </w:tcBorders>
            <w:noWrap w:val="0"/>
            <w:vAlign w:val="center"/>
          </w:tcPr>
          <w:p w14:paraId="60F1D1BD">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709" w:type="dxa"/>
            <w:tcBorders>
              <w:top w:val="single" w:color="00000A" w:sz="6" w:space="0"/>
              <w:left w:val="single" w:color="00000A" w:sz="6" w:space="0"/>
              <w:bottom w:val="single" w:color="00000A" w:sz="6" w:space="0"/>
              <w:right w:val="single" w:color="00000A" w:sz="6" w:space="0"/>
            </w:tcBorders>
            <w:noWrap w:val="0"/>
            <w:vAlign w:val="center"/>
          </w:tcPr>
          <w:p w14:paraId="21B52B06">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063" w:type="dxa"/>
            <w:tcBorders>
              <w:top w:val="single" w:color="00000A" w:sz="6" w:space="0"/>
              <w:left w:val="single" w:color="00000A" w:sz="6" w:space="0"/>
              <w:bottom w:val="single" w:color="00000A" w:sz="6" w:space="0"/>
              <w:right w:val="single" w:color="00000A" w:sz="6" w:space="0"/>
            </w:tcBorders>
            <w:noWrap w:val="0"/>
            <w:vAlign w:val="center"/>
          </w:tcPr>
          <w:p w14:paraId="5DFB841A">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200" w:type="dxa"/>
            <w:tcBorders>
              <w:top w:val="single" w:color="00000A" w:sz="6" w:space="0"/>
              <w:left w:val="single" w:color="00000A" w:sz="6" w:space="0"/>
              <w:bottom w:val="single" w:color="00000A" w:sz="6" w:space="0"/>
              <w:right w:val="single" w:color="00000A" w:sz="6" w:space="0"/>
            </w:tcBorders>
            <w:noWrap w:val="0"/>
            <w:vAlign w:val="center"/>
          </w:tcPr>
          <w:p w14:paraId="34B2387F">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c>
          <w:tcPr>
            <w:tcW w:w="1300" w:type="dxa"/>
            <w:tcBorders>
              <w:top w:val="single" w:color="00000A" w:sz="6" w:space="0"/>
              <w:left w:val="single" w:color="00000A" w:sz="6" w:space="0"/>
              <w:bottom w:val="single" w:color="00000A" w:sz="6" w:space="0"/>
              <w:right w:val="single" w:color="00000A" w:sz="12" w:space="0"/>
            </w:tcBorders>
            <w:noWrap w:val="0"/>
            <w:vAlign w:val="center"/>
          </w:tcPr>
          <w:p w14:paraId="3628CA43">
            <w:pPr>
              <w:pStyle w:val="2"/>
              <w:keepNext/>
              <w:shd w:val="clear" w:color="auto" w:fill="auto"/>
              <w:spacing w:after="0" w:line="400" w:lineRule="exact"/>
              <w:ind w:left="63" w:right="63"/>
              <w:rPr>
                <w:rFonts w:hint="eastAsia" w:ascii="仿宋" w:hAnsi="仿宋" w:eastAsia="仿宋" w:cs="仿宋"/>
                <w:color w:val="auto"/>
                <w:sz w:val="24"/>
                <w:szCs w:val="24"/>
                <w:highlight w:val="none"/>
              </w:rPr>
            </w:pPr>
          </w:p>
        </w:tc>
      </w:tr>
      <w:tr w14:paraId="7F9C1060">
        <w:tblPrEx>
          <w:tblCellMar>
            <w:top w:w="0" w:type="dxa"/>
            <w:left w:w="43" w:type="dxa"/>
            <w:bottom w:w="0" w:type="dxa"/>
            <w:right w:w="28" w:type="dxa"/>
          </w:tblCellMar>
        </w:tblPrEx>
        <w:trPr>
          <w:trHeight w:val="567" w:hRule="atLeast"/>
        </w:trPr>
        <w:tc>
          <w:tcPr>
            <w:tcW w:w="1177" w:type="dxa"/>
            <w:tcBorders>
              <w:top w:val="single" w:color="00000A" w:sz="6" w:space="0"/>
              <w:left w:val="single" w:color="00000A" w:sz="12" w:space="0"/>
              <w:bottom w:val="single" w:color="00000A" w:sz="6" w:space="0"/>
              <w:right w:val="single" w:color="00000A" w:sz="6" w:space="0"/>
            </w:tcBorders>
            <w:noWrap w:val="0"/>
            <w:vAlign w:val="center"/>
          </w:tcPr>
          <w:p w14:paraId="3821804F">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993" w:type="dxa"/>
            <w:tcBorders>
              <w:top w:val="single" w:color="00000A" w:sz="6" w:space="0"/>
              <w:left w:val="single" w:color="00000A" w:sz="6" w:space="0"/>
              <w:bottom w:val="single" w:color="00000A" w:sz="6" w:space="0"/>
              <w:right w:val="single" w:color="00000A" w:sz="6" w:space="0"/>
            </w:tcBorders>
            <w:noWrap w:val="0"/>
            <w:vAlign w:val="center"/>
          </w:tcPr>
          <w:p w14:paraId="0EC828C7">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1275" w:type="dxa"/>
            <w:tcBorders>
              <w:top w:val="single" w:color="00000A" w:sz="6" w:space="0"/>
              <w:left w:val="single" w:color="00000A" w:sz="6" w:space="0"/>
              <w:bottom w:val="single" w:color="00000A" w:sz="6" w:space="0"/>
              <w:right w:val="single" w:color="00000A" w:sz="6" w:space="0"/>
            </w:tcBorders>
            <w:noWrap w:val="0"/>
            <w:vAlign w:val="center"/>
          </w:tcPr>
          <w:p w14:paraId="146DC808">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1134" w:type="dxa"/>
            <w:tcBorders>
              <w:top w:val="single" w:color="00000A" w:sz="6" w:space="0"/>
              <w:left w:val="single" w:color="00000A" w:sz="6" w:space="0"/>
              <w:bottom w:val="single" w:color="00000A" w:sz="6" w:space="0"/>
              <w:right w:val="single" w:color="00000A" w:sz="6" w:space="0"/>
            </w:tcBorders>
            <w:noWrap w:val="0"/>
            <w:vAlign w:val="center"/>
          </w:tcPr>
          <w:p w14:paraId="34A0A92F">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709" w:type="dxa"/>
            <w:tcBorders>
              <w:top w:val="single" w:color="00000A" w:sz="6" w:space="0"/>
              <w:left w:val="single" w:color="00000A" w:sz="6" w:space="0"/>
              <w:bottom w:val="single" w:color="00000A" w:sz="6" w:space="0"/>
              <w:right w:val="single" w:color="00000A" w:sz="6" w:space="0"/>
            </w:tcBorders>
            <w:noWrap w:val="0"/>
            <w:vAlign w:val="center"/>
          </w:tcPr>
          <w:p w14:paraId="3FB62C64">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1063" w:type="dxa"/>
            <w:tcBorders>
              <w:top w:val="single" w:color="00000A" w:sz="6" w:space="0"/>
              <w:left w:val="single" w:color="00000A" w:sz="6" w:space="0"/>
              <w:bottom w:val="single" w:color="00000A" w:sz="6" w:space="0"/>
              <w:right w:val="single" w:color="00000A" w:sz="6" w:space="0"/>
            </w:tcBorders>
            <w:noWrap w:val="0"/>
            <w:vAlign w:val="center"/>
          </w:tcPr>
          <w:p w14:paraId="1130D250">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1200" w:type="dxa"/>
            <w:tcBorders>
              <w:top w:val="single" w:color="00000A" w:sz="6" w:space="0"/>
              <w:left w:val="single" w:color="00000A" w:sz="6" w:space="0"/>
              <w:bottom w:val="single" w:color="00000A" w:sz="6" w:space="0"/>
              <w:right w:val="single" w:color="00000A" w:sz="6" w:space="0"/>
            </w:tcBorders>
            <w:noWrap w:val="0"/>
            <w:vAlign w:val="center"/>
          </w:tcPr>
          <w:p w14:paraId="7FD7CDC3">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1300" w:type="dxa"/>
            <w:tcBorders>
              <w:top w:val="single" w:color="00000A" w:sz="6" w:space="0"/>
              <w:left w:val="single" w:color="00000A" w:sz="6" w:space="0"/>
              <w:bottom w:val="single" w:color="00000A" w:sz="6" w:space="0"/>
              <w:right w:val="single" w:color="00000A" w:sz="12" w:space="0"/>
            </w:tcBorders>
            <w:noWrap w:val="0"/>
            <w:vAlign w:val="center"/>
          </w:tcPr>
          <w:p w14:paraId="33F76105">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r>
      <w:tr w14:paraId="38AB9BE7">
        <w:tblPrEx>
          <w:tblCellMar>
            <w:top w:w="0" w:type="dxa"/>
            <w:left w:w="43" w:type="dxa"/>
            <w:bottom w:w="0" w:type="dxa"/>
            <w:right w:w="28" w:type="dxa"/>
          </w:tblCellMar>
        </w:tblPrEx>
        <w:trPr>
          <w:trHeight w:val="567" w:hRule="atLeast"/>
        </w:trPr>
        <w:tc>
          <w:tcPr>
            <w:tcW w:w="1177" w:type="dxa"/>
            <w:tcBorders>
              <w:top w:val="single" w:color="00000A" w:sz="6" w:space="0"/>
              <w:left w:val="single" w:color="00000A" w:sz="12" w:space="0"/>
              <w:bottom w:val="single" w:color="00000A" w:sz="6" w:space="0"/>
              <w:right w:val="single" w:color="00000A" w:sz="6" w:space="0"/>
            </w:tcBorders>
            <w:noWrap w:val="0"/>
            <w:vAlign w:val="center"/>
          </w:tcPr>
          <w:p w14:paraId="3C9F4721">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993" w:type="dxa"/>
            <w:tcBorders>
              <w:top w:val="single" w:color="00000A" w:sz="6" w:space="0"/>
              <w:left w:val="single" w:color="00000A" w:sz="6" w:space="0"/>
              <w:bottom w:val="single" w:color="00000A" w:sz="6" w:space="0"/>
              <w:right w:val="single" w:color="00000A" w:sz="6" w:space="0"/>
            </w:tcBorders>
            <w:noWrap w:val="0"/>
            <w:vAlign w:val="center"/>
          </w:tcPr>
          <w:p w14:paraId="4A86CBDA">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1275" w:type="dxa"/>
            <w:tcBorders>
              <w:top w:val="single" w:color="00000A" w:sz="6" w:space="0"/>
              <w:left w:val="single" w:color="00000A" w:sz="6" w:space="0"/>
              <w:bottom w:val="single" w:color="00000A" w:sz="6" w:space="0"/>
              <w:right w:val="single" w:color="00000A" w:sz="6" w:space="0"/>
            </w:tcBorders>
            <w:noWrap w:val="0"/>
            <w:vAlign w:val="center"/>
          </w:tcPr>
          <w:p w14:paraId="71652916">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1134" w:type="dxa"/>
            <w:tcBorders>
              <w:top w:val="single" w:color="00000A" w:sz="6" w:space="0"/>
              <w:left w:val="single" w:color="00000A" w:sz="6" w:space="0"/>
              <w:bottom w:val="single" w:color="00000A" w:sz="6" w:space="0"/>
              <w:right w:val="single" w:color="00000A" w:sz="6" w:space="0"/>
            </w:tcBorders>
            <w:noWrap w:val="0"/>
            <w:vAlign w:val="center"/>
          </w:tcPr>
          <w:p w14:paraId="5C7D3558">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709" w:type="dxa"/>
            <w:tcBorders>
              <w:top w:val="single" w:color="00000A" w:sz="6" w:space="0"/>
              <w:left w:val="single" w:color="00000A" w:sz="6" w:space="0"/>
              <w:bottom w:val="single" w:color="00000A" w:sz="6" w:space="0"/>
              <w:right w:val="single" w:color="00000A" w:sz="6" w:space="0"/>
            </w:tcBorders>
            <w:noWrap w:val="0"/>
            <w:vAlign w:val="center"/>
          </w:tcPr>
          <w:p w14:paraId="3CF1FF92">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1063" w:type="dxa"/>
            <w:tcBorders>
              <w:top w:val="single" w:color="00000A" w:sz="6" w:space="0"/>
              <w:left w:val="single" w:color="00000A" w:sz="6" w:space="0"/>
              <w:bottom w:val="single" w:color="00000A" w:sz="6" w:space="0"/>
              <w:right w:val="single" w:color="00000A" w:sz="6" w:space="0"/>
            </w:tcBorders>
            <w:noWrap w:val="0"/>
            <w:vAlign w:val="center"/>
          </w:tcPr>
          <w:p w14:paraId="37B5FABE">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1200" w:type="dxa"/>
            <w:tcBorders>
              <w:top w:val="single" w:color="00000A" w:sz="6" w:space="0"/>
              <w:left w:val="single" w:color="00000A" w:sz="6" w:space="0"/>
              <w:bottom w:val="single" w:color="00000A" w:sz="6" w:space="0"/>
              <w:right w:val="single" w:color="00000A" w:sz="6" w:space="0"/>
            </w:tcBorders>
            <w:noWrap w:val="0"/>
            <w:vAlign w:val="center"/>
          </w:tcPr>
          <w:p w14:paraId="7860AF3E">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c>
          <w:tcPr>
            <w:tcW w:w="1300" w:type="dxa"/>
            <w:tcBorders>
              <w:top w:val="single" w:color="00000A" w:sz="6" w:space="0"/>
              <w:left w:val="single" w:color="00000A" w:sz="6" w:space="0"/>
              <w:bottom w:val="single" w:color="00000A" w:sz="6" w:space="0"/>
              <w:right w:val="single" w:color="00000A" w:sz="12" w:space="0"/>
            </w:tcBorders>
            <w:noWrap w:val="0"/>
            <w:vAlign w:val="center"/>
          </w:tcPr>
          <w:p w14:paraId="7F7C1D51">
            <w:pPr>
              <w:pStyle w:val="2"/>
              <w:keepNext/>
              <w:shd w:val="clear" w:color="auto" w:fill="auto"/>
              <w:spacing w:after="0" w:line="400" w:lineRule="exact"/>
              <w:ind w:left="63" w:right="63"/>
              <w:rPr>
                <w:rFonts w:hint="eastAsia" w:ascii="宋体" w:hAnsi="宋体" w:eastAsia="宋体" w:cs="宋体"/>
                <w:color w:val="auto"/>
                <w:sz w:val="24"/>
                <w:szCs w:val="24"/>
                <w:highlight w:val="none"/>
              </w:rPr>
            </w:pPr>
          </w:p>
        </w:tc>
      </w:tr>
    </w:tbl>
    <w:p w14:paraId="20719E33">
      <w:pPr>
        <w:shd w:val="clear" w:color="auto" w:fill="auto"/>
        <w:spacing w:line="440" w:lineRule="exact"/>
        <w:rPr>
          <w:rFonts w:hint="eastAsia" w:ascii="宋体" w:hAnsi="宋体" w:eastAsia="宋体" w:cs="宋体"/>
          <w:color w:val="auto"/>
          <w:szCs w:val="21"/>
          <w:highlight w:val="none"/>
        </w:rPr>
      </w:pPr>
    </w:p>
    <w:p w14:paraId="49CA9405">
      <w:pPr>
        <w:shd w:val="clear" w:color="auto" w:fill="auto"/>
        <w:spacing w:line="440" w:lineRule="exact"/>
        <w:rPr>
          <w:rFonts w:hint="eastAsia" w:ascii="宋体" w:hAnsi="宋体" w:eastAsia="宋体" w:cs="宋体"/>
          <w:color w:val="auto"/>
          <w:szCs w:val="21"/>
          <w:highlight w:val="none"/>
        </w:rPr>
      </w:pPr>
    </w:p>
    <w:p w14:paraId="57887A94">
      <w:pPr>
        <w:shd w:val="clear" w:color="auto" w:fill="auto"/>
        <w:spacing w:line="440" w:lineRule="exact"/>
        <w:rPr>
          <w:rFonts w:hint="eastAsia" w:ascii="宋体" w:hAnsi="宋体" w:eastAsia="宋体" w:cs="宋体"/>
          <w:color w:val="auto"/>
          <w:szCs w:val="21"/>
          <w:highlight w:val="none"/>
        </w:rPr>
      </w:pPr>
    </w:p>
    <w:p w14:paraId="72335E20">
      <w:pPr>
        <w:shd w:val="clear" w:color="auto" w:fill="auto"/>
        <w:spacing w:line="440" w:lineRule="exact"/>
        <w:rPr>
          <w:rFonts w:hint="eastAsia" w:ascii="宋体" w:hAnsi="宋体" w:eastAsia="宋体" w:cs="宋体"/>
          <w:color w:val="auto"/>
          <w:szCs w:val="21"/>
          <w:highlight w:val="none"/>
        </w:rPr>
      </w:pPr>
    </w:p>
    <w:p w14:paraId="0C34ACE0">
      <w:pPr>
        <w:shd w:val="clear" w:color="auto" w:fill="auto"/>
        <w:spacing w:line="440" w:lineRule="exact"/>
        <w:rPr>
          <w:rFonts w:hint="eastAsia" w:ascii="宋体" w:hAnsi="宋体" w:eastAsia="宋体" w:cs="宋体"/>
          <w:color w:val="auto"/>
          <w:szCs w:val="21"/>
          <w:highlight w:val="none"/>
        </w:rPr>
      </w:pPr>
    </w:p>
    <w:p w14:paraId="552CF6CA">
      <w:pPr>
        <w:shd w:val="clear" w:color="auto" w:fill="auto"/>
        <w:spacing w:line="440" w:lineRule="exact"/>
        <w:rPr>
          <w:rFonts w:hint="eastAsia" w:ascii="宋体" w:hAnsi="宋体" w:eastAsia="宋体" w:cs="宋体"/>
          <w:color w:val="auto"/>
          <w:szCs w:val="21"/>
          <w:highlight w:val="none"/>
        </w:rPr>
      </w:pPr>
    </w:p>
    <w:p w14:paraId="063FAA1E">
      <w:pPr>
        <w:shd w:val="clear" w:color="auto" w:fill="auto"/>
        <w:spacing w:line="440" w:lineRule="exact"/>
        <w:rPr>
          <w:rFonts w:hint="eastAsia" w:ascii="宋体" w:hAnsi="宋体" w:eastAsia="宋体" w:cs="宋体"/>
          <w:color w:val="auto"/>
          <w:szCs w:val="21"/>
          <w:highlight w:val="none"/>
        </w:rPr>
      </w:pPr>
    </w:p>
    <w:p w14:paraId="63C254A4">
      <w:pPr>
        <w:shd w:val="clear" w:color="auto" w:fill="auto"/>
        <w:spacing w:line="440" w:lineRule="exact"/>
        <w:rPr>
          <w:rFonts w:hint="eastAsia" w:ascii="仿宋" w:hAnsi="仿宋" w:eastAsia="仿宋" w:cs="仿宋"/>
          <w:color w:val="auto"/>
          <w:sz w:val="24"/>
          <w:szCs w:val="24"/>
          <w:highlight w:val="none"/>
        </w:rPr>
      </w:pPr>
      <w:r>
        <w:rPr>
          <w:rFonts w:hint="eastAsia" w:ascii="宋体" w:hAnsi="宋体" w:eastAsia="宋体" w:cs="宋体"/>
          <w:color w:val="auto"/>
          <w:szCs w:val="21"/>
          <w:highlight w:val="none"/>
        </w:rPr>
        <w:br w:type="page"/>
      </w:r>
      <w:r>
        <w:rPr>
          <w:rFonts w:hint="eastAsia" w:ascii="仿宋" w:hAnsi="仿宋" w:eastAsia="仿宋" w:cs="仿宋"/>
          <w:color w:val="auto"/>
          <w:sz w:val="24"/>
          <w:szCs w:val="24"/>
          <w:highlight w:val="none"/>
        </w:rPr>
        <w:t xml:space="preserve">附件2：    </w:t>
      </w:r>
    </w:p>
    <w:p w14:paraId="7CED0152">
      <w:pPr>
        <w:shd w:val="clear" w:color="auto" w:fill="auto"/>
        <w:spacing w:before="156" w:beforeLines="50" w:after="156" w:afterLines="50"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w:t>
      </w:r>
    </w:p>
    <w:p w14:paraId="036AD6B8">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w:t>
      </w:r>
      <w:r>
        <w:rPr>
          <w:rFonts w:hint="eastAsia" w:ascii="仿宋" w:hAnsi="仿宋" w:eastAsia="仿宋" w:cs="仿宋"/>
          <w:b/>
          <w:color w:val="auto"/>
          <w:sz w:val="24"/>
          <w:szCs w:val="24"/>
          <w:highlight w:val="none"/>
          <w:u w:val="single"/>
        </w:rPr>
        <w:t>威海临港城市建设投资有限公司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8E244B3">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u w:val="single"/>
        </w:rPr>
        <w:t xml:space="preserve">                          </w:t>
      </w:r>
    </w:p>
    <w:p w14:paraId="6AE302A1">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发包人和承包人根据《中华人民共和国建筑法》和《建设工程质量管理条例》及有关规定，经协商一致就</w:t>
      </w:r>
      <w:r>
        <w:rPr>
          <w:rFonts w:hint="eastAsia" w:ascii="仿宋" w:hAnsi="仿宋" w:eastAsia="仿宋" w:cs="仿宋"/>
          <w:b/>
          <w:color w:val="auto"/>
          <w:sz w:val="24"/>
          <w:szCs w:val="24"/>
          <w:highlight w:val="none"/>
          <w:u w:val="single"/>
          <w:lang w:val="en-US" w:eastAsia="zh-CN"/>
        </w:rPr>
        <w:t>临港区学校隔离设施（护学通道）改造工程</w:t>
      </w:r>
      <w:r>
        <w:rPr>
          <w:rFonts w:hint="eastAsia" w:ascii="仿宋" w:hAnsi="仿宋" w:eastAsia="仿宋" w:cs="仿宋"/>
          <w:color w:val="auto"/>
          <w:sz w:val="24"/>
          <w:szCs w:val="24"/>
          <w:highlight w:val="none"/>
        </w:rPr>
        <w:t>（工程全称）签订工程质量保修书。</w:t>
      </w:r>
    </w:p>
    <w:p w14:paraId="28C9A3A4">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一、工程质量保修范围和内容</w:t>
      </w:r>
    </w:p>
    <w:p w14:paraId="2B926CD1">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承包人在质量保修期内，按照有关法律规定和合同约定，承担工程质量保修责任。</w:t>
      </w:r>
    </w:p>
    <w:p w14:paraId="1B864B09">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承包人施工完成的所有施工项目</w:t>
      </w:r>
      <w:r>
        <w:rPr>
          <w:rFonts w:hint="eastAsia" w:ascii="仿宋" w:hAnsi="仿宋" w:eastAsia="仿宋" w:cs="仿宋"/>
          <w:color w:val="auto"/>
          <w:sz w:val="24"/>
          <w:szCs w:val="24"/>
          <w:highlight w:val="none"/>
          <w:u w:val="single"/>
        </w:rPr>
        <w:t xml:space="preserve">  </w:t>
      </w:r>
    </w:p>
    <w:p w14:paraId="358411A0">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二、质量保修期</w:t>
      </w:r>
    </w:p>
    <w:p w14:paraId="77970B0C">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1669DB74">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5EB7D21A">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rPr>
        <w:t xml:space="preserve"> 5 </w:t>
      </w:r>
      <w:r>
        <w:rPr>
          <w:rFonts w:hint="eastAsia" w:ascii="仿宋" w:hAnsi="仿宋" w:eastAsia="仿宋" w:cs="仿宋"/>
          <w:color w:val="auto"/>
          <w:sz w:val="24"/>
          <w:szCs w:val="24"/>
          <w:highlight w:val="none"/>
        </w:rPr>
        <w:t>年；</w:t>
      </w:r>
    </w:p>
    <w:p w14:paraId="29BEF7D6">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2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42396DA5">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0CCCD11D">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个采暖期、供冷期；</w:t>
      </w:r>
    </w:p>
    <w:p w14:paraId="75159C44">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3569AF8C">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u w:val="single"/>
        </w:rPr>
        <w:t xml:space="preserve">   </w:t>
      </w:r>
      <w:r>
        <w:rPr>
          <w:rFonts w:hint="eastAsia" w:ascii="仿宋" w:hAnsi="仿宋" w:eastAsia="仿宋" w:cs="仿宋"/>
          <w:b/>
          <w:bCs/>
          <w:color w:val="auto"/>
          <w:sz w:val="24"/>
          <w:szCs w:val="24"/>
          <w:highlight w:val="none"/>
          <w:u w:val="single"/>
        </w:rPr>
        <w:t xml:space="preserve"> 2年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C798D23">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w:t>
      </w:r>
    </w:p>
    <w:p w14:paraId="53A5BA5D">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14:paraId="20F7B9A3">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rPr>
        <w:t xml:space="preserve"> 24 </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66C87E29">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缺陷责任期终止后，发包人应退还剩余的质量保证金。</w:t>
      </w:r>
    </w:p>
    <w:p w14:paraId="5510FB80">
      <w:pPr>
        <w:shd w:val="clear" w:color="auto" w:fill="auto"/>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四、质量保修责任</w:t>
      </w:r>
    </w:p>
    <w:p w14:paraId="4A656BAC">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18846EF6">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14:paraId="7DFEC6F2">
      <w:pPr>
        <w:shd w:val="clear" w:color="auto" w:fill="auto"/>
        <w:spacing w:line="44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F4EE148">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17094ACD">
      <w:pPr>
        <w:shd w:val="clear" w:color="auto" w:fill="auto"/>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五、保修费用</w:t>
      </w:r>
    </w:p>
    <w:p w14:paraId="0A9BADD4">
      <w:pPr>
        <w:shd w:val="clear" w:color="auto" w:fill="auto"/>
        <w:spacing w:line="44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保修费用由造成质量缺陷的责任方承担。</w:t>
      </w:r>
    </w:p>
    <w:p w14:paraId="74CC8A65">
      <w:pPr>
        <w:shd w:val="clear" w:color="auto" w:fill="auto"/>
        <w:spacing w:line="44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六、双方约定的其他工程质量保修事项：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rPr>
        <w:t>。</w:t>
      </w:r>
    </w:p>
    <w:p w14:paraId="033CB6D6">
      <w:pPr>
        <w:shd w:val="clear" w:color="auto" w:fill="auto"/>
        <w:spacing w:line="440" w:lineRule="exact"/>
        <w:ind w:firstLine="456" w:firstLineChars="19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42020E74">
      <w:pPr>
        <w:shd w:val="clear" w:color="auto" w:fill="auto"/>
        <w:spacing w:line="440" w:lineRule="exact"/>
        <w:ind w:firstLine="456" w:firstLineChars="190"/>
        <w:rPr>
          <w:rFonts w:hint="eastAsia" w:ascii="仿宋" w:hAnsi="仿宋" w:eastAsia="仿宋" w:cs="仿宋"/>
          <w:color w:val="auto"/>
          <w:sz w:val="24"/>
          <w:szCs w:val="24"/>
          <w:highlight w:val="none"/>
        </w:rPr>
      </w:pPr>
    </w:p>
    <w:p w14:paraId="35BAF0BD">
      <w:pPr>
        <w:shd w:val="clear" w:color="auto" w:fill="auto"/>
        <w:spacing w:line="440" w:lineRule="exact"/>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承包人(公章)：</w:t>
      </w:r>
      <w:r>
        <w:rPr>
          <w:rFonts w:hint="eastAsia" w:ascii="仿宋" w:hAnsi="仿宋" w:eastAsia="仿宋" w:cs="仿宋"/>
          <w:color w:val="auto"/>
          <w:sz w:val="24"/>
          <w:szCs w:val="24"/>
          <w:highlight w:val="none"/>
          <w:u w:val="single"/>
        </w:rPr>
        <w:t xml:space="preserve">              </w:t>
      </w:r>
    </w:p>
    <w:p w14:paraId="6DE57C3F">
      <w:pPr>
        <w:shd w:val="clear" w:color="auto" w:fill="auto"/>
        <w:spacing w:line="440" w:lineRule="exact"/>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  </w:t>
      </w:r>
      <w:r>
        <w:rPr>
          <w:rFonts w:hint="eastAsia" w:ascii="仿宋" w:hAnsi="仿宋" w:eastAsia="仿宋" w:cs="仿宋"/>
          <w:color w:val="auto"/>
          <w:sz w:val="24"/>
          <w:szCs w:val="24"/>
          <w:highlight w:val="none"/>
          <w:u w:val="single"/>
        </w:rPr>
        <w:t xml:space="preserve">                  </w:t>
      </w:r>
    </w:p>
    <w:p w14:paraId="1F490196">
      <w:pPr>
        <w:shd w:val="clear" w:color="auto" w:fill="auto"/>
        <w:spacing w:line="440" w:lineRule="exact"/>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法定代表人(签字)： </w:t>
      </w:r>
      <w:r>
        <w:rPr>
          <w:rFonts w:hint="eastAsia" w:ascii="仿宋" w:hAnsi="仿宋" w:eastAsia="仿宋" w:cs="仿宋"/>
          <w:color w:val="auto"/>
          <w:sz w:val="24"/>
          <w:szCs w:val="24"/>
          <w:highlight w:val="none"/>
          <w:u w:val="single"/>
        </w:rPr>
        <w:t xml:space="preserve">         </w:t>
      </w:r>
    </w:p>
    <w:p w14:paraId="48AAD656">
      <w:pPr>
        <w:shd w:val="clear" w:color="auto" w:fill="auto"/>
        <w:spacing w:line="440" w:lineRule="exact"/>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委托代理人(签字)：</w:t>
      </w:r>
      <w:r>
        <w:rPr>
          <w:rFonts w:hint="eastAsia" w:ascii="仿宋" w:hAnsi="仿宋" w:eastAsia="仿宋" w:cs="仿宋"/>
          <w:color w:val="auto"/>
          <w:sz w:val="24"/>
          <w:szCs w:val="24"/>
          <w:highlight w:val="none"/>
          <w:u w:val="single"/>
        </w:rPr>
        <w:t xml:space="preserve">         </w:t>
      </w:r>
    </w:p>
    <w:p w14:paraId="44C78FC2">
      <w:pPr>
        <w:shd w:val="clear" w:color="auto" w:fill="auto"/>
        <w:spacing w:line="440" w:lineRule="exact"/>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 </w:t>
      </w:r>
      <w:r>
        <w:rPr>
          <w:rFonts w:hint="eastAsia" w:ascii="仿宋" w:hAnsi="仿宋" w:eastAsia="仿宋" w:cs="仿宋"/>
          <w:color w:val="auto"/>
          <w:sz w:val="24"/>
          <w:szCs w:val="24"/>
          <w:highlight w:val="none"/>
          <w:u w:val="single"/>
        </w:rPr>
        <w:t xml:space="preserve">                   </w:t>
      </w:r>
    </w:p>
    <w:p w14:paraId="12184140">
      <w:pPr>
        <w:shd w:val="clear" w:color="auto" w:fill="auto"/>
        <w:spacing w:line="440" w:lineRule="exact"/>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 </w:t>
      </w:r>
      <w:r>
        <w:rPr>
          <w:rFonts w:hint="eastAsia" w:ascii="仿宋" w:hAnsi="仿宋" w:eastAsia="仿宋" w:cs="仿宋"/>
          <w:color w:val="auto"/>
          <w:sz w:val="24"/>
          <w:szCs w:val="24"/>
          <w:highlight w:val="none"/>
          <w:u w:val="single"/>
        </w:rPr>
        <w:t xml:space="preserve">                   </w:t>
      </w:r>
    </w:p>
    <w:p w14:paraId="3636A42C">
      <w:pPr>
        <w:shd w:val="clear" w:color="auto" w:fill="auto"/>
        <w:spacing w:line="440" w:lineRule="exact"/>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 </w:t>
      </w:r>
      <w:r>
        <w:rPr>
          <w:rFonts w:hint="eastAsia" w:ascii="仿宋" w:hAnsi="仿宋" w:eastAsia="仿宋" w:cs="仿宋"/>
          <w:color w:val="auto"/>
          <w:sz w:val="24"/>
          <w:szCs w:val="24"/>
          <w:highlight w:val="none"/>
          <w:u w:val="single"/>
        </w:rPr>
        <w:t xml:space="preserve">                </w:t>
      </w:r>
    </w:p>
    <w:p w14:paraId="706B1D6E">
      <w:pPr>
        <w:shd w:val="clear" w:color="auto" w:fill="auto"/>
        <w:spacing w:line="440" w:lineRule="exact"/>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账  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12C16B0D">
      <w:pPr>
        <w:shd w:val="clear" w:color="auto" w:fill="auto"/>
        <w:spacing w:line="440" w:lineRule="exact"/>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3608764C">
      <w:pPr>
        <w:shd w:val="clear" w:color="auto" w:fill="auto"/>
        <w:spacing w:line="360" w:lineRule="exact"/>
        <w:jc w:val="left"/>
        <w:rPr>
          <w:rFonts w:hint="eastAsia" w:ascii="仿宋" w:hAnsi="仿宋" w:eastAsia="仿宋" w:cs="仿宋"/>
          <w:color w:val="auto"/>
          <w:szCs w:val="21"/>
          <w:highlight w:val="none"/>
        </w:rPr>
      </w:pPr>
    </w:p>
    <w:p w14:paraId="02E5D007">
      <w:pPr>
        <w:shd w:val="clear" w:color="auto" w:fill="auto"/>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p>
    <w:p w14:paraId="2439EB82">
      <w:pPr>
        <w:shd w:val="clear" w:color="auto" w:fill="auto"/>
        <w:spacing w:line="360" w:lineRule="auto"/>
        <w:ind w:firstLine="420" w:firstLineChars="200"/>
        <w:rPr>
          <w:rFonts w:hint="eastAsia" w:ascii="仿宋" w:hAnsi="仿宋" w:eastAsia="仿宋" w:cs="仿宋"/>
          <w:color w:val="auto"/>
          <w:szCs w:val="21"/>
          <w:highlight w:val="none"/>
        </w:rPr>
      </w:pPr>
    </w:p>
    <w:p w14:paraId="4CB9D945">
      <w:pPr>
        <w:pStyle w:val="37"/>
        <w:shd w:val="clear" w:color="auto" w:fill="auto"/>
        <w:rPr>
          <w:rFonts w:hint="eastAsia" w:ascii="仿宋" w:hAnsi="仿宋" w:eastAsia="仿宋" w:cs="仿宋"/>
          <w:color w:val="auto"/>
          <w:sz w:val="21"/>
          <w:szCs w:val="21"/>
          <w:highlight w:val="none"/>
          <w:lang w:eastAsia="zh-CN"/>
        </w:rPr>
      </w:pPr>
    </w:p>
    <w:p w14:paraId="1794DD0A">
      <w:pPr>
        <w:pStyle w:val="37"/>
        <w:shd w:val="clear" w:color="auto" w:fill="auto"/>
        <w:rPr>
          <w:rFonts w:hint="eastAsia" w:ascii="仿宋" w:hAnsi="仿宋" w:eastAsia="仿宋" w:cs="仿宋"/>
          <w:color w:val="auto"/>
          <w:sz w:val="21"/>
          <w:szCs w:val="21"/>
          <w:highlight w:val="none"/>
          <w:lang w:eastAsia="zh-CN"/>
        </w:rPr>
      </w:pPr>
    </w:p>
    <w:p w14:paraId="43648F8C">
      <w:pPr>
        <w:pStyle w:val="37"/>
        <w:shd w:val="clear" w:color="auto" w:fill="auto"/>
        <w:rPr>
          <w:rFonts w:hint="eastAsia" w:ascii="仿宋" w:hAnsi="仿宋" w:eastAsia="仿宋" w:cs="仿宋"/>
          <w:color w:val="auto"/>
          <w:sz w:val="21"/>
          <w:szCs w:val="21"/>
          <w:highlight w:val="none"/>
          <w:lang w:eastAsia="zh-CN"/>
        </w:rPr>
      </w:pPr>
    </w:p>
    <w:p w14:paraId="7DBCE91A">
      <w:pPr>
        <w:pStyle w:val="37"/>
        <w:shd w:val="clear" w:color="auto" w:fill="auto"/>
        <w:rPr>
          <w:rFonts w:hint="eastAsia" w:ascii="仿宋" w:hAnsi="仿宋" w:eastAsia="仿宋" w:cs="仿宋"/>
          <w:color w:val="auto"/>
          <w:sz w:val="21"/>
          <w:szCs w:val="21"/>
          <w:highlight w:val="none"/>
          <w:lang w:eastAsia="zh-CN"/>
        </w:rPr>
      </w:pPr>
    </w:p>
    <w:p w14:paraId="2F41E6B4">
      <w:pPr>
        <w:pStyle w:val="37"/>
        <w:shd w:val="clear" w:color="auto" w:fill="auto"/>
        <w:rPr>
          <w:rFonts w:hint="eastAsia" w:ascii="仿宋" w:hAnsi="仿宋" w:eastAsia="仿宋" w:cs="仿宋"/>
          <w:color w:val="auto"/>
          <w:sz w:val="21"/>
          <w:szCs w:val="21"/>
          <w:highlight w:val="none"/>
          <w:lang w:eastAsia="zh-CN"/>
        </w:rPr>
      </w:pPr>
    </w:p>
    <w:p w14:paraId="20750584">
      <w:pPr>
        <w:pStyle w:val="37"/>
        <w:shd w:val="clear" w:color="auto" w:fill="auto"/>
        <w:rPr>
          <w:rFonts w:hint="eastAsia" w:ascii="仿宋" w:hAnsi="仿宋" w:eastAsia="仿宋" w:cs="仿宋"/>
          <w:color w:val="auto"/>
          <w:sz w:val="21"/>
          <w:szCs w:val="21"/>
          <w:highlight w:val="none"/>
          <w:lang w:eastAsia="zh-CN"/>
        </w:rPr>
      </w:pPr>
    </w:p>
    <w:p w14:paraId="7078D666">
      <w:pPr>
        <w:pStyle w:val="37"/>
        <w:shd w:val="clear" w:color="auto" w:fill="auto"/>
        <w:rPr>
          <w:rFonts w:hint="eastAsia" w:ascii="仿宋" w:hAnsi="仿宋" w:eastAsia="仿宋" w:cs="仿宋"/>
          <w:color w:val="auto"/>
          <w:sz w:val="21"/>
          <w:szCs w:val="21"/>
          <w:highlight w:val="none"/>
          <w:lang w:eastAsia="zh-CN"/>
        </w:rPr>
      </w:pPr>
    </w:p>
    <w:p w14:paraId="315C492D">
      <w:pPr>
        <w:shd w:val="clear" w:color="auto" w:fill="auto"/>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附件3</w:t>
      </w:r>
    </w:p>
    <w:p w14:paraId="3BC00953">
      <w:pPr>
        <w:shd w:val="clear" w:color="auto" w:fill="auto"/>
        <w:spacing w:before="156" w:beforeLines="50" w:after="156" w:afterLines="50"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承包人用于本工程施工的机械设备表</w:t>
      </w:r>
    </w:p>
    <w:tbl>
      <w:tblPr>
        <w:tblStyle w:val="4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614C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389AD590">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418" w:type="dxa"/>
            <w:tcBorders>
              <w:top w:val="single" w:color="auto" w:sz="12" w:space="0"/>
              <w:bottom w:val="double" w:color="auto" w:sz="6" w:space="0"/>
            </w:tcBorders>
            <w:noWrap w:val="0"/>
            <w:vAlign w:val="center"/>
          </w:tcPr>
          <w:p w14:paraId="5922B84C">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机械或</w:t>
            </w:r>
          </w:p>
          <w:p w14:paraId="6B6664FB">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设备名称</w:t>
            </w:r>
          </w:p>
        </w:tc>
        <w:tc>
          <w:tcPr>
            <w:tcW w:w="850" w:type="dxa"/>
            <w:tcBorders>
              <w:top w:val="single" w:color="auto" w:sz="12" w:space="0"/>
              <w:bottom w:val="double" w:color="auto" w:sz="6" w:space="0"/>
            </w:tcBorders>
            <w:noWrap w:val="0"/>
            <w:vAlign w:val="center"/>
          </w:tcPr>
          <w:p w14:paraId="24C196ED">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w:t>
            </w:r>
          </w:p>
          <w:p w14:paraId="3BAD60F0">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型号</w:t>
            </w:r>
          </w:p>
        </w:tc>
        <w:tc>
          <w:tcPr>
            <w:tcW w:w="1058" w:type="dxa"/>
            <w:tcBorders>
              <w:top w:val="single" w:color="auto" w:sz="12" w:space="0"/>
              <w:bottom w:val="double" w:color="auto" w:sz="6" w:space="0"/>
            </w:tcBorders>
            <w:noWrap w:val="0"/>
            <w:vAlign w:val="center"/>
          </w:tcPr>
          <w:p w14:paraId="446586FE">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880" w:type="dxa"/>
            <w:tcBorders>
              <w:top w:val="single" w:color="auto" w:sz="12" w:space="0"/>
              <w:bottom w:val="double" w:color="auto" w:sz="6" w:space="0"/>
            </w:tcBorders>
            <w:noWrap w:val="0"/>
            <w:vAlign w:val="center"/>
          </w:tcPr>
          <w:p w14:paraId="7B7E576F">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产地</w:t>
            </w:r>
          </w:p>
        </w:tc>
        <w:tc>
          <w:tcPr>
            <w:tcW w:w="1020" w:type="dxa"/>
            <w:tcBorders>
              <w:top w:val="single" w:color="auto" w:sz="12" w:space="0"/>
              <w:bottom w:val="double" w:color="auto" w:sz="6" w:space="0"/>
            </w:tcBorders>
            <w:noWrap w:val="0"/>
            <w:vAlign w:val="center"/>
          </w:tcPr>
          <w:p w14:paraId="17465B89">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制造</w:t>
            </w:r>
          </w:p>
          <w:p w14:paraId="3A102F03">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年份</w:t>
            </w:r>
          </w:p>
        </w:tc>
        <w:tc>
          <w:tcPr>
            <w:tcW w:w="1480" w:type="dxa"/>
            <w:tcBorders>
              <w:top w:val="single" w:color="auto" w:sz="12" w:space="0"/>
              <w:bottom w:val="double" w:color="auto" w:sz="6" w:space="0"/>
            </w:tcBorders>
            <w:noWrap w:val="0"/>
            <w:vAlign w:val="center"/>
          </w:tcPr>
          <w:p w14:paraId="6F2B4521">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额定功率</w:t>
            </w:r>
          </w:p>
          <w:p w14:paraId="23C15117">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(kW)</w:t>
            </w:r>
          </w:p>
        </w:tc>
        <w:tc>
          <w:tcPr>
            <w:tcW w:w="1020" w:type="dxa"/>
            <w:tcBorders>
              <w:top w:val="single" w:color="auto" w:sz="12" w:space="0"/>
              <w:bottom w:val="double" w:color="auto" w:sz="6" w:space="0"/>
            </w:tcBorders>
            <w:noWrap w:val="0"/>
            <w:vAlign w:val="center"/>
          </w:tcPr>
          <w:p w14:paraId="2CD4A706">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生产</w:t>
            </w:r>
          </w:p>
          <w:p w14:paraId="33FE60AD">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能力</w:t>
            </w:r>
          </w:p>
        </w:tc>
        <w:tc>
          <w:tcPr>
            <w:tcW w:w="921" w:type="dxa"/>
            <w:tcBorders>
              <w:top w:val="single" w:color="auto" w:sz="12" w:space="0"/>
              <w:bottom w:val="double" w:color="auto" w:sz="6" w:space="0"/>
            </w:tcBorders>
            <w:noWrap w:val="0"/>
            <w:vAlign w:val="center"/>
          </w:tcPr>
          <w:p w14:paraId="2BA2CE8D">
            <w:pPr>
              <w:pStyle w:val="2"/>
              <w:keepNext/>
              <w:shd w:val="clear" w:color="auto" w:fill="auto"/>
              <w:spacing w:after="0"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3CDE4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707554A8">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418" w:type="dxa"/>
            <w:tcBorders>
              <w:top w:val="double" w:color="auto" w:sz="6" w:space="0"/>
              <w:bottom w:val="single" w:color="auto" w:sz="6" w:space="0"/>
            </w:tcBorders>
            <w:noWrap w:val="0"/>
            <w:vAlign w:val="center"/>
          </w:tcPr>
          <w:p w14:paraId="57833F60">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850" w:type="dxa"/>
            <w:tcBorders>
              <w:top w:val="double" w:color="auto" w:sz="6" w:space="0"/>
              <w:bottom w:val="single" w:color="auto" w:sz="6" w:space="0"/>
            </w:tcBorders>
            <w:noWrap w:val="0"/>
            <w:vAlign w:val="center"/>
          </w:tcPr>
          <w:p w14:paraId="73B00DDE">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058" w:type="dxa"/>
            <w:tcBorders>
              <w:top w:val="double" w:color="auto" w:sz="6" w:space="0"/>
              <w:bottom w:val="single" w:color="auto" w:sz="6" w:space="0"/>
            </w:tcBorders>
            <w:noWrap w:val="0"/>
            <w:vAlign w:val="center"/>
          </w:tcPr>
          <w:p w14:paraId="153689FD">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880" w:type="dxa"/>
            <w:tcBorders>
              <w:top w:val="double" w:color="auto" w:sz="6" w:space="0"/>
              <w:bottom w:val="single" w:color="auto" w:sz="6" w:space="0"/>
            </w:tcBorders>
            <w:noWrap w:val="0"/>
            <w:vAlign w:val="center"/>
          </w:tcPr>
          <w:p w14:paraId="723A1C99">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020" w:type="dxa"/>
            <w:tcBorders>
              <w:top w:val="double" w:color="auto" w:sz="6" w:space="0"/>
              <w:bottom w:val="single" w:color="auto" w:sz="6" w:space="0"/>
            </w:tcBorders>
            <w:noWrap w:val="0"/>
            <w:vAlign w:val="center"/>
          </w:tcPr>
          <w:p w14:paraId="531B0B14">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480" w:type="dxa"/>
            <w:tcBorders>
              <w:top w:val="double" w:color="auto" w:sz="6" w:space="0"/>
              <w:bottom w:val="single" w:color="auto" w:sz="6" w:space="0"/>
            </w:tcBorders>
            <w:noWrap w:val="0"/>
            <w:vAlign w:val="center"/>
          </w:tcPr>
          <w:p w14:paraId="43915420">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020" w:type="dxa"/>
            <w:tcBorders>
              <w:top w:val="double" w:color="auto" w:sz="6" w:space="0"/>
              <w:bottom w:val="single" w:color="auto" w:sz="6" w:space="0"/>
            </w:tcBorders>
            <w:noWrap w:val="0"/>
            <w:vAlign w:val="center"/>
          </w:tcPr>
          <w:p w14:paraId="3F3135B8">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921" w:type="dxa"/>
            <w:tcBorders>
              <w:top w:val="double" w:color="auto" w:sz="6" w:space="0"/>
              <w:bottom w:val="single" w:color="auto" w:sz="6" w:space="0"/>
            </w:tcBorders>
            <w:noWrap w:val="0"/>
            <w:vAlign w:val="center"/>
          </w:tcPr>
          <w:p w14:paraId="15E50515">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r>
      <w:tr w14:paraId="58D085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FF3FC14">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418" w:type="dxa"/>
            <w:tcBorders>
              <w:top w:val="nil"/>
            </w:tcBorders>
            <w:noWrap w:val="0"/>
            <w:vAlign w:val="center"/>
          </w:tcPr>
          <w:p w14:paraId="15EDB746">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850" w:type="dxa"/>
            <w:tcBorders>
              <w:top w:val="nil"/>
            </w:tcBorders>
            <w:noWrap w:val="0"/>
            <w:vAlign w:val="center"/>
          </w:tcPr>
          <w:p w14:paraId="1F3EB1E2">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058" w:type="dxa"/>
            <w:tcBorders>
              <w:top w:val="nil"/>
            </w:tcBorders>
            <w:noWrap w:val="0"/>
            <w:vAlign w:val="center"/>
          </w:tcPr>
          <w:p w14:paraId="78D4E49D">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880" w:type="dxa"/>
            <w:tcBorders>
              <w:top w:val="nil"/>
            </w:tcBorders>
            <w:noWrap w:val="0"/>
            <w:vAlign w:val="center"/>
          </w:tcPr>
          <w:p w14:paraId="08CC7CAC">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020" w:type="dxa"/>
            <w:tcBorders>
              <w:top w:val="nil"/>
            </w:tcBorders>
            <w:noWrap w:val="0"/>
            <w:vAlign w:val="center"/>
          </w:tcPr>
          <w:p w14:paraId="34A3A3BF">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480" w:type="dxa"/>
            <w:tcBorders>
              <w:top w:val="nil"/>
            </w:tcBorders>
            <w:noWrap w:val="0"/>
            <w:vAlign w:val="center"/>
          </w:tcPr>
          <w:p w14:paraId="7D651A07">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020" w:type="dxa"/>
            <w:tcBorders>
              <w:top w:val="nil"/>
            </w:tcBorders>
            <w:noWrap w:val="0"/>
            <w:vAlign w:val="center"/>
          </w:tcPr>
          <w:p w14:paraId="5E14BDE2">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921" w:type="dxa"/>
            <w:tcBorders>
              <w:top w:val="nil"/>
            </w:tcBorders>
            <w:noWrap w:val="0"/>
            <w:vAlign w:val="center"/>
          </w:tcPr>
          <w:p w14:paraId="3B474ACD">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r>
      <w:tr w14:paraId="49317B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A8551B6">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418" w:type="dxa"/>
            <w:noWrap w:val="0"/>
            <w:vAlign w:val="center"/>
          </w:tcPr>
          <w:p w14:paraId="68BB5BF8">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850" w:type="dxa"/>
            <w:noWrap w:val="0"/>
            <w:vAlign w:val="center"/>
          </w:tcPr>
          <w:p w14:paraId="42CCC49F">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058" w:type="dxa"/>
            <w:noWrap w:val="0"/>
            <w:vAlign w:val="center"/>
          </w:tcPr>
          <w:p w14:paraId="1A51B2E1">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880" w:type="dxa"/>
            <w:noWrap w:val="0"/>
            <w:vAlign w:val="center"/>
          </w:tcPr>
          <w:p w14:paraId="2064C958">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691BDFB1">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480" w:type="dxa"/>
            <w:noWrap w:val="0"/>
            <w:vAlign w:val="center"/>
          </w:tcPr>
          <w:p w14:paraId="7B5C35E4">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306CDDD9">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c>
          <w:tcPr>
            <w:tcW w:w="921" w:type="dxa"/>
            <w:noWrap w:val="0"/>
            <w:vAlign w:val="center"/>
          </w:tcPr>
          <w:p w14:paraId="24013782">
            <w:pPr>
              <w:pStyle w:val="2"/>
              <w:keepNext/>
              <w:shd w:val="clear" w:color="auto" w:fill="auto"/>
              <w:spacing w:after="0" w:line="360" w:lineRule="auto"/>
              <w:ind w:left="63" w:right="63"/>
              <w:rPr>
                <w:rFonts w:hint="eastAsia" w:ascii="仿宋" w:hAnsi="仿宋" w:eastAsia="仿宋" w:cs="仿宋"/>
                <w:color w:val="auto"/>
                <w:sz w:val="24"/>
                <w:szCs w:val="24"/>
                <w:highlight w:val="none"/>
              </w:rPr>
            </w:pPr>
          </w:p>
        </w:tc>
      </w:tr>
      <w:tr w14:paraId="5CCEF1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00C32FE">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18" w:type="dxa"/>
            <w:noWrap w:val="0"/>
            <w:vAlign w:val="center"/>
          </w:tcPr>
          <w:p w14:paraId="2CFB0DF5">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50" w:type="dxa"/>
            <w:noWrap w:val="0"/>
            <w:vAlign w:val="center"/>
          </w:tcPr>
          <w:p w14:paraId="28EBF4AB">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58" w:type="dxa"/>
            <w:noWrap w:val="0"/>
            <w:vAlign w:val="center"/>
          </w:tcPr>
          <w:p w14:paraId="5C739EFD">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80" w:type="dxa"/>
            <w:noWrap w:val="0"/>
            <w:vAlign w:val="center"/>
          </w:tcPr>
          <w:p w14:paraId="2DB8FD25">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7BB8708D">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80" w:type="dxa"/>
            <w:noWrap w:val="0"/>
            <w:vAlign w:val="center"/>
          </w:tcPr>
          <w:p w14:paraId="7180BFCD">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5A2EB6D4">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921" w:type="dxa"/>
            <w:noWrap w:val="0"/>
            <w:vAlign w:val="center"/>
          </w:tcPr>
          <w:p w14:paraId="6F9F92D0">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r>
      <w:tr w14:paraId="777484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E98A126">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18" w:type="dxa"/>
            <w:noWrap w:val="0"/>
            <w:vAlign w:val="center"/>
          </w:tcPr>
          <w:p w14:paraId="34822F41">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50" w:type="dxa"/>
            <w:noWrap w:val="0"/>
            <w:vAlign w:val="center"/>
          </w:tcPr>
          <w:p w14:paraId="31A75FBC">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58" w:type="dxa"/>
            <w:noWrap w:val="0"/>
            <w:vAlign w:val="center"/>
          </w:tcPr>
          <w:p w14:paraId="1DA98407">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80" w:type="dxa"/>
            <w:noWrap w:val="0"/>
            <w:vAlign w:val="center"/>
          </w:tcPr>
          <w:p w14:paraId="4DFFFC5C">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476CB504">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80" w:type="dxa"/>
            <w:noWrap w:val="0"/>
            <w:vAlign w:val="center"/>
          </w:tcPr>
          <w:p w14:paraId="507A4569">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5A1DD4E5">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921" w:type="dxa"/>
            <w:noWrap w:val="0"/>
            <w:vAlign w:val="center"/>
          </w:tcPr>
          <w:p w14:paraId="08FDC7A2">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r>
      <w:tr w14:paraId="526AC3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905CD80">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18" w:type="dxa"/>
            <w:noWrap w:val="0"/>
            <w:vAlign w:val="center"/>
          </w:tcPr>
          <w:p w14:paraId="0D01E5FB">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50" w:type="dxa"/>
            <w:noWrap w:val="0"/>
            <w:vAlign w:val="center"/>
          </w:tcPr>
          <w:p w14:paraId="75E8394A">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58" w:type="dxa"/>
            <w:noWrap w:val="0"/>
            <w:vAlign w:val="center"/>
          </w:tcPr>
          <w:p w14:paraId="787DA006">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80" w:type="dxa"/>
            <w:noWrap w:val="0"/>
            <w:vAlign w:val="center"/>
          </w:tcPr>
          <w:p w14:paraId="00AB634A">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1264665B">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80" w:type="dxa"/>
            <w:noWrap w:val="0"/>
            <w:vAlign w:val="center"/>
          </w:tcPr>
          <w:p w14:paraId="2DD9E131">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449187D4">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921" w:type="dxa"/>
            <w:noWrap w:val="0"/>
            <w:vAlign w:val="center"/>
          </w:tcPr>
          <w:p w14:paraId="2DC05367">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r>
      <w:tr w14:paraId="31584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136BED5">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18" w:type="dxa"/>
            <w:noWrap w:val="0"/>
            <w:vAlign w:val="center"/>
          </w:tcPr>
          <w:p w14:paraId="03D6E814">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50" w:type="dxa"/>
            <w:noWrap w:val="0"/>
            <w:vAlign w:val="center"/>
          </w:tcPr>
          <w:p w14:paraId="33A4A372">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58" w:type="dxa"/>
            <w:noWrap w:val="0"/>
            <w:vAlign w:val="center"/>
          </w:tcPr>
          <w:p w14:paraId="32E5FF24">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80" w:type="dxa"/>
            <w:noWrap w:val="0"/>
            <w:vAlign w:val="center"/>
          </w:tcPr>
          <w:p w14:paraId="295D2720">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2BAC5FA8">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80" w:type="dxa"/>
            <w:noWrap w:val="0"/>
            <w:vAlign w:val="center"/>
          </w:tcPr>
          <w:p w14:paraId="7D17F36C">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24AFC96A">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921" w:type="dxa"/>
            <w:noWrap w:val="0"/>
            <w:vAlign w:val="center"/>
          </w:tcPr>
          <w:p w14:paraId="51F0222E">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r>
      <w:tr w14:paraId="16EE0D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521E411">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18" w:type="dxa"/>
            <w:noWrap w:val="0"/>
            <w:vAlign w:val="center"/>
          </w:tcPr>
          <w:p w14:paraId="22D979E9">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50" w:type="dxa"/>
            <w:noWrap w:val="0"/>
            <w:vAlign w:val="center"/>
          </w:tcPr>
          <w:p w14:paraId="734F34EE">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58" w:type="dxa"/>
            <w:noWrap w:val="0"/>
            <w:vAlign w:val="center"/>
          </w:tcPr>
          <w:p w14:paraId="1F770EE1">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80" w:type="dxa"/>
            <w:noWrap w:val="0"/>
            <w:vAlign w:val="center"/>
          </w:tcPr>
          <w:p w14:paraId="0EAE1748">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0A038CB3">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80" w:type="dxa"/>
            <w:noWrap w:val="0"/>
            <w:vAlign w:val="center"/>
          </w:tcPr>
          <w:p w14:paraId="0AB11A54">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2A6320CA">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921" w:type="dxa"/>
            <w:noWrap w:val="0"/>
            <w:vAlign w:val="center"/>
          </w:tcPr>
          <w:p w14:paraId="6A32DB1E">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r>
      <w:tr w14:paraId="111C6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E33C434">
            <w:pPr>
              <w:shd w:val="clear" w:color="auto" w:fill="auto"/>
              <w:spacing w:line="360" w:lineRule="auto"/>
              <w:rPr>
                <w:rFonts w:hint="eastAsia" w:ascii="宋体" w:hAnsi="宋体" w:eastAsia="宋体" w:cs="宋体"/>
                <w:color w:val="auto"/>
                <w:sz w:val="24"/>
                <w:szCs w:val="24"/>
                <w:highlight w:val="none"/>
              </w:rPr>
            </w:pPr>
          </w:p>
        </w:tc>
        <w:tc>
          <w:tcPr>
            <w:tcW w:w="1418" w:type="dxa"/>
            <w:noWrap w:val="0"/>
            <w:vAlign w:val="top"/>
          </w:tcPr>
          <w:p w14:paraId="151B2B58">
            <w:pPr>
              <w:shd w:val="clear" w:color="auto" w:fill="auto"/>
              <w:spacing w:line="360" w:lineRule="auto"/>
              <w:rPr>
                <w:rFonts w:hint="eastAsia" w:ascii="宋体" w:hAnsi="宋体" w:eastAsia="宋体" w:cs="宋体"/>
                <w:color w:val="auto"/>
                <w:sz w:val="24"/>
                <w:szCs w:val="24"/>
                <w:highlight w:val="none"/>
              </w:rPr>
            </w:pPr>
          </w:p>
        </w:tc>
        <w:tc>
          <w:tcPr>
            <w:tcW w:w="850" w:type="dxa"/>
            <w:noWrap w:val="0"/>
            <w:vAlign w:val="top"/>
          </w:tcPr>
          <w:p w14:paraId="27CD3213">
            <w:pPr>
              <w:shd w:val="clear" w:color="auto" w:fill="auto"/>
              <w:spacing w:line="360" w:lineRule="auto"/>
              <w:rPr>
                <w:rFonts w:hint="eastAsia" w:ascii="宋体" w:hAnsi="宋体" w:eastAsia="宋体" w:cs="宋体"/>
                <w:color w:val="auto"/>
                <w:sz w:val="24"/>
                <w:szCs w:val="24"/>
                <w:highlight w:val="none"/>
              </w:rPr>
            </w:pPr>
          </w:p>
        </w:tc>
        <w:tc>
          <w:tcPr>
            <w:tcW w:w="1058" w:type="dxa"/>
            <w:noWrap w:val="0"/>
            <w:vAlign w:val="top"/>
          </w:tcPr>
          <w:p w14:paraId="3C7729E0">
            <w:pPr>
              <w:shd w:val="clear" w:color="auto" w:fill="auto"/>
              <w:spacing w:line="360" w:lineRule="auto"/>
              <w:rPr>
                <w:rFonts w:hint="eastAsia" w:ascii="宋体" w:hAnsi="宋体" w:eastAsia="宋体" w:cs="宋体"/>
                <w:color w:val="auto"/>
                <w:sz w:val="24"/>
                <w:szCs w:val="24"/>
                <w:highlight w:val="none"/>
              </w:rPr>
            </w:pPr>
          </w:p>
        </w:tc>
        <w:tc>
          <w:tcPr>
            <w:tcW w:w="880" w:type="dxa"/>
            <w:noWrap w:val="0"/>
            <w:vAlign w:val="top"/>
          </w:tcPr>
          <w:p w14:paraId="2B2D15AC">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0F654ABC">
            <w:pPr>
              <w:shd w:val="clear" w:color="auto" w:fill="auto"/>
              <w:spacing w:line="360" w:lineRule="auto"/>
              <w:rPr>
                <w:rFonts w:hint="eastAsia" w:ascii="宋体" w:hAnsi="宋体" w:eastAsia="宋体" w:cs="宋体"/>
                <w:color w:val="auto"/>
                <w:sz w:val="24"/>
                <w:szCs w:val="24"/>
                <w:highlight w:val="none"/>
              </w:rPr>
            </w:pPr>
          </w:p>
        </w:tc>
        <w:tc>
          <w:tcPr>
            <w:tcW w:w="1480" w:type="dxa"/>
            <w:noWrap w:val="0"/>
            <w:vAlign w:val="top"/>
          </w:tcPr>
          <w:p w14:paraId="3BD67DD4">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273883C8">
            <w:pPr>
              <w:shd w:val="clear" w:color="auto" w:fill="auto"/>
              <w:spacing w:line="360" w:lineRule="auto"/>
              <w:rPr>
                <w:rFonts w:hint="eastAsia" w:ascii="宋体" w:hAnsi="宋体" w:eastAsia="宋体" w:cs="宋体"/>
                <w:color w:val="auto"/>
                <w:sz w:val="24"/>
                <w:szCs w:val="24"/>
                <w:highlight w:val="none"/>
              </w:rPr>
            </w:pPr>
          </w:p>
        </w:tc>
        <w:tc>
          <w:tcPr>
            <w:tcW w:w="921" w:type="dxa"/>
            <w:noWrap w:val="0"/>
            <w:vAlign w:val="top"/>
          </w:tcPr>
          <w:p w14:paraId="2787D62E">
            <w:pPr>
              <w:shd w:val="clear" w:color="auto" w:fill="auto"/>
              <w:spacing w:line="360" w:lineRule="auto"/>
              <w:rPr>
                <w:rFonts w:hint="eastAsia" w:ascii="宋体" w:hAnsi="宋体" w:eastAsia="宋体" w:cs="宋体"/>
                <w:color w:val="auto"/>
                <w:sz w:val="24"/>
                <w:szCs w:val="24"/>
                <w:highlight w:val="none"/>
              </w:rPr>
            </w:pPr>
          </w:p>
        </w:tc>
      </w:tr>
      <w:tr w14:paraId="1DFCA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80CA732">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18" w:type="dxa"/>
            <w:noWrap w:val="0"/>
            <w:vAlign w:val="center"/>
          </w:tcPr>
          <w:p w14:paraId="1FC96CB8">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50" w:type="dxa"/>
            <w:noWrap w:val="0"/>
            <w:vAlign w:val="center"/>
          </w:tcPr>
          <w:p w14:paraId="20902B3C">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58" w:type="dxa"/>
            <w:noWrap w:val="0"/>
            <w:vAlign w:val="center"/>
          </w:tcPr>
          <w:p w14:paraId="6FD7AD46">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880" w:type="dxa"/>
            <w:noWrap w:val="0"/>
            <w:vAlign w:val="center"/>
          </w:tcPr>
          <w:p w14:paraId="17C1F110">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566136C5">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480" w:type="dxa"/>
            <w:noWrap w:val="0"/>
            <w:vAlign w:val="center"/>
          </w:tcPr>
          <w:p w14:paraId="39A27BA9">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1020" w:type="dxa"/>
            <w:noWrap w:val="0"/>
            <w:vAlign w:val="center"/>
          </w:tcPr>
          <w:p w14:paraId="76D2D8C4">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c>
          <w:tcPr>
            <w:tcW w:w="921" w:type="dxa"/>
            <w:noWrap w:val="0"/>
            <w:vAlign w:val="center"/>
          </w:tcPr>
          <w:p w14:paraId="66E10CA9">
            <w:pPr>
              <w:pStyle w:val="2"/>
              <w:keepNext/>
              <w:shd w:val="clear" w:color="auto" w:fill="auto"/>
              <w:spacing w:after="0" w:line="360" w:lineRule="auto"/>
              <w:ind w:left="63" w:right="63"/>
              <w:rPr>
                <w:rFonts w:hint="eastAsia" w:ascii="宋体" w:hAnsi="宋体" w:eastAsia="宋体" w:cs="宋体"/>
                <w:color w:val="auto"/>
                <w:sz w:val="24"/>
                <w:szCs w:val="24"/>
                <w:highlight w:val="none"/>
              </w:rPr>
            </w:pPr>
          </w:p>
        </w:tc>
      </w:tr>
      <w:tr w14:paraId="7BCA5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B72BF4C">
            <w:pPr>
              <w:shd w:val="clear" w:color="auto" w:fill="auto"/>
              <w:spacing w:line="360" w:lineRule="auto"/>
              <w:rPr>
                <w:rFonts w:hint="eastAsia" w:ascii="宋体" w:hAnsi="宋体" w:eastAsia="宋体" w:cs="宋体"/>
                <w:color w:val="auto"/>
                <w:sz w:val="24"/>
                <w:szCs w:val="24"/>
                <w:highlight w:val="none"/>
              </w:rPr>
            </w:pPr>
          </w:p>
        </w:tc>
        <w:tc>
          <w:tcPr>
            <w:tcW w:w="1418" w:type="dxa"/>
            <w:noWrap w:val="0"/>
            <w:vAlign w:val="top"/>
          </w:tcPr>
          <w:p w14:paraId="50F29155">
            <w:pPr>
              <w:shd w:val="clear" w:color="auto" w:fill="auto"/>
              <w:spacing w:line="360" w:lineRule="auto"/>
              <w:rPr>
                <w:rFonts w:hint="eastAsia" w:ascii="宋体" w:hAnsi="宋体" w:eastAsia="宋体" w:cs="宋体"/>
                <w:color w:val="auto"/>
                <w:sz w:val="24"/>
                <w:szCs w:val="24"/>
                <w:highlight w:val="none"/>
              </w:rPr>
            </w:pPr>
          </w:p>
        </w:tc>
        <w:tc>
          <w:tcPr>
            <w:tcW w:w="850" w:type="dxa"/>
            <w:noWrap w:val="0"/>
            <w:vAlign w:val="top"/>
          </w:tcPr>
          <w:p w14:paraId="35575CDC">
            <w:pPr>
              <w:shd w:val="clear" w:color="auto" w:fill="auto"/>
              <w:spacing w:line="360" w:lineRule="auto"/>
              <w:rPr>
                <w:rFonts w:hint="eastAsia" w:ascii="宋体" w:hAnsi="宋体" w:eastAsia="宋体" w:cs="宋体"/>
                <w:color w:val="auto"/>
                <w:sz w:val="24"/>
                <w:szCs w:val="24"/>
                <w:highlight w:val="none"/>
              </w:rPr>
            </w:pPr>
          </w:p>
        </w:tc>
        <w:tc>
          <w:tcPr>
            <w:tcW w:w="1058" w:type="dxa"/>
            <w:noWrap w:val="0"/>
            <w:vAlign w:val="top"/>
          </w:tcPr>
          <w:p w14:paraId="61FF95B7">
            <w:pPr>
              <w:shd w:val="clear" w:color="auto" w:fill="auto"/>
              <w:spacing w:line="360" w:lineRule="auto"/>
              <w:rPr>
                <w:rFonts w:hint="eastAsia" w:ascii="宋体" w:hAnsi="宋体" w:eastAsia="宋体" w:cs="宋体"/>
                <w:color w:val="auto"/>
                <w:sz w:val="24"/>
                <w:szCs w:val="24"/>
                <w:highlight w:val="none"/>
              </w:rPr>
            </w:pPr>
          </w:p>
        </w:tc>
        <w:tc>
          <w:tcPr>
            <w:tcW w:w="880" w:type="dxa"/>
            <w:noWrap w:val="0"/>
            <w:vAlign w:val="top"/>
          </w:tcPr>
          <w:p w14:paraId="4A046A29">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65222D41">
            <w:pPr>
              <w:shd w:val="clear" w:color="auto" w:fill="auto"/>
              <w:spacing w:line="360" w:lineRule="auto"/>
              <w:rPr>
                <w:rFonts w:hint="eastAsia" w:ascii="宋体" w:hAnsi="宋体" w:eastAsia="宋体" w:cs="宋体"/>
                <w:color w:val="auto"/>
                <w:sz w:val="24"/>
                <w:szCs w:val="24"/>
                <w:highlight w:val="none"/>
              </w:rPr>
            </w:pPr>
          </w:p>
        </w:tc>
        <w:tc>
          <w:tcPr>
            <w:tcW w:w="1480" w:type="dxa"/>
            <w:noWrap w:val="0"/>
            <w:vAlign w:val="top"/>
          </w:tcPr>
          <w:p w14:paraId="4BD6892C">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0931C999">
            <w:pPr>
              <w:shd w:val="clear" w:color="auto" w:fill="auto"/>
              <w:spacing w:line="360" w:lineRule="auto"/>
              <w:rPr>
                <w:rFonts w:hint="eastAsia" w:ascii="宋体" w:hAnsi="宋体" w:eastAsia="宋体" w:cs="宋体"/>
                <w:color w:val="auto"/>
                <w:sz w:val="24"/>
                <w:szCs w:val="24"/>
                <w:highlight w:val="none"/>
              </w:rPr>
            </w:pPr>
          </w:p>
        </w:tc>
        <w:tc>
          <w:tcPr>
            <w:tcW w:w="921" w:type="dxa"/>
            <w:noWrap w:val="0"/>
            <w:vAlign w:val="top"/>
          </w:tcPr>
          <w:p w14:paraId="4DF86635">
            <w:pPr>
              <w:shd w:val="clear" w:color="auto" w:fill="auto"/>
              <w:spacing w:line="360" w:lineRule="auto"/>
              <w:rPr>
                <w:rFonts w:hint="eastAsia" w:ascii="宋体" w:hAnsi="宋体" w:eastAsia="宋体" w:cs="宋体"/>
                <w:color w:val="auto"/>
                <w:sz w:val="24"/>
                <w:szCs w:val="24"/>
                <w:highlight w:val="none"/>
              </w:rPr>
            </w:pPr>
          </w:p>
        </w:tc>
      </w:tr>
      <w:tr w14:paraId="47EE8A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B79D594">
            <w:pPr>
              <w:shd w:val="clear" w:color="auto" w:fill="auto"/>
              <w:spacing w:line="360" w:lineRule="auto"/>
              <w:rPr>
                <w:rFonts w:hint="eastAsia" w:ascii="宋体" w:hAnsi="宋体" w:eastAsia="宋体" w:cs="宋体"/>
                <w:color w:val="auto"/>
                <w:sz w:val="24"/>
                <w:szCs w:val="24"/>
                <w:highlight w:val="none"/>
              </w:rPr>
            </w:pPr>
          </w:p>
        </w:tc>
        <w:tc>
          <w:tcPr>
            <w:tcW w:w="1418" w:type="dxa"/>
            <w:noWrap w:val="0"/>
            <w:vAlign w:val="top"/>
          </w:tcPr>
          <w:p w14:paraId="327B48D2">
            <w:pPr>
              <w:shd w:val="clear" w:color="auto" w:fill="auto"/>
              <w:spacing w:line="360" w:lineRule="auto"/>
              <w:rPr>
                <w:rFonts w:hint="eastAsia" w:ascii="宋体" w:hAnsi="宋体" w:eastAsia="宋体" w:cs="宋体"/>
                <w:color w:val="auto"/>
                <w:sz w:val="24"/>
                <w:szCs w:val="24"/>
                <w:highlight w:val="none"/>
              </w:rPr>
            </w:pPr>
          </w:p>
        </w:tc>
        <w:tc>
          <w:tcPr>
            <w:tcW w:w="850" w:type="dxa"/>
            <w:noWrap w:val="0"/>
            <w:vAlign w:val="top"/>
          </w:tcPr>
          <w:p w14:paraId="47DDCC49">
            <w:pPr>
              <w:shd w:val="clear" w:color="auto" w:fill="auto"/>
              <w:spacing w:line="360" w:lineRule="auto"/>
              <w:rPr>
                <w:rFonts w:hint="eastAsia" w:ascii="宋体" w:hAnsi="宋体" w:eastAsia="宋体" w:cs="宋体"/>
                <w:color w:val="auto"/>
                <w:sz w:val="24"/>
                <w:szCs w:val="24"/>
                <w:highlight w:val="none"/>
              </w:rPr>
            </w:pPr>
          </w:p>
        </w:tc>
        <w:tc>
          <w:tcPr>
            <w:tcW w:w="1058" w:type="dxa"/>
            <w:noWrap w:val="0"/>
            <w:vAlign w:val="top"/>
          </w:tcPr>
          <w:p w14:paraId="2ABADAE4">
            <w:pPr>
              <w:shd w:val="clear" w:color="auto" w:fill="auto"/>
              <w:spacing w:line="360" w:lineRule="auto"/>
              <w:rPr>
                <w:rFonts w:hint="eastAsia" w:ascii="宋体" w:hAnsi="宋体" w:eastAsia="宋体" w:cs="宋体"/>
                <w:color w:val="auto"/>
                <w:sz w:val="24"/>
                <w:szCs w:val="24"/>
                <w:highlight w:val="none"/>
              </w:rPr>
            </w:pPr>
          </w:p>
        </w:tc>
        <w:tc>
          <w:tcPr>
            <w:tcW w:w="880" w:type="dxa"/>
            <w:noWrap w:val="0"/>
            <w:vAlign w:val="top"/>
          </w:tcPr>
          <w:p w14:paraId="7BA10D33">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74D7C0DB">
            <w:pPr>
              <w:shd w:val="clear" w:color="auto" w:fill="auto"/>
              <w:spacing w:line="360" w:lineRule="auto"/>
              <w:rPr>
                <w:rFonts w:hint="eastAsia" w:ascii="宋体" w:hAnsi="宋体" w:eastAsia="宋体" w:cs="宋体"/>
                <w:color w:val="auto"/>
                <w:sz w:val="24"/>
                <w:szCs w:val="24"/>
                <w:highlight w:val="none"/>
              </w:rPr>
            </w:pPr>
          </w:p>
        </w:tc>
        <w:tc>
          <w:tcPr>
            <w:tcW w:w="1480" w:type="dxa"/>
            <w:noWrap w:val="0"/>
            <w:vAlign w:val="top"/>
          </w:tcPr>
          <w:p w14:paraId="6D9239C6">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4ADA9728">
            <w:pPr>
              <w:shd w:val="clear" w:color="auto" w:fill="auto"/>
              <w:spacing w:line="360" w:lineRule="auto"/>
              <w:rPr>
                <w:rFonts w:hint="eastAsia" w:ascii="宋体" w:hAnsi="宋体" w:eastAsia="宋体" w:cs="宋体"/>
                <w:color w:val="auto"/>
                <w:sz w:val="24"/>
                <w:szCs w:val="24"/>
                <w:highlight w:val="none"/>
              </w:rPr>
            </w:pPr>
          </w:p>
        </w:tc>
        <w:tc>
          <w:tcPr>
            <w:tcW w:w="921" w:type="dxa"/>
            <w:noWrap w:val="0"/>
            <w:vAlign w:val="top"/>
          </w:tcPr>
          <w:p w14:paraId="554C3661">
            <w:pPr>
              <w:shd w:val="clear" w:color="auto" w:fill="auto"/>
              <w:spacing w:line="360" w:lineRule="auto"/>
              <w:rPr>
                <w:rFonts w:hint="eastAsia" w:ascii="宋体" w:hAnsi="宋体" w:eastAsia="宋体" w:cs="宋体"/>
                <w:color w:val="auto"/>
                <w:sz w:val="24"/>
                <w:szCs w:val="24"/>
                <w:highlight w:val="none"/>
              </w:rPr>
            </w:pPr>
          </w:p>
        </w:tc>
      </w:tr>
      <w:tr w14:paraId="6C5CC1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FF0358B">
            <w:pPr>
              <w:shd w:val="clear" w:color="auto" w:fill="auto"/>
              <w:spacing w:line="360" w:lineRule="auto"/>
              <w:rPr>
                <w:rFonts w:hint="eastAsia" w:ascii="宋体" w:hAnsi="宋体" w:eastAsia="宋体" w:cs="宋体"/>
                <w:color w:val="auto"/>
                <w:sz w:val="24"/>
                <w:szCs w:val="24"/>
                <w:highlight w:val="none"/>
              </w:rPr>
            </w:pPr>
          </w:p>
        </w:tc>
        <w:tc>
          <w:tcPr>
            <w:tcW w:w="1418" w:type="dxa"/>
            <w:noWrap w:val="0"/>
            <w:vAlign w:val="top"/>
          </w:tcPr>
          <w:p w14:paraId="2B592A22">
            <w:pPr>
              <w:shd w:val="clear" w:color="auto" w:fill="auto"/>
              <w:spacing w:line="360" w:lineRule="auto"/>
              <w:rPr>
                <w:rFonts w:hint="eastAsia" w:ascii="宋体" w:hAnsi="宋体" w:eastAsia="宋体" w:cs="宋体"/>
                <w:color w:val="auto"/>
                <w:sz w:val="24"/>
                <w:szCs w:val="24"/>
                <w:highlight w:val="none"/>
              </w:rPr>
            </w:pPr>
          </w:p>
        </w:tc>
        <w:tc>
          <w:tcPr>
            <w:tcW w:w="850" w:type="dxa"/>
            <w:noWrap w:val="0"/>
            <w:vAlign w:val="top"/>
          </w:tcPr>
          <w:p w14:paraId="18F46974">
            <w:pPr>
              <w:shd w:val="clear" w:color="auto" w:fill="auto"/>
              <w:spacing w:line="360" w:lineRule="auto"/>
              <w:rPr>
                <w:rFonts w:hint="eastAsia" w:ascii="宋体" w:hAnsi="宋体" w:eastAsia="宋体" w:cs="宋体"/>
                <w:color w:val="auto"/>
                <w:sz w:val="24"/>
                <w:szCs w:val="24"/>
                <w:highlight w:val="none"/>
              </w:rPr>
            </w:pPr>
          </w:p>
        </w:tc>
        <w:tc>
          <w:tcPr>
            <w:tcW w:w="1058" w:type="dxa"/>
            <w:noWrap w:val="0"/>
            <w:vAlign w:val="top"/>
          </w:tcPr>
          <w:p w14:paraId="11728448">
            <w:pPr>
              <w:shd w:val="clear" w:color="auto" w:fill="auto"/>
              <w:spacing w:line="360" w:lineRule="auto"/>
              <w:rPr>
                <w:rFonts w:hint="eastAsia" w:ascii="宋体" w:hAnsi="宋体" w:eastAsia="宋体" w:cs="宋体"/>
                <w:color w:val="auto"/>
                <w:sz w:val="24"/>
                <w:szCs w:val="24"/>
                <w:highlight w:val="none"/>
              </w:rPr>
            </w:pPr>
          </w:p>
        </w:tc>
        <w:tc>
          <w:tcPr>
            <w:tcW w:w="880" w:type="dxa"/>
            <w:noWrap w:val="0"/>
            <w:vAlign w:val="top"/>
          </w:tcPr>
          <w:p w14:paraId="307AEE62">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64E6B370">
            <w:pPr>
              <w:shd w:val="clear" w:color="auto" w:fill="auto"/>
              <w:spacing w:line="360" w:lineRule="auto"/>
              <w:rPr>
                <w:rFonts w:hint="eastAsia" w:ascii="宋体" w:hAnsi="宋体" w:eastAsia="宋体" w:cs="宋体"/>
                <w:color w:val="auto"/>
                <w:sz w:val="24"/>
                <w:szCs w:val="24"/>
                <w:highlight w:val="none"/>
              </w:rPr>
            </w:pPr>
          </w:p>
        </w:tc>
        <w:tc>
          <w:tcPr>
            <w:tcW w:w="1480" w:type="dxa"/>
            <w:noWrap w:val="0"/>
            <w:vAlign w:val="top"/>
          </w:tcPr>
          <w:p w14:paraId="0032852D">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57DB9829">
            <w:pPr>
              <w:shd w:val="clear" w:color="auto" w:fill="auto"/>
              <w:spacing w:line="360" w:lineRule="auto"/>
              <w:rPr>
                <w:rFonts w:hint="eastAsia" w:ascii="宋体" w:hAnsi="宋体" w:eastAsia="宋体" w:cs="宋体"/>
                <w:color w:val="auto"/>
                <w:sz w:val="24"/>
                <w:szCs w:val="24"/>
                <w:highlight w:val="none"/>
              </w:rPr>
            </w:pPr>
          </w:p>
        </w:tc>
        <w:tc>
          <w:tcPr>
            <w:tcW w:w="921" w:type="dxa"/>
            <w:noWrap w:val="0"/>
            <w:vAlign w:val="top"/>
          </w:tcPr>
          <w:p w14:paraId="4BA38D22">
            <w:pPr>
              <w:shd w:val="clear" w:color="auto" w:fill="auto"/>
              <w:spacing w:line="360" w:lineRule="auto"/>
              <w:rPr>
                <w:rFonts w:hint="eastAsia" w:ascii="宋体" w:hAnsi="宋体" w:eastAsia="宋体" w:cs="宋体"/>
                <w:color w:val="auto"/>
                <w:sz w:val="24"/>
                <w:szCs w:val="24"/>
                <w:highlight w:val="none"/>
              </w:rPr>
            </w:pPr>
          </w:p>
        </w:tc>
      </w:tr>
      <w:tr w14:paraId="10BD7C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F381471">
            <w:pPr>
              <w:shd w:val="clear" w:color="auto" w:fill="auto"/>
              <w:spacing w:line="360" w:lineRule="auto"/>
              <w:rPr>
                <w:rFonts w:hint="eastAsia" w:ascii="宋体" w:hAnsi="宋体" w:eastAsia="宋体" w:cs="宋体"/>
                <w:color w:val="auto"/>
                <w:sz w:val="24"/>
                <w:szCs w:val="24"/>
                <w:highlight w:val="none"/>
              </w:rPr>
            </w:pPr>
          </w:p>
        </w:tc>
        <w:tc>
          <w:tcPr>
            <w:tcW w:w="1418" w:type="dxa"/>
            <w:noWrap w:val="0"/>
            <w:vAlign w:val="top"/>
          </w:tcPr>
          <w:p w14:paraId="0A064737">
            <w:pPr>
              <w:shd w:val="clear" w:color="auto" w:fill="auto"/>
              <w:spacing w:line="360" w:lineRule="auto"/>
              <w:rPr>
                <w:rFonts w:hint="eastAsia" w:ascii="宋体" w:hAnsi="宋体" w:eastAsia="宋体" w:cs="宋体"/>
                <w:color w:val="auto"/>
                <w:sz w:val="24"/>
                <w:szCs w:val="24"/>
                <w:highlight w:val="none"/>
              </w:rPr>
            </w:pPr>
          </w:p>
        </w:tc>
        <w:tc>
          <w:tcPr>
            <w:tcW w:w="850" w:type="dxa"/>
            <w:noWrap w:val="0"/>
            <w:vAlign w:val="top"/>
          </w:tcPr>
          <w:p w14:paraId="6FCD5DF1">
            <w:pPr>
              <w:shd w:val="clear" w:color="auto" w:fill="auto"/>
              <w:spacing w:line="360" w:lineRule="auto"/>
              <w:rPr>
                <w:rFonts w:hint="eastAsia" w:ascii="宋体" w:hAnsi="宋体" w:eastAsia="宋体" w:cs="宋体"/>
                <w:color w:val="auto"/>
                <w:sz w:val="24"/>
                <w:szCs w:val="24"/>
                <w:highlight w:val="none"/>
              </w:rPr>
            </w:pPr>
          </w:p>
        </w:tc>
        <w:tc>
          <w:tcPr>
            <w:tcW w:w="1058" w:type="dxa"/>
            <w:noWrap w:val="0"/>
            <w:vAlign w:val="top"/>
          </w:tcPr>
          <w:p w14:paraId="7C390BA9">
            <w:pPr>
              <w:shd w:val="clear" w:color="auto" w:fill="auto"/>
              <w:spacing w:line="360" w:lineRule="auto"/>
              <w:rPr>
                <w:rFonts w:hint="eastAsia" w:ascii="宋体" w:hAnsi="宋体" w:eastAsia="宋体" w:cs="宋体"/>
                <w:color w:val="auto"/>
                <w:sz w:val="24"/>
                <w:szCs w:val="24"/>
                <w:highlight w:val="none"/>
              </w:rPr>
            </w:pPr>
          </w:p>
        </w:tc>
        <w:tc>
          <w:tcPr>
            <w:tcW w:w="880" w:type="dxa"/>
            <w:noWrap w:val="0"/>
            <w:vAlign w:val="top"/>
          </w:tcPr>
          <w:p w14:paraId="5B845472">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03FE88BB">
            <w:pPr>
              <w:shd w:val="clear" w:color="auto" w:fill="auto"/>
              <w:spacing w:line="360" w:lineRule="auto"/>
              <w:rPr>
                <w:rFonts w:hint="eastAsia" w:ascii="宋体" w:hAnsi="宋体" w:eastAsia="宋体" w:cs="宋体"/>
                <w:color w:val="auto"/>
                <w:sz w:val="24"/>
                <w:szCs w:val="24"/>
                <w:highlight w:val="none"/>
              </w:rPr>
            </w:pPr>
          </w:p>
        </w:tc>
        <w:tc>
          <w:tcPr>
            <w:tcW w:w="1480" w:type="dxa"/>
            <w:noWrap w:val="0"/>
            <w:vAlign w:val="top"/>
          </w:tcPr>
          <w:p w14:paraId="6ADDB5BD">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51982E71">
            <w:pPr>
              <w:shd w:val="clear" w:color="auto" w:fill="auto"/>
              <w:spacing w:line="360" w:lineRule="auto"/>
              <w:rPr>
                <w:rFonts w:hint="eastAsia" w:ascii="宋体" w:hAnsi="宋体" w:eastAsia="宋体" w:cs="宋体"/>
                <w:color w:val="auto"/>
                <w:sz w:val="24"/>
                <w:szCs w:val="24"/>
                <w:highlight w:val="none"/>
              </w:rPr>
            </w:pPr>
          </w:p>
        </w:tc>
        <w:tc>
          <w:tcPr>
            <w:tcW w:w="921" w:type="dxa"/>
            <w:noWrap w:val="0"/>
            <w:vAlign w:val="top"/>
          </w:tcPr>
          <w:p w14:paraId="07372EFB">
            <w:pPr>
              <w:shd w:val="clear" w:color="auto" w:fill="auto"/>
              <w:spacing w:line="360" w:lineRule="auto"/>
              <w:rPr>
                <w:rFonts w:hint="eastAsia" w:ascii="宋体" w:hAnsi="宋体" w:eastAsia="宋体" w:cs="宋体"/>
                <w:color w:val="auto"/>
                <w:sz w:val="24"/>
                <w:szCs w:val="24"/>
                <w:highlight w:val="none"/>
              </w:rPr>
            </w:pPr>
          </w:p>
        </w:tc>
      </w:tr>
      <w:tr w14:paraId="7C84D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2EF5DD9">
            <w:pPr>
              <w:shd w:val="clear" w:color="auto" w:fill="auto"/>
              <w:spacing w:line="360" w:lineRule="auto"/>
              <w:rPr>
                <w:rFonts w:hint="eastAsia" w:ascii="宋体" w:hAnsi="宋体" w:eastAsia="宋体" w:cs="宋体"/>
                <w:color w:val="auto"/>
                <w:sz w:val="24"/>
                <w:szCs w:val="24"/>
                <w:highlight w:val="none"/>
              </w:rPr>
            </w:pPr>
          </w:p>
        </w:tc>
        <w:tc>
          <w:tcPr>
            <w:tcW w:w="1418" w:type="dxa"/>
            <w:noWrap w:val="0"/>
            <w:vAlign w:val="top"/>
          </w:tcPr>
          <w:p w14:paraId="0D136AFE">
            <w:pPr>
              <w:shd w:val="clear" w:color="auto" w:fill="auto"/>
              <w:spacing w:line="360" w:lineRule="auto"/>
              <w:rPr>
                <w:rFonts w:hint="eastAsia" w:ascii="宋体" w:hAnsi="宋体" w:eastAsia="宋体" w:cs="宋体"/>
                <w:color w:val="auto"/>
                <w:sz w:val="24"/>
                <w:szCs w:val="24"/>
                <w:highlight w:val="none"/>
              </w:rPr>
            </w:pPr>
          </w:p>
        </w:tc>
        <w:tc>
          <w:tcPr>
            <w:tcW w:w="850" w:type="dxa"/>
            <w:noWrap w:val="0"/>
            <w:vAlign w:val="top"/>
          </w:tcPr>
          <w:p w14:paraId="4F3DD543">
            <w:pPr>
              <w:shd w:val="clear" w:color="auto" w:fill="auto"/>
              <w:spacing w:line="360" w:lineRule="auto"/>
              <w:rPr>
                <w:rFonts w:hint="eastAsia" w:ascii="宋体" w:hAnsi="宋体" w:eastAsia="宋体" w:cs="宋体"/>
                <w:color w:val="auto"/>
                <w:sz w:val="24"/>
                <w:szCs w:val="24"/>
                <w:highlight w:val="none"/>
              </w:rPr>
            </w:pPr>
          </w:p>
        </w:tc>
        <w:tc>
          <w:tcPr>
            <w:tcW w:w="1058" w:type="dxa"/>
            <w:noWrap w:val="0"/>
            <w:vAlign w:val="top"/>
          </w:tcPr>
          <w:p w14:paraId="45652F79">
            <w:pPr>
              <w:shd w:val="clear" w:color="auto" w:fill="auto"/>
              <w:spacing w:line="360" w:lineRule="auto"/>
              <w:rPr>
                <w:rFonts w:hint="eastAsia" w:ascii="宋体" w:hAnsi="宋体" w:eastAsia="宋体" w:cs="宋体"/>
                <w:color w:val="auto"/>
                <w:sz w:val="24"/>
                <w:szCs w:val="24"/>
                <w:highlight w:val="none"/>
              </w:rPr>
            </w:pPr>
          </w:p>
        </w:tc>
        <w:tc>
          <w:tcPr>
            <w:tcW w:w="880" w:type="dxa"/>
            <w:noWrap w:val="0"/>
            <w:vAlign w:val="top"/>
          </w:tcPr>
          <w:p w14:paraId="31F9F071">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71939FA4">
            <w:pPr>
              <w:shd w:val="clear" w:color="auto" w:fill="auto"/>
              <w:spacing w:line="360" w:lineRule="auto"/>
              <w:rPr>
                <w:rFonts w:hint="eastAsia" w:ascii="宋体" w:hAnsi="宋体" w:eastAsia="宋体" w:cs="宋体"/>
                <w:color w:val="auto"/>
                <w:sz w:val="24"/>
                <w:szCs w:val="24"/>
                <w:highlight w:val="none"/>
              </w:rPr>
            </w:pPr>
          </w:p>
        </w:tc>
        <w:tc>
          <w:tcPr>
            <w:tcW w:w="1480" w:type="dxa"/>
            <w:noWrap w:val="0"/>
            <w:vAlign w:val="top"/>
          </w:tcPr>
          <w:p w14:paraId="612B843D">
            <w:pPr>
              <w:shd w:val="clear" w:color="auto" w:fill="auto"/>
              <w:spacing w:line="360" w:lineRule="auto"/>
              <w:rPr>
                <w:rFonts w:hint="eastAsia" w:ascii="宋体" w:hAnsi="宋体" w:eastAsia="宋体" w:cs="宋体"/>
                <w:color w:val="auto"/>
                <w:sz w:val="24"/>
                <w:szCs w:val="24"/>
                <w:highlight w:val="none"/>
              </w:rPr>
            </w:pPr>
          </w:p>
        </w:tc>
        <w:tc>
          <w:tcPr>
            <w:tcW w:w="1020" w:type="dxa"/>
            <w:noWrap w:val="0"/>
            <w:vAlign w:val="top"/>
          </w:tcPr>
          <w:p w14:paraId="15C8EABC">
            <w:pPr>
              <w:shd w:val="clear" w:color="auto" w:fill="auto"/>
              <w:spacing w:line="360" w:lineRule="auto"/>
              <w:rPr>
                <w:rFonts w:hint="eastAsia" w:ascii="宋体" w:hAnsi="宋体" w:eastAsia="宋体" w:cs="宋体"/>
                <w:color w:val="auto"/>
                <w:sz w:val="24"/>
                <w:szCs w:val="24"/>
                <w:highlight w:val="none"/>
              </w:rPr>
            </w:pPr>
          </w:p>
        </w:tc>
        <w:tc>
          <w:tcPr>
            <w:tcW w:w="921" w:type="dxa"/>
            <w:noWrap w:val="0"/>
            <w:vAlign w:val="top"/>
          </w:tcPr>
          <w:p w14:paraId="4CE7576E">
            <w:pPr>
              <w:shd w:val="clear" w:color="auto" w:fill="auto"/>
              <w:spacing w:line="360" w:lineRule="auto"/>
              <w:rPr>
                <w:rFonts w:hint="eastAsia" w:ascii="宋体" w:hAnsi="宋体" w:eastAsia="宋体" w:cs="宋体"/>
                <w:color w:val="auto"/>
                <w:sz w:val="24"/>
                <w:szCs w:val="24"/>
                <w:highlight w:val="none"/>
              </w:rPr>
            </w:pPr>
          </w:p>
        </w:tc>
      </w:tr>
    </w:tbl>
    <w:p w14:paraId="5B0E94AC">
      <w:pPr>
        <w:shd w:val="clear" w:color="auto" w:fill="auto"/>
        <w:autoSpaceDE w:val="0"/>
        <w:autoSpaceDN w:val="0"/>
        <w:adjustRightInd w:val="0"/>
        <w:ind w:firstLine="525" w:firstLineChars="250"/>
        <w:rPr>
          <w:rFonts w:hint="eastAsia" w:ascii="宋体" w:hAnsi="宋体" w:eastAsia="宋体" w:cs="宋体"/>
          <w:color w:val="auto"/>
          <w:szCs w:val="21"/>
          <w:highlight w:val="none"/>
          <w:lang w:val="zh-CN"/>
        </w:rPr>
      </w:pPr>
    </w:p>
    <w:p w14:paraId="036A520A">
      <w:pPr>
        <w:pStyle w:val="37"/>
        <w:shd w:val="clear" w:color="auto" w:fill="auto"/>
        <w:rPr>
          <w:rFonts w:hint="eastAsia" w:ascii="宋体" w:hAnsi="宋体" w:eastAsia="宋体" w:cs="宋体"/>
          <w:color w:val="auto"/>
          <w:sz w:val="21"/>
          <w:szCs w:val="21"/>
          <w:highlight w:val="none"/>
          <w:lang w:val="zh-CN"/>
        </w:rPr>
      </w:pPr>
    </w:p>
    <w:p w14:paraId="77EEE868">
      <w:pPr>
        <w:pStyle w:val="37"/>
        <w:shd w:val="clear" w:color="auto" w:fill="auto"/>
        <w:rPr>
          <w:rFonts w:hint="eastAsia" w:ascii="宋体" w:hAnsi="宋体" w:eastAsia="宋体" w:cs="宋体"/>
          <w:color w:val="auto"/>
          <w:sz w:val="21"/>
          <w:szCs w:val="21"/>
          <w:highlight w:val="none"/>
          <w:lang w:val="zh-CN"/>
        </w:rPr>
      </w:pPr>
    </w:p>
    <w:p w14:paraId="7B50FD18">
      <w:pPr>
        <w:pStyle w:val="37"/>
        <w:shd w:val="clear" w:color="auto" w:fill="auto"/>
        <w:rPr>
          <w:rFonts w:hint="eastAsia" w:ascii="宋体" w:hAnsi="宋体" w:eastAsia="宋体" w:cs="宋体"/>
          <w:color w:val="auto"/>
          <w:sz w:val="21"/>
          <w:szCs w:val="21"/>
          <w:highlight w:val="none"/>
          <w:lang w:val="zh-CN"/>
        </w:rPr>
      </w:pPr>
    </w:p>
    <w:p w14:paraId="2AFF6B84">
      <w:pPr>
        <w:pStyle w:val="37"/>
        <w:shd w:val="clear" w:color="auto" w:fill="auto"/>
        <w:rPr>
          <w:rFonts w:hint="eastAsia" w:ascii="宋体" w:hAnsi="宋体" w:eastAsia="宋体" w:cs="宋体"/>
          <w:color w:val="auto"/>
          <w:sz w:val="21"/>
          <w:szCs w:val="21"/>
          <w:highlight w:val="none"/>
          <w:lang w:val="zh-CN"/>
        </w:rPr>
      </w:pPr>
    </w:p>
    <w:p w14:paraId="6D4EC92C">
      <w:pPr>
        <w:numPr>
          <w:ilvl w:val="0"/>
          <w:numId w:val="0"/>
        </w:numPr>
        <w:shd w:val="clear" w:color="auto" w:fill="auto"/>
        <w:rPr>
          <w:rFonts w:hint="eastAsia"/>
          <w:color w:val="auto"/>
          <w:highlight w:val="none"/>
        </w:rPr>
      </w:pPr>
    </w:p>
    <w:p w14:paraId="7AE2DA64">
      <w:pPr>
        <w:rPr>
          <w:highlight w:val="none"/>
        </w:rPr>
      </w:pPr>
    </w:p>
    <w:p w14:paraId="3C60AC67">
      <w:pPr>
        <w:rPr>
          <w:rFonts w:hint="eastAsia" w:ascii="仿宋" w:hAnsi="仿宋" w:eastAsia="仿宋" w:cs="仿宋"/>
          <w:sz w:val="24"/>
          <w:szCs w:val="24"/>
          <w:highlight w:val="none"/>
        </w:rPr>
      </w:pPr>
    </w:p>
    <w:p w14:paraId="337E5C45">
      <w:pPr>
        <w:rPr>
          <w:rFonts w:hint="eastAsia" w:ascii="仿宋" w:hAnsi="仿宋" w:eastAsia="仿宋" w:cs="仿宋"/>
          <w:sz w:val="24"/>
          <w:szCs w:val="24"/>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1CDE8">
    <w:pPr>
      <w:pStyle w:val="28"/>
      <w:jc w:val="center"/>
      <w:rPr>
        <w:rFonts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E209D">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65D4B">
    <w:pPr>
      <w:pStyle w:val="2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4" name="文本框 8"/>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0E95045D">
                          <w:pPr>
                            <w:pStyle w:val="28"/>
                            <w:rPr>
                              <w:rFonts w:hint="eastAsia"/>
                            </w:rPr>
                          </w:pPr>
                        </w:p>
                      </w:txbxContent>
                    </wps:txbx>
                    <wps:bodyPr wrap="none" lIns="0" tIns="0" rIns="0" bIns="0" upright="0">
                      <a:spAutoFit/>
                    </wps:bodyPr>
                  </wps:wsp>
                </a:graphicData>
              </a:graphic>
            </wp:anchor>
          </w:drawing>
        </mc:Choice>
        <mc:Fallback>
          <w:pict>
            <v:shape id="文本框 8"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Ju4tZzgEAAJcDAAAOAAAAAAAAAAEAIAAAAB8BAABkcnMv&#10;ZTJvRG9jLnhtbFBLBQYAAAAABgAGAFkBAABfBQAAAAA=&#10;">
              <v:fill on="f" focussize="0,0"/>
              <v:stroke on="f"/>
              <v:imagedata o:title=""/>
              <o:lock v:ext="edit" aspectratio="f"/>
              <v:textbox inset="0mm,0mm,0mm,0mm" style="mso-fit-shape-to-text:t;">
                <w:txbxContent>
                  <w:p w14:paraId="0E95045D">
                    <w:pPr>
                      <w:pStyle w:val="28"/>
                      <w:rPr>
                        <w:rFonts w:hint="eastAsia"/>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2795C">
    <w:pPr>
      <w:pStyle w:val="28"/>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6A95F9">
                          <w:pPr>
                            <w:pStyle w:val="28"/>
                          </w:pPr>
                          <w:r>
                            <w:fldChar w:fldCharType="begin"/>
                          </w:r>
                          <w:r>
                            <w:instrText xml:space="preserve"> PAGE  \* MERGEFORMAT </w:instrText>
                          </w:r>
                          <w:r>
                            <w:fldChar w:fldCharType="separate"/>
                          </w:r>
                          <w:r>
                            <w:t>2</w:t>
                          </w:r>
                          <w:r>
                            <w:fldChar w:fldCharType="end"/>
                          </w:r>
                        </w:p>
                      </w:txbxContent>
                    </wps:txbx>
                    <wps:bodyPr vert="horz" wrap="none" lIns="0" tIns="0" rIns="0" bIns="0" anchor="t"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Cs7RDx2AEAALADAAAOAAAAAAAAAAEAIAAA&#10;AB4BAABkcnMvZTJvRG9jLnhtbFBLBQYAAAAABgAGAFkBAABoBQAAAAA=&#10;">
              <v:fill on="f" focussize="0,0"/>
              <v:stroke on="f"/>
              <v:imagedata o:title=""/>
              <o:lock v:ext="edit" aspectratio="f"/>
              <v:textbox inset="0mm,0mm,0mm,0mm" style="mso-fit-shape-to-text:t;">
                <w:txbxContent>
                  <w:p w14:paraId="726A95F9">
                    <w:pPr>
                      <w:pStyle w:val="28"/>
                    </w:pPr>
                    <w:r>
                      <w:fldChar w:fldCharType="begin"/>
                    </w:r>
                    <w:r>
                      <w:instrText xml:space="preserve"> PAGE  \* MERGEFORMAT </w:instrText>
                    </w:r>
                    <w:r>
                      <w:fldChar w:fldCharType="separate"/>
                    </w:r>
                    <w:r>
                      <w:t>2</w:t>
                    </w:r>
                    <w:r>
                      <w:fldChar w:fldCharType="end"/>
                    </w:r>
                  </w:p>
                </w:txbxContent>
              </v:textbox>
            </v:shape>
          </w:pict>
        </mc:Fallback>
      </mc:AlternateContent>
    </w:r>
  </w:p>
  <w:p w14:paraId="7AD7ED88">
    <w:pPr>
      <w:pStyle w:val="2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0BA98">
    <w:pPr>
      <w:pStyle w:val="28"/>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B37FBD">
                          <w:pPr>
                            <w:pStyle w:val="28"/>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CbAGfQ2AEAALADAAAOAAAAAAAAAAEAIAAA&#10;AB4BAABkcnMvZTJvRG9jLnhtbFBLBQYAAAAABgAGAFkBAABoBQAAAAA=&#10;">
              <v:fill on="f" focussize="0,0"/>
              <v:stroke on="f"/>
              <v:imagedata o:title=""/>
              <o:lock v:ext="edit" aspectratio="f"/>
              <v:textbox inset="0mm,0mm,0mm,0mm" style="mso-fit-shape-to-text:t;">
                <w:txbxContent>
                  <w:p w14:paraId="54B37FBD">
                    <w:pPr>
                      <w:pStyle w:val="28"/>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3505" cy="139700"/>
              <wp:effectExtent l="0" t="0" r="0" b="0"/>
              <wp:wrapNone/>
              <wp:docPr id="3" name="文本框 3074"/>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14:paraId="401B1FA2">
                          <w:pPr>
                            <w:pStyle w:val="28"/>
                          </w:pPr>
                        </w:p>
                      </w:txbxContent>
                    </wps:txbx>
                    <wps:bodyPr wrap="none" lIns="0" tIns="0" rIns="0" bIns="0" upright="1">
                      <a:spAutoFit/>
                    </wps:bodyPr>
                  </wps:wsp>
                </a:graphicData>
              </a:graphic>
            </wp:anchor>
          </w:drawing>
        </mc:Choice>
        <mc:Fallback>
          <w:pict>
            <v:shape id="文本框 3074" o:spid="_x0000_s1026" o:spt="202" type="#_x0000_t202" style="position:absolute;left:0pt;margin-top:0pt;height:11pt;width:8.15pt;mso-position-horizontal:center;mso-position-horizontal-relative:margin;mso-wrap-style:none;z-index:251659264;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KDIhRzQAAAAAwEAAA8AAAAAAAAAAQAgAAAAIgAAAGRycy9k&#10;b3ducmV2LnhtbFBLAQIUABQAAAAIAIdO4kCJrgIU0QEAAJoDAAAOAAAAAAAAAAEAIAAAAB8BAABk&#10;cnMvZTJvRG9jLnhtbFBLBQYAAAAABgAGAFkBAABiBQAAAAA=&#10;">
              <v:fill on="f" focussize="0,0"/>
              <v:stroke on="f"/>
              <v:imagedata o:title=""/>
              <o:lock v:ext="edit" aspectratio="f"/>
              <v:textbox inset="0mm,0mm,0mm,0mm" style="mso-fit-shape-to-text:t;">
                <w:txbxContent>
                  <w:p w14:paraId="401B1FA2">
                    <w:pPr>
                      <w:pStyle w:val="28"/>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CCBFB">
    <w:pPr>
      <w:pStyle w:val="2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EAA0F">
    <w:pPr>
      <w:pStyle w:val="2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4CB41">
    <w:pPr>
      <w:pStyle w:val="2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28C07">
    <w:pPr>
      <w:pStyle w:val="29"/>
      <w:pBdr>
        <w:bottom w:val="none" w:color="auto" w:sz="0" w:space="1"/>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BE299">
    <w:pPr>
      <w:pStyle w:val="2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DBD3E">
    <w:pPr>
      <w:tabs>
        <w:tab w:val="left" w:pos="313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5E401E"/>
    <w:multiLevelType w:val="singleLevel"/>
    <w:tmpl w:val="905E401E"/>
    <w:lvl w:ilvl="0" w:tentative="0">
      <w:start w:val="2"/>
      <w:numFmt w:val="decimal"/>
      <w:suff w:val="nothing"/>
      <w:lvlText w:val="（%1）"/>
      <w:lvlJc w:val="left"/>
    </w:lvl>
  </w:abstractNum>
  <w:abstractNum w:abstractNumId="1">
    <w:nsid w:val="5852C880"/>
    <w:multiLevelType w:val="singleLevel"/>
    <w:tmpl w:val="5852C880"/>
    <w:lvl w:ilvl="0" w:tentative="0">
      <w:start w:val="1"/>
      <w:numFmt w:val="decimal"/>
      <w:suff w:val="nothing"/>
      <w:lvlText w:val="%1、"/>
      <w:lvlJc w:val="left"/>
    </w:lvl>
  </w:abstractNum>
  <w:abstractNum w:abstractNumId="2">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5"/>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3840"/>
  <w:hyphenationZone w:val="360"/>
  <w:drawingGridHorizontalSpacing w:val="210"/>
  <w:drawingGridVerticalSpacing w:val="159"/>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hODhjMTUwZjUwNjkzMjQ0MTZlNTBlMWU0MzllYjAifQ=="/>
    <w:docVar w:name="DocumentName" w:val="选定非开挖顶管工程-水平导钻年度供应商招标文件（第2轮定稿10.12）"/>
  </w:docVars>
  <w:rsids>
    <w:rsidRoot w:val="008F3DF1"/>
    <w:rsid w:val="00001097"/>
    <w:rsid w:val="000107A5"/>
    <w:rsid w:val="00011938"/>
    <w:rsid w:val="0002188E"/>
    <w:rsid w:val="000359AF"/>
    <w:rsid w:val="000373A0"/>
    <w:rsid w:val="00051702"/>
    <w:rsid w:val="00056B75"/>
    <w:rsid w:val="000652D4"/>
    <w:rsid w:val="000C506B"/>
    <w:rsid w:val="000D1532"/>
    <w:rsid w:val="000F1D7A"/>
    <w:rsid w:val="000F401B"/>
    <w:rsid w:val="00105239"/>
    <w:rsid w:val="00114FD8"/>
    <w:rsid w:val="001273F4"/>
    <w:rsid w:val="00127DE4"/>
    <w:rsid w:val="0013384F"/>
    <w:rsid w:val="00133EA6"/>
    <w:rsid w:val="0014461E"/>
    <w:rsid w:val="00161970"/>
    <w:rsid w:val="00163DC6"/>
    <w:rsid w:val="001733A2"/>
    <w:rsid w:val="00173E84"/>
    <w:rsid w:val="00177698"/>
    <w:rsid w:val="00177873"/>
    <w:rsid w:val="00192F9A"/>
    <w:rsid w:val="001E0006"/>
    <w:rsid w:val="001E74DC"/>
    <w:rsid w:val="001F17F0"/>
    <w:rsid w:val="001F4CCE"/>
    <w:rsid w:val="0020789F"/>
    <w:rsid w:val="0021110B"/>
    <w:rsid w:val="0022208F"/>
    <w:rsid w:val="00260C29"/>
    <w:rsid w:val="00265571"/>
    <w:rsid w:val="0027319C"/>
    <w:rsid w:val="00273DA8"/>
    <w:rsid w:val="00274F63"/>
    <w:rsid w:val="002753AA"/>
    <w:rsid w:val="002842BA"/>
    <w:rsid w:val="00285CC0"/>
    <w:rsid w:val="00287530"/>
    <w:rsid w:val="002900F8"/>
    <w:rsid w:val="002A3363"/>
    <w:rsid w:val="002A7C79"/>
    <w:rsid w:val="002C2C01"/>
    <w:rsid w:val="002C415A"/>
    <w:rsid w:val="002C55BB"/>
    <w:rsid w:val="002D24DE"/>
    <w:rsid w:val="002D7A07"/>
    <w:rsid w:val="002E0D8C"/>
    <w:rsid w:val="002E32BC"/>
    <w:rsid w:val="002E7C2F"/>
    <w:rsid w:val="00300433"/>
    <w:rsid w:val="003024DF"/>
    <w:rsid w:val="00311618"/>
    <w:rsid w:val="0031476C"/>
    <w:rsid w:val="00314DFE"/>
    <w:rsid w:val="00325FEE"/>
    <w:rsid w:val="00330228"/>
    <w:rsid w:val="00330847"/>
    <w:rsid w:val="0034436D"/>
    <w:rsid w:val="00354EE7"/>
    <w:rsid w:val="003577A2"/>
    <w:rsid w:val="00373CC1"/>
    <w:rsid w:val="003810A9"/>
    <w:rsid w:val="00382DEE"/>
    <w:rsid w:val="00393BC5"/>
    <w:rsid w:val="00397A2A"/>
    <w:rsid w:val="003A1493"/>
    <w:rsid w:val="003B1643"/>
    <w:rsid w:val="003B1696"/>
    <w:rsid w:val="003B19EC"/>
    <w:rsid w:val="003B4061"/>
    <w:rsid w:val="003D46FB"/>
    <w:rsid w:val="003E1428"/>
    <w:rsid w:val="003E4E43"/>
    <w:rsid w:val="003E54B8"/>
    <w:rsid w:val="003E5A21"/>
    <w:rsid w:val="003F6736"/>
    <w:rsid w:val="0041027E"/>
    <w:rsid w:val="004110FA"/>
    <w:rsid w:val="004143F5"/>
    <w:rsid w:val="00424017"/>
    <w:rsid w:val="00426399"/>
    <w:rsid w:val="00440A56"/>
    <w:rsid w:val="00445552"/>
    <w:rsid w:val="00450EAA"/>
    <w:rsid w:val="00462A67"/>
    <w:rsid w:val="00484781"/>
    <w:rsid w:val="004B3E21"/>
    <w:rsid w:val="004B652B"/>
    <w:rsid w:val="004B6CDB"/>
    <w:rsid w:val="004C50D0"/>
    <w:rsid w:val="004E4AB5"/>
    <w:rsid w:val="004E6976"/>
    <w:rsid w:val="00512336"/>
    <w:rsid w:val="00516B33"/>
    <w:rsid w:val="00520CB3"/>
    <w:rsid w:val="0052117E"/>
    <w:rsid w:val="00524E0C"/>
    <w:rsid w:val="00526386"/>
    <w:rsid w:val="005264F6"/>
    <w:rsid w:val="005330D2"/>
    <w:rsid w:val="00541829"/>
    <w:rsid w:val="00546853"/>
    <w:rsid w:val="00553506"/>
    <w:rsid w:val="0055409C"/>
    <w:rsid w:val="00560643"/>
    <w:rsid w:val="00564C14"/>
    <w:rsid w:val="00592B3A"/>
    <w:rsid w:val="005A784E"/>
    <w:rsid w:val="005D6E53"/>
    <w:rsid w:val="005E2813"/>
    <w:rsid w:val="005E3E7F"/>
    <w:rsid w:val="005F0A37"/>
    <w:rsid w:val="00607AD5"/>
    <w:rsid w:val="006125DF"/>
    <w:rsid w:val="006504F3"/>
    <w:rsid w:val="0065427B"/>
    <w:rsid w:val="00656CD1"/>
    <w:rsid w:val="00682704"/>
    <w:rsid w:val="00692C25"/>
    <w:rsid w:val="006A30AF"/>
    <w:rsid w:val="006C4313"/>
    <w:rsid w:val="006D3E35"/>
    <w:rsid w:val="007051BD"/>
    <w:rsid w:val="007311D8"/>
    <w:rsid w:val="0074251B"/>
    <w:rsid w:val="00752D47"/>
    <w:rsid w:val="00753124"/>
    <w:rsid w:val="00764494"/>
    <w:rsid w:val="00766A71"/>
    <w:rsid w:val="00795C0A"/>
    <w:rsid w:val="00795C58"/>
    <w:rsid w:val="007A2B19"/>
    <w:rsid w:val="007A7B7D"/>
    <w:rsid w:val="007A7CB4"/>
    <w:rsid w:val="007B65FB"/>
    <w:rsid w:val="007C426A"/>
    <w:rsid w:val="007D5D6A"/>
    <w:rsid w:val="007D728B"/>
    <w:rsid w:val="007F1952"/>
    <w:rsid w:val="00800F6E"/>
    <w:rsid w:val="00811678"/>
    <w:rsid w:val="00837187"/>
    <w:rsid w:val="00837F49"/>
    <w:rsid w:val="00840900"/>
    <w:rsid w:val="00842A18"/>
    <w:rsid w:val="00842CA7"/>
    <w:rsid w:val="00860907"/>
    <w:rsid w:val="0086139B"/>
    <w:rsid w:val="00871A69"/>
    <w:rsid w:val="008763E3"/>
    <w:rsid w:val="00885830"/>
    <w:rsid w:val="00885F8D"/>
    <w:rsid w:val="0089057A"/>
    <w:rsid w:val="008962BF"/>
    <w:rsid w:val="008B0ABA"/>
    <w:rsid w:val="008B3EA7"/>
    <w:rsid w:val="008D3B2C"/>
    <w:rsid w:val="008D52BA"/>
    <w:rsid w:val="008D7C67"/>
    <w:rsid w:val="008E195A"/>
    <w:rsid w:val="008F2933"/>
    <w:rsid w:val="008F3DF1"/>
    <w:rsid w:val="008F534B"/>
    <w:rsid w:val="0093060F"/>
    <w:rsid w:val="009332D5"/>
    <w:rsid w:val="00940322"/>
    <w:rsid w:val="00950D60"/>
    <w:rsid w:val="009517B0"/>
    <w:rsid w:val="00951EA2"/>
    <w:rsid w:val="0097499D"/>
    <w:rsid w:val="0098079F"/>
    <w:rsid w:val="00996578"/>
    <w:rsid w:val="009A617D"/>
    <w:rsid w:val="009B2656"/>
    <w:rsid w:val="009B4D69"/>
    <w:rsid w:val="009B6BEE"/>
    <w:rsid w:val="009C489A"/>
    <w:rsid w:val="009D4073"/>
    <w:rsid w:val="009D611D"/>
    <w:rsid w:val="009E6AA6"/>
    <w:rsid w:val="009F069E"/>
    <w:rsid w:val="00A27EC4"/>
    <w:rsid w:val="00A460D0"/>
    <w:rsid w:val="00A536CD"/>
    <w:rsid w:val="00A545ED"/>
    <w:rsid w:val="00A567C1"/>
    <w:rsid w:val="00A569B3"/>
    <w:rsid w:val="00A63F72"/>
    <w:rsid w:val="00A70151"/>
    <w:rsid w:val="00A708C3"/>
    <w:rsid w:val="00A736AB"/>
    <w:rsid w:val="00A74972"/>
    <w:rsid w:val="00A824E9"/>
    <w:rsid w:val="00A92EAB"/>
    <w:rsid w:val="00A9613E"/>
    <w:rsid w:val="00AA1CFD"/>
    <w:rsid w:val="00AA2F7D"/>
    <w:rsid w:val="00AA6780"/>
    <w:rsid w:val="00AC4BE9"/>
    <w:rsid w:val="00AD52A9"/>
    <w:rsid w:val="00AE6B76"/>
    <w:rsid w:val="00AF2670"/>
    <w:rsid w:val="00AF3217"/>
    <w:rsid w:val="00B0188B"/>
    <w:rsid w:val="00B21447"/>
    <w:rsid w:val="00B477A1"/>
    <w:rsid w:val="00B60ADB"/>
    <w:rsid w:val="00B6507B"/>
    <w:rsid w:val="00B915CE"/>
    <w:rsid w:val="00BA7CA7"/>
    <w:rsid w:val="00BB09CD"/>
    <w:rsid w:val="00BB3C18"/>
    <w:rsid w:val="00BC317D"/>
    <w:rsid w:val="00BC379D"/>
    <w:rsid w:val="00BC4913"/>
    <w:rsid w:val="00BD08A4"/>
    <w:rsid w:val="00BD0DF6"/>
    <w:rsid w:val="00BD14EE"/>
    <w:rsid w:val="00BD28DF"/>
    <w:rsid w:val="00BE01F4"/>
    <w:rsid w:val="00BE1B0D"/>
    <w:rsid w:val="00BE449B"/>
    <w:rsid w:val="00C14B5C"/>
    <w:rsid w:val="00C15C16"/>
    <w:rsid w:val="00C17511"/>
    <w:rsid w:val="00C312E2"/>
    <w:rsid w:val="00C37264"/>
    <w:rsid w:val="00C40C13"/>
    <w:rsid w:val="00C418A0"/>
    <w:rsid w:val="00C52D25"/>
    <w:rsid w:val="00C56BE0"/>
    <w:rsid w:val="00C641EE"/>
    <w:rsid w:val="00C65FED"/>
    <w:rsid w:val="00C71CF6"/>
    <w:rsid w:val="00C7305E"/>
    <w:rsid w:val="00C778AC"/>
    <w:rsid w:val="00CB2530"/>
    <w:rsid w:val="00CB3B6A"/>
    <w:rsid w:val="00CB43CC"/>
    <w:rsid w:val="00CB7FB6"/>
    <w:rsid w:val="00CD2116"/>
    <w:rsid w:val="00CD470D"/>
    <w:rsid w:val="00CD7796"/>
    <w:rsid w:val="00CE02B1"/>
    <w:rsid w:val="00CF15E9"/>
    <w:rsid w:val="00CF601A"/>
    <w:rsid w:val="00CF7162"/>
    <w:rsid w:val="00D272E1"/>
    <w:rsid w:val="00D3584E"/>
    <w:rsid w:val="00D43E2F"/>
    <w:rsid w:val="00D4442C"/>
    <w:rsid w:val="00D5778D"/>
    <w:rsid w:val="00D647B4"/>
    <w:rsid w:val="00D727FF"/>
    <w:rsid w:val="00D86210"/>
    <w:rsid w:val="00D90408"/>
    <w:rsid w:val="00D9095E"/>
    <w:rsid w:val="00D92578"/>
    <w:rsid w:val="00D9431A"/>
    <w:rsid w:val="00DA407F"/>
    <w:rsid w:val="00DA4BAE"/>
    <w:rsid w:val="00DC0834"/>
    <w:rsid w:val="00DD63E2"/>
    <w:rsid w:val="00DF0F35"/>
    <w:rsid w:val="00DF18E1"/>
    <w:rsid w:val="00DF1AB0"/>
    <w:rsid w:val="00DF3CC7"/>
    <w:rsid w:val="00E01FF6"/>
    <w:rsid w:val="00E36C39"/>
    <w:rsid w:val="00E42B3A"/>
    <w:rsid w:val="00E77929"/>
    <w:rsid w:val="00E83FA3"/>
    <w:rsid w:val="00E85609"/>
    <w:rsid w:val="00ED008E"/>
    <w:rsid w:val="00EE209D"/>
    <w:rsid w:val="00EE5A5F"/>
    <w:rsid w:val="00EF1F51"/>
    <w:rsid w:val="00EF2BD5"/>
    <w:rsid w:val="00EF2D6B"/>
    <w:rsid w:val="00F2277A"/>
    <w:rsid w:val="00F32B1D"/>
    <w:rsid w:val="00F5020D"/>
    <w:rsid w:val="00F63E87"/>
    <w:rsid w:val="00F66E57"/>
    <w:rsid w:val="00F71475"/>
    <w:rsid w:val="00F740DA"/>
    <w:rsid w:val="00F800AE"/>
    <w:rsid w:val="00FA4386"/>
    <w:rsid w:val="00FA5573"/>
    <w:rsid w:val="00FC44D5"/>
    <w:rsid w:val="00FC7994"/>
    <w:rsid w:val="00FE24C2"/>
    <w:rsid w:val="01046FC5"/>
    <w:rsid w:val="010F10D8"/>
    <w:rsid w:val="012E0E67"/>
    <w:rsid w:val="01386691"/>
    <w:rsid w:val="01482390"/>
    <w:rsid w:val="0160084E"/>
    <w:rsid w:val="01626374"/>
    <w:rsid w:val="01916C5A"/>
    <w:rsid w:val="01BD35AB"/>
    <w:rsid w:val="01DA5E9C"/>
    <w:rsid w:val="01DD59FB"/>
    <w:rsid w:val="01F15E4E"/>
    <w:rsid w:val="01F57998"/>
    <w:rsid w:val="0210458C"/>
    <w:rsid w:val="023824A9"/>
    <w:rsid w:val="02BA785F"/>
    <w:rsid w:val="02CD1F13"/>
    <w:rsid w:val="0340173B"/>
    <w:rsid w:val="035B79DB"/>
    <w:rsid w:val="035F0CD7"/>
    <w:rsid w:val="035F6F01"/>
    <w:rsid w:val="03624D3B"/>
    <w:rsid w:val="038A3960"/>
    <w:rsid w:val="03A34A56"/>
    <w:rsid w:val="03B222B1"/>
    <w:rsid w:val="03DB1117"/>
    <w:rsid w:val="03E23B37"/>
    <w:rsid w:val="0409435D"/>
    <w:rsid w:val="040C2BAD"/>
    <w:rsid w:val="04381749"/>
    <w:rsid w:val="044B5EF0"/>
    <w:rsid w:val="04640655"/>
    <w:rsid w:val="046B128A"/>
    <w:rsid w:val="04A643B1"/>
    <w:rsid w:val="04B273E6"/>
    <w:rsid w:val="04B949C5"/>
    <w:rsid w:val="04C237AB"/>
    <w:rsid w:val="04CD527F"/>
    <w:rsid w:val="04E2157A"/>
    <w:rsid w:val="04E752B7"/>
    <w:rsid w:val="04F45324"/>
    <w:rsid w:val="052F2A11"/>
    <w:rsid w:val="053C6EDC"/>
    <w:rsid w:val="053F17F0"/>
    <w:rsid w:val="053F69CD"/>
    <w:rsid w:val="05462E2F"/>
    <w:rsid w:val="058C559B"/>
    <w:rsid w:val="058E795B"/>
    <w:rsid w:val="05E76E48"/>
    <w:rsid w:val="05FB0B46"/>
    <w:rsid w:val="06392DBF"/>
    <w:rsid w:val="06431F2C"/>
    <w:rsid w:val="06570680"/>
    <w:rsid w:val="065E4C1C"/>
    <w:rsid w:val="0677632A"/>
    <w:rsid w:val="069E0C8C"/>
    <w:rsid w:val="06AE4995"/>
    <w:rsid w:val="06BA43A3"/>
    <w:rsid w:val="06FA4322"/>
    <w:rsid w:val="070677A2"/>
    <w:rsid w:val="07140FD9"/>
    <w:rsid w:val="074C7276"/>
    <w:rsid w:val="07693BBB"/>
    <w:rsid w:val="07961D7F"/>
    <w:rsid w:val="079A613C"/>
    <w:rsid w:val="07A14ABA"/>
    <w:rsid w:val="07C22D32"/>
    <w:rsid w:val="07C75183"/>
    <w:rsid w:val="07F47F79"/>
    <w:rsid w:val="07F62DCC"/>
    <w:rsid w:val="084E323F"/>
    <w:rsid w:val="08501519"/>
    <w:rsid w:val="087D7F38"/>
    <w:rsid w:val="08B524D4"/>
    <w:rsid w:val="08BA0844"/>
    <w:rsid w:val="08DA1CD0"/>
    <w:rsid w:val="08DF5A76"/>
    <w:rsid w:val="08F5187C"/>
    <w:rsid w:val="09035D91"/>
    <w:rsid w:val="096F5AD2"/>
    <w:rsid w:val="097F0041"/>
    <w:rsid w:val="09B01C47"/>
    <w:rsid w:val="09CD0A4B"/>
    <w:rsid w:val="09CD66ED"/>
    <w:rsid w:val="09D726B7"/>
    <w:rsid w:val="09E57988"/>
    <w:rsid w:val="09EB2C7F"/>
    <w:rsid w:val="09F72AC1"/>
    <w:rsid w:val="0A1B5868"/>
    <w:rsid w:val="0A40121D"/>
    <w:rsid w:val="0A554394"/>
    <w:rsid w:val="0A806213"/>
    <w:rsid w:val="0A8F548C"/>
    <w:rsid w:val="0A9B28F7"/>
    <w:rsid w:val="0AD377C9"/>
    <w:rsid w:val="0B112BB9"/>
    <w:rsid w:val="0B2E68F8"/>
    <w:rsid w:val="0B411470"/>
    <w:rsid w:val="0B474015"/>
    <w:rsid w:val="0B482350"/>
    <w:rsid w:val="0B626891"/>
    <w:rsid w:val="0B64718D"/>
    <w:rsid w:val="0BB74BDB"/>
    <w:rsid w:val="0BE97E49"/>
    <w:rsid w:val="0BEF4CA9"/>
    <w:rsid w:val="0C05167A"/>
    <w:rsid w:val="0C0627BD"/>
    <w:rsid w:val="0C4C1E7D"/>
    <w:rsid w:val="0C7C445A"/>
    <w:rsid w:val="0C860B6D"/>
    <w:rsid w:val="0CBD36AE"/>
    <w:rsid w:val="0CD04E01"/>
    <w:rsid w:val="0CDB0BB0"/>
    <w:rsid w:val="0CDC4881"/>
    <w:rsid w:val="0D0878C3"/>
    <w:rsid w:val="0D0A6AC9"/>
    <w:rsid w:val="0D0E64D7"/>
    <w:rsid w:val="0D35493D"/>
    <w:rsid w:val="0D37494D"/>
    <w:rsid w:val="0D4572C7"/>
    <w:rsid w:val="0D4D3399"/>
    <w:rsid w:val="0D520C28"/>
    <w:rsid w:val="0D5345EC"/>
    <w:rsid w:val="0D7C003C"/>
    <w:rsid w:val="0D843E39"/>
    <w:rsid w:val="0D9D36E5"/>
    <w:rsid w:val="0DCA2A4D"/>
    <w:rsid w:val="0DDE1139"/>
    <w:rsid w:val="0E1E7AC7"/>
    <w:rsid w:val="0E7455B2"/>
    <w:rsid w:val="0E7B1AA2"/>
    <w:rsid w:val="0E7F23A4"/>
    <w:rsid w:val="0E934903"/>
    <w:rsid w:val="0EB02274"/>
    <w:rsid w:val="0EB72283"/>
    <w:rsid w:val="0EC355B3"/>
    <w:rsid w:val="0ED36852"/>
    <w:rsid w:val="0EE52C29"/>
    <w:rsid w:val="0EFB3A31"/>
    <w:rsid w:val="0F1A3B0B"/>
    <w:rsid w:val="0F29172E"/>
    <w:rsid w:val="0F5F1A0C"/>
    <w:rsid w:val="0F881128"/>
    <w:rsid w:val="0F972C0D"/>
    <w:rsid w:val="0FAB7566"/>
    <w:rsid w:val="0FB0474F"/>
    <w:rsid w:val="0FBA413C"/>
    <w:rsid w:val="0FCD3553"/>
    <w:rsid w:val="0FE4264A"/>
    <w:rsid w:val="0FEA4046"/>
    <w:rsid w:val="100214D2"/>
    <w:rsid w:val="100F5919"/>
    <w:rsid w:val="10164BA2"/>
    <w:rsid w:val="102E6638"/>
    <w:rsid w:val="1047087A"/>
    <w:rsid w:val="1059129A"/>
    <w:rsid w:val="108B094A"/>
    <w:rsid w:val="10AD2D88"/>
    <w:rsid w:val="10EA2BC5"/>
    <w:rsid w:val="10F414EA"/>
    <w:rsid w:val="11085E67"/>
    <w:rsid w:val="11166793"/>
    <w:rsid w:val="112E5EC1"/>
    <w:rsid w:val="112E7D36"/>
    <w:rsid w:val="11343B8B"/>
    <w:rsid w:val="113D0F5B"/>
    <w:rsid w:val="114F2865"/>
    <w:rsid w:val="11594988"/>
    <w:rsid w:val="11596432"/>
    <w:rsid w:val="11736A34"/>
    <w:rsid w:val="11A00C22"/>
    <w:rsid w:val="11A15B97"/>
    <w:rsid w:val="11A77CAA"/>
    <w:rsid w:val="11F33CA4"/>
    <w:rsid w:val="11F824D2"/>
    <w:rsid w:val="11FD5A62"/>
    <w:rsid w:val="120E415D"/>
    <w:rsid w:val="120E4C15"/>
    <w:rsid w:val="12327377"/>
    <w:rsid w:val="124726F9"/>
    <w:rsid w:val="12483364"/>
    <w:rsid w:val="12672719"/>
    <w:rsid w:val="12767883"/>
    <w:rsid w:val="129B07D8"/>
    <w:rsid w:val="12A42854"/>
    <w:rsid w:val="12A87ADE"/>
    <w:rsid w:val="12AC2975"/>
    <w:rsid w:val="12AC5C2E"/>
    <w:rsid w:val="130D3C66"/>
    <w:rsid w:val="13695D6B"/>
    <w:rsid w:val="13854D45"/>
    <w:rsid w:val="138D4AFE"/>
    <w:rsid w:val="13924148"/>
    <w:rsid w:val="13A31C28"/>
    <w:rsid w:val="13BB7C9E"/>
    <w:rsid w:val="13CF528F"/>
    <w:rsid w:val="14416EB0"/>
    <w:rsid w:val="14577569"/>
    <w:rsid w:val="147B7590"/>
    <w:rsid w:val="1481490C"/>
    <w:rsid w:val="14A16D5C"/>
    <w:rsid w:val="14B6241E"/>
    <w:rsid w:val="14BA2108"/>
    <w:rsid w:val="14C76A12"/>
    <w:rsid w:val="14D36781"/>
    <w:rsid w:val="14E25007"/>
    <w:rsid w:val="14EB18BB"/>
    <w:rsid w:val="152A6D51"/>
    <w:rsid w:val="153E5A17"/>
    <w:rsid w:val="1540473D"/>
    <w:rsid w:val="15783F61"/>
    <w:rsid w:val="159B6C93"/>
    <w:rsid w:val="159D39C7"/>
    <w:rsid w:val="15AE7584"/>
    <w:rsid w:val="15B37BF1"/>
    <w:rsid w:val="15C40C40"/>
    <w:rsid w:val="15E31D94"/>
    <w:rsid w:val="15F73462"/>
    <w:rsid w:val="16096967"/>
    <w:rsid w:val="160F4208"/>
    <w:rsid w:val="16113804"/>
    <w:rsid w:val="16287370"/>
    <w:rsid w:val="16432473"/>
    <w:rsid w:val="167964D4"/>
    <w:rsid w:val="16890903"/>
    <w:rsid w:val="16A01D0F"/>
    <w:rsid w:val="16A677CD"/>
    <w:rsid w:val="16A82624"/>
    <w:rsid w:val="16AB476B"/>
    <w:rsid w:val="16B83E57"/>
    <w:rsid w:val="16C01312"/>
    <w:rsid w:val="16C531D6"/>
    <w:rsid w:val="16E701D2"/>
    <w:rsid w:val="16ED44DA"/>
    <w:rsid w:val="170809FD"/>
    <w:rsid w:val="170E2F06"/>
    <w:rsid w:val="171607EF"/>
    <w:rsid w:val="172C5003"/>
    <w:rsid w:val="172D4B0D"/>
    <w:rsid w:val="17B95613"/>
    <w:rsid w:val="17CD6374"/>
    <w:rsid w:val="17E23911"/>
    <w:rsid w:val="17F660E0"/>
    <w:rsid w:val="17FA3B6E"/>
    <w:rsid w:val="182A0E16"/>
    <w:rsid w:val="18315A8D"/>
    <w:rsid w:val="1840688C"/>
    <w:rsid w:val="18A84985"/>
    <w:rsid w:val="18AE37F5"/>
    <w:rsid w:val="18BD40B0"/>
    <w:rsid w:val="18C62E6F"/>
    <w:rsid w:val="18D641E0"/>
    <w:rsid w:val="18F4601E"/>
    <w:rsid w:val="18FA4BFA"/>
    <w:rsid w:val="190136AC"/>
    <w:rsid w:val="191775ED"/>
    <w:rsid w:val="193446F8"/>
    <w:rsid w:val="193631F2"/>
    <w:rsid w:val="196E78E8"/>
    <w:rsid w:val="198E6F33"/>
    <w:rsid w:val="198F7974"/>
    <w:rsid w:val="19E03E83"/>
    <w:rsid w:val="19E42FA8"/>
    <w:rsid w:val="19E96551"/>
    <w:rsid w:val="1A204BC7"/>
    <w:rsid w:val="1A2076E9"/>
    <w:rsid w:val="1A2F6FA0"/>
    <w:rsid w:val="1A4678C3"/>
    <w:rsid w:val="1A516B2E"/>
    <w:rsid w:val="1A597FD2"/>
    <w:rsid w:val="1A7F53D6"/>
    <w:rsid w:val="1A992223"/>
    <w:rsid w:val="1A9B5FFB"/>
    <w:rsid w:val="1ABE2BBB"/>
    <w:rsid w:val="1B30700B"/>
    <w:rsid w:val="1B3747DD"/>
    <w:rsid w:val="1B542592"/>
    <w:rsid w:val="1B606546"/>
    <w:rsid w:val="1B862CED"/>
    <w:rsid w:val="1BA43815"/>
    <w:rsid w:val="1BB67C61"/>
    <w:rsid w:val="1BF765A0"/>
    <w:rsid w:val="1C2F2D72"/>
    <w:rsid w:val="1C404EA7"/>
    <w:rsid w:val="1C6358AB"/>
    <w:rsid w:val="1C746C89"/>
    <w:rsid w:val="1C751D0C"/>
    <w:rsid w:val="1C960E31"/>
    <w:rsid w:val="1CA10EA8"/>
    <w:rsid w:val="1CBB6DCE"/>
    <w:rsid w:val="1CD21FF5"/>
    <w:rsid w:val="1CD441F2"/>
    <w:rsid w:val="1CF74F2E"/>
    <w:rsid w:val="1D2A6DE6"/>
    <w:rsid w:val="1DCF3CD6"/>
    <w:rsid w:val="1DD50B17"/>
    <w:rsid w:val="1DF36151"/>
    <w:rsid w:val="1DF43546"/>
    <w:rsid w:val="1DF66546"/>
    <w:rsid w:val="1E0B0B6C"/>
    <w:rsid w:val="1E0F3759"/>
    <w:rsid w:val="1E28435D"/>
    <w:rsid w:val="1E454184"/>
    <w:rsid w:val="1E4B079E"/>
    <w:rsid w:val="1E4F15D7"/>
    <w:rsid w:val="1E8D59CB"/>
    <w:rsid w:val="1E93016B"/>
    <w:rsid w:val="1E971C7C"/>
    <w:rsid w:val="1E9D2342"/>
    <w:rsid w:val="1EAE365D"/>
    <w:rsid w:val="1EB414E9"/>
    <w:rsid w:val="1EF108E0"/>
    <w:rsid w:val="1F1E30AE"/>
    <w:rsid w:val="1F52137F"/>
    <w:rsid w:val="1F5A5197"/>
    <w:rsid w:val="1F5B1D47"/>
    <w:rsid w:val="1F606BAA"/>
    <w:rsid w:val="1F704CB9"/>
    <w:rsid w:val="1F8506BB"/>
    <w:rsid w:val="1FB11F77"/>
    <w:rsid w:val="1FBF0321"/>
    <w:rsid w:val="1FD75EB6"/>
    <w:rsid w:val="201B3E66"/>
    <w:rsid w:val="201D443F"/>
    <w:rsid w:val="20D76825"/>
    <w:rsid w:val="2100305C"/>
    <w:rsid w:val="21311468"/>
    <w:rsid w:val="21546F1B"/>
    <w:rsid w:val="215B3D2F"/>
    <w:rsid w:val="21764C9F"/>
    <w:rsid w:val="21A67760"/>
    <w:rsid w:val="21E85818"/>
    <w:rsid w:val="21EB64F7"/>
    <w:rsid w:val="21FB7D81"/>
    <w:rsid w:val="21FF7B22"/>
    <w:rsid w:val="22066531"/>
    <w:rsid w:val="221548E5"/>
    <w:rsid w:val="22291464"/>
    <w:rsid w:val="22422404"/>
    <w:rsid w:val="2273571C"/>
    <w:rsid w:val="22943FB4"/>
    <w:rsid w:val="22A91D27"/>
    <w:rsid w:val="22BD679F"/>
    <w:rsid w:val="22D12F02"/>
    <w:rsid w:val="22E461E8"/>
    <w:rsid w:val="22F66AC1"/>
    <w:rsid w:val="231A1E2F"/>
    <w:rsid w:val="23270F1B"/>
    <w:rsid w:val="23496F3C"/>
    <w:rsid w:val="2356299F"/>
    <w:rsid w:val="23712C4B"/>
    <w:rsid w:val="238735C1"/>
    <w:rsid w:val="238B183B"/>
    <w:rsid w:val="23A607C4"/>
    <w:rsid w:val="23B34BAC"/>
    <w:rsid w:val="23B6282D"/>
    <w:rsid w:val="24072542"/>
    <w:rsid w:val="241256F5"/>
    <w:rsid w:val="241E2078"/>
    <w:rsid w:val="245F5471"/>
    <w:rsid w:val="24763D61"/>
    <w:rsid w:val="24860AAE"/>
    <w:rsid w:val="24897B3B"/>
    <w:rsid w:val="24952361"/>
    <w:rsid w:val="24B420BD"/>
    <w:rsid w:val="24F829C8"/>
    <w:rsid w:val="2507452C"/>
    <w:rsid w:val="25292B82"/>
    <w:rsid w:val="252D60F3"/>
    <w:rsid w:val="252F2B82"/>
    <w:rsid w:val="253357AE"/>
    <w:rsid w:val="256376A5"/>
    <w:rsid w:val="256B5A72"/>
    <w:rsid w:val="257F463C"/>
    <w:rsid w:val="259455FA"/>
    <w:rsid w:val="25A6736C"/>
    <w:rsid w:val="25A9485D"/>
    <w:rsid w:val="2621701E"/>
    <w:rsid w:val="266271CD"/>
    <w:rsid w:val="266B55C2"/>
    <w:rsid w:val="267B18D6"/>
    <w:rsid w:val="269B23DB"/>
    <w:rsid w:val="26BA7B53"/>
    <w:rsid w:val="26C921B6"/>
    <w:rsid w:val="26F73FDA"/>
    <w:rsid w:val="27106306"/>
    <w:rsid w:val="27172D0A"/>
    <w:rsid w:val="27182EAE"/>
    <w:rsid w:val="271F1251"/>
    <w:rsid w:val="27450B08"/>
    <w:rsid w:val="27623589"/>
    <w:rsid w:val="27710BD6"/>
    <w:rsid w:val="27AA7A9F"/>
    <w:rsid w:val="27AC5CEC"/>
    <w:rsid w:val="27AC5F10"/>
    <w:rsid w:val="27AE55C0"/>
    <w:rsid w:val="27D33279"/>
    <w:rsid w:val="27EA0323"/>
    <w:rsid w:val="2801432B"/>
    <w:rsid w:val="28100ED0"/>
    <w:rsid w:val="2828647E"/>
    <w:rsid w:val="28341F69"/>
    <w:rsid w:val="28444694"/>
    <w:rsid w:val="28701C0B"/>
    <w:rsid w:val="288F4569"/>
    <w:rsid w:val="28CD1A76"/>
    <w:rsid w:val="28D24146"/>
    <w:rsid w:val="28E8191E"/>
    <w:rsid w:val="291E2AE7"/>
    <w:rsid w:val="2921426B"/>
    <w:rsid w:val="29402A3F"/>
    <w:rsid w:val="294B33FB"/>
    <w:rsid w:val="296046CD"/>
    <w:rsid w:val="29604B9E"/>
    <w:rsid w:val="29611D97"/>
    <w:rsid w:val="296879F1"/>
    <w:rsid w:val="296E5E94"/>
    <w:rsid w:val="29810CA3"/>
    <w:rsid w:val="299077B6"/>
    <w:rsid w:val="299B1B74"/>
    <w:rsid w:val="299D2BE9"/>
    <w:rsid w:val="29D26E17"/>
    <w:rsid w:val="2A4F2539"/>
    <w:rsid w:val="2A5C2FB9"/>
    <w:rsid w:val="2A674427"/>
    <w:rsid w:val="2A7D7069"/>
    <w:rsid w:val="2A885A56"/>
    <w:rsid w:val="2A935D31"/>
    <w:rsid w:val="2AB0029F"/>
    <w:rsid w:val="2AB73A3B"/>
    <w:rsid w:val="2AB82A5B"/>
    <w:rsid w:val="2ADA1A0E"/>
    <w:rsid w:val="2AE46A49"/>
    <w:rsid w:val="2AF72696"/>
    <w:rsid w:val="2B1A5C1B"/>
    <w:rsid w:val="2B33475A"/>
    <w:rsid w:val="2B766569"/>
    <w:rsid w:val="2BA159C5"/>
    <w:rsid w:val="2BAD10B9"/>
    <w:rsid w:val="2BB4300F"/>
    <w:rsid w:val="2BC10E1F"/>
    <w:rsid w:val="2C02237E"/>
    <w:rsid w:val="2C0627E4"/>
    <w:rsid w:val="2C14448F"/>
    <w:rsid w:val="2C2916B9"/>
    <w:rsid w:val="2C351E0C"/>
    <w:rsid w:val="2C6B7D79"/>
    <w:rsid w:val="2C7E5BEA"/>
    <w:rsid w:val="2C806C46"/>
    <w:rsid w:val="2C850D88"/>
    <w:rsid w:val="2C87404C"/>
    <w:rsid w:val="2CAA00EB"/>
    <w:rsid w:val="2CB0732E"/>
    <w:rsid w:val="2CBF3DCB"/>
    <w:rsid w:val="2CF06633"/>
    <w:rsid w:val="2D013193"/>
    <w:rsid w:val="2D12304D"/>
    <w:rsid w:val="2D3227EF"/>
    <w:rsid w:val="2D594F9E"/>
    <w:rsid w:val="2D5B77E5"/>
    <w:rsid w:val="2D5D39A4"/>
    <w:rsid w:val="2D700E84"/>
    <w:rsid w:val="2D7C322C"/>
    <w:rsid w:val="2D99553C"/>
    <w:rsid w:val="2D9B2143"/>
    <w:rsid w:val="2DA853C9"/>
    <w:rsid w:val="2DBE7B1D"/>
    <w:rsid w:val="2DD43EE3"/>
    <w:rsid w:val="2DF93DDE"/>
    <w:rsid w:val="2E01070E"/>
    <w:rsid w:val="2E0226E0"/>
    <w:rsid w:val="2E0E0CDE"/>
    <w:rsid w:val="2E55688B"/>
    <w:rsid w:val="2E8D146B"/>
    <w:rsid w:val="2EB173DD"/>
    <w:rsid w:val="2ED81803"/>
    <w:rsid w:val="2EFA10EB"/>
    <w:rsid w:val="2F0562AC"/>
    <w:rsid w:val="2F307DD8"/>
    <w:rsid w:val="2F3747C7"/>
    <w:rsid w:val="2F38042D"/>
    <w:rsid w:val="2F6D7B0F"/>
    <w:rsid w:val="2F715851"/>
    <w:rsid w:val="2F716042"/>
    <w:rsid w:val="2F7905D8"/>
    <w:rsid w:val="2F7C1D5D"/>
    <w:rsid w:val="2F8476D6"/>
    <w:rsid w:val="2F912D37"/>
    <w:rsid w:val="2F972DDE"/>
    <w:rsid w:val="2F9A7B60"/>
    <w:rsid w:val="2FBE78D0"/>
    <w:rsid w:val="30204540"/>
    <w:rsid w:val="30281C88"/>
    <w:rsid w:val="30482662"/>
    <w:rsid w:val="307A601C"/>
    <w:rsid w:val="30A05B40"/>
    <w:rsid w:val="30C767E0"/>
    <w:rsid w:val="30CB32FB"/>
    <w:rsid w:val="30F05FA9"/>
    <w:rsid w:val="312C3C9C"/>
    <w:rsid w:val="31322DBE"/>
    <w:rsid w:val="31397784"/>
    <w:rsid w:val="319C46DB"/>
    <w:rsid w:val="31AF29FB"/>
    <w:rsid w:val="31B007D8"/>
    <w:rsid w:val="31D6711D"/>
    <w:rsid w:val="31EF2C58"/>
    <w:rsid w:val="32031D3C"/>
    <w:rsid w:val="320710EC"/>
    <w:rsid w:val="32381939"/>
    <w:rsid w:val="324042EC"/>
    <w:rsid w:val="325F30A0"/>
    <w:rsid w:val="32645854"/>
    <w:rsid w:val="3267491C"/>
    <w:rsid w:val="326C73AF"/>
    <w:rsid w:val="32845DDE"/>
    <w:rsid w:val="33047127"/>
    <w:rsid w:val="3325072D"/>
    <w:rsid w:val="333D3AEE"/>
    <w:rsid w:val="333F5C66"/>
    <w:rsid w:val="334119DE"/>
    <w:rsid w:val="3349715C"/>
    <w:rsid w:val="33520E82"/>
    <w:rsid w:val="3361798A"/>
    <w:rsid w:val="337376BE"/>
    <w:rsid w:val="3374211D"/>
    <w:rsid w:val="33DF247C"/>
    <w:rsid w:val="33EE54D5"/>
    <w:rsid w:val="33F13244"/>
    <w:rsid w:val="340F0157"/>
    <w:rsid w:val="343445BB"/>
    <w:rsid w:val="343E5F1E"/>
    <w:rsid w:val="34425A0E"/>
    <w:rsid w:val="34607C42"/>
    <w:rsid w:val="34693F09"/>
    <w:rsid w:val="346A57CF"/>
    <w:rsid w:val="346E408A"/>
    <w:rsid w:val="34A26271"/>
    <w:rsid w:val="34A6512B"/>
    <w:rsid w:val="34B463BC"/>
    <w:rsid w:val="34B94201"/>
    <w:rsid w:val="34B955A4"/>
    <w:rsid w:val="34E2595F"/>
    <w:rsid w:val="34EA56C7"/>
    <w:rsid w:val="34F30AB6"/>
    <w:rsid w:val="35047151"/>
    <w:rsid w:val="35105A4F"/>
    <w:rsid w:val="351A6043"/>
    <w:rsid w:val="353071CF"/>
    <w:rsid w:val="35501281"/>
    <w:rsid w:val="355C133F"/>
    <w:rsid w:val="35730A03"/>
    <w:rsid w:val="35975C13"/>
    <w:rsid w:val="35A46254"/>
    <w:rsid w:val="35AD5109"/>
    <w:rsid w:val="35AF5AAB"/>
    <w:rsid w:val="35C83CF1"/>
    <w:rsid w:val="35D00DF7"/>
    <w:rsid w:val="35EE3B1E"/>
    <w:rsid w:val="35EF5204"/>
    <w:rsid w:val="35F83427"/>
    <w:rsid w:val="360269EC"/>
    <w:rsid w:val="36101BD5"/>
    <w:rsid w:val="36162CAE"/>
    <w:rsid w:val="363438F4"/>
    <w:rsid w:val="3666714D"/>
    <w:rsid w:val="36957FA4"/>
    <w:rsid w:val="36E876EF"/>
    <w:rsid w:val="372E148E"/>
    <w:rsid w:val="37377E86"/>
    <w:rsid w:val="373A29CC"/>
    <w:rsid w:val="37462492"/>
    <w:rsid w:val="375A7CAE"/>
    <w:rsid w:val="379C2387"/>
    <w:rsid w:val="37A25000"/>
    <w:rsid w:val="37AC0C2C"/>
    <w:rsid w:val="37AD7F7D"/>
    <w:rsid w:val="3829714B"/>
    <w:rsid w:val="383A743E"/>
    <w:rsid w:val="38443DFC"/>
    <w:rsid w:val="384A0204"/>
    <w:rsid w:val="385E6B8E"/>
    <w:rsid w:val="38883064"/>
    <w:rsid w:val="38910B38"/>
    <w:rsid w:val="389F0980"/>
    <w:rsid w:val="38B01C5D"/>
    <w:rsid w:val="38B56F92"/>
    <w:rsid w:val="38EA70D4"/>
    <w:rsid w:val="38FF5606"/>
    <w:rsid w:val="39455658"/>
    <w:rsid w:val="395313F4"/>
    <w:rsid w:val="39571194"/>
    <w:rsid w:val="395D0B68"/>
    <w:rsid w:val="396B1E16"/>
    <w:rsid w:val="398829BE"/>
    <w:rsid w:val="39A64471"/>
    <w:rsid w:val="39AD1085"/>
    <w:rsid w:val="39E91BA4"/>
    <w:rsid w:val="39FE24DC"/>
    <w:rsid w:val="3A0339D0"/>
    <w:rsid w:val="3A233BEC"/>
    <w:rsid w:val="3A2705A1"/>
    <w:rsid w:val="3A5B70B1"/>
    <w:rsid w:val="3A696BE8"/>
    <w:rsid w:val="3A710A6D"/>
    <w:rsid w:val="3A7254FB"/>
    <w:rsid w:val="3A8521B0"/>
    <w:rsid w:val="3A873793"/>
    <w:rsid w:val="3AA16444"/>
    <w:rsid w:val="3AA811CB"/>
    <w:rsid w:val="3AD64BEA"/>
    <w:rsid w:val="3AE74832"/>
    <w:rsid w:val="3B0A066E"/>
    <w:rsid w:val="3B3237CF"/>
    <w:rsid w:val="3B7423AC"/>
    <w:rsid w:val="3B760059"/>
    <w:rsid w:val="3BBA40DC"/>
    <w:rsid w:val="3BBE174D"/>
    <w:rsid w:val="3BC47EE7"/>
    <w:rsid w:val="3BE71216"/>
    <w:rsid w:val="3BF07952"/>
    <w:rsid w:val="3BF92411"/>
    <w:rsid w:val="3C1C30D6"/>
    <w:rsid w:val="3C40441C"/>
    <w:rsid w:val="3C504ED6"/>
    <w:rsid w:val="3CC549B2"/>
    <w:rsid w:val="3CF7D354"/>
    <w:rsid w:val="3CFE3E64"/>
    <w:rsid w:val="3D0D60B6"/>
    <w:rsid w:val="3D162D45"/>
    <w:rsid w:val="3D281EC8"/>
    <w:rsid w:val="3D2B2B8C"/>
    <w:rsid w:val="3D3213E4"/>
    <w:rsid w:val="3D675DC6"/>
    <w:rsid w:val="3D962926"/>
    <w:rsid w:val="3DAD16BA"/>
    <w:rsid w:val="3DB77C3B"/>
    <w:rsid w:val="3DCC5FDE"/>
    <w:rsid w:val="3DD50AFB"/>
    <w:rsid w:val="3DE73182"/>
    <w:rsid w:val="3E0A303B"/>
    <w:rsid w:val="3E1E4E42"/>
    <w:rsid w:val="3E2E0A46"/>
    <w:rsid w:val="3E3A5ABC"/>
    <w:rsid w:val="3E3C58F2"/>
    <w:rsid w:val="3E427BA2"/>
    <w:rsid w:val="3E6B33DD"/>
    <w:rsid w:val="3E706C08"/>
    <w:rsid w:val="3E767383"/>
    <w:rsid w:val="3E8A52D4"/>
    <w:rsid w:val="3E9F7F61"/>
    <w:rsid w:val="3EA412D0"/>
    <w:rsid w:val="3EAF4651"/>
    <w:rsid w:val="3EB05805"/>
    <w:rsid w:val="3ED2798E"/>
    <w:rsid w:val="3ED32447"/>
    <w:rsid w:val="3ED41958"/>
    <w:rsid w:val="3EE651E8"/>
    <w:rsid w:val="3EE73304"/>
    <w:rsid w:val="3F0F2990"/>
    <w:rsid w:val="3F1D32FF"/>
    <w:rsid w:val="3F252D85"/>
    <w:rsid w:val="3F2E001B"/>
    <w:rsid w:val="3F52089A"/>
    <w:rsid w:val="3F6760B2"/>
    <w:rsid w:val="3F924009"/>
    <w:rsid w:val="3FB2485B"/>
    <w:rsid w:val="3FD339BE"/>
    <w:rsid w:val="3FF0C5F0"/>
    <w:rsid w:val="40010227"/>
    <w:rsid w:val="401A0D8A"/>
    <w:rsid w:val="401A675E"/>
    <w:rsid w:val="40297A82"/>
    <w:rsid w:val="40316936"/>
    <w:rsid w:val="40380CF2"/>
    <w:rsid w:val="403A795B"/>
    <w:rsid w:val="40416B7A"/>
    <w:rsid w:val="405975F3"/>
    <w:rsid w:val="40640ABA"/>
    <w:rsid w:val="40694322"/>
    <w:rsid w:val="40771177"/>
    <w:rsid w:val="40A63F0F"/>
    <w:rsid w:val="40B27FF8"/>
    <w:rsid w:val="410A4A33"/>
    <w:rsid w:val="41100CA0"/>
    <w:rsid w:val="411173AA"/>
    <w:rsid w:val="41393CF5"/>
    <w:rsid w:val="41581E77"/>
    <w:rsid w:val="41847666"/>
    <w:rsid w:val="41CE268F"/>
    <w:rsid w:val="41ED38E9"/>
    <w:rsid w:val="4206433C"/>
    <w:rsid w:val="421A4B61"/>
    <w:rsid w:val="42683077"/>
    <w:rsid w:val="42770885"/>
    <w:rsid w:val="42894808"/>
    <w:rsid w:val="429658F0"/>
    <w:rsid w:val="429926BE"/>
    <w:rsid w:val="42E91FDB"/>
    <w:rsid w:val="43203C12"/>
    <w:rsid w:val="432A0EB2"/>
    <w:rsid w:val="434F4E60"/>
    <w:rsid w:val="435A7AA0"/>
    <w:rsid w:val="435C492E"/>
    <w:rsid w:val="436B2830"/>
    <w:rsid w:val="43B11758"/>
    <w:rsid w:val="43D81DF9"/>
    <w:rsid w:val="43E360E1"/>
    <w:rsid w:val="440D1EAD"/>
    <w:rsid w:val="440D6593"/>
    <w:rsid w:val="441B20B5"/>
    <w:rsid w:val="44366C11"/>
    <w:rsid w:val="446479C9"/>
    <w:rsid w:val="44890AEF"/>
    <w:rsid w:val="449400FA"/>
    <w:rsid w:val="44A55215"/>
    <w:rsid w:val="44B50B65"/>
    <w:rsid w:val="44BF09B5"/>
    <w:rsid w:val="44BF417E"/>
    <w:rsid w:val="44E20BAD"/>
    <w:rsid w:val="450F4D8A"/>
    <w:rsid w:val="45116CEE"/>
    <w:rsid w:val="456A2EB2"/>
    <w:rsid w:val="457C53C2"/>
    <w:rsid w:val="4591040A"/>
    <w:rsid w:val="45967968"/>
    <w:rsid w:val="45D71D2E"/>
    <w:rsid w:val="461C75ED"/>
    <w:rsid w:val="463C0253"/>
    <w:rsid w:val="4655719D"/>
    <w:rsid w:val="466427B7"/>
    <w:rsid w:val="46A0540C"/>
    <w:rsid w:val="46A56D72"/>
    <w:rsid w:val="46D10DCA"/>
    <w:rsid w:val="46F76745"/>
    <w:rsid w:val="47062619"/>
    <w:rsid w:val="470C52F4"/>
    <w:rsid w:val="471C726A"/>
    <w:rsid w:val="47743083"/>
    <w:rsid w:val="477660CB"/>
    <w:rsid w:val="477A6AEF"/>
    <w:rsid w:val="47916B11"/>
    <w:rsid w:val="47A218BB"/>
    <w:rsid w:val="47FD2781"/>
    <w:rsid w:val="47FE0532"/>
    <w:rsid w:val="47FE17F4"/>
    <w:rsid w:val="48071448"/>
    <w:rsid w:val="480732DE"/>
    <w:rsid w:val="480A1F47"/>
    <w:rsid w:val="481501F8"/>
    <w:rsid w:val="481E0468"/>
    <w:rsid w:val="48204014"/>
    <w:rsid w:val="482761DD"/>
    <w:rsid w:val="483900A7"/>
    <w:rsid w:val="484C163E"/>
    <w:rsid w:val="485963A8"/>
    <w:rsid w:val="48671252"/>
    <w:rsid w:val="48695FE9"/>
    <w:rsid w:val="48743864"/>
    <w:rsid w:val="487C3758"/>
    <w:rsid w:val="488F6F88"/>
    <w:rsid w:val="48AA54D8"/>
    <w:rsid w:val="48FD1D08"/>
    <w:rsid w:val="4909363D"/>
    <w:rsid w:val="49290AF3"/>
    <w:rsid w:val="492A6EC0"/>
    <w:rsid w:val="49410853"/>
    <w:rsid w:val="49450A41"/>
    <w:rsid w:val="494A7B12"/>
    <w:rsid w:val="495C6F05"/>
    <w:rsid w:val="497610FD"/>
    <w:rsid w:val="497E0A06"/>
    <w:rsid w:val="49851442"/>
    <w:rsid w:val="499C5935"/>
    <w:rsid w:val="49A632F3"/>
    <w:rsid w:val="49AC57B5"/>
    <w:rsid w:val="49B61942"/>
    <w:rsid w:val="49D02721"/>
    <w:rsid w:val="49D37C56"/>
    <w:rsid w:val="4A064B19"/>
    <w:rsid w:val="4A123335"/>
    <w:rsid w:val="4A492351"/>
    <w:rsid w:val="4A646B66"/>
    <w:rsid w:val="4A8C5F7D"/>
    <w:rsid w:val="4ABE303F"/>
    <w:rsid w:val="4AD82813"/>
    <w:rsid w:val="4AD8457E"/>
    <w:rsid w:val="4AF17CC0"/>
    <w:rsid w:val="4AF40C8C"/>
    <w:rsid w:val="4B0A19F1"/>
    <w:rsid w:val="4B0A4C46"/>
    <w:rsid w:val="4B0C7CA6"/>
    <w:rsid w:val="4B1D3AD6"/>
    <w:rsid w:val="4B3E66D0"/>
    <w:rsid w:val="4B524B95"/>
    <w:rsid w:val="4BAD1567"/>
    <w:rsid w:val="4BB375DD"/>
    <w:rsid w:val="4BBE6A70"/>
    <w:rsid w:val="4BBF3681"/>
    <w:rsid w:val="4BFF6209"/>
    <w:rsid w:val="4C0118B3"/>
    <w:rsid w:val="4C343841"/>
    <w:rsid w:val="4C3F4944"/>
    <w:rsid w:val="4C4B52F4"/>
    <w:rsid w:val="4C4D3BAA"/>
    <w:rsid w:val="4C72111F"/>
    <w:rsid w:val="4C8C5620"/>
    <w:rsid w:val="4CAA5B12"/>
    <w:rsid w:val="4CB00FD8"/>
    <w:rsid w:val="4CB45878"/>
    <w:rsid w:val="4CD77387"/>
    <w:rsid w:val="4CF15EA5"/>
    <w:rsid w:val="4D280D19"/>
    <w:rsid w:val="4D884537"/>
    <w:rsid w:val="4DA5476E"/>
    <w:rsid w:val="4DAE0FB6"/>
    <w:rsid w:val="4DCE1C69"/>
    <w:rsid w:val="4E031912"/>
    <w:rsid w:val="4E634E82"/>
    <w:rsid w:val="4E6B144B"/>
    <w:rsid w:val="4EB97C5C"/>
    <w:rsid w:val="4EC36824"/>
    <w:rsid w:val="4EC531EF"/>
    <w:rsid w:val="4ECD0381"/>
    <w:rsid w:val="4ECD5AF8"/>
    <w:rsid w:val="4EEA457E"/>
    <w:rsid w:val="4EFE7BDF"/>
    <w:rsid w:val="4F0C38A5"/>
    <w:rsid w:val="4F1C3164"/>
    <w:rsid w:val="4F227917"/>
    <w:rsid w:val="4F5D32A4"/>
    <w:rsid w:val="4F61287E"/>
    <w:rsid w:val="4F67773A"/>
    <w:rsid w:val="4F7B7DFC"/>
    <w:rsid w:val="4FA82692"/>
    <w:rsid w:val="4FAA574F"/>
    <w:rsid w:val="500D52C3"/>
    <w:rsid w:val="500F69BB"/>
    <w:rsid w:val="502542DA"/>
    <w:rsid w:val="502A7CEF"/>
    <w:rsid w:val="503365DA"/>
    <w:rsid w:val="50467DF8"/>
    <w:rsid w:val="504D50C7"/>
    <w:rsid w:val="50557FF7"/>
    <w:rsid w:val="505A5B85"/>
    <w:rsid w:val="50903563"/>
    <w:rsid w:val="50C854B3"/>
    <w:rsid w:val="50E2295D"/>
    <w:rsid w:val="50EA09A8"/>
    <w:rsid w:val="50EC48E0"/>
    <w:rsid w:val="50FD7827"/>
    <w:rsid w:val="51017205"/>
    <w:rsid w:val="510C4347"/>
    <w:rsid w:val="511D56D0"/>
    <w:rsid w:val="51275918"/>
    <w:rsid w:val="5138767D"/>
    <w:rsid w:val="514477A1"/>
    <w:rsid w:val="51516BF1"/>
    <w:rsid w:val="515E513F"/>
    <w:rsid w:val="516238E9"/>
    <w:rsid w:val="51653A78"/>
    <w:rsid w:val="51675ADE"/>
    <w:rsid w:val="516F16A8"/>
    <w:rsid w:val="51B1555C"/>
    <w:rsid w:val="51D862A4"/>
    <w:rsid w:val="51E66A28"/>
    <w:rsid w:val="52173BDE"/>
    <w:rsid w:val="5239284C"/>
    <w:rsid w:val="5247586A"/>
    <w:rsid w:val="5271389B"/>
    <w:rsid w:val="52775B69"/>
    <w:rsid w:val="52927EBD"/>
    <w:rsid w:val="52953DA4"/>
    <w:rsid w:val="52C11D9C"/>
    <w:rsid w:val="52DA7128"/>
    <w:rsid w:val="52DE4138"/>
    <w:rsid w:val="531B2907"/>
    <w:rsid w:val="532A2228"/>
    <w:rsid w:val="535320ED"/>
    <w:rsid w:val="5371289D"/>
    <w:rsid w:val="537B1BCB"/>
    <w:rsid w:val="53986FA1"/>
    <w:rsid w:val="53DE6D19"/>
    <w:rsid w:val="53F61DBC"/>
    <w:rsid w:val="53F97A84"/>
    <w:rsid w:val="540235C5"/>
    <w:rsid w:val="54036473"/>
    <w:rsid w:val="540A5C84"/>
    <w:rsid w:val="540E63A1"/>
    <w:rsid w:val="54572372"/>
    <w:rsid w:val="549C03CB"/>
    <w:rsid w:val="54A0116D"/>
    <w:rsid w:val="54B501BD"/>
    <w:rsid w:val="550F3BDA"/>
    <w:rsid w:val="55124B31"/>
    <w:rsid w:val="556128E7"/>
    <w:rsid w:val="557A38E3"/>
    <w:rsid w:val="55B92A60"/>
    <w:rsid w:val="55F81F79"/>
    <w:rsid w:val="55FE354A"/>
    <w:rsid w:val="56135319"/>
    <w:rsid w:val="561540AA"/>
    <w:rsid w:val="56186177"/>
    <w:rsid w:val="562468CA"/>
    <w:rsid w:val="562C2D76"/>
    <w:rsid w:val="56464A92"/>
    <w:rsid w:val="566B62A7"/>
    <w:rsid w:val="567B624D"/>
    <w:rsid w:val="56821074"/>
    <w:rsid w:val="56A2695E"/>
    <w:rsid w:val="56AE72EE"/>
    <w:rsid w:val="56B06D7D"/>
    <w:rsid w:val="56B60E60"/>
    <w:rsid w:val="56C90818"/>
    <w:rsid w:val="56E62C85"/>
    <w:rsid w:val="56EF5522"/>
    <w:rsid w:val="571C5FED"/>
    <w:rsid w:val="57202AA2"/>
    <w:rsid w:val="572809B6"/>
    <w:rsid w:val="574B7E86"/>
    <w:rsid w:val="57591CFE"/>
    <w:rsid w:val="57762675"/>
    <w:rsid w:val="57910C04"/>
    <w:rsid w:val="57A77A6C"/>
    <w:rsid w:val="57BB1377"/>
    <w:rsid w:val="57C64F5B"/>
    <w:rsid w:val="57C849C4"/>
    <w:rsid w:val="57CC77E6"/>
    <w:rsid w:val="57F75929"/>
    <w:rsid w:val="57FE70F9"/>
    <w:rsid w:val="580521C8"/>
    <w:rsid w:val="580653C7"/>
    <w:rsid w:val="584855C9"/>
    <w:rsid w:val="584D51F2"/>
    <w:rsid w:val="586A1A57"/>
    <w:rsid w:val="586A3B2C"/>
    <w:rsid w:val="58845D45"/>
    <w:rsid w:val="58886F88"/>
    <w:rsid w:val="58A81644"/>
    <w:rsid w:val="58AE76F6"/>
    <w:rsid w:val="58DC5F90"/>
    <w:rsid w:val="58F72EC7"/>
    <w:rsid w:val="58FE6D95"/>
    <w:rsid w:val="591802DE"/>
    <w:rsid w:val="59180DE0"/>
    <w:rsid w:val="592E77F7"/>
    <w:rsid w:val="593908DE"/>
    <w:rsid w:val="595E65AD"/>
    <w:rsid w:val="598A2EE8"/>
    <w:rsid w:val="59A5436A"/>
    <w:rsid w:val="59AF4BCB"/>
    <w:rsid w:val="59B31790"/>
    <w:rsid w:val="59CC667E"/>
    <w:rsid w:val="59D23350"/>
    <w:rsid w:val="59DC02C3"/>
    <w:rsid w:val="5A0A7157"/>
    <w:rsid w:val="5A2040CD"/>
    <w:rsid w:val="5A21548F"/>
    <w:rsid w:val="5A3617C7"/>
    <w:rsid w:val="5A5149F9"/>
    <w:rsid w:val="5A874B8D"/>
    <w:rsid w:val="5AC362EC"/>
    <w:rsid w:val="5AC466B3"/>
    <w:rsid w:val="5AE876A9"/>
    <w:rsid w:val="5B2766E1"/>
    <w:rsid w:val="5B3D63BA"/>
    <w:rsid w:val="5B743E4F"/>
    <w:rsid w:val="5B7E1A86"/>
    <w:rsid w:val="5B80606F"/>
    <w:rsid w:val="5B8147BE"/>
    <w:rsid w:val="5B8D59B9"/>
    <w:rsid w:val="5B8E27A1"/>
    <w:rsid w:val="5B954F02"/>
    <w:rsid w:val="5B991B08"/>
    <w:rsid w:val="5B9C1D95"/>
    <w:rsid w:val="5BCB6EB5"/>
    <w:rsid w:val="5BDD3BC6"/>
    <w:rsid w:val="5C323E85"/>
    <w:rsid w:val="5C395701"/>
    <w:rsid w:val="5C3C314C"/>
    <w:rsid w:val="5C3F445D"/>
    <w:rsid w:val="5C473233"/>
    <w:rsid w:val="5C741D5A"/>
    <w:rsid w:val="5C986D8B"/>
    <w:rsid w:val="5CA17A28"/>
    <w:rsid w:val="5CC77176"/>
    <w:rsid w:val="5D054418"/>
    <w:rsid w:val="5D0A2A1B"/>
    <w:rsid w:val="5D2C42B6"/>
    <w:rsid w:val="5D32166B"/>
    <w:rsid w:val="5D3F0F58"/>
    <w:rsid w:val="5D6C7BC2"/>
    <w:rsid w:val="5D8265BE"/>
    <w:rsid w:val="5D9C51D6"/>
    <w:rsid w:val="5DA73589"/>
    <w:rsid w:val="5DA963BB"/>
    <w:rsid w:val="5DB02585"/>
    <w:rsid w:val="5DB1365C"/>
    <w:rsid w:val="5DBD5B7D"/>
    <w:rsid w:val="5DBE6189"/>
    <w:rsid w:val="5E3D78A1"/>
    <w:rsid w:val="5E53564E"/>
    <w:rsid w:val="5E573605"/>
    <w:rsid w:val="5E675658"/>
    <w:rsid w:val="5E867E4E"/>
    <w:rsid w:val="5E9828A0"/>
    <w:rsid w:val="5EA42C9D"/>
    <w:rsid w:val="5EA60EB9"/>
    <w:rsid w:val="5EB405CE"/>
    <w:rsid w:val="5ED13367"/>
    <w:rsid w:val="5EDF5F2D"/>
    <w:rsid w:val="5F0C25F1"/>
    <w:rsid w:val="5F2D6E5A"/>
    <w:rsid w:val="5F35198B"/>
    <w:rsid w:val="5F776DCD"/>
    <w:rsid w:val="5F7E529D"/>
    <w:rsid w:val="5F8959EF"/>
    <w:rsid w:val="5F98725C"/>
    <w:rsid w:val="5F9A3369"/>
    <w:rsid w:val="5FC42B81"/>
    <w:rsid w:val="5FCD1E6B"/>
    <w:rsid w:val="5FD62369"/>
    <w:rsid w:val="60115C72"/>
    <w:rsid w:val="60825B34"/>
    <w:rsid w:val="60A93BB5"/>
    <w:rsid w:val="60AB7B52"/>
    <w:rsid w:val="60C50CA9"/>
    <w:rsid w:val="60FD2147"/>
    <w:rsid w:val="61047990"/>
    <w:rsid w:val="610C731A"/>
    <w:rsid w:val="613B7151"/>
    <w:rsid w:val="61532CF6"/>
    <w:rsid w:val="616E7593"/>
    <w:rsid w:val="617F102D"/>
    <w:rsid w:val="61903CAA"/>
    <w:rsid w:val="61AA4A49"/>
    <w:rsid w:val="61BE7AEB"/>
    <w:rsid w:val="61CB310F"/>
    <w:rsid w:val="61DF5064"/>
    <w:rsid w:val="61E15E97"/>
    <w:rsid w:val="621009DD"/>
    <w:rsid w:val="621C2B4B"/>
    <w:rsid w:val="623B64E6"/>
    <w:rsid w:val="623F2656"/>
    <w:rsid w:val="624F1172"/>
    <w:rsid w:val="62742987"/>
    <w:rsid w:val="627A1B91"/>
    <w:rsid w:val="627E2A2E"/>
    <w:rsid w:val="62997217"/>
    <w:rsid w:val="62A274F4"/>
    <w:rsid w:val="62AE2A2A"/>
    <w:rsid w:val="62B760F4"/>
    <w:rsid w:val="62D75AF8"/>
    <w:rsid w:val="62D97B6C"/>
    <w:rsid w:val="62E91920"/>
    <w:rsid w:val="63187519"/>
    <w:rsid w:val="633E6281"/>
    <w:rsid w:val="63662255"/>
    <w:rsid w:val="63786AA3"/>
    <w:rsid w:val="63920EDA"/>
    <w:rsid w:val="63B77CEA"/>
    <w:rsid w:val="63B92EE5"/>
    <w:rsid w:val="63C52A59"/>
    <w:rsid w:val="63D74F7B"/>
    <w:rsid w:val="63F58A11"/>
    <w:rsid w:val="63F93517"/>
    <w:rsid w:val="64014006"/>
    <w:rsid w:val="640774E2"/>
    <w:rsid w:val="64160E8E"/>
    <w:rsid w:val="642F5001"/>
    <w:rsid w:val="64656A2B"/>
    <w:rsid w:val="647924D6"/>
    <w:rsid w:val="64A008B1"/>
    <w:rsid w:val="64A30025"/>
    <w:rsid w:val="64DE6705"/>
    <w:rsid w:val="64E168BE"/>
    <w:rsid w:val="650E2619"/>
    <w:rsid w:val="652634A0"/>
    <w:rsid w:val="6558407C"/>
    <w:rsid w:val="656E190F"/>
    <w:rsid w:val="65905F2A"/>
    <w:rsid w:val="659F5D29"/>
    <w:rsid w:val="65A74DE2"/>
    <w:rsid w:val="65B975D9"/>
    <w:rsid w:val="65CC686D"/>
    <w:rsid w:val="65D379C4"/>
    <w:rsid w:val="65D8613A"/>
    <w:rsid w:val="661F2C0A"/>
    <w:rsid w:val="66345205"/>
    <w:rsid w:val="664F7AE6"/>
    <w:rsid w:val="66697893"/>
    <w:rsid w:val="666E1440"/>
    <w:rsid w:val="66B33AA8"/>
    <w:rsid w:val="66F95D5F"/>
    <w:rsid w:val="6731535F"/>
    <w:rsid w:val="674F47D2"/>
    <w:rsid w:val="676D2BA0"/>
    <w:rsid w:val="677E1BB2"/>
    <w:rsid w:val="67803BCF"/>
    <w:rsid w:val="67920832"/>
    <w:rsid w:val="67BD6443"/>
    <w:rsid w:val="67D55C76"/>
    <w:rsid w:val="67E82E5E"/>
    <w:rsid w:val="68275CED"/>
    <w:rsid w:val="683F3A37"/>
    <w:rsid w:val="68753642"/>
    <w:rsid w:val="68825AA7"/>
    <w:rsid w:val="688356D2"/>
    <w:rsid w:val="688F1B0F"/>
    <w:rsid w:val="68A622BF"/>
    <w:rsid w:val="68B56396"/>
    <w:rsid w:val="68B91BF2"/>
    <w:rsid w:val="690600B1"/>
    <w:rsid w:val="692844CB"/>
    <w:rsid w:val="6929221D"/>
    <w:rsid w:val="693B24AA"/>
    <w:rsid w:val="693F2021"/>
    <w:rsid w:val="697015AC"/>
    <w:rsid w:val="69961435"/>
    <w:rsid w:val="69967687"/>
    <w:rsid w:val="69B06E35"/>
    <w:rsid w:val="6A1D59E6"/>
    <w:rsid w:val="6A6A1D50"/>
    <w:rsid w:val="6A763BAE"/>
    <w:rsid w:val="6A8055E2"/>
    <w:rsid w:val="6AC3027B"/>
    <w:rsid w:val="6B013AC4"/>
    <w:rsid w:val="6B022B20"/>
    <w:rsid w:val="6B0B2C71"/>
    <w:rsid w:val="6B0D1E4C"/>
    <w:rsid w:val="6B264A3A"/>
    <w:rsid w:val="6B3F6F74"/>
    <w:rsid w:val="6B514FD4"/>
    <w:rsid w:val="6B5D73DB"/>
    <w:rsid w:val="6B8A0C2F"/>
    <w:rsid w:val="6BA74108"/>
    <w:rsid w:val="6BA932CC"/>
    <w:rsid w:val="6BAA3BFF"/>
    <w:rsid w:val="6BB81B36"/>
    <w:rsid w:val="6BC631B0"/>
    <w:rsid w:val="6C0B7C76"/>
    <w:rsid w:val="6C0C1E82"/>
    <w:rsid w:val="6C263EF0"/>
    <w:rsid w:val="6C5042C3"/>
    <w:rsid w:val="6C5B54D6"/>
    <w:rsid w:val="6C657755"/>
    <w:rsid w:val="6C830095"/>
    <w:rsid w:val="6C9F6852"/>
    <w:rsid w:val="6CA709F1"/>
    <w:rsid w:val="6CB6422F"/>
    <w:rsid w:val="6CCD33BF"/>
    <w:rsid w:val="6CDD5062"/>
    <w:rsid w:val="6CE53565"/>
    <w:rsid w:val="6CF13C81"/>
    <w:rsid w:val="6CFB40CE"/>
    <w:rsid w:val="6CFD81DF"/>
    <w:rsid w:val="6D055E2C"/>
    <w:rsid w:val="6D360C7F"/>
    <w:rsid w:val="6D404378"/>
    <w:rsid w:val="6D7A0F67"/>
    <w:rsid w:val="6D820AE9"/>
    <w:rsid w:val="6DB200D0"/>
    <w:rsid w:val="6DE069E4"/>
    <w:rsid w:val="6DEA4604"/>
    <w:rsid w:val="6DFB7BC5"/>
    <w:rsid w:val="6E677F64"/>
    <w:rsid w:val="6E7212BD"/>
    <w:rsid w:val="6EA625E5"/>
    <w:rsid w:val="6EB61B0C"/>
    <w:rsid w:val="6EB94CA1"/>
    <w:rsid w:val="6EBA54C6"/>
    <w:rsid w:val="6EBE0E1B"/>
    <w:rsid w:val="6EE07AA3"/>
    <w:rsid w:val="6EEB8E5F"/>
    <w:rsid w:val="6F062841"/>
    <w:rsid w:val="6F20011E"/>
    <w:rsid w:val="6F2F1C60"/>
    <w:rsid w:val="6F52439E"/>
    <w:rsid w:val="6F541B76"/>
    <w:rsid w:val="6F806DDA"/>
    <w:rsid w:val="6F887A72"/>
    <w:rsid w:val="6F887B94"/>
    <w:rsid w:val="6F8F7052"/>
    <w:rsid w:val="6FA535AD"/>
    <w:rsid w:val="6FDC60D0"/>
    <w:rsid w:val="6FF671C3"/>
    <w:rsid w:val="6FFA62C5"/>
    <w:rsid w:val="7009145B"/>
    <w:rsid w:val="7023229D"/>
    <w:rsid w:val="702707C6"/>
    <w:rsid w:val="70351AE0"/>
    <w:rsid w:val="7048478E"/>
    <w:rsid w:val="70581A5F"/>
    <w:rsid w:val="708C17E3"/>
    <w:rsid w:val="709435AA"/>
    <w:rsid w:val="70B84AEA"/>
    <w:rsid w:val="70BA73D6"/>
    <w:rsid w:val="70D171F6"/>
    <w:rsid w:val="70DC1E23"/>
    <w:rsid w:val="70E26A54"/>
    <w:rsid w:val="71033031"/>
    <w:rsid w:val="71233EF6"/>
    <w:rsid w:val="71384F8A"/>
    <w:rsid w:val="715D620A"/>
    <w:rsid w:val="71A96202"/>
    <w:rsid w:val="72332C97"/>
    <w:rsid w:val="723B658D"/>
    <w:rsid w:val="724610A5"/>
    <w:rsid w:val="727A76BE"/>
    <w:rsid w:val="72945F4F"/>
    <w:rsid w:val="72AB7696"/>
    <w:rsid w:val="72BF37AA"/>
    <w:rsid w:val="72CB0075"/>
    <w:rsid w:val="72F8215D"/>
    <w:rsid w:val="7306587D"/>
    <w:rsid w:val="738227C0"/>
    <w:rsid w:val="73836C60"/>
    <w:rsid w:val="73A330CC"/>
    <w:rsid w:val="73B05A03"/>
    <w:rsid w:val="73B928EF"/>
    <w:rsid w:val="73CB43D1"/>
    <w:rsid w:val="73E13BF4"/>
    <w:rsid w:val="73E75E56"/>
    <w:rsid w:val="741E2986"/>
    <w:rsid w:val="74212644"/>
    <w:rsid w:val="742C0C8D"/>
    <w:rsid w:val="74923DE0"/>
    <w:rsid w:val="74DF5BAC"/>
    <w:rsid w:val="74F31AEB"/>
    <w:rsid w:val="75100FAB"/>
    <w:rsid w:val="75251A1D"/>
    <w:rsid w:val="754B5E50"/>
    <w:rsid w:val="757A60AE"/>
    <w:rsid w:val="757C5983"/>
    <w:rsid w:val="758D193E"/>
    <w:rsid w:val="75AF517F"/>
    <w:rsid w:val="75E72B9D"/>
    <w:rsid w:val="75EE009F"/>
    <w:rsid w:val="76074E01"/>
    <w:rsid w:val="76132F33"/>
    <w:rsid w:val="761B4486"/>
    <w:rsid w:val="763A3001"/>
    <w:rsid w:val="767D7C04"/>
    <w:rsid w:val="768E6BF4"/>
    <w:rsid w:val="768F7E91"/>
    <w:rsid w:val="769C6AE5"/>
    <w:rsid w:val="769E3900"/>
    <w:rsid w:val="76A55630"/>
    <w:rsid w:val="76EA227A"/>
    <w:rsid w:val="76EC115C"/>
    <w:rsid w:val="772462D2"/>
    <w:rsid w:val="772E4ACD"/>
    <w:rsid w:val="773B415B"/>
    <w:rsid w:val="77562203"/>
    <w:rsid w:val="775B5161"/>
    <w:rsid w:val="776970C2"/>
    <w:rsid w:val="77C11D73"/>
    <w:rsid w:val="77F7692C"/>
    <w:rsid w:val="781A7BBF"/>
    <w:rsid w:val="782402BA"/>
    <w:rsid w:val="784851FE"/>
    <w:rsid w:val="784B53AE"/>
    <w:rsid w:val="7879264D"/>
    <w:rsid w:val="789B7D2E"/>
    <w:rsid w:val="78A4393C"/>
    <w:rsid w:val="78BB2421"/>
    <w:rsid w:val="78D22B0A"/>
    <w:rsid w:val="78D611BE"/>
    <w:rsid w:val="78DB3308"/>
    <w:rsid w:val="791D02FC"/>
    <w:rsid w:val="792A2B93"/>
    <w:rsid w:val="79507852"/>
    <w:rsid w:val="7953611A"/>
    <w:rsid w:val="79627796"/>
    <w:rsid w:val="796763BB"/>
    <w:rsid w:val="798B4C4F"/>
    <w:rsid w:val="79AB2CDA"/>
    <w:rsid w:val="7A0A6CBA"/>
    <w:rsid w:val="7A2C50FB"/>
    <w:rsid w:val="7A545D27"/>
    <w:rsid w:val="7A557EAD"/>
    <w:rsid w:val="7A8D11E4"/>
    <w:rsid w:val="7A8E0D91"/>
    <w:rsid w:val="7AA949B4"/>
    <w:rsid w:val="7AC67C05"/>
    <w:rsid w:val="7AEA7832"/>
    <w:rsid w:val="7B0302AC"/>
    <w:rsid w:val="7B081318"/>
    <w:rsid w:val="7B105150"/>
    <w:rsid w:val="7B1D3764"/>
    <w:rsid w:val="7B3E77D2"/>
    <w:rsid w:val="7B523868"/>
    <w:rsid w:val="7B5800FE"/>
    <w:rsid w:val="7B8B02EE"/>
    <w:rsid w:val="7B91477D"/>
    <w:rsid w:val="7BA5080C"/>
    <w:rsid w:val="7BA674A3"/>
    <w:rsid w:val="7BB726C2"/>
    <w:rsid w:val="7BCE7867"/>
    <w:rsid w:val="7BD54882"/>
    <w:rsid w:val="7BD65C61"/>
    <w:rsid w:val="7BEE4F06"/>
    <w:rsid w:val="7C1423E9"/>
    <w:rsid w:val="7C443F36"/>
    <w:rsid w:val="7C462ADF"/>
    <w:rsid w:val="7C6333F8"/>
    <w:rsid w:val="7C782AAC"/>
    <w:rsid w:val="7C813749"/>
    <w:rsid w:val="7C827D17"/>
    <w:rsid w:val="7CDB3D33"/>
    <w:rsid w:val="7CFF3EE4"/>
    <w:rsid w:val="7D037479"/>
    <w:rsid w:val="7D1739BB"/>
    <w:rsid w:val="7D1F2F41"/>
    <w:rsid w:val="7D2D4F87"/>
    <w:rsid w:val="7D2E5B01"/>
    <w:rsid w:val="7D492911"/>
    <w:rsid w:val="7D4F793D"/>
    <w:rsid w:val="7D5D30A9"/>
    <w:rsid w:val="7D6060A3"/>
    <w:rsid w:val="7D606518"/>
    <w:rsid w:val="7D6F731B"/>
    <w:rsid w:val="7D796C4C"/>
    <w:rsid w:val="7DA85D0F"/>
    <w:rsid w:val="7DA87CB9"/>
    <w:rsid w:val="7DC9F78F"/>
    <w:rsid w:val="7DE02B83"/>
    <w:rsid w:val="7DF198A7"/>
    <w:rsid w:val="7DF62846"/>
    <w:rsid w:val="7DF63C7C"/>
    <w:rsid w:val="7E0155BF"/>
    <w:rsid w:val="7E10135E"/>
    <w:rsid w:val="7E303B61"/>
    <w:rsid w:val="7E5216DD"/>
    <w:rsid w:val="7E6416AA"/>
    <w:rsid w:val="7E795155"/>
    <w:rsid w:val="7E7D6F46"/>
    <w:rsid w:val="7E9176B2"/>
    <w:rsid w:val="7E9E0514"/>
    <w:rsid w:val="7EA01D85"/>
    <w:rsid w:val="7EC02B3B"/>
    <w:rsid w:val="7EC91566"/>
    <w:rsid w:val="7EF936FE"/>
    <w:rsid w:val="7EFD2FAE"/>
    <w:rsid w:val="7F397B88"/>
    <w:rsid w:val="7F564788"/>
    <w:rsid w:val="7F8054B6"/>
    <w:rsid w:val="7F893483"/>
    <w:rsid w:val="7F9E2695"/>
    <w:rsid w:val="7FA4064B"/>
    <w:rsid w:val="7FB4040F"/>
    <w:rsid w:val="7FD1465F"/>
    <w:rsid w:val="7FEB4820"/>
    <w:rsid w:val="7FEDFBC4"/>
    <w:rsid w:val="9D9F2B6B"/>
    <w:rsid w:val="9FFE8308"/>
    <w:rsid w:val="ABFB51A7"/>
    <w:rsid w:val="BFAC6943"/>
    <w:rsid w:val="BFF63921"/>
    <w:rsid w:val="BFFC3320"/>
    <w:rsid w:val="DBFF4A31"/>
    <w:rsid w:val="DCF7EC0B"/>
    <w:rsid w:val="DD9E049B"/>
    <w:rsid w:val="DEFBF979"/>
    <w:rsid w:val="DFBD8081"/>
    <w:rsid w:val="EDB6753C"/>
    <w:rsid w:val="EDFE6C4E"/>
    <w:rsid w:val="EFCFD539"/>
    <w:rsid w:val="F7DF7AB4"/>
    <w:rsid w:val="F7FD133C"/>
    <w:rsid w:val="FBECA098"/>
    <w:rsid w:val="FDF5B560"/>
    <w:rsid w:val="FF2F05A9"/>
    <w:rsid w:val="FFCB0B34"/>
    <w:rsid w:val="FFF71F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99"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26"/>
    <w:qFormat/>
    <w:uiPriority w:val="0"/>
    <w:pPr>
      <w:keepNext/>
      <w:widowControl/>
      <w:numPr>
        <w:ilvl w:val="0"/>
        <w:numId w:val="1"/>
      </w:numPr>
      <w:spacing w:line="360" w:lineRule="auto"/>
      <w:jc w:val="center"/>
      <w:outlineLvl w:val="0"/>
    </w:pPr>
    <w:rPr>
      <w:rFonts w:ascii="黑体" w:hAnsi="黑体" w:eastAsia="仿宋"/>
      <w:b/>
      <w:kern w:val="0"/>
      <w:sz w:val="30"/>
      <w:szCs w:val="20"/>
    </w:rPr>
  </w:style>
  <w:style w:type="paragraph" w:styleId="4">
    <w:name w:val="heading 2"/>
    <w:basedOn w:val="1"/>
    <w:next w:val="1"/>
    <w:link w:val="109"/>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link w:val="110"/>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qFormat/>
    <w:uiPriority w:val="0"/>
    <w:pPr>
      <w:keepNext/>
      <w:keepLines/>
      <w:spacing w:before="280" w:beforeLines="0" w:after="290" w:afterLines="0" w:line="374"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rFonts w:eastAsia="宋体"/>
      <w:b/>
      <w:sz w:val="28"/>
      <w:szCs w:val="20"/>
    </w:rPr>
  </w:style>
  <w:style w:type="paragraph" w:styleId="8">
    <w:name w:val="heading 6"/>
    <w:basedOn w:val="1"/>
    <w:next w:val="1"/>
    <w:link w:val="111"/>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szCs w:val="24"/>
    </w:rPr>
  </w:style>
  <w:style w:type="paragraph" w:styleId="9">
    <w:name w:val="heading 7"/>
    <w:basedOn w:val="1"/>
    <w:next w:val="1"/>
    <w:link w:val="112"/>
    <w:qFormat/>
    <w:uiPriority w:val="0"/>
    <w:pPr>
      <w:keepNext/>
      <w:keepLines/>
      <w:widowControl/>
      <w:numPr>
        <w:ilvl w:val="6"/>
        <w:numId w:val="1"/>
      </w:numPr>
      <w:spacing w:before="240" w:after="64" w:line="320" w:lineRule="auto"/>
      <w:jc w:val="left"/>
      <w:outlineLvl w:val="6"/>
    </w:pPr>
    <w:rPr>
      <w:b/>
      <w:bCs/>
      <w:kern w:val="0"/>
      <w:sz w:val="24"/>
      <w:szCs w:val="24"/>
    </w:rPr>
  </w:style>
  <w:style w:type="paragraph" w:styleId="10">
    <w:name w:val="heading 8"/>
    <w:basedOn w:val="1"/>
    <w:next w:val="1"/>
    <w:link w:val="113"/>
    <w:qFormat/>
    <w:uiPriority w:val="0"/>
    <w:pPr>
      <w:keepNext/>
      <w:keepLines/>
      <w:widowControl/>
      <w:numPr>
        <w:ilvl w:val="7"/>
        <w:numId w:val="1"/>
      </w:numPr>
      <w:spacing w:before="240" w:after="64" w:line="320" w:lineRule="auto"/>
      <w:jc w:val="left"/>
      <w:outlineLvl w:val="7"/>
    </w:pPr>
    <w:rPr>
      <w:rFonts w:ascii="Arial" w:hAnsi="Arial" w:eastAsia="黑体"/>
      <w:kern w:val="0"/>
      <w:sz w:val="24"/>
      <w:szCs w:val="24"/>
    </w:rPr>
  </w:style>
  <w:style w:type="paragraph" w:styleId="11">
    <w:name w:val="heading 9"/>
    <w:basedOn w:val="1"/>
    <w:next w:val="1"/>
    <w:link w:val="114"/>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5">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07"/>
    <w:qFormat/>
    <w:uiPriority w:val="0"/>
    <w:pPr>
      <w:spacing w:after="120"/>
    </w:pPr>
    <w:rPr>
      <w:rFonts w:ascii="宋体" w:hAnsi="宋体"/>
      <w:kern w:val="0"/>
      <w:sz w:val="20"/>
      <w:szCs w:val="24"/>
    </w:rPr>
  </w:style>
  <w:style w:type="paragraph" w:styleId="12">
    <w:name w:val="toc 7"/>
    <w:basedOn w:val="1"/>
    <w:next w:val="1"/>
    <w:semiHidden/>
    <w:qFormat/>
    <w:uiPriority w:val="0"/>
    <w:pPr>
      <w:ind w:left="1200"/>
      <w:jc w:val="left"/>
    </w:pPr>
    <w:rPr>
      <w:rFonts w:ascii="Times New Roman" w:hAnsi="Times New Roman"/>
      <w:kern w:val="0"/>
      <w:sz w:val="18"/>
      <w:szCs w:val="18"/>
    </w:rPr>
  </w:style>
  <w:style w:type="paragraph" w:styleId="13">
    <w:name w:val="Normal Indent"/>
    <w:basedOn w:val="1"/>
    <w:next w:val="1"/>
    <w:qFormat/>
    <w:uiPriority w:val="0"/>
    <w:pPr>
      <w:ind w:firstLine="420" w:firstLineChars="200"/>
    </w:pPr>
    <w:rPr>
      <w:rFonts w:ascii="宋体" w:hAnsi="宋体"/>
      <w:kern w:val="0"/>
      <w:sz w:val="20"/>
      <w:szCs w:val="24"/>
    </w:rPr>
  </w:style>
  <w:style w:type="paragraph" w:styleId="14">
    <w:name w:val="caption"/>
    <w:basedOn w:val="1"/>
    <w:next w:val="1"/>
    <w:qFormat/>
    <w:uiPriority w:val="99"/>
    <w:pPr>
      <w:spacing w:before="152" w:after="160"/>
    </w:pPr>
    <w:rPr>
      <w:rFonts w:ascii="Arial" w:hAnsi="Arial" w:eastAsia="黑体" w:cs="Arial"/>
      <w:sz w:val="20"/>
      <w:szCs w:val="20"/>
    </w:rPr>
  </w:style>
  <w:style w:type="paragraph" w:styleId="15">
    <w:name w:val="Document Map"/>
    <w:basedOn w:val="1"/>
    <w:link w:val="115"/>
    <w:semiHidden/>
    <w:qFormat/>
    <w:uiPriority w:val="0"/>
    <w:pPr>
      <w:shd w:val="clear" w:color="auto" w:fill="000080"/>
    </w:pPr>
    <w:rPr>
      <w:rFonts w:ascii="宋体" w:hAnsi="宋体"/>
      <w:kern w:val="0"/>
      <w:sz w:val="20"/>
      <w:szCs w:val="24"/>
    </w:rPr>
  </w:style>
  <w:style w:type="paragraph" w:styleId="16">
    <w:name w:val="annotation text"/>
    <w:basedOn w:val="1"/>
    <w:link w:val="116"/>
    <w:qFormat/>
    <w:uiPriority w:val="0"/>
    <w:pPr>
      <w:jc w:val="left"/>
    </w:pPr>
    <w:rPr>
      <w:rFonts w:ascii="Courier New" w:hAnsi="Courier New"/>
      <w:color w:val="000000"/>
      <w:kern w:val="0"/>
      <w:sz w:val="24"/>
      <w:szCs w:val="24"/>
      <w:lang w:val="zh-CN"/>
    </w:rPr>
  </w:style>
  <w:style w:type="paragraph" w:styleId="17">
    <w:name w:val="Body Text Indent"/>
    <w:basedOn w:val="1"/>
    <w:next w:val="18"/>
    <w:link w:val="117"/>
    <w:qFormat/>
    <w:uiPriority w:val="0"/>
    <w:pPr>
      <w:spacing w:after="120"/>
      <w:ind w:left="420" w:leftChars="200"/>
    </w:pPr>
    <w:rPr>
      <w:rFonts w:ascii="宋体" w:hAnsi="宋体"/>
      <w:kern w:val="0"/>
      <w:sz w:val="20"/>
      <w:szCs w:val="24"/>
    </w:rPr>
  </w:style>
  <w:style w:type="paragraph" w:styleId="18">
    <w:name w:val="envelope return"/>
    <w:basedOn w:val="1"/>
    <w:qFormat/>
    <w:uiPriority w:val="0"/>
    <w:pPr>
      <w:snapToGrid w:val="0"/>
      <w:spacing w:line="360" w:lineRule="auto"/>
      <w:ind w:firstLine="200" w:firstLineChars="200"/>
    </w:pPr>
    <w:rPr>
      <w:rFonts w:ascii="Arial" w:hAnsi="Arial" w:cs="Arial"/>
      <w:sz w:val="24"/>
    </w:rPr>
  </w:style>
  <w:style w:type="paragraph" w:styleId="19">
    <w:name w:val="List 2"/>
    <w:basedOn w:val="1"/>
    <w:qFormat/>
    <w:uiPriority w:val="0"/>
    <w:pPr>
      <w:ind w:left="100" w:leftChars="200" w:hanging="200" w:hangingChars="200"/>
      <w:contextualSpacing/>
    </w:pPr>
  </w:style>
  <w:style w:type="paragraph" w:styleId="20">
    <w:name w:val="Block Text"/>
    <w:basedOn w:val="1"/>
    <w:qFormat/>
    <w:uiPriority w:val="0"/>
    <w:pPr>
      <w:ind w:left="-4" w:right="-108"/>
    </w:pPr>
    <w:rPr>
      <w:rFonts w:ascii="宋体" w:hAnsi="Times New Roman"/>
      <w:sz w:val="28"/>
      <w:szCs w:val="20"/>
    </w:rPr>
  </w:style>
  <w:style w:type="paragraph" w:styleId="21">
    <w:name w:val="toc 5"/>
    <w:basedOn w:val="1"/>
    <w:next w:val="1"/>
    <w:semiHidden/>
    <w:qFormat/>
    <w:uiPriority w:val="0"/>
    <w:pPr>
      <w:ind w:left="800"/>
      <w:jc w:val="left"/>
    </w:pPr>
    <w:rPr>
      <w:rFonts w:ascii="Times New Roman" w:hAnsi="Times New Roman"/>
      <w:kern w:val="0"/>
      <w:sz w:val="18"/>
      <w:szCs w:val="18"/>
    </w:rPr>
  </w:style>
  <w:style w:type="paragraph" w:styleId="22">
    <w:name w:val="toc 3"/>
    <w:basedOn w:val="1"/>
    <w:next w:val="1"/>
    <w:semiHidden/>
    <w:qFormat/>
    <w:uiPriority w:val="0"/>
    <w:pPr>
      <w:ind w:left="400"/>
      <w:jc w:val="left"/>
    </w:pPr>
    <w:rPr>
      <w:rFonts w:ascii="Times New Roman" w:hAnsi="Times New Roman"/>
      <w:i/>
      <w:iCs/>
      <w:kern w:val="0"/>
      <w:sz w:val="20"/>
      <w:szCs w:val="20"/>
    </w:rPr>
  </w:style>
  <w:style w:type="paragraph" w:styleId="23">
    <w:name w:val="Plain Text"/>
    <w:basedOn w:val="1"/>
    <w:next w:val="1"/>
    <w:link w:val="118"/>
    <w:qFormat/>
    <w:uiPriority w:val="0"/>
    <w:rPr>
      <w:rFonts w:ascii="宋体" w:hAnsi="Courier New"/>
      <w:szCs w:val="20"/>
    </w:rPr>
  </w:style>
  <w:style w:type="paragraph" w:styleId="24">
    <w:name w:val="toc 8"/>
    <w:basedOn w:val="1"/>
    <w:next w:val="1"/>
    <w:semiHidden/>
    <w:qFormat/>
    <w:uiPriority w:val="0"/>
    <w:pPr>
      <w:ind w:left="1400"/>
      <w:jc w:val="left"/>
    </w:pPr>
    <w:rPr>
      <w:rFonts w:ascii="Times New Roman" w:hAnsi="Times New Roman"/>
      <w:kern w:val="0"/>
      <w:sz w:val="18"/>
      <w:szCs w:val="18"/>
    </w:rPr>
  </w:style>
  <w:style w:type="paragraph" w:styleId="25">
    <w:name w:val="Date"/>
    <w:basedOn w:val="1"/>
    <w:next w:val="1"/>
    <w:link w:val="119"/>
    <w:unhideWhenUsed/>
    <w:qFormat/>
    <w:uiPriority w:val="99"/>
    <w:pPr>
      <w:ind w:left="100" w:leftChars="2500"/>
    </w:pPr>
  </w:style>
  <w:style w:type="paragraph" w:styleId="26">
    <w:name w:val="Body Text Indent 2"/>
    <w:basedOn w:val="1"/>
    <w:link w:val="120"/>
    <w:qFormat/>
    <w:uiPriority w:val="0"/>
    <w:pPr>
      <w:spacing w:after="120" w:line="480" w:lineRule="auto"/>
      <w:ind w:left="420" w:leftChars="200"/>
    </w:pPr>
    <w:rPr>
      <w:rFonts w:ascii="宋体" w:hAnsi="宋体"/>
      <w:kern w:val="0"/>
      <w:sz w:val="20"/>
      <w:szCs w:val="24"/>
    </w:rPr>
  </w:style>
  <w:style w:type="paragraph" w:styleId="27">
    <w:name w:val="Balloon Text"/>
    <w:basedOn w:val="1"/>
    <w:link w:val="121"/>
    <w:unhideWhenUsed/>
    <w:qFormat/>
    <w:uiPriority w:val="99"/>
    <w:rPr>
      <w:kern w:val="0"/>
      <w:sz w:val="18"/>
      <w:szCs w:val="18"/>
    </w:rPr>
  </w:style>
  <w:style w:type="paragraph" w:styleId="28">
    <w:name w:val="footer"/>
    <w:basedOn w:val="1"/>
    <w:link w:val="122"/>
    <w:unhideWhenUsed/>
    <w:qFormat/>
    <w:uiPriority w:val="99"/>
    <w:pPr>
      <w:tabs>
        <w:tab w:val="center" w:pos="4153"/>
        <w:tab w:val="right" w:pos="8306"/>
      </w:tabs>
      <w:snapToGrid w:val="0"/>
      <w:jc w:val="left"/>
    </w:pPr>
    <w:rPr>
      <w:kern w:val="0"/>
      <w:sz w:val="18"/>
      <w:szCs w:val="18"/>
    </w:rPr>
  </w:style>
  <w:style w:type="paragraph" w:styleId="29">
    <w:name w:val="header"/>
    <w:basedOn w:val="1"/>
    <w:link w:val="12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0">
    <w:name w:val="toc 1"/>
    <w:basedOn w:val="1"/>
    <w:next w:val="1"/>
    <w:semiHidden/>
    <w:qFormat/>
    <w:uiPriority w:val="0"/>
    <w:pPr>
      <w:tabs>
        <w:tab w:val="right" w:leader="dot" w:pos="8985"/>
      </w:tabs>
      <w:snapToGrid w:val="0"/>
      <w:spacing w:before="120" w:after="120" w:line="360" w:lineRule="auto"/>
      <w:jc w:val="center"/>
    </w:pPr>
    <w:rPr>
      <w:rFonts w:ascii="Times New Roman" w:hAnsi="Times New Roman"/>
      <w:b/>
      <w:bCs/>
      <w:caps/>
      <w:kern w:val="0"/>
      <w:sz w:val="32"/>
      <w:szCs w:val="32"/>
    </w:rPr>
  </w:style>
  <w:style w:type="paragraph" w:styleId="31">
    <w:name w:val="toc 4"/>
    <w:basedOn w:val="1"/>
    <w:next w:val="1"/>
    <w:semiHidden/>
    <w:qFormat/>
    <w:uiPriority w:val="0"/>
    <w:pPr>
      <w:ind w:left="600"/>
      <w:jc w:val="left"/>
    </w:pPr>
    <w:rPr>
      <w:rFonts w:ascii="Times New Roman" w:hAnsi="Times New Roman"/>
      <w:kern w:val="0"/>
      <w:sz w:val="18"/>
      <w:szCs w:val="18"/>
    </w:rPr>
  </w:style>
  <w:style w:type="paragraph" w:styleId="32">
    <w:name w:val="Subtitle"/>
    <w:basedOn w:val="1"/>
    <w:next w:val="1"/>
    <w:qFormat/>
    <w:uiPriority w:val="0"/>
    <w:pPr>
      <w:widowControl/>
      <w:numPr>
        <w:ilvl w:val="1"/>
        <w:numId w:val="0"/>
      </w:numPr>
      <w:spacing w:after="200" w:line="276" w:lineRule="auto"/>
      <w:jc w:val="left"/>
    </w:pPr>
    <w:rPr>
      <w:rFonts w:ascii="Cambria" w:hAnsi="Cambria"/>
      <w:i/>
      <w:iCs/>
      <w:color w:val="4F81BD"/>
      <w:spacing w:val="15"/>
      <w:kern w:val="0"/>
      <w:sz w:val="24"/>
    </w:rPr>
  </w:style>
  <w:style w:type="paragraph" w:styleId="33">
    <w:name w:val="toc 6"/>
    <w:basedOn w:val="1"/>
    <w:next w:val="1"/>
    <w:semiHidden/>
    <w:qFormat/>
    <w:uiPriority w:val="0"/>
    <w:pPr>
      <w:ind w:left="1000"/>
      <w:jc w:val="left"/>
    </w:pPr>
    <w:rPr>
      <w:rFonts w:ascii="Times New Roman" w:hAnsi="Times New Roman"/>
      <w:kern w:val="0"/>
      <w:sz w:val="18"/>
      <w:szCs w:val="18"/>
    </w:rPr>
  </w:style>
  <w:style w:type="paragraph" w:styleId="34">
    <w:name w:val="Body Text Indent 3"/>
    <w:basedOn w:val="1"/>
    <w:qFormat/>
    <w:uiPriority w:val="0"/>
    <w:pPr>
      <w:spacing w:after="120" w:afterLines="0"/>
      <w:ind w:left="420" w:leftChars="200"/>
    </w:pPr>
    <w:rPr>
      <w:sz w:val="16"/>
      <w:szCs w:val="16"/>
    </w:rPr>
  </w:style>
  <w:style w:type="paragraph" w:styleId="35">
    <w:name w:val="toc 2"/>
    <w:basedOn w:val="1"/>
    <w:next w:val="1"/>
    <w:semiHidden/>
    <w:qFormat/>
    <w:uiPriority w:val="0"/>
    <w:pPr>
      <w:tabs>
        <w:tab w:val="right" w:leader="dot" w:pos="8985"/>
      </w:tabs>
      <w:snapToGrid w:val="0"/>
      <w:ind w:left="198"/>
      <w:jc w:val="left"/>
    </w:pPr>
    <w:rPr>
      <w:rFonts w:ascii="Times New Roman" w:hAnsi="Times New Roman"/>
      <w:smallCaps/>
      <w:kern w:val="0"/>
      <w:sz w:val="20"/>
      <w:szCs w:val="20"/>
    </w:rPr>
  </w:style>
  <w:style w:type="paragraph" w:styleId="36">
    <w:name w:val="toc 9"/>
    <w:basedOn w:val="1"/>
    <w:next w:val="1"/>
    <w:semiHidden/>
    <w:qFormat/>
    <w:uiPriority w:val="0"/>
    <w:pPr>
      <w:ind w:left="1600"/>
      <w:jc w:val="left"/>
    </w:pPr>
    <w:rPr>
      <w:rFonts w:ascii="Times New Roman" w:hAnsi="Times New Roman"/>
      <w:kern w:val="0"/>
      <w:sz w:val="18"/>
      <w:szCs w:val="18"/>
    </w:rPr>
  </w:style>
  <w:style w:type="paragraph" w:styleId="37">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rPr>
  </w:style>
  <w:style w:type="paragraph" w:styleId="38">
    <w:name w:val="Normal (Web)"/>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styleId="39">
    <w:name w:val="Title"/>
    <w:basedOn w:val="1"/>
    <w:next w:val="1"/>
    <w:link w:val="124"/>
    <w:qFormat/>
    <w:uiPriority w:val="0"/>
    <w:pPr>
      <w:spacing w:before="240" w:after="60"/>
      <w:jc w:val="center"/>
      <w:outlineLvl w:val="0"/>
    </w:pPr>
    <w:rPr>
      <w:rFonts w:ascii="Arial" w:hAnsi="Arial"/>
      <w:b/>
      <w:bCs/>
      <w:kern w:val="0"/>
      <w:sz w:val="32"/>
      <w:szCs w:val="32"/>
    </w:rPr>
  </w:style>
  <w:style w:type="paragraph" w:styleId="40">
    <w:name w:val="annotation subject"/>
    <w:basedOn w:val="16"/>
    <w:next w:val="16"/>
    <w:link w:val="125"/>
    <w:semiHidden/>
    <w:qFormat/>
    <w:uiPriority w:val="0"/>
    <w:rPr>
      <w:rFonts w:ascii="宋体" w:hAnsi="宋体"/>
      <w:b/>
      <w:bCs/>
    </w:rPr>
  </w:style>
  <w:style w:type="paragraph" w:styleId="41">
    <w:name w:val="Body Text First Indent"/>
    <w:basedOn w:val="2"/>
    <w:next w:val="1"/>
    <w:qFormat/>
    <w:uiPriority w:val="99"/>
    <w:pPr>
      <w:ind w:firstLine="420" w:firstLineChars="100"/>
    </w:pPr>
    <w:rPr>
      <w:rFonts w:ascii="Times New Roman" w:hAnsi="Times New Roman"/>
      <w:sz w:val="21"/>
      <w:szCs w:val="24"/>
    </w:rPr>
  </w:style>
  <w:style w:type="paragraph" w:styleId="42">
    <w:name w:val="Body Text First Indent 2"/>
    <w:basedOn w:val="17"/>
    <w:next w:val="1"/>
    <w:qFormat/>
    <w:uiPriority w:val="0"/>
    <w:pPr>
      <w:spacing w:after="120"/>
      <w:ind w:left="200" w:leftChars="200" w:firstLine="420"/>
      <w:jc w:val="both"/>
    </w:pPr>
    <w:rPr>
      <w:rFonts w:ascii="Calibri" w:hAnsi="Calibri" w:eastAsia="宋体"/>
      <w:szCs w:val="24"/>
      <w:lang w:val="en-US"/>
    </w:rPr>
  </w:style>
  <w:style w:type="table" w:styleId="44">
    <w:name w:val="Table Grid"/>
    <w:basedOn w:val="4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page number"/>
    <w:qFormat/>
    <w:uiPriority w:val="0"/>
  </w:style>
  <w:style w:type="character" w:styleId="48">
    <w:name w:val="FollowedHyperlink"/>
    <w:qFormat/>
    <w:uiPriority w:val="0"/>
    <w:rPr>
      <w:rFonts w:hint="eastAsia" w:ascii="微软雅黑" w:hAnsi="微软雅黑" w:eastAsia="微软雅黑" w:cs="微软雅黑"/>
      <w:color w:val="333333"/>
      <w:sz w:val="21"/>
      <w:szCs w:val="21"/>
      <w:u w:val="none"/>
    </w:rPr>
  </w:style>
  <w:style w:type="character" w:styleId="49">
    <w:name w:val="Emphasis"/>
    <w:qFormat/>
    <w:uiPriority w:val="20"/>
  </w:style>
  <w:style w:type="character" w:styleId="50">
    <w:name w:val="HTML Definition"/>
    <w:unhideWhenUsed/>
    <w:qFormat/>
    <w:uiPriority w:val="99"/>
  </w:style>
  <w:style w:type="character" w:styleId="51">
    <w:name w:val="HTML Typewriter"/>
    <w:unhideWhenUsed/>
    <w:qFormat/>
    <w:uiPriority w:val="99"/>
    <w:rPr>
      <w:rFonts w:hint="default" w:ascii="monospace" w:hAnsi="monospace" w:eastAsia="monospace" w:cs="monospace"/>
      <w:sz w:val="20"/>
    </w:rPr>
  </w:style>
  <w:style w:type="character" w:styleId="52">
    <w:name w:val="HTML Acronym"/>
    <w:unhideWhenUsed/>
    <w:qFormat/>
    <w:uiPriority w:val="99"/>
  </w:style>
  <w:style w:type="character" w:styleId="53">
    <w:name w:val="HTML Variable"/>
    <w:unhideWhenUsed/>
    <w:qFormat/>
    <w:uiPriority w:val="99"/>
  </w:style>
  <w:style w:type="character" w:styleId="54">
    <w:name w:val="Hyperlink"/>
    <w:qFormat/>
    <w:uiPriority w:val="0"/>
    <w:rPr>
      <w:rFonts w:hint="eastAsia" w:ascii="微软雅黑" w:hAnsi="微软雅黑" w:eastAsia="微软雅黑" w:cs="微软雅黑"/>
      <w:color w:val="333333"/>
      <w:sz w:val="21"/>
      <w:szCs w:val="21"/>
      <w:u w:val="none"/>
    </w:rPr>
  </w:style>
  <w:style w:type="character" w:styleId="55">
    <w:name w:val="HTML Code"/>
    <w:unhideWhenUsed/>
    <w:qFormat/>
    <w:uiPriority w:val="99"/>
    <w:rPr>
      <w:rFonts w:hint="default" w:ascii="monospace" w:hAnsi="monospace" w:eastAsia="monospace" w:cs="monospace"/>
      <w:sz w:val="20"/>
    </w:rPr>
  </w:style>
  <w:style w:type="character" w:styleId="56">
    <w:name w:val="annotation reference"/>
    <w:qFormat/>
    <w:uiPriority w:val="0"/>
    <w:rPr>
      <w:sz w:val="21"/>
      <w:szCs w:val="21"/>
    </w:rPr>
  </w:style>
  <w:style w:type="character" w:styleId="57">
    <w:name w:val="HTML Cite"/>
    <w:unhideWhenUsed/>
    <w:qFormat/>
    <w:uiPriority w:val="99"/>
  </w:style>
  <w:style w:type="character" w:styleId="58">
    <w:name w:val="HTML Keyboard"/>
    <w:unhideWhenUsed/>
    <w:qFormat/>
    <w:uiPriority w:val="99"/>
    <w:rPr>
      <w:rFonts w:ascii="monospace" w:hAnsi="monospace" w:eastAsia="monospace" w:cs="monospace"/>
      <w:sz w:val="20"/>
    </w:rPr>
  </w:style>
  <w:style w:type="character" w:styleId="59">
    <w:name w:val="HTML Sample"/>
    <w:unhideWhenUsed/>
    <w:qFormat/>
    <w:uiPriority w:val="99"/>
    <w:rPr>
      <w:rFonts w:hint="default" w:ascii="monospace" w:hAnsi="monospace" w:eastAsia="monospace" w:cs="monospace"/>
      <w:bdr w:val="single" w:color="BDBEC1" w:sz="6" w:space="0"/>
      <w:shd w:val="clear" w:color="auto" w:fill="FFFFFF"/>
    </w:rPr>
  </w:style>
  <w:style w:type="paragraph" w:customStyle="1" w:styleId="60">
    <w:name w:val="正文文本 (3)"/>
    <w:basedOn w:val="1"/>
    <w:link w:val="138"/>
    <w:qFormat/>
    <w:uiPriority w:val="0"/>
    <w:pPr>
      <w:shd w:val="clear" w:color="auto" w:fill="FFFFFF"/>
      <w:spacing w:after="1020" w:line="500" w:lineRule="exact"/>
      <w:jc w:val="left"/>
    </w:pPr>
    <w:rPr>
      <w:rFonts w:ascii="MingLiU" w:eastAsia="MingLiU"/>
      <w:spacing w:val="50"/>
      <w:kern w:val="0"/>
      <w:sz w:val="50"/>
      <w:szCs w:val="50"/>
    </w:rPr>
  </w:style>
  <w:style w:type="paragraph" w:customStyle="1" w:styleId="61">
    <w:name w:val="正文文本 (2)1"/>
    <w:basedOn w:val="1"/>
    <w:link w:val="143"/>
    <w:qFormat/>
    <w:uiPriority w:val="0"/>
    <w:pPr>
      <w:shd w:val="clear" w:color="auto" w:fill="FFFFFF"/>
      <w:spacing w:before="340" w:after="340" w:line="220" w:lineRule="exact"/>
      <w:jc w:val="distribute"/>
    </w:pPr>
    <w:rPr>
      <w:rFonts w:ascii="MingLiU" w:eastAsia="MingLiU"/>
      <w:kern w:val="0"/>
      <w:sz w:val="22"/>
      <w:szCs w:val="20"/>
    </w:rPr>
  </w:style>
  <w:style w:type="paragraph" w:customStyle="1" w:styleId="62">
    <w:name w:val="GCEBStyles8"/>
    <w:basedOn w:val="1"/>
    <w:qFormat/>
    <w:uiPriority w:val="0"/>
    <w:pPr>
      <w:jc w:val="left"/>
      <w:outlineLvl w:val="8"/>
    </w:pPr>
    <w:rPr>
      <w:rFonts w:ascii="黑体" w:hAnsi="宋体" w:eastAsia="黑体"/>
      <w:bCs/>
      <w:kern w:val="0"/>
      <w:szCs w:val="24"/>
    </w:rPr>
  </w:style>
  <w:style w:type="paragraph" w:customStyle="1" w:styleId="63">
    <w:name w:val="GCEBStyles2"/>
    <w:basedOn w:val="1"/>
    <w:qFormat/>
    <w:uiPriority w:val="0"/>
    <w:pPr>
      <w:jc w:val="left"/>
      <w:outlineLvl w:val="2"/>
    </w:pPr>
    <w:rPr>
      <w:rFonts w:ascii="宋体" w:hAnsi="宋体"/>
      <w:b/>
      <w:bCs/>
      <w:kern w:val="0"/>
      <w:sz w:val="32"/>
      <w:szCs w:val="24"/>
    </w:rPr>
  </w:style>
  <w:style w:type="paragraph" w:customStyle="1" w:styleId="64">
    <w:name w:val="xl24"/>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6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66">
    <w:name w:val="TOC1"/>
    <w:basedOn w:val="1"/>
    <w:next w:val="1"/>
    <w:qFormat/>
    <w:locked/>
    <w:uiPriority w:val="0"/>
    <w:pPr>
      <w:tabs>
        <w:tab w:val="right" w:leader="dot" w:pos="8985"/>
      </w:tabs>
      <w:snapToGrid w:val="0"/>
      <w:spacing w:before="120" w:after="120" w:line="360" w:lineRule="auto"/>
      <w:jc w:val="center"/>
    </w:pPr>
    <w:rPr>
      <w:sz w:val="32"/>
      <w:szCs w:val="32"/>
    </w:rPr>
  </w:style>
  <w:style w:type="paragraph" w:customStyle="1" w:styleId="6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68">
    <w:name w:val="GCEBStyles7"/>
    <w:basedOn w:val="1"/>
    <w:qFormat/>
    <w:uiPriority w:val="0"/>
    <w:pPr>
      <w:jc w:val="left"/>
      <w:outlineLvl w:val="7"/>
    </w:pPr>
    <w:rPr>
      <w:rFonts w:ascii="黑体" w:hAnsi="宋体" w:eastAsia="黑体"/>
      <w:bCs/>
      <w:kern w:val="0"/>
      <w:sz w:val="24"/>
      <w:szCs w:val="24"/>
    </w:rPr>
  </w:style>
  <w:style w:type="paragraph" w:customStyle="1" w:styleId="69">
    <w:name w:val="WPSOffice手动目录 1"/>
    <w:qFormat/>
    <w:uiPriority w:val="0"/>
    <w:pPr>
      <w:ind w:leftChars="0"/>
    </w:pPr>
    <w:rPr>
      <w:rFonts w:ascii="Times New Roman" w:hAnsi="Times New Roman" w:eastAsia="宋体" w:cs="Times New Roman"/>
      <w:sz w:val="20"/>
      <w:szCs w:val="20"/>
    </w:rPr>
  </w:style>
  <w:style w:type="paragraph" w:customStyle="1" w:styleId="70">
    <w:name w:val="xl37"/>
    <w:basedOn w:val="1"/>
    <w:qFormat/>
    <w:uiPriority w:val="0"/>
    <w:pPr>
      <w:widowControl/>
      <w:pBdr>
        <w:top w:val="single" w:color="auto" w:sz="4" w:space="0"/>
        <w:left w:val="single" w:color="auto" w:sz="4" w:space="0"/>
        <w:bottom w:val="double" w:color="auto" w:sz="6" w:space="0"/>
        <w:right w:val="double" w:color="auto" w:sz="6" w:space="0"/>
      </w:pBdr>
      <w:spacing w:before="100" w:beforeAutospacing="1" w:after="100" w:afterAutospacing="1"/>
      <w:jc w:val="center"/>
    </w:pPr>
    <w:rPr>
      <w:rFonts w:ascii="宋体" w:hAnsi="宋体" w:cs="宋体"/>
      <w:kern w:val="0"/>
      <w:sz w:val="20"/>
      <w:szCs w:val="20"/>
    </w:rPr>
  </w:style>
  <w:style w:type="paragraph" w:customStyle="1" w:styleId="71">
    <w:name w:val="xl28"/>
    <w:basedOn w:val="1"/>
    <w:qFormat/>
    <w:uiPriority w:val="0"/>
    <w:pPr>
      <w:widowControl/>
      <w:spacing w:before="100" w:beforeAutospacing="1" w:after="100" w:afterAutospacing="1"/>
      <w:jc w:val="center"/>
    </w:pPr>
    <w:rPr>
      <w:rFonts w:hint="eastAsia" w:ascii="黑体" w:hAnsi="宋体" w:eastAsia="黑体"/>
      <w:kern w:val="0"/>
      <w:sz w:val="48"/>
      <w:szCs w:val="48"/>
      <w:u w:val="single"/>
    </w:rPr>
  </w:style>
  <w:style w:type="paragraph" w:customStyle="1" w:styleId="72">
    <w:name w:val="_Style 48"/>
    <w:basedOn w:val="1"/>
    <w:qFormat/>
    <w:uiPriority w:val="0"/>
    <w:pPr>
      <w:autoSpaceDE/>
      <w:autoSpaceDN/>
      <w:adjustRightInd/>
      <w:spacing w:line="480" w:lineRule="auto"/>
      <w:ind w:firstLine="403" w:firstLineChars="168"/>
      <w:jc w:val="center"/>
    </w:pPr>
    <w:rPr>
      <w:rFonts w:ascii="宋体" w:hAnsi="宋体"/>
      <w:kern w:val="2"/>
    </w:rPr>
  </w:style>
  <w:style w:type="paragraph" w:customStyle="1" w:styleId="73">
    <w:name w:val="xl22"/>
    <w:basedOn w:val="1"/>
    <w:qFormat/>
    <w:uiPriority w:val="0"/>
    <w:pPr>
      <w:widowControl/>
      <w:spacing w:before="100" w:beforeAutospacing="1" w:after="100" w:afterAutospacing="1"/>
      <w:jc w:val="left"/>
    </w:pPr>
    <w:rPr>
      <w:rFonts w:ascii="宋体" w:hAnsi="宋体"/>
      <w:kern w:val="0"/>
      <w:sz w:val="32"/>
      <w:szCs w:val="32"/>
    </w:rPr>
  </w:style>
  <w:style w:type="paragraph" w:customStyle="1" w:styleId="74">
    <w:name w:val="Char"/>
    <w:basedOn w:val="15"/>
    <w:qFormat/>
    <w:uiPriority w:val="0"/>
    <w:pPr>
      <w:widowControl/>
    </w:pPr>
    <w:rPr>
      <w:rFonts w:ascii="Tahoma" w:hAnsi="Tahoma"/>
      <w:kern w:val="2"/>
      <w:sz w:val="24"/>
    </w:rPr>
  </w:style>
  <w:style w:type="paragraph" w:customStyle="1" w:styleId="75">
    <w:name w:val="正文格式"/>
    <w:basedOn w:val="1"/>
    <w:qFormat/>
    <w:uiPriority w:val="0"/>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76">
    <w:name w:val="GCEBStyles3"/>
    <w:basedOn w:val="1"/>
    <w:qFormat/>
    <w:uiPriority w:val="0"/>
    <w:pPr>
      <w:jc w:val="left"/>
      <w:outlineLvl w:val="3"/>
    </w:pPr>
    <w:rPr>
      <w:rFonts w:ascii="黑体" w:hAnsi="宋体" w:eastAsia="黑体"/>
      <w:b/>
      <w:bCs/>
      <w:kern w:val="0"/>
      <w:sz w:val="28"/>
      <w:szCs w:val="24"/>
    </w:rPr>
  </w:style>
  <w:style w:type="paragraph" w:customStyle="1" w:styleId="77">
    <w:name w:val="xl34"/>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78">
    <w:name w:val="GCEBStyles5"/>
    <w:basedOn w:val="1"/>
    <w:qFormat/>
    <w:uiPriority w:val="0"/>
    <w:pPr>
      <w:jc w:val="left"/>
      <w:outlineLvl w:val="5"/>
    </w:pPr>
    <w:rPr>
      <w:rFonts w:ascii="黑体" w:hAnsi="宋体" w:eastAsia="黑体"/>
      <w:b/>
      <w:bCs/>
      <w:kern w:val="0"/>
      <w:sz w:val="24"/>
      <w:szCs w:val="24"/>
    </w:rPr>
  </w:style>
  <w:style w:type="paragraph" w:customStyle="1" w:styleId="79">
    <w:name w:val="xl26"/>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customStyle="1" w:styleId="80">
    <w:name w:val="xl23"/>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customStyle="1" w:styleId="81">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paragraph" w:customStyle="1" w:styleId="82">
    <w:name w:val="GCEBStyles4"/>
    <w:basedOn w:val="1"/>
    <w:qFormat/>
    <w:uiPriority w:val="0"/>
    <w:pPr>
      <w:jc w:val="left"/>
      <w:outlineLvl w:val="4"/>
    </w:pPr>
    <w:rPr>
      <w:rFonts w:ascii="宋体" w:hAnsi="宋体"/>
      <w:b/>
      <w:bCs/>
      <w:kern w:val="0"/>
      <w:sz w:val="28"/>
      <w:szCs w:val="24"/>
    </w:rPr>
  </w:style>
  <w:style w:type="paragraph" w:customStyle="1" w:styleId="83">
    <w:name w:val="xl29"/>
    <w:basedOn w:val="1"/>
    <w:qFormat/>
    <w:uiPriority w:val="0"/>
    <w:pPr>
      <w:widowControl/>
      <w:spacing w:before="100" w:beforeAutospacing="1" w:after="100" w:afterAutospacing="1"/>
      <w:jc w:val="center"/>
    </w:pPr>
    <w:rPr>
      <w:rFonts w:ascii="宋体" w:hAnsi="宋体"/>
      <w:kern w:val="0"/>
      <w:sz w:val="24"/>
      <w:szCs w:val="24"/>
      <w:u w:val="single"/>
    </w:rPr>
  </w:style>
  <w:style w:type="paragraph" w:customStyle="1" w:styleId="84">
    <w:name w:val="GCEBStyles9"/>
    <w:basedOn w:val="1"/>
    <w:qFormat/>
    <w:uiPriority w:val="0"/>
    <w:pPr>
      <w:jc w:val="left"/>
    </w:pPr>
    <w:rPr>
      <w:rFonts w:ascii="黑体" w:hAnsi="宋体" w:eastAsia="黑体"/>
      <w:bCs/>
      <w:kern w:val="0"/>
      <w:szCs w:val="24"/>
    </w:rPr>
  </w:style>
  <w:style w:type="paragraph" w:customStyle="1" w:styleId="85">
    <w:name w:val="font6"/>
    <w:basedOn w:val="1"/>
    <w:qFormat/>
    <w:uiPriority w:val="0"/>
    <w:pPr>
      <w:widowControl/>
      <w:spacing w:before="100" w:beforeAutospacing="1" w:after="100" w:afterAutospacing="1"/>
      <w:jc w:val="left"/>
    </w:pPr>
    <w:rPr>
      <w:rFonts w:hint="eastAsia" w:ascii="宋体" w:hAnsi="宋体"/>
      <w:b/>
      <w:bCs/>
      <w:kern w:val="0"/>
      <w:sz w:val="48"/>
      <w:szCs w:val="48"/>
    </w:rPr>
  </w:style>
  <w:style w:type="paragraph" w:customStyle="1" w:styleId="86">
    <w:name w:val="Default"/>
    <w:next w:val="1"/>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87">
    <w:name w:val="大标题"/>
    <w:basedOn w:val="39"/>
    <w:next w:val="42"/>
    <w:qFormat/>
    <w:uiPriority w:val="0"/>
    <w:pPr>
      <w:tabs>
        <w:tab w:val="left" w:pos="795"/>
        <w:tab w:val="center" w:pos="4156"/>
      </w:tabs>
      <w:spacing w:line="360" w:lineRule="auto"/>
      <w:ind w:firstLine="200" w:firstLineChars="200"/>
    </w:pPr>
    <w:rPr>
      <w:rFonts w:ascii="宋体" w:hAnsi="宋体"/>
      <w:bCs w:val="0"/>
      <w:kern w:val="0"/>
      <w:szCs w:val="20"/>
    </w:rPr>
  </w:style>
  <w:style w:type="paragraph" w:customStyle="1" w:styleId="88">
    <w:name w:val="xl33"/>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customStyle="1" w:styleId="89">
    <w:name w:val="Style9"/>
    <w:basedOn w:val="1"/>
    <w:qFormat/>
    <w:uiPriority w:val="0"/>
    <w:pPr>
      <w:adjustRightInd w:val="0"/>
      <w:jc w:val="left"/>
    </w:pPr>
    <w:rPr>
      <w:rFonts w:ascii="宋体" w:hAnsi="Calibri" w:eastAsia="宋体" w:cs="Times New Roman"/>
      <w:kern w:val="0"/>
      <w:sz w:val="24"/>
      <w:szCs w:val="24"/>
    </w:rPr>
  </w:style>
  <w:style w:type="paragraph" w:customStyle="1" w:styleId="90">
    <w:name w:val="font7"/>
    <w:basedOn w:val="1"/>
    <w:qFormat/>
    <w:uiPriority w:val="0"/>
    <w:pPr>
      <w:widowControl/>
      <w:spacing w:before="100" w:beforeAutospacing="1" w:after="100" w:afterAutospacing="1"/>
      <w:jc w:val="left"/>
    </w:pPr>
    <w:rPr>
      <w:rFonts w:ascii="Times New Roman" w:hAnsi="Times New Roman"/>
      <w:b/>
      <w:bCs/>
      <w:kern w:val="0"/>
      <w:sz w:val="48"/>
      <w:szCs w:val="48"/>
    </w:rPr>
  </w:style>
  <w:style w:type="paragraph" w:customStyle="1" w:styleId="91">
    <w:name w:val="GCEBStyles0"/>
    <w:basedOn w:val="1"/>
    <w:qFormat/>
    <w:uiPriority w:val="0"/>
    <w:pPr>
      <w:jc w:val="left"/>
      <w:outlineLvl w:val="0"/>
    </w:pPr>
    <w:rPr>
      <w:rFonts w:ascii="宋体" w:hAnsi="宋体"/>
      <w:b/>
      <w:bCs/>
      <w:kern w:val="0"/>
      <w:sz w:val="44"/>
      <w:szCs w:val="24"/>
    </w:rPr>
  </w:style>
  <w:style w:type="paragraph" w:customStyle="1" w:styleId="92">
    <w:name w:val="GCEBStyles6"/>
    <w:basedOn w:val="1"/>
    <w:qFormat/>
    <w:uiPriority w:val="0"/>
    <w:pPr>
      <w:jc w:val="left"/>
      <w:outlineLvl w:val="6"/>
    </w:pPr>
    <w:rPr>
      <w:rFonts w:ascii="宋体" w:hAnsi="宋体"/>
      <w:b/>
      <w:bCs/>
      <w:kern w:val="0"/>
      <w:sz w:val="24"/>
      <w:szCs w:val="24"/>
    </w:rPr>
  </w:style>
  <w:style w:type="paragraph" w:customStyle="1" w:styleId="93">
    <w:name w:val="样式29"/>
    <w:basedOn w:val="1"/>
    <w:qFormat/>
    <w:uiPriority w:val="0"/>
    <w:pPr>
      <w:widowControl/>
      <w:spacing w:before="100" w:beforeAutospacing="1" w:after="100" w:afterAutospacing="1" w:line="440" w:lineRule="exact"/>
      <w:ind w:firstLine="200" w:firstLineChars="200"/>
      <w:jc w:val="left"/>
    </w:pPr>
    <w:rPr>
      <w:rFonts w:ascii="Times New Roman" w:hAnsi="Times New Roman" w:eastAsia="楷体_GB2312"/>
      <w:spacing w:val="6"/>
      <w:kern w:val="0"/>
      <w:sz w:val="24"/>
      <w:szCs w:val="20"/>
    </w:rPr>
  </w:style>
  <w:style w:type="paragraph" w:customStyle="1" w:styleId="94">
    <w:name w:val="xl36"/>
    <w:basedOn w:val="1"/>
    <w:qFormat/>
    <w:uiPriority w:val="0"/>
    <w:pPr>
      <w:widowControl/>
      <w:pBdr>
        <w:top w:val="single" w:color="auto" w:sz="4" w:space="0"/>
        <w:left w:val="single" w:color="auto" w:sz="4" w:space="0"/>
        <w:bottom w:val="double" w:color="auto" w:sz="6"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Table Paragraph"/>
    <w:basedOn w:val="1"/>
    <w:qFormat/>
    <w:uiPriority w:val="1"/>
    <w:pPr>
      <w:jc w:val="left"/>
    </w:pPr>
    <w:rPr>
      <w:rFonts w:cs="宋体"/>
      <w:sz w:val="22"/>
      <w:lang w:eastAsia="en-US"/>
    </w:rPr>
  </w:style>
  <w:style w:type="paragraph" w:customStyle="1" w:styleId="96">
    <w:name w:val="xl27"/>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97">
    <w:name w:val="xl35"/>
    <w:basedOn w:val="1"/>
    <w:qFormat/>
    <w:uiPriority w:val="0"/>
    <w:pPr>
      <w:widowControl/>
      <w:spacing w:before="100" w:beforeAutospacing="1" w:after="100" w:afterAutospacing="1"/>
      <w:jc w:val="left"/>
      <w:textAlignment w:val="center"/>
    </w:pPr>
    <w:rPr>
      <w:rFonts w:ascii="宋体" w:hAnsi="宋体"/>
      <w:kern w:val="0"/>
      <w:sz w:val="32"/>
      <w:szCs w:val="32"/>
    </w:rPr>
  </w:style>
  <w:style w:type="paragraph" w:styleId="98">
    <w:name w:val="List Paragraph"/>
    <w:basedOn w:val="1"/>
    <w:qFormat/>
    <w:uiPriority w:val="34"/>
    <w:pPr>
      <w:ind w:firstLine="420" w:firstLineChars="200"/>
    </w:pPr>
    <w:rPr>
      <w:rFonts w:ascii="Calibri" w:hAnsi="Calibri" w:cs="Times New Roman"/>
      <w:kern w:val="2"/>
      <w:sz w:val="21"/>
    </w:rPr>
  </w:style>
  <w:style w:type="paragraph" w:customStyle="1" w:styleId="99">
    <w:name w:val="Char Char"/>
    <w:basedOn w:val="1"/>
    <w:qFormat/>
    <w:uiPriority w:val="0"/>
    <w:pPr>
      <w:ind w:firstLine="200" w:firstLineChars="200"/>
    </w:pPr>
    <w:rPr>
      <w:rFonts w:ascii="Times New Roman" w:hAnsi="Times New Roman"/>
      <w:szCs w:val="24"/>
    </w:rPr>
  </w:style>
  <w:style w:type="paragraph" w:customStyle="1" w:styleId="100">
    <w:name w:val="xl30"/>
    <w:basedOn w:val="1"/>
    <w:qFormat/>
    <w:uiPriority w:val="0"/>
    <w:pPr>
      <w:widowControl/>
      <w:spacing w:before="100" w:beforeAutospacing="1" w:after="100" w:afterAutospacing="1"/>
      <w:jc w:val="center"/>
      <w:textAlignment w:val="center"/>
    </w:pPr>
    <w:rPr>
      <w:rFonts w:ascii="宋体" w:hAnsi="宋体"/>
      <w:b/>
      <w:bCs/>
      <w:kern w:val="0"/>
      <w:sz w:val="48"/>
      <w:szCs w:val="48"/>
    </w:rPr>
  </w:style>
  <w:style w:type="paragraph" w:customStyle="1" w:styleId="101">
    <w:name w:val="List Paragraph1"/>
    <w:basedOn w:val="1"/>
    <w:qFormat/>
    <w:uiPriority w:val="0"/>
    <w:pPr>
      <w:ind w:firstLine="420" w:firstLineChars="200"/>
    </w:pPr>
    <w:rPr>
      <w:szCs w:val="21"/>
    </w:rPr>
  </w:style>
  <w:style w:type="paragraph" w:customStyle="1" w:styleId="102">
    <w:name w:val="GCEBStyles1"/>
    <w:basedOn w:val="1"/>
    <w:qFormat/>
    <w:uiPriority w:val="0"/>
    <w:pPr>
      <w:jc w:val="left"/>
      <w:outlineLvl w:val="1"/>
    </w:pPr>
    <w:rPr>
      <w:rFonts w:ascii="黑体" w:hAnsi="宋体" w:eastAsia="黑体"/>
      <w:b/>
      <w:bCs/>
      <w:kern w:val="0"/>
      <w:sz w:val="32"/>
      <w:szCs w:val="24"/>
    </w:rPr>
  </w:style>
  <w:style w:type="paragraph" w:customStyle="1" w:styleId="103">
    <w:name w:val="xl31"/>
    <w:basedOn w:val="1"/>
    <w:qFormat/>
    <w:uiPriority w:val="0"/>
    <w:pPr>
      <w:widowControl/>
      <w:spacing w:before="100" w:beforeAutospacing="1" w:after="100" w:afterAutospacing="1"/>
      <w:jc w:val="center"/>
      <w:textAlignment w:val="center"/>
    </w:pPr>
    <w:rPr>
      <w:rFonts w:ascii="宋体" w:hAnsi="宋体"/>
      <w:kern w:val="0"/>
      <w:sz w:val="24"/>
      <w:szCs w:val="24"/>
    </w:rPr>
  </w:style>
  <w:style w:type="paragraph" w:customStyle="1" w:styleId="104">
    <w:name w:val="WPSOffice手动目录 2"/>
    <w:qFormat/>
    <w:uiPriority w:val="0"/>
    <w:pPr>
      <w:ind w:leftChars="200"/>
    </w:pPr>
    <w:rPr>
      <w:rFonts w:ascii="Times New Roman" w:hAnsi="Times New Roman" w:eastAsia="宋体" w:cs="Times New Roman"/>
      <w:sz w:val="20"/>
      <w:szCs w:val="20"/>
    </w:rPr>
  </w:style>
  <w:style w:type="paragraph" w:customStyle="1" w:styleId="105">
    <w:name w:val="xl32"/>
    <w:basedOn w:val="1"/>
    <w:qFormat/>
    <w:uiPriority w:val="0"/>
    <w:pPr>
      <w:widowControl/>
      <w:pBdr>
        <w:bottom w:val="single" w:color="auto" w:sz="4" w:space="0"/>
      </w:pBdr>
      <w:spacing w:before="100" w:beforeAutospacing="1" w:after="100" w:afterAutospacing="1"/>
      <w:jc w:val="center"/>
      <w:textAlignment w:val="center"/>
    </w:pPr>
    <w:rPr>
      <w:rFonts w:ascii="宋体" w:hAnsi="宋体"/>
      <w:kern w:val="0"/>
      <w:sz w:val="32"/>
      <w:szCs w:val="32"/>
    </w:rPr>
  </w:style>
  <w:style w:type="paragraph" w:customStyle="1" w:styleId="106">
    <w:name w:val="xl25"/>
    <w:basedOn w:val="1"/>
    <w:qFormat/>
    <w:uiPriority w:val="0"/>
    <w:pPr>
      <w:widowControl/>
      <w:spacing w:before="100" w:beforeAutospacing="1" w:after="100" w:afterAutospacing="1"/>
      <w:jc w:val="center"/>
      <w:textAlignment w:val="center"/>
    </w:pPr>
    <w:rPr>
      <w:rFonts w:ascii="宋体" w:hAnsi="宋体"/>
      <w:kern w:val="0"/>
      <w:sz w:val="32"/>
      <w:szCs w:val="32"/>
    </w:rPr>
  </w:style>
  <w:style w:type="character" w:customStyle="1" w:styleId="107">
    <w:name w:val="正文文本 字符"/>
    <w:link w:val="2"/>
    <w:qFormat/>
    <w:uiPriority w:val="0"/>
    <w:rPr>
      <w:rFonts w:ascii="宋体" w:hAnsi="宋体"/>
      <w:szCs w:val="24"/>
    </w:rPr>
  </w:style>
  <w:style w:type="character" w:customStyle="1" w:styleId="108">
    <w:name w:val="标题 1 Char"/>
    <w:link w:val="3"/>
    <w:qFormat/>
    <w:uiPriority w:val="0"/>
    <w:rPr>
      <w:rFonts w:ascii="黑体" w:hAnsi="黑体" w:eastAsia="仿宋"/>
      <w:b/>
      <w:sz w:val="36"/>
    </w:rPr>
  </w:style>
  <w:style w:type="character" w:customStyle="1" w:styleId="109">
    <w:name w:val="标题 2 字符"/>
    <w:link w:val="4"/>
    <w:qFormat/>
    <w:uiPriority w:val="0"/>
    <w:rPr>
      <w:rFonts w:ascii="Arial" w:hAnsi="Arial" w:eastAsia="黑体"/>
      <w:b/>
      <w:bCs/>
      <w:sz w:val="32"/>
      <w:szCs w:val="32"/>
    </w:rPr>
  </w:style>
  <w:style w:type="character" w:customStyle="1" w:styleId="110">
    <w:name w:val="标题 3 字符"/>
    <w:link w:val="5"/>
    <w:qFormat/>
    <w:uiPriority w:val="0"/>
    <w:rPr>
      <w:rFonts w:ascii="Times New Roman" w:hAnsi="Times New Roman"/>
      <w:b/>
      <w:sz w:val="32"/>
    </w:rPr>
  </w:style>
  <w:style w:type="character" w:customStyle="1" w:styleId="111">
    <w:name w:val="标题 6 字符"/>
    <w:link w:val="8"/>
    <w:qFormat/>
    <w:uiPriority w:val="0"/>
    <w:rPr>
      <w:rFonts w:ascii="Arial" w:hAnsi="Arial" w:eastAsia="黑体"/>
      <w:b/>
      <w:bCs/>
      <w:sz w:val="24"/>
      <w:szCs w:val="24"/>
    </w:rPr>
  </w:style>
  <w:style w:type="character" w:customStyle="1" w:styleId="112">
    <w:name w:val="标题 7 字符"/>
    <w:link w:val="9"/>
    <w:qFormat/>
    <w:uiPriority w:val="0"/>
    <w:rPr>
      <w:rFonts w:ascii="Times New Roman" w:hAnsi="Times New Roman"/>
      <w:b/>
      <w:bCs/>
      <w:sz w:val="24"/>
      <w:szCs w:val="24"/>
    </w:rPr>
  </w:style>
  <w:style w:type="character" w:customStyle="1" w:styleId="113">
    <w:name w:val="标题 8 字符"/>
    <w:link w:val="10"/>
    <w:qFormat/>
    <w:uiPriority w:val="0"/>
    <w:rPr>
      <w:rFonts w:ascii="Arial" w:hAnsi="Arial" w:eastAsia="黑体"/>
      <w:sz w:val="24"/>
      <w:szCs w:val="24"/>
    </w:rPr>
  </w:style>
  <w:style w:type="character" w:customStyle="1" w:styleId="114">
    <w:name w:val="标题 9 字符"/>
    <w:link w:val="11"/>
    <w:qFormat/>
    <w:uiPriority w:val="0"/>
    <w:rPr>
      <w:rFonts w:ascii="Arial" w:hAnsi="Arial" w:eastAsia="黑体"/>
      <w:sz w:val="21"/>
      <w:szCs w:val="21"/>
    </w:rPr>
  </w:style>
  <w:style w:type="character" w:customStyle="1" w:styleId="115">
    <w:name w:val="文档结构图 字符"/>
    <w:link w:val="15"/>
    <w:semiHidden/>
    <w:qFormat/>
    <w:uiPriority w:val="0"/>
    <w:rPr>
      <w:rFonts w:ascii="宋体" w:hAnsi="宋体"/>
      <w:szCs w:val="24"/>
      <w:shd w:val="clear" w:color="auto" w:fill="000080"/>
    </w:rPr>
  </w:style>
  <w:style w:type="character" w:customStyle="1" w:styleId="116">
    <w:name w:val="批注文字 字符"/>
    <w:link w:val="16"/>
    <w:qFormat/>
    <w:uiPriority w:val="0"/>
    <w:rPr>
      <w:rFonts w:ascii="Courier New" w:hAnsi="Courier New" w:eastAsia="宋体" w:cs="Courier New"/>
      <w:color w:val="000000"/>
      <w:kern w:val="0"/>
      <w:sz w:val="24"/>
      <w:szCs w:val="24"/>
      <w:lang w:val="zh-CN"/>
    </w:rPr>
  </w:style>
  <w:style w:type="character" w:customStyle="1" w:styleId="117">
    <w:name w:val="正文文本缩进 字符"/>
    <w:link w:val="17"/>
    <w:qFormat/>
    <w:uiPriority w:val="0"/>
    <w:rPr>
      <w:rFonts w:ascii="宋体" w:hAnsi="宋体"/>
      <w:szCs w:val="24"/>
    </w:rPr>
  </w:style>
  <w:style w:type="character" w:customStyle="1" w:styleId="118">
    <w:name w:val="纯文本 字符"/>
    <w:link w:val="23"/>
    <w:qFormat/>
    <w:uiPriority w:val="0"/>
    <w:rPr>
      <w:rFonts w:ascii="宋体" w:hAnsi="Courier New"/>
      <w:kern w:val="2"/>
      <w:sz w:val="21"/>
    </w:rPr>
  </w:style>
  <w:style w:type="character" w:customStyle="1" w:styleId="119">
    <w:name w:val="日期 字符"/>
    <w:link w:val="25"/>
    <w:semiHidden/>
    <w:qFormat/>
    <w:uiPriority w:val="99"/>
  </w:style>
  <w:style w:type="character" w:customStyle="1" w:styleId="120">
    <w:name w:val="正文文本缩进 2 字符"/>
    <w:link w:val="26"/>
    <w:qFormat/>
    <w:uiPriority w:val="0"/>
    <w:rPr>
      <w:rFonts w:ascii="宋体" w:hAnsi="宋体"/>
      <w:szCs w:val="24"/>
    </w:rPr>
  </w:style>
  <w:style w:type="character" w:customStyle="1" w:styleId="121">
    <w:name w:val="批注框文本 字符"/>
    <w:link w:val="27"/>
    <w:semiHidden/>
    <w:qFormat/>
    <w:uiPriority w:val="99"/>
    <w:rPr>
      <w:sz w:val="18"/>
      <w:szCs w:val="18"/>
    </w:rPr>
  </w:style>
  <w:style w:type="character" w:customStyle="1" w:styleId="122">
    <w:name w:val="页脚 字符"/>
    <w:link w:val="28"/>
    <w:qFormat/>
    <w:uiPriority w:val="99"/>
    <w:rPr>
      <w:sz w:val="18"/>
      <w:szCs w:val="18"/>
    </w:rPr>
  </w:style>
  <w:style w:type="character" w:customStyle="1" w:styleId="123">
    <w:name w:val="页眉 字符"/>
    <w:link w:val="29"/>
    <w:qFormat/>
    <w:uiPriority w:val="99"/>
    <w:rPr>
      <w:sz w:val="18"/>
      <w:szCs w:val="18"/>
    </w:rPr>
  </w:style>
  <w:style w:type="character" w:customStyle="1" w:styleId="124">
    <w:name w:val="标题 字符"/>
    <w:link w:val="39"/>
    <w:qFormat/>
    <w:uiPriority w:val="0"/>
    <w:rPr>
      <w:rFonts w:ascii="Arial" w:hAnsi="Arial" w:cs="Arial"/>
      <w:b/>
      <w:bCs/>
      <w:sz w:val="32"/>
      <w:szCs w:val="32"/>
    </w:rPr>
  </w:style>
  <w:style w:type="character" w:customStyle="1" w:styleId="125">
    <w:name w:val="批注主题 字符"/>
    <w:link w:val="40"/>
    <w:semiHidden/>
    <w:qFormat/>
    <w:uiPriority w:val="0"/>
    <w:rPr>
      <w:rFonts w:ascii="宋体" w:hAnsi="宋体" w:eastAsia="宋体" w:cs="Courier New"/>
      <w:b/>
      <w:bCs/>
      <w:color w:val="000000"/>
      <w:kern w:val="0"/>
      <w:sz w:val="24"/>
      <w:szCs w:val="24"/>
      <w:lang w:val="zh-CN"/>
    </w:rPr>
  </w:style>
  <w:style w:type="character" w:customStyle="1" w:styleId="126">
    <w:name w:val="标题 1 字符"/>
    <w:link w:val="3"/>
    <w:qFormat/>
    <w:uiPriority w:val="0"/>
    <w:rPr>
      <w:rFonts w:ascii="黑体" w:hAnsi="黑体" w:eastAsia="仿宋"/>
      <w:b/>
      <w:sz w:val="30"/>
    </w:rPr>
  </w:style>
  <w:style w:type="character" w:customStyle="1" w:styleId="127">
    <w:name w:val="font31"/>
    <w:qFormat/>
    <w:uiPriority w:val="0"/>
    <w:rPr>
      <w:rFonts w:hint="eastAsia" w:ascii="宋体" w:hAnsi="宋体" w:eastAsia="宋体" w:cs="宋体"/>
      <w:color w:val="000000"/>
      <w:sz w:val="20"/>
      <w:szCs w:val="20"/>
      <w:u w:val="none"/>
    </w:rPr>
  </w:style>
  <w:style w:type="character" w:customStyle="1" w:styleId="128">
    <w:name w:val="font71"/>
    <w:qFormat/>
    <w:uiPriority w:val="0"/>
    <w:rPr>
      <w:rFonts w:ascii="仿宋_GB2312" w:eastAsia="仿宋_GB2312" w:cs="仿宋_GB2312"/>
      <w:color w:val="000000"/>
      <w:sz w:val="24"/>
      <w:szCs w:val="24"/>
      <w:u w:val="none"/>
    </w:rPr>
  </w:style>
  <w:style w:type="character" w:customStyle="1" w:styleId="129">
    <w:name w:val="正文文本 (2)"/>
    <w:qFormat/>
    <w:uiPriority w:val="0"/>
    <w:rPr>
      <w:rFonts w:ascii="MingLiU" w:eastAsia="MingLiU" w:cs="MingLiU"/>
      <w:sz w:val="22"/>
      <w:shd w:val="clear" w:color="auto" w:fill="FFFFFF"/>
    </w:rPr>
  </w:style>
  <w:style w:type="character" w:customStyle="1" w:styleId="130">
    <w:name w:val="font01"/>
    <w:qFormat/>
    <w:uiPriority w:val="0"/>
    <w:rPr>
      <w:rFonts w:hint="default" w:ascii="Arial" w:hAnsi="Arial" w:cs="Arial"/>
      <w:color w:val="000000"/>
      <w:sz w:val="20"/>
      <w:szCs w:val="20"/>
      <w:u w:val="none"/>
    </w:rPr>
  </w:style>
  <w:style w:type="character" w:customStyle="1" w:styleId="131">
    <w:name w:val="标题1"/>
    <w:qFormat/>
    <w:uiPriority w:val="0"/>
  </w:style>
  <w:style w:type="character" w:customStyle="1" w:styleId="132">
    <w:name w:val="hover2"/>
    <w:qFormat/>
    <w:uiPriority w:val="0"/>
  </w:style>
  <w:style w:type="character" w:customStyle="1" w:styleId="133">
    <w:name w:val="font61"/>
    <w:qFormat/>
    <w:uiPriority w:val="0"/>
    <w:rPr>
      <w:rFonts w:hint="default" w:ascii="Times New Roman" w:hAnsi="Times New Roman" w:cs="Times New Roman"/>
      <w:color w:val="000000"/>
      <w:sz w:val="24"/>
      <w:szCs w:val="24"/>
      <w:u w:val="none"/>
    </w:rPr>
  </w:style>
  <w:style w:type="character" w:customStyle="1" w:styleId="134">
    <w:name w:val="flatpickr-day2"/>
    <w:basedOn w:val="45"/>
    <w:qFormat/>
    <w:uiPriority w:val="0"/>
  </w:style>
  <w:style w:type="character" w:customStyle="1" w:styleId="135">
    <w:name w:val="hover"/>
    <w:qFormat/>
    <w:uiPriority w:val="0"/>
    <w:rPr>
      <w:color w:val="2590EB"/>
    </w:rPr>
  </w:style>
  <w:style w:type="character" w:customStyle="1" w:styleId="136">
    <w:name w:val="font91"/>
    <w:qFormat/>
    <w:uiPriority w:val="0"/>
    <w:rPr>
      <w:rFonts w:hint="eastAsia" w:ascii="宋体" w:hAnsi="宋体" w:eastAsia="宋体" w:cs="宋体"/>
      <w:color w:val="000000"/>
      <w:sz w:val="22"/>
      <w:szCs w:val="22"/>
      <w:u w:val="none"/>
    </w:rPr>
  </w:style>
  <w:style w:type="character" w:customStyle="1" w:styleId="137">
    <w:name w:val="font81"/>
    <w:qFormat/>
    <w:uiPriority w:val="0"/>
    <w:rPr>
      <w:rFonts w:hint="default" w:ascii="Times New Roman" w:hAnsi="Times New Roman" w:cs="Times New Roman"/>
      <w:color w:val="000000"/>
      <w:sz w:val="22"/>
      <w:szCs w:val="22"/>
      <w:u w:val="none"/>
    </w:rPr>
  </w:style>
  <w:style w:type="character" w:customStyle="1" w:styleId="138">
    <w:name w:val="正文文本 (3)_"/>
    <w:link w:val="60"/>
    <w:qFormat/>
    <w:uiPriority w:val="0"/>
    <w:rPr>
      <w:rFonts w:ascii="MingLiU" w:eastAsia="MingLiU" w:cs="MingLiU"/>
      <w:spacing w:val="50"/>
      <w:sz w:val="50"/>
      <w:szCs w:val="50"/>
      <w:shd w:val="clear" w:color="auto" w:fill="FFFFFF"/>
    </w:rPr>
  </w:style>
  <w:style w:type="character" w:customStyle="1" w:styleId="139">
    <w:name w:val="flatpickr-day"/>
    <w:qFormat/>
    <w:uiPriority w:val="0"/>
  </w:style>
  <w:style w:type="character" w:customStyle="1" w:styleId="140">
    <w:name w:val="flatpickr-weekday2"/>
    <w:qFormat/>
    <w:uiPriority w:val="0"/>
    <w:rPr>
      <w:b/>
      <w:bCs/>
      <w:sz w:val="21"/>
      <w:szCs w:val="21"/>
    </w:rPr>
  </w:style>
  <w:style w:type="character" w:customStyle="1" w:styleId="141">
    <w:name w:val="hover3"/>
    <w:qFormat/>
    <w:uiPriority w:val="0"/>
  </w:style>
  <w:style w:type="character" w:customStyle="1" w:styleId="142">
    <w:name w:val="font21"/>
    <w:qFormat/>
    <w:uiPriority w:val="0"/>
    <w:rPr>
      <w:rFonts w:hint="default" w:ascii="Arial" w:hAnsi="Arial" w:cs="Arial"/>
      <w:b/>
      <w:bCs/>
      <w:color w:val="000000"/>
      <w:sz w:val="20"/>
      <w:szCs w:val="20"/>
      <w:u w:val="none"/>
    </w:rPr>
  </w:style>
  <w:style w:type="character" w:customStyle="1" w:styleId="143">
    <w:name w:val="正文文本 (2)_"/>
    <w:link w:val="61"/>
    <w:qFormat/>
    <w:uiPriority w:val="0"/>
    <w:rPr>
      <w:rFonts w:ascii="MingLiU" w:eastAsia="MingLiU" w:cs="MingLiU"/>
      <w:sz w:val="22"/>
      <w:shd w:val="clear" w:color="auto" w:fill="FFFFFF"/>
    </w:rPr>
  </w:style>
  <w:style w:type="character" w:customStyle="1" w:styleId="144">
    <w:name w:val="标题 2 Char Char Char Char Char Char Char Char Char Char Char Char Char Char Char Char Char Char Char Char Char"/>
    <w:qFormat/>
    <w:uiPriority w:val="0"/>
  </w:style>
  <w:style w:type="character" w:customStyle="1" w:styleId="145">
    <w:name w:val="hover1"/>
    <w:qFormat/>
    <w:uiPriority w:val="0"/>
    <w:rPr>
      <w:color w:val="2590EB"/>
    </w:rPr>
  </w:style>
  <w:style w:type="character" w:customStyle="1" w:styleId="146">
    <w:name w:val="layui-laypage-curr"/>
    <w:qFormat/>
    <w:uiPriority w:val="0"/>
  </w:style>
  <w:style w:type="character" w:customStyle="1" w:styleId="147">
    <w:name w:val="font11"/>
    <w:qFormat/>
    <w:uiPriority w:val="0"/>
    <w:rPr>
      <w:rFonts w:hint="eastAsia" w:ascii="宋体" w:hAnsi="宋体" w:eastAsia="宋体" w:cs="宋体"/>
      <w:b/>
      <w:bCs/>
      <w:color w:val="000000"/>
      <w:sz w:val="20"/>
      <w:szCs w:val="20"/>
      <w:u w:val="none"/>
    </w:rPr>
  </w:style>
  <w:style w:type="character" w:customStyle="1" w:styleId="148">
    <w:name w:val="font51"/>
    <w:qFormat/>
    <w:uiPriority w:val="0"/>
    <w:rPr>
      <w:rFonts w:hint="eastAsia" w:ascii="宋体" w:hAnsi="宋体" w:eastAsia="宋体" w:cs="宋体"/>
      <w:color w:val="000000"/>
      <w:sz w:val="24"/>
      <w:szCs w:val="24"/>
      <w:u w:val="none"/>
    </w:rPr>
  </w:style>
  <w:style w:type="character" w:customStyle="1" w:styleId="149">
    <w:name w:val="layui-layer-tabnow"/>
    <w:qFormat/>
    <w:uiPriority w:val="0"/>
    <w:rPr>
      <w:bdr w:val="single" w:color="CCCCCC" w:sz="6" w:space="0"/>
      <w:shd w:val="clear" w:color="auto" w:fill="FFFFFF"/>
    </w:rPr>
  </w:style>
  <w:style w:type="character" w:customStyle="1" w:styleId="150">
    <w:name w:val="first-child"/>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96</Pages>
  <Words>15619</Words>
  <Characters>17056</Characters>
  <Lines>312</Lines>
  <Paragraphs>87</Paragraphs>
  <TotalTime>12</TotalTime>
  <ScaleCrop>false</ScaleCrop>
  <LinksUpToDate>false</LinksUpToDate>
  <CharactersWithSpaces>17227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2024-05-27T08:08:00Z</dcterms:created>
  <dc:creator>Sky123.Org</dc:creator>
  <cp:lastModifiedBy>蓝致</cp:lastModifiedBy>
  <cp:lastPrinted>2024-05-07T02:17:00Z</cp:lastPrinted>
  <dcterms:modified xsi:type="dcterms:W3CDTF">2026-08-31T07:37:41Z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26F786396B7F408CA6817654D9F3F70A_13</vt:lpwstr>
  </property>
  <property fmtid="{D5CDD505-2E9C-101B-9397-08002B2CF9AE}" pid="4" name="KSOTemplateDocerSaveRecord">
    <vt:lpwstr>eyJoZGlkIjoiMGJhOWM3OGMyZGI1M2U0ZjQ3MzIyYTVkZTY1MmVhYmIiLCJ1c2VySWQiOiI5NzYzMjc3NjUifQ==</vt:lpwstr>
  </property>
</Properties>
</file>