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1539F3">
      <w:pPr>
        <w:jc w:val="center"/>
        <w:rPr>
          <w:rFonts w:hint="eastAsia" w:ascii="仿宋" w:hAnsi="仿宋" w:eastAsia="仿宋" w:cs="仿宋"/>
          <w:b/>
          <w:bCs/>
          <w:sz w:val="44"/>
          <w:szCs w:val="44"/>
        </w:rPr>
      </w:pPr>
      <w:r>
        <w:rPr>
          <w:rFonts w:hint="eastAsia" w:ascii="仿宋" w:hAnsi="仿宋" w:eastAsia="仿宋" w:cs="仿宋"/>
          <w:b/>
          <w:bCs/>
          <w:sz w:val="44"/>
          <w:szCs w:val="44"/>
          <w:lang w:val="zh-CN"/>
        </w:rPr>
        <w:t>工程量清单</w:t>
      </w:r>
      <w:r>
        <w:rPr>
          <w:rFonts w:hint="eastAsia" w:ascii="仿宋" w:hAnsi="仿宋" w:eastAsia="仿宋" w:cs="仿宋"/>
          <w:b/>
          <w:bCs/>
          <w:sz w:val="44"/>
          <w:szCs w:val="44"/>
        </w:rPr>
        <w:t>编制说明</w:t>
      </w:r>
    </w:p>
    <w:p w14:paraId="241DF1C7">
      <w:pPr>
        <w:jc w:val="center"/>
        <w:rPr>
          <w:rFonts w:hint="eastAsia" w:ascii="仿宋" w:hAnsi="仿宋" w:eastAsia="仿宋" w:cs="仿宋"/>
          <w:sz w:val="28"/>
          <w:szCs w:val="28"/>
        </w:rPr>
      </w:pPr>
    </w:p>
    <w:p w14:paraId="29CA94D3">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lang w:val="zh-CN"/>
        </w:rPr>
        <w:t>一、工程概况：</w:t>
      </w:r>
    </w:p>
    <w:p w14:paraId="5A9DE783">
      <w:pPr>
        <w:spacing w:line="360" w:lineRule="auto"/>
        <w:ind w:firstLine="560"/>
        <w:rPr>
          <w:rFonts w:hint="eastAsia" w:ascii="仿宋" w:hAnsi="仿宋" w:eastAsia="仿宋" w:cs="仿宋"/>
          <w:sz w:val="28"/>
          <w:szCs w:val="28"/>
          <w:lang w:val="en-US" w:eastAsia="zh-CN"/>
        </w:rPr>
      </w:pPr>
      <w:r>
        <w:rPr>
          <w:rFonts w:hint="eastAsia" w:ascii="仿宋" w:hAnsi="仿宋" w:eastAsia="仿宋" w:cs="仿宋"/>
          <w:sz w:val="28"/>
          <w:szCs w:val="28"/>
          <w:lang w:val="zh-CN"/>
        </w:rPr>
        <w:t>1、工程名称：</w:t>
      </w:r>
      <w:r>
        <w:rPr>
          <w:rFonts w:hint="eastAsia" w:ascii="仿宋" w:hAnsi="仿宋" w:eastAsia="仿宋" w:cs="仿宋"/>
          <w:sz w:val="28"/>
          <w:szCs w:val="28"/>
          <w:lang w:val="en-US" w:eastAsia="zh-CN"/>
        </w:rPr>
        <w:t>2026年滨海新区碧海康居、山海明圣等小区排水工程</w:t>
      </w:r>
    </w:p>
    <w:p w14:paraId="3181F112">
      <w:pPr>
        <w:spacing w:line="360" w:lineRule="auto"/>
        <w:ind w:firstLine="560" w:firstLineChars="200"/>
        <w:rPr>
          <w:rFonts w:hint="eastAsia" w:ascii="仿宋" w:hAnsi="仿宋" w:eastAsia="仿宋" w:cs="仿宋"/>
          <w:sz w:val="28"/>
          <w:szCs w:val="28"/>
          <w:lang w:val="zh-CN"/>
        </w:rPr>
      </w:pPr>
      <w:r>
        <w:rPr>
          <w:rFonts w:hint="eastAsia" w:ascii="仿宋" w:hAnsi="仿宋" w:eastAsia="仿宋" w:cs="仿宋"/>
          <w:sz w:val="28"/>
          <w:szCs w:val="28"/>
          <w:lang w:val="zh-CN"/>
        </w:rPr>
        <w:t>2、工程位置：</w:t>
      </w:r>
      <w:r>
        <w:rPr>
          <w:rFonts w:hint="eastAsia" w:ascii="仿宋" w:hAnsi="仿宋" w:eastAsia="仿宋" w:cs="仿宋"/>
          <w:color w:val="000000"/>
          <w:kern w:val="0"/>
          <w:sz w:val="28"/>
          <w:szCs w:val="28"/>
          <w:lang w:val="zh-CN"/>
        </w:rPr>
        <w:t>乳山市滨海新区</w:t>
      </w:r>
      <w:r>
        <w:rPr>
          <w:rFonts w:hint="eastAsia" w:ascii="仿宋" w:hAnsi="仿宋" w:eastAsia="仿宋" w:cs="仿宋"/>
          <w:sz w:val="28"/>
          <w:szCs w:val="28"/>
          <w:lang w:val="zh-CN"/>
        </w:rPr>
        <w:t>。</w:t>
      </w:r>
    </w:p>
    <w:p w14:paraId="332212D0">
      <w:pPr>
        <w:spacing w:line="360" w:lineRule="auto"/>
        <w:ind w:firstLine="560"/>
        <w:rPr>
          <w:rFonts w:hint="eastAsia" w:ascii="仿宋" w:hAnsi="仿宋" w:eastAsia="仿宋" w:cs="仿宋"/>
          <w:b w:val="0"/>
          <w:bCs w:val="0"/>
          <w:color w:val="auto"/>
          <w:sz w:val="28"/>
          <w:szCs w:val="28"/>
          <w:lang w:val="en-US" w:eastAsia="zh-CN"/>
        </w:rPr>
      </w:pPr>
      <w:r>
        <w:rPr>
          <w:rFonts w:hint="eastAsia" w:ascii="仿宋" w:hAnsi="仿宋" w:eastAsia="仿宋" w:cs="仿宋"/>
          <w:sz w:val="28"/>
          <w:szCs w:val="28"/>
          <w:lang w:val="zh-CN"/>
        </w:rPr>
        <w:t>3、工程内容：</w:t>
      </w:r>
      <w:r>
        <w:rPr>
          <w:rFonts w:hint="eastAsia" w:ascii="仿宋" w:hAnsi="仿宋" w:eastAsia="仿宋" w:cs="仿宋"/>
          <w:sz w:val="28"/>
          <w:szCs w:val="28"/>
          <w:lang w:val="en-US" w:eastAsia="zh-CN"/>
        </w:rPr>
        <w:t>碧海康居、山海明圣等小区排水工程</w:t>
      </w:r>
      <w:r>
        <w:rPr>
          <w:rFonts w:hint="eastAsia" w:ascii="仿宋" w:hAnsi="仿宋" w:eastAsia="仿宋" w:cs="仿宋"/>
          <w:color w:val="auto"/>
          <w:sz w:val="28"/>
          <w:szCs w:val="28"/>
          <w:lang w:val="en-US" w:eastAsia="zh-CN"/>
        </w:rPr>
        <w:t>改造。</w:t>
      </w:r>
      <w:r>
        <w:rPr>
          <w:rFonts w:hint="eastAsia" w:ascii="仿宋" w:hAnsi="仿宋" w:eastAsia="仿宋" w:cs="仿宋"/>
          <w:b w:val="0"/>
          <w:bCs w:val="0"/>
          <w:color w:val="auto"/>
          <w:sz w:val="28"/>
          <w:szCs w:val="28"/>
          <w:lang w:val="en-US" w:eastAsia="zh-CN"/>
        </w:rPr>
        <w:t>主要工作内容包含管沟开挖、回填，小区路面拆除、恢复，管道安装等。</w:t>
      </w:r>
    </w:p>
    <w:p w14:paraId="1E008810">
      <w:pPr>
        <w:spacing w:beforeLines="0" w:afterLines="0"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lang w:val="en-US" w:eastAsia="zh-CN"/>
        </w:rPr>
        <w:t>二、</w:t>
      </w:r>
      <w:r>
        <w:rPr>
          <w:rFonts w:hint="eastAsia" w:ascii="仿宋" w:hAnsi="仿宋" w:eastAsia="仿宋" w:cs="仿宋"/>
          <w:b/>
          <w:sz w:val="28"/>
          <w:szCs w:val="28"/>
          <w:lang w:val="zh-CN"/>
        </w:rPr>
        <w:t>编制依据：</w:t>
      </w:r>
    </w:p>
    <w:p w14:paraId="44C150A7">
      <w:pPr>
        <w:snapToGrid w:val="0"/>
        <w:spacing w:line="360" w:lineRule="auto"/>
        <w:ind w:left="759" w:leftChars="228" w:hanging="280" w:hangingChars="100"/>
        <w:rPr>
          <w:rFonts w:hint="eastAsia" w:ascii="仿宋" w:hAnsi="仿宋" w:eastAsia="仿宋" w:cs="仿宋"/>
          <w:sz w:val="28"/>
          <w:szCs w:val="28"/>
        </w:rPr>
      </w:pPr>
      <w:r>
        <w:rPr>
          <w:rFonts w:hint="eastAsia" w:ascii="仿宋" w:hAnsi="仿宋" w:eastAsia="仿宋" w:cs="仿宋"/>
          <w:sz w:val="28"/>
          <w:szCs w:val="28"/>
        </w:rPr>
        <w:t>1.建设部《建设工程工程量清单计价规范》(GB50500-2024)；</w:t>
      </w:r>
    </w:p>
    <w:p w14:paraId="2B360ADF">
      <w:pPr>
        <w:snapToGrid w:val="0"/>
        <w:spacing w:line="360" w:lineRule="auto"/>
        <w:ind w:left="479" w:leftChars="228"/>
        <w:rPr>
          <w:rFonts w:hint="eastAsia" w:ascii="仿宋" w:hAnsi="仿宋" w:eastAsia="仿宋" w:cs="仿宋"/>
          <w:sz w:val="28"/>
          <w:szCs w:val="28"/>
        </w:rPr>
      </w:pPr>
      <w:r>
        <w:rPr>
          <w:rFonts w:hint="eastAsia" w:ascii="仿宋" w:hAnsi="仿宋" w:eastAsia="仿宋" w:cs="仿宋"/>
          <w:sz w:val="28"/>
          <w:szCs w:val="28"/>
        </w:rPr>
        <w:t>2.省和市建设主管部门颁发的计价定额和计价管理办法及有关计价要求；</w:t>
      </w:r>
    </w:p>
    <w:p w14:paraId="1ADBD24D">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3.招标单位提供的图纸、资料；</w:t>
      </w:r>
    </w:p>
    <w:p w14:paraId="44E57ECF">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4.与建设项目相关的标准设计图集、规范、技术资料等。</w:t>
      </w:r>
    </w:p>
    <w:p w14:paraId="4390504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5.建筑市场情况。</w:t>
      </w:r>
    </w:p>
    <w:p w14:paraId="60E01BAA">
      <w:pPr>
        <w:spacing w:line="360" w:lineRule="auto"/>
        <w:ind w:firstLine="562" w:firstLineChars="200"/>
        <w:rPr>
          <w:rFonts w:hint="eastAsia" w:ascii="仿宋" w:hAnsi="仿宋" w:eastAsia="仿宋" w:cs="仿宋"/>
          <w:b/>
          <w:sz w:val="28"/>
          <w:szCs w:val="28"/>
        </w:rPr>
      </w:pPr>
      <w:r>
        <w:rPr>
          <w:rFonts w:hint="eastAsia" w:ascii="仿宋" w:hAnsi="仿宋" w:eastAsia="仿宋" w:cs="仿宋"/>
          <w:b/>
          <w:sz w:val="28"/>
          <w:szCs w:val="28"/>
          <w:lang w:val="en-US" w:eastAsia="zh-CN"/>
        </w:rPr>
        <w:t>三</w:t>
      </w:r>
      <w:r>
        <w:rPr>
          <w:rFonts w:hint="eastAsia" w:ascii="仿宋" w:hAnsi="仿宋" w:eastAsia="仿宋" w:cs="仿宋"/>
          <w:b/>
          <w:sz w:val="28"/>
          <w:szCs w:val="28"/>
          <w:lang w:val="zh-CN"/>
        </w:rPr>
        <w:t>、说明事项：</w:t>
      </w:r>
    </w:p>
    <w:p w14:paraId="4F762E02">
      <w:pPr>
        <w:spacing w:line="360" w:lineRule="auto"/>
        <w:rPr>
          <w:rFonts w:hint="eastAsia" w:ascii="仿宋" w:hAnsi="仿宋" w:eastAsia="仿宋" w:cs="仿宋"/>
          <w:sz w:val="28"/>
          <w:szCs w:val="28"/>
        </w:rPr>
      </w:pPr>
      <w:r>
        <w:rPr>
          <w:rFonts w:hint="eastAsia" w:ascii="仿宋" w:hAnsi="仿宋" w:eastAsia="仿宋" w:cs="仿宋"/>
          <w:b/>
          <w:sz w:val="28"/>
          <w:szCs w:val="28"/>
        </w:rPr>
        <w:t xml:space="preserve">    </w:t>
      </w:r>
      <w:r>
        <w:rPr>
          <w:rFonts w:hint="eastAsia" w:ascii="仿宋" w:hAnsi="仿宋" w:eastAsia="仿宋" w:cs="仿宋"/>
          <w:sz w:val="28"/>
          <w:szCs w:val="28"/>
          <w:lang w:val="zh-CN"/>
        </w:rPr>
        <w:t>1、投标单位参与投标视为已考察工程现场，对现场情况（包括工地位置情况、道路、存贮空间、装运限制及任何其他足以影响报价的情况）已较为了解和充分预计，并能根据已了解情况合理组织完成施工。现场原有工程的实际情况（包括与其他专业施工单位交接过程中的各种因素）视为在报价中已充分考虑，任何因忽视或误解工地情况而导致的索赔或工期延长将不被批准。</w:t>
      </w:r>
    </w:p>
    <w:p w14:paraId="6B549FC9">
      <w:pPr>
        <w:spacing w:line="360" w:lineRule="auto"/>
        <w:ind w:firstLine="555"/>
        <w:rPr>
          <w:rFonts w:hint="eastAsia" w:ascii="仿宋" w:hAnsi="仿宋" w:eastAsia="仿宋" w:cs="仿宋"/>
          <w:sz w:val="28"/>
          <w:szCs w:val="28"/>
        </w:rPr>
      </w:pPr>
      <w:r>
        <w:rPr>
          <w:rFonts w:hint="eastAsia" w:ascii="仿宋" w:hAnsi="仿宋" w:eastAsia="仿宋" w:cs="仿宋"/>
          <w:sz w:val="28"/>
          <w:szCs w:val="28"/>
          <w:lang w:val="zh-CN"/>
        </w:rPr>
        <w:t>2、所有清单综合单价应含其子目的全部工作内容的费用（与图纸和技术要求不一致、特别注明的除外），对不予计量的工作内容，其费用应视为已分摊在综合单价或总价之中。</w:t>
      </w:r>
    </w:p>
    <w:p w14:paraId="77F3954A">
      <w:pPr>
        <w:spacing w:line="360" w:lineRule="auto"/>
        <w:ind w:firstLine="555"/>
        <w:rPr>
          <w:rFonts w:hint="eastAsia" w:ascii="仿宋" w:hAnsi="仿宋" w:eastAsia="仿宋" w:cs="仿宋"/>
          <w:sz w:val="28"/>
          <w:szCs w:val="28"/>
          <w:lang w:val="zh-CN"/>
        </w:rPr>
      </w:pPr>
      <w:r>
        <w:rPr>
          <w:rFonts w:hint="eastAsia" w:ascii="仿宋" w:hAnsi="仿宋" w:eastAsia="仿宋" w:cs="仿宋"/>
          <w:sz w:val="28"/>
          <w:szCs w:val="28"/>
          <w:lang w:val="zh-CN"/>
        </w:rPr>
        <w:t>3、投标单位在投标报价时，应根据企业自身实力结合市场信息，充分考虑市场竞争因素和市场风险进行自主报价。</w:t>
      </w:r>
    </w:p>
    <w:p w14:paraId="62E0A0BD">
      <w:pPr>
        <w:spacing w:line="360" w:lineRule="auto"/>
        <w:ind w:firstLine="555"/>
        <w:rPr>
          <w:rFonts w:hint="eastAsia" w:ascii="仿宋" w:hAnsi="仿宋" w:eastAsia="仿宋" w:cs="仿宋"/>
          <w:sz w:val="28"/>
          <w:szCs w:val="28"/>
          <w:lang w:val="zh-CN"/>
        </w:rPr>
      </w:pPr>
      <w:r>
        <w:rPr>
          <w:rFonts w:hint="eastAsia" w:ascii="仿宋" w:hAnsi="仿宋" w:eastAsia="仿宋" w:cs="仿宋"/>
          <w:sz w:val="28"/>
          <w:szCs w:val="28"/>
          <w:lang w:val="zh-CN"/>
        </w:rPr>
        <w:t>4、工程量清单计价表中的综合单价应包括完成本项目（清单子目）内容所需的人工费、材料费、机械使用费、制作费、运输费、安装费、管理费、利润、自主报价材料的采保费、损耗等，并考虑风险因素，以及为完成本工程项目（清单子目）的施工所发生于该工程施工前和施工过程中技术、生活、安全等方面的非工程实体项目费用，以及招标文件和合同中明确的其他责任和义务。</w:t>
      </w:r>
    </w:p>
    <w:p w14:paraId="2D80210A">
      <w:pPr>
        <w:spacing w:line="360" w:lineRule="auto"/>
        <w:ind w:firstLine="555"/>
        <w:rPr>
          <w:rFonts w:hint="eastAsia" w:ascii="仿宋" w:hAnsi="仿宋" w:eastAsia="仿宋" w:cs="仿宋"/>
          <w:sz w:val="28"/>
          <w:szCs w:val="28"/>
          <w:lang w:val="zh-CN"/>
        </w:rPr>
      </w:pPr>
      <w:r>
        <w:rPr>
          <w:rFonts w:hint="eastAsia" w:ascii="仿宋" w:hAnsi="仿宋" w:eastAsia="仿宋" w:cs="仿宋"/>
          <w:sz w:val="28"/>
          <w:szCs w:val="28"/>
          <w:lang w:val="zh-CN"/>
        </w:rPr>
        <w:t>5、投标单位应详细填写工程量清单计价表中的每一项综合单价及合价，如某一项没有填写视为已包括在其它项目清单的综合单价及总价内。</w:t>
      </w:r>
    </w:p>
    <w:p w14:paraId="48FC980C">
      <w:pPr>
        <w:spacing w:line="360" w:lineRule="auto"/>
        <w:ind w:firstLine="555"/>
        <w:rPr>
          <w:rFonts w:hint="eastAsia" w:ascii="仿宋" w:hAnsi="仿宋" w:eastAsia="仿宋" w:cs="仿宋"/>
          <w:sz w:val="28"/>
          <w:szCs w:val="28"/>
          <w:lang w:val="zh-CN"/>
        </w:rPr>
      </w:pPr>
      <w:r>
        <w:rPr>
          <w:rFonts w:hint="eastAsia" w:ascii="仿宋" w:hAnsi="仿宋" w:eastAsia="仿宋" w:cs="仿宋"/>
          <w:sz w:val="28"/>
          <w:szCs w:val="28"/>
          <w:lang w:val="zh-CN"/>
        </w:rPr>
        <w:t>6、投标单位必须完成所有按国家相关法律法规、行业规范等文件要求的检验、检测和验收工作；由此产生的费用投标单位在报价时须予以考虑，结算时不增加此部分费用。</w:t>
      </w:r>
    </w:p>
    <w:p w14:paraId="2812D98C">
      <w:pPr>
        <w:spacing w:line="360" w:lineRule="auto"/>
        <w:ind w:firstLine="555"/>
        <w:rPr>
          <w:rFonts w:hint="eastAsia" w:ascii="仿宋" w:hAnsi="仿宋" w:eastAsia="仿宋" w:cs="仿宋"/>
          <w:sz w:val="28"/>
          <w:szCs w:val="28"/>
          <w:lang w:val="zh-CN"/>
        </w:rPr>
      </w:pPr>
      <w:r>
        <w:rPr>
          <w:rFonts w:hint="eastAsia" w:ascii="仿宋" w:hAnsi="仿宋" w:eastAsia="仿宋" w:cs="仿宋"/>
          <w:sz w:val="28"/>
          <w:szCs w:val="28"/>
          <w:lang w:val="zh-CN"/>
        </w:rPr>
        <w:t>7、工程施工中，为保证工程质量，施工单位自行采取的施工工艺、施工措施项目，均由投标单位在报价时自行考虑，结算时不增加此部分费用。</w:t>
      </w:r>
    </w:p>
    <w:p w14:paraId="55BC88B8">
      <w:pPr>
        <w:spacing w:line="360" w:lineRule="auto"/>
        <w:ind w:firstLine="555"/>
        <w:rPr>
          <w:rFonts w:hint="eastAsia" w:ascii="仿宋" w:hAnsi="仿宋" w:eastAsia="仿宋" w:cs="仿宋"/>
          <w:sz w:val="28"/>
          <w:szCs w:val="28"/>
          <w:lang w:val="zh-CN"/>
        </w:rPr>
      </w:pPr>
      <w:r>
        <w:rPr>
          <w:rFonts w:hint="eastAsia" w:ascii="仿宋" w:hAnsi="仿宋" w:eastAsia="仿宋" w:cs="仿宋"/>
          <w:sz w:val="28"/>
          <w:szCs w:val="28"/>
          <w:lang w:val="zh-CN"/>
        </w:rPr>
        <w:t>8、所有材料均应选用符合国标的产品，在投标文件中注明选用材料的品牌，所有由投标单位自主报价的材料，采购前中标单位均须提供样品，经招标人同意后方可使用；若中标单位提供的样品不符合招标文件的质量档次要求，招标人有权指定供应商，一切费用由中标单位承担。</w:t>
      </w:r>
    </w:p>
    <w:p w14:paraId="72B93108">
      <w:pPr>
        <w:spacing w:line="360" w:lineRule="auto"/>
        <w:ind w:firstLine="560"/>
        <w:rPr>
          <w:rFonts w:hint="eastAsia" w:ascii="仿宋" w:hAnsi="仿宋" w:eastAsia="仿宋" w:cs="仿宋"/>
          <w:sz w:val="28"/>
          <w:szCs w:val="28"/>
          <w:lang w:val="zh-CN"/>
        </w:rPr>
      </w:pPr>
      <w:r>
        <w:rPr>
          <w:rFonts w:hint="eastAsia" w:ascii="仿宋" w:hAnsi="仿宋" w:eastAsia="仿宋" w:cs="仿宋"/>
          <w:sz w:val="28"/>
          <w:szCs w:val="28"/>
          <w:lang w:val="zh-CN"/>
        </w:rPr>
        <w:t>9、工程量清单中的工作内容和项目特征描述，均为分部分项清单项目的主要内容。若有未列全的其他内容由投标单位按照招标文件、设计图纸、规范等资料要求综合考虑；设计及规范等资料未明确的由投标单位根据现场考察、施工经验和相关资料综合考虑；或于答疑前书面提出，在答疑时统一解决。所有分部分项工程量清单均以完成该清单项目的所有内容为准考虑到综合报价中，结算时不予调整。结算时对清单特征描述中未施工的部分予以相应的扣除。</w:t>
      </w:r>
    </w:p>
    <w:p w14:paraId="0DD59A76">
      <w:pPr>
        <w:spacing w:line="360" w:lineRule="auto"/>
        <w:ind w:firstLine="560" w:firstLineChars="200"/>
        <w:rPr>
          <w:rFonts w:hint="eastAsia" w:ascii="仿宋" w:hAnsi="仿宋" w:eastAsia="仿宋" w:cs="仿宋"/>
          <w:sz w:val="28"/>
          <w:szCs w:val="28"/>
          <w:lang w:val="zh-CN"/>
        </w:rPr>
      </w:pPr>
      <w:r>
        <w:rPr>
          <w:rFonts w:hint="eastAsia" w:ascii="仿宋" w:hAnsi="仿宋" w:eastAsia="仿宋" w:cs="仿宋"/>
          <w:sz w:val="28"/>
          <w:szCs w:val="28"/>
          <w:lang w:val="zh-CN"/>
        </w:rPr>
        <w:t>10、图纸与清单不符的以清单为准，清单未注明的以图纸为准。</w:t>
      </w:r>
    </w:p>
    <w:p w14:paraId="0AA8E984">
      <w:pPr>
        <w:spacing w:line="360" w:lineRule="auto"/>
        <w:ind w:firstLine="560" w:firstLineChars="200"/>
        <w:rPr>
          <w:rFonts w:hint="eastAsia" w:ascii="仿宋" w:hAnsi="仿宋" w:eastAsia="仿宋" w:cs="仿宋"/>
          <w:sz w:val="28"/>
          <w:szCs w:val="28"/>
          <w:lang w:val="zh-CN"/>
        </w:rPr>
      </w:pPr>
      <w:r>
        <w:rPr>
          <w:rFonts w:hint="eastAsia" w:ascii="仿宋" w:hAnsi="仿宋" w:eastAsia="仿宋" w:cs="仿宋"/>
          <w:sz w:val="28"/>
          <w:szCs w:val="28"/>
          <w:lang w:val="zh-CN"/>
        </w:rPr>
        <w:t>1</w:t>
      </w:r>
      <w:r>
        <w:rPr>
          <w:rFonts w:hint="eastAsia" w:ascii="仿宋" w:hAnsi="仿宋" w:eastAsia="仿宋" w:cs="仿宋"/>
          <w:sz w:val="28"/>
          <w:szCs w:val="28"/>
          <w:lang w:val="en-US" w:eastAsia="zh-CN"/>
        </w:rPr>
        <w:t>1</w:t>
      </w:r>
      <w:r>
        <w:rPr>
          <w:rFonts w:hint="eastAsia" w:ascii="仿宋" w:hAnsi="仿宋" w:eastAsia="仿宋" w:cs="仿宋"/>
          <w:sz w:val="28"/>
          <w:szCs w:val="28"/>
          <w:lang w:val="zh-CN"/>
        </w:rPr>
        <w:t>、所有混凝土项目的报价应结合本工程的实际情况和政府的相关规定考虑混凝土的施工方式，无论采用何种搅拌、运输方式，结算时均不调整报价中的综合单价。</w:t>
      </w:r>
    </w:p>
    <w:p w14:paraId="4308096F">
      <w:pPr>
        <w:spacing w:line="360" w:lineRule="auto"/>
        <w:ind w:firstLine="560" w:firstLineChars="200"/>
        <w:rPr>
          <w:rFonts w:hint="eastAsia" w:ascii="仿宋" w:hAnsi="仿宋" w:eastAsia="仿宋" w:cs="仿宋"/>
          <w:sz w:val="28"/>
          <w:szCs w:val="28"/>
          <w:lang w:val="zh-CN"/>
        </w:rPr>
      </w:pPr>
      <w:r>
        <w:rPr>
          <w:rFonts w:hint="eastAsia" w:ascii="仿宋" w:hAnsi="仿宋" w:eastAsia="仿宋" w:cs="仿宋"/>
          <w:sz w:val="28"/>
          <w:szCs w:val="28"/>
          <w:lang w:val="en-US" w:eastAsia="zh-CN"/>
        </w:rPr>
        <w:t>12</w:t>
      </w:r>
      <w:r>
        <w:rPr>
          <w:rFonts w:hint="eastAsia" w:ascii="仿宋" w:hAnsi="仿宋" w:eastAsia="仿宋" w:cs="仿宋"/>
          <w:sz w:val="28"/>
          <w:szCs w:val="28"/>
          <w:lang w:val="zh-CN"/>
        </w:rPr>
        <w:t>、本工程量清单按增值税一般计税模式编制。</w:t>
      </w:r>
    </w:p>
    <w:p w14:paraId="325C550C">
      <w:pPr>
        <w:spacing w:line="360" w:lineRule="auto"/>
        <w:ind w:firstLine="560" w:firstLineChars="200"/>
        <w:rPr>
          <w:rFonts w:hint="eastAsia" w:ascii="仿宋" w:hAnsi="仿宋" w:eastAsia="仿宋" w:cs="仿宋"/>
          <w:bCs/>
          <w:sz w:val="28"/>
          <w:szCs w:val="28"/>
          <w:lang w:val="zh-CN"/>
        </w:rPr>
      </w:pPr>
      <w:r>
        <w:rPr>
          <w:rFonts w:hint="eastAsia" w:ascii="仿宋" w:hAnsi="仿宋" w:eastAsia="仿宋" w:cs="仿宋"/>
          <w:bCs/>
          <w:sz w:val="28"/>
          <w:szCs w:val="28"/>
          <w:lang w:val="en-US" w:eastAsia="zh-CN"/>
        </w:rPr>
        <w:t>13</w:t>
      </w:r>
      <w:r>
        <w:rPr>
          <w:rFonts w:hint="eastAsia" w:ascii="仿宋" w:hAnsi="仿宋" w:eastAsia="仿宋" w:cs="仿宋"/>
          <w:bCs/>
          <w:sz w:val="28"/>
          <w:szCs w:val="28"/>
        </w:rPr>
        <w:t>、</w:t>
      </w:r>
      <w:r>
        <w:rPr>
          <w:rFonts w:hint="eastAsia" w:ascii="仿宋" w:hAnsi="仿宋" w:eastAsia="仿宋" w:cs="仿宋"/>
          <w:bCs/>
          <w:sz w:val="28"/>
          <w:szCs w:val="28"/>
          <w:lang w:val="zh-CN"/>
        </w:rPr>
        <w:t>本次招标列有暂列金</w:t>
      </w:r>
      <w:r>
        <w:rPr>
          <w:rFonts w:hint="eastAsia" w:ascii="仿宋" w:hAnsi="仿宋" w:eastAsia="仿宋" w:cs="仿宋"/>
          <w:bCs/>
          <w:sz w:val="28"/>
          <w:szCs w:val="28"/>
          <w:lang w:val="en-US" w:eastAsia="zh-CN"/>
        </w:rPr>
        <w:t>142232.86</w:t>
      </w:r>
      <w:r>
        <w:rPr>
          <w:rFonts w:hint="eastAsia" w:ascii="仿宋" w:hAnsi="仿宋" w:eastAsia="仿宋" w:cs="仿宋"/>
          <w:bCs/>
          <w:sz w:val="28"/>
          <w:szCs w:val="28"/>
          <w:lang w:val="zh-CN"/>
        </w:rPr>
        <w:t>元，投标单位应按照给定的金额正常计取规费税金后计入投标总价中，不能随意删除、改动。</w:t>
      </w:r>
    </w:p>
    <w:p w14:paraId="1A307CA0">
      <w:pPr>
        <w:spacing w:line="360" w:lineRule="auto"/>
        <w:ind w:firstLine="560" w:firstLineChars="200"/>
        <w:rPr>
          <w:rFonts w:hint="default" w:ascii="仿宋" w:hAnsi="仿宋" w:eastAsia="仿宋" w:cs="仿宋"/>
          <w:bCs/>
          <w:sz w:val="28"/>
          <w:szCs w:val="28"/>
          <w:lang w:val="en-US" w:eastAsia="zh-CN"/>
        </w:rPr>
      </w:pPr>
      <w:r>
        <w:rPr>
          <w:rFonts w:hint="eastAsia" w:ascii="仿宋" w:hAnsi="仿宋" w:eastAsia="仿宋" w:cs="仿宋"/>
          <w:bCs/>
          <w:sz w:val="28"/>
          <w:szCs w:val="28"/>
          <w:lang w:val="en-US" w:eastAsia="zh-CN"/>
        </w:rPr>
        <w:t>14、绿化移栽等暂估价100000元，结算时按实调整。</w:t>
      </w:r>
    </w:p>
    <w:p w14:paraId="680F02D5">
      <w:pPr>
        <w:ind w:firstLine="560" w:firstLineChars="200"/>
        <w:jc w:val="left"/>
        <w:rPr>
          <w:rFonts w:hint="eastAsia" w:ascii="仿宋" w:hAnsi="仿宋" w:eastAsia="仿宋" w:cs="仿宋"/>
          <w:sz w:val="28"/>
          <w:szCs w:val="28"/>
          <w:lang w:val="zh-CN"/>
        </w:rPr>
      </w:pPr>
      <w:r>
        <w:rPr>
          <w:rFonts w:hint="eastAsia" w:ascii="仿宋" w:hAnsi="仿宋" w:eastAsia="仿宋" w:cs="仿宋"/>
          <w:color w:val="auto"/>
          <w:sz w:val="28"/>
          <w:szCs w:val="28"/>
          <w:lang w:val="en-US" w:eastAsia="zh-CN"/>
        </w:rPr>
        <w:t>15、</w:t>
      </w:r>
      <w:r>
        <w:rPr>
          <w:rFonts w:hint="eastAsia" w:ascii="仿宋" w:hAnsi="仿宋" w:eastAsia="仿宋" w:cs="仿宋"/>
          <w:color w:val="auto"/>
          <w:sz w:val="28"/>
          <w:szCs w:val="28"/>
          <w:lang w:val="zh-CN"/>
        </w:rPr>
        <w:t>此次清单表格仅供参考，以投标系统自动生成的表格为准。若有疑问按规定提出答疑。</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k5NmE1NDQ0ZTI5MmVlMWI5MDg5NTliMWI5YjIwYTEifQ=="/>
  </w:docVars>
  <w:rsids>
    <w:rsidRoot w:val="00172A27"/>
    <w:rsid w:val="00044A45"/>
    <w:rsid w:val="00053565"/>
    <w:rsid w:val="00061E27"/>
    <w:rsid w:val="0006556D"/>
    <w:rsid w:val="00072C81"/>
    <w:rsid w:val="00083897"/>
    <w:rsid w:val="000D15B1"/>
    <w:rsid w:val="00172A27"/>
    <w:rsid w:val="001A152F"/>
    <w:rsid w:val="001B3BA5"/>
    <w:rsid w:val="001C397E"/>
    <w:rsid w:val="001E3AD9"/>
    <w:rsid w:val="002731E9"/>
    <w:rsid w:val="002751A2"/>
    <w:rsid w:val="00276FAB"/>
    <w:rsid w:val="002A6614"/>
    <w:rsid w:val="00326CD7"/>
    <w:rsid w:val="00370525"/>
    <w:rsid w:val="003C7170"/>
    <w:rsid w:val="003D2AF7"/>
    <w:rsid w:val="00453531"/>
    <w:rsid w:val="00460979"/>
    <w:rsid w:val="004E5D36"/>
    <w:rsid w:val="00512E67"/>
    <w:rsid w:val="00525982"/>
    <w:rsid w:val="00527214"/>
    <w:rsid w:val="0059692B"/>
    <w:rsid w:val="005A3F63"/>
    <w:rsid w:val="005B4C64"/>
    <w:rsid w:val="005D154E"/>
    <w:rsid w:val="006002DA"/>
    <w:rsid w:val="00604569"/>
    <w:rsid w:val="00631818"/>
    <w:rsid w:val="00671460"/>
    <w:rsid w:val="006B650C"/>
    <w:rsid w:val="006D44E9"/>
    <w:rsid w:val="006D7F93"/>
    <w:rsid w:val="00703C20"/>
    <w:rsid w:val="007437F1"/>
    <w:rsid w:val="00785CE6"/>
    <w:rsid w:val="007A46FF"/>
    <w:rsid w:val="007B3196"/>
    <w:rsid w:val="00803340"/>
    <w:rsid w:val="00854ADB"/>
    <w:rsid w:val="00865CFA"/>
    <w:rsid w:val="008C6BAD"/>
    <w:rsid w:val="008E73CC"/>
    <w:rsid w:val="00906ED0"/>
    <w:rsid w:val="009E1DB4"/>
    <w:rsid w:val="00A37E1B"/>
    <w:rsid w:val="00A92E48"/>
    <w:rsid w:val="00AA5090"/>
    <w:rsid w:val="00AA5535"/>
    <w:rsid w:val="00AB5D1B"/>
    <w:rsid w:val="00B061C1"/>
    <w:rsid w:val="00B51F2B"/>
    <w:rsid w:val="00B76C94"/>
    <w:rsid w:val="00BC614A"/>
    <w:rsid w:val="00BE0778"/>
    <w:rsid w:val="00C2705F"/>
    <w:rsid w:val="00C44FD9"/>
    <w:rsid w:val="00C656EB"/>
    <w:rsid w:val="00CF1D64"/>
    <w:rsid w:val="00D2426B"/>
    <w:rsid w:val="00DE084F"/>
    <w:rsid w:val="00E623D5"/>
    <w:rsid w:val="00E84D26"/>
    <w:rsid w:val="00F62201"/>
    <w:rsid w:val="00F96A77"/>
    <w:rsid w:val="019E6BE9"/>
    <w:rsid w:val="05A87C52"/>
    <w:rsid w:val="132F6D32"/>
    <w:rsid w:val="16022F3E"/>
    <w:rsid w:val="1911069A"/>
    <w:rsid w:val="19FD63F8"/>
    <w:rsid w:val="20307EEF"/>
    <w:rsid w:val="20BE7F5D"/>
    <w:rsid w:val="29E71FDA"/>
    <w:rsid w:val="2B943ED6"/>
    <w:rsid w:val="2CA313CD"/>
    <w:rsid w:val="3273406E"/>
    <w:rsid w:val="345F4A7B"/>
    <w:rsid w:val="381043FC"/>
    <w:rsid w:val="38AC4245"/>
    <w:rsid w:val="392E1EB1"/>
    <w:rsid w:val="3F2841E5"/>
    <w:rsid w:val="431A68AF"/>
    <w:rsid w:val="44E36B62"/>
    <w:rsid w:val="492C0A6C"/>
    <w:rsid w:val="496B53E6"/>
    <w:rsid w:val="49B17965"/>
    <w:rsid w:val="4C144C5B"/>
    <w:rsid w:val="4E6F3F3D"/>
    <w:rsid w:val="4FF329C5"/>
    <w:rsid w:val="58D30CEA"/>
    <w:rsid w:val="5B0D7C41"/>
    <w:rsid w:val="5BB673C9"/>
    <w:rsid w:val="5E0D2092"/>
    <w:rsid w:val="5F230503"/>
    <w:rsid w:val="660E4B71"/>
    <w:rsid w:val="6639293E"/>
    <w:rsid w:val="665807AA"/>
    <w:rsid w:val="68DF3641"/>
    <w:rsid w:val="6AEF0AC7"/>
    <w:rsid w:val="6FB952F6"/>
    <w:rsid w:val="6FFD045F"/>
    <w:rsid w:val="704B7BC9"/>
    <w:rsid w:val="72645138"/>
    <w:rsid w:val="75011CC0"/>
    <w:rsid w:val="79304B34"/>
    <w:rsid w:val="7E465B88"/>
    <w:rsid w:val="7EEE5C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9"/>
    <w:semiHidden/>
    <w:unhideWhenUsed/>
    <w:qFormat/>
    <w:uiPriority w:val="99"/>
    <w:rPr>
      <w:sz w:val="18"/>
      <w:szCs w:val="18"/>
    </w:rPr>
  </w:style>
  <w:style w:type="paragraph" w:styleId="3">
    <w:name w:val="footer"/>
    <w:basedOn w:val="1"/>
    <w:link w:val="8"/>
    <w:unhideWhenUsed/>
    <w:qFormat/>
    <w:uiPriority w:val="99"/>
    <w:pPr>
      <w:tabs>
        <w:tab w:val="center" w:pos="4153"/>
        <w:tab w:val="right" w:pos="8306"/>
      </w:tabs>
      <w:snapToGrid w:val="0"/>
      <w:jc w:val="left"/>
    </w:pPr>
    <w:rPr>
      <w:sz w:val="18"/>
      <w:szCs w:val="18"/>
    </w:rPr>
  </w:style>
  <w:style w:type="paragraph" w:styleId="4">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Char"/>
    <w:basedOn w:val="6"/>
    <w:link w:val="4"/>
    <w:qFormat/>
    <w:uiPriority w:val="99"/>
    <w:rPr>
      <w:sz w:val="18"/>
      <w:szCs w:val="18"/>
    </w:rPr>
  </w:style>
  <w:style w:type="character" w:customStyle="1" w:styleId="8">
    <w:name w:val="页脚 Char"/>
    <w:basedOn w:val="6"/>
    <w:link w:val="3"/>
    <w:qFormat/>
    <w:uiPriority w:val="99"/>
    <w:rPr>
      <w:sz w:val="18"/>
      <w:szCs w:val="18"/>
    </w:rPr>
  </w:style>
  <w:style w:type="character" w:customStyle="1" w:styleId="9">
    <w:name w:val="批注框文本 Char"/>
    <w:basedOn w:val="6"/>
    <w:link w:val="2"/>
    <w:semiHidden/>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3</Pages>
  <Words>1454</Words>
  <Characters>1484</Characters>
  <Lines>16</Lines>
  <Paragraphs>4</Paragraphs>
  <TotalTime>8</TotalTime>
  <ScaleCrop>false</ScaleCrop>
  <LinksUpToDate>false</LinksUpToDate>
  <CharactersWithSpaces>1488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2019-07-27T09:59:00Z</dcterms:created>
  <dc:creator>Administrator</dc:creator>
  <cp:lastModifiedBy>無言的結局</cp:lastModifiedBy>
  <cp:lastPrinted>2022-06-21T09:10:00Z</cp:lastPrinted>
  <dcterms:modified xsi:type="dcterms:W3CDTF">2026-09-30T01:27:30Z</dcterms:modified>
  <cp:revision>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83AA42A36F9646A386BF56EC47B49559_13</vt:lpwstr>
  </property>
  <property fmtid="{D5CDD505-2E9C-101B-9397-08002B2CF9AE}" pid="4" name="KSOTemplateDocerSaveRecord">
    <vt:lpwstr>eyJoZGlkIjoiNTAyNjk3MDBjMmQ3YjcxMGUwZjliZjdiYzBjNmViOWIiLCJ1c2VySWQiOiIyNzUyODU3MzMifQ==</vt:lpwstr>
  </property>
</Properties>
</file>